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A4D0A8">
      <w:pPr>
        <w:spacing w:after="120"/>
        <w:ind w:firstLine="0" w:firstLineChars="0"/>
        <w:jc w:val="center"/>
        <w:outlineLvl w:val="9"/>
        <w:rPr>
          <w:rFonts w:hint="eastAsia" w:ascii="宋体" w:hAnsi="宋体" w:eastAsia="宋体" w:cs="宋体"/>
          <w:bCs/>
          <w:color w:val="000000" w:themeColor="text1"/>
          <w:sz w:val="28"/>
          <w:szCs w:val="28"/>
          <w14:textFill>
            <w14:solidFill>
              <w14:schemeClr w14:val="tx1"/>
            </w14:solidFill>
          </w14:textFill>
        </w:rPr>
      </w:pPr>
    </w:p>
    <w:p w14:paraId="3FA1B647">
      <w:pPr>
        <w:spacing w:after="120"/>
        <w:ind w:firstLine="0" w:firstLineChars="0"/>
        <w:jc w:val="center"/>
        <w:outlineLvl w:val="9"/>
        <w:rPr>
          <w:rFonts w:hint="eastAsia" w:ascii="宋体" w:hAnsi="宋体" w:eastAsia="宋体" w:cs="宋体"/>
          <w:bCs/>
          <w:color w:val="000000" w:themeColor="text1"/>
          <w:sz w:val="44"/>
          <w:szCs w:val="44"/>
          <w:lang w:val="en-US" w:eastAsia="zh-CN"/>
          <w14:textFill>
            <w14:solidFill>
              <w14:schemeClr w14:val="tx1"/>
            </w14:solidFill>
          </w14:textFill>
        </w:rPr>
      </w:pPr>
      <w:r>
        <w:rPr>
          <w:rFonts w:hint="eastAsia" w:ascii="宋体" w:hAnsi="宋体" w:eastAsia="宋体" w:cs="宋体"/>
          <w:bCs/>
          <w:color w:val="000000" w:themeColor="text1"/>
          <w:sz w:val="44"/>
          <w:szCs w:val="44"/>
          <w:lang w:eastAsia="zh-CN"/>
          <w14:textFill>
            <w14:solidFill>
              <w14:schemeClr w14:val="tx1"/>
            </w14:solidFill>
          </w14:textFill>
        </w:rPr>
        <w:t>重庆</w:t>
      </w:r>
      <w:r>
        <w:rPr>
          <w:rFonts w:hint="eastAsia" w:ascii="宋体" w:hAnsi="宋体" w:eastAsia="宋体" w:cs="宋体"/>
          <w:bCs/>
          <w:color w:val="000000" w:themeColor="text1"/>
          <w:sz w:val="44"/>
          <w:szCs w:val="44"/>
          <w:lang w:val="en-US" w:eastAsia="zh-CN"/>
          <w14:textFill>
            <w14:solidFill>
              <w14:schemeClr w14:val="tx1"/>
            </w14:solidFill>
          </w14:textFill>
        </w:rPr>
        <w:t>桥渝工程机械</w:t>
      </w:r>
      <w:r>
        <w:rPr>
          <w:rFonts w:hint="eastAsia" w:ascii="宋体" w:hAnsi="宋体" w:eastAsia="宋体" w:cs="宋体"/>
          <w:bCs/>
          <w:color w:val="000000" w:themeColor="text1"/>
          <w:sz w:val="44"/>
          <w:szCs w:val="44"/>
          <w:lang w:eastAsia="zh-CN"/>
          <w14:textFill>
            <w14:solidFill>
              <w14:schemeClr w14:val="tx1"/>
            </w14:solidFill>
          </w14:textFill>
        </w:rPr>
        <w:t>租赁有限公司</w:t>
      </w:r>
    </w:p>
    <w:p w14:paraId="65D81B64">
      <w:pPr>
        <w:spacing w:after="120"/>
        <w:ind w:firstLine="0" w:firstLineChars="0"/>
        <w:jc w:val="center"/>
        <w:outlineLvl w:val="9"/>
        <w:rPr>
          <w:rFonts w:hint="eastAsia" w:ascii="宋体" w:hAnsi="宋体" w:eastAsia="宋体" w:cs="宋体"/>
          <w:bCs/>
          <w:color w:val="000000" w:themeColor="text1"/>
          <w:sz w:val="44"/>
          <w:szCs w:val="44"/>
          <w14:textFill>
            <w14:solidFill>
              <w14:schemeClr w14:val="tx1"/>
            </w14:solidFill>
          </w14:textFill>
        </w:rPr>
      </w:pPr>
      <w:r>
        <w:rPr>
          <w:rFonts w:hint="eastAsia" w:ascii="宋体" w:hAnsi="宋体" w:eastAsia="宋体" w:cs="宋体"/>
          <w:bCs/>
          <w:color w:val="000000" w:themeColor="text1"/>
          <w:sz w:val="44"/>
          <w:szCs w:val="44"/>
          <w:lang w:val="en-US" w:eastAsia="zh-CN"/>
          <w14:textFill>
            <w14:solidFill>
              <w14:schemeClr w14:val="tx1"/>
            </w14:solidFill>
          </w14:textFill>
        </w:rPr>
        <w:t>武汉仓库堆场XGT8040-25</w:t>
      </w:r>
      <w:r>
        <w:rPr>
          <w:rFonts w:hint="eastAsia" w:ascii="宋体" w:hAnsi="宋体" w:eastAsia="宋体" w:cs="宋体"/>
          <w:bCs/>
          <w:color w:val="000000" w:themeColor="text1"/>
          <w:sz w:val="44"/>
          <w:szCs w:val="44"/>
          <w14:textFill>
            <w14:solidFill>
              <w14:schemeClr w14:val="tx1"/>
            </w14:solidFill>
          </w14:textFill>
        </w:rPr>
        <w:t>塔吊安</w:t>
      </w:r>
      <w:r>
        <w:rPr>
          <w:rFonts w:hint="eastAsia" w:ascii="宋体" w:hAnsi="宋体" w:eastAsia="宋体" w:cs="宋体"/>
          <w:bCs/>
          <w:color w:val="000000" w:themeColor="text1"/>
          <w:sz w:val="44"/>
          <w:szCs w:val="44"/>
          <w:lang w:val="en-US" w:eastAsia="zh-CN"/>
          <w14:textFill>
            <w14:solidFill>
              <w14:schemeClr w14:val="tx1"/>
            </w14:solidFill>
          </w14:textFill>
        </w:rPr>
        <w:t>拆</w:t>
      </w:r>
      <w:r>
        <w:rPr>
          <w:rFonts w:hint="eastAsia" w:ascii="宋体" w:hAnsi="宋体" w:eastAsia="宋体" w:cs="宋体"/>
          <w:bCs/>
          <w:color w:val="000000" w:themeColor="text1"/>
          <w:sz w:val="44"/>
          <w:szCs w:val="44"/>
          <w14:textFill>
            <w14:solidFill>
              <w14:schemeClr w14:val="tx1"/>
            </w14:solidFill>
          </w14:textFill>
        </w:rPr>
        <w:t>施工方案</w:t>
      </w:r>
    </w:p>
    <w:p w14:paraId="537C3906">
      <w:pPr>
        <w:spacing w:after="120"/>
        <w:ind w:firstLine="0" w:firstLineChars="0"/>
        <w:jc w:val="center"/>
        <w:outlineLvl w:val="9"/>
        <w:rPr>
          <w:rFonts w:hint="eastAsia" w:ascii="宋体" w:hAnsi="宋体" w:eastAsia="宋体" w:cs="宋体"/>
          <w:sz w:val="36"/>
        </w:rPr>
      </w:pPr>
    </w:p>
    <w:p w14:paraId="2669DF95">
      <w:pPr>
        <w:adjustRightInd w:val="0"/>
        <w:snapToGrid w:val="0"/>
        <w:spacing w:before="120" w:after="120"/>
        <w:ind w:firstLine="3494" w:firstLineChars="1450"/>
        <w:outlineLvl w:val="9"/>
        <w:rPr>
          <w:rFonts w:hint="eastAsia" w:ascii="宋体" w:hAnsi="宋体" w:eastAsia="宋体" w:cs="宋体"/>
          <w:b/>
        </w:rPr>
      </w:pPr>
    </w:p>
    <w:p w14:paraId="70504ECE">
      <w:pPr>
        <w:pStyle w:val="2"/>
        <w:outlineLvl w:val="9"/>
        <w:rPr>
          <w:rFonts w:hint="eastAsia" w:ascii="宋体" w:hAnsi="宋体" w:eastAsia="宋体" w:cs="宋体"/>
          <w:b/>
        </w:rPr>
      </w:pPr>
    </w:p>
    <w:p w14:paraId="0AFE61DD">
      <w:pPr>
        <w:pStyle w:val="2"/>
        <w:outlineLvl w:val="9"/>
        <w:rPr>
          <w:rFonts w:hint="eastAsia" w:ascii="宋体" w:hAnsi="宋体" w:eastAsia="宋体" w:cs="宋体"/>
          <w:b/>
        </w:rPr>
      </w:pPr>
    </w:p>
    <w:p w14:paraId="4EA8191E">
      <w:pPr>
        <w:pStyle w:val="2"/>
        <w:outlineLvl w:val="9"/>
        <w:rPr>
          <w:rFonts w:hint="eastAsia" w:ascii="宋体" w:hAnsi="宋体" w:eastAsia="宋体" w:cs="宋体"/>
          <w:b/>
        </w:rPr>
      </w:pPr>
    </w:p>
    <w:p w14:paraId="0604C92C">
      <w:pPr>
        <w:pStyle w:val="2"/>
        <w:outlineLvl w:val="9"/>
        <w:rPr>
          <w:rFonts w:hint="eastAsia" w:ascii="宋体" w:hAnsi="宋体" w:eastAsia="宋体" w:cs="宋体"/>
          <w:b/>
        </w:rPr>
      </w:pPr>
    </w:p>
    <w:p w14:paraId="3B5E3240">
      <w:pPr>
        <w:pStyle w:val="13"/>
        <w:outlineLvl w:val="9"/>
        <w:rPr>
          <w:rFonts w:hint="eastAsia" w:ascii="宋体" w:hAnsi="宋体" w:eastAsia="宋体" w:cs="宋体"/>
        </w:rPr>
      </w:pPr>
    </w:p>
    <w:p w14:paraId="46631A64">
      <w:pPr>
        <w:adjustRightInd w:val="0"/>
        <w:snapToGrid w:val="0"/>
        <w:spacing w:before="120" w:after="120"/>
        <w:ind w:firstLine="2400" w:firstLineChars="600"/>
        <w:outlineLvl w:val="9"/>
        <w:rPr>
          <w:rFonts w:hint="eastAsia"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审批：</w:t>
      </w:r>
      <w:r>
        <w:rPr>
          <w:rFonts w:hint="eastAsia" w:ascii="宋体" w:hAnsi="宋体" w:eastAsia="宋体" w:cs="宋体"/>
          <w:b/>
          <w:sz w:val="32"/>
          <w:szCs w:val="32"/>
          <w:u w:val="single"/>
        </w:rPr>
        <w:t xml:space="preserve">                  </w:t>
      </w:r>
    </w:p>
    <w:p w14:paraId="59B0CE03">
      <w:pPr>
        <w:adjustRightInd w:val="0"/>
        <w:snapToGrid w:val="0"/>
        <w:spacing w:before="120" w:after="120"/>
        <w:ind w:left="720" w:leftChars="300" w:firstLine="4658" w:firstLineChars="1450"/>
        <w:outlineLvl w:val="9"/>
        <w:rPr>
          <w:rFonts w:hint="eastAsia" w:ascii="宋体" w:hAnsi="宋体" w:eastAsia="宋体" w:cs="宋体"/>
          <w:b/>
          <w:sz w:val="32"/>
          <w:szCs w:val="32"/>
        </w:rPr>
      </w:pPr>
    </w:p>
    <w:p w14:paraId="3598422F">
      <w:pPr>
        <w:adjustRightInd w:val="0"/>
        <w:snapToGrid w:val="0"/>
        <w:spacing w:before="120" w:after="120"/>
        <w:ind w:firstLine="2400" w:firstLineChars="600"/>
        <w:outlineLvl w:val="9"/>
        <w:rPr>
          <w:rFonts w:hint="eastAsia" w:ascii="宋体" w:hAnsi="宋体" w:eastAsia="宋体" w:cs="宋体"/>
          <w:b/>
          <w:sz w:val="32"/>
          <w:szCs w:val="32"/>
          <w:u w:val="single"/>
        </w:rPr>
      </w:pPr>
      <w:r>
        <w:rPr>
          <w:rFonts w:hint="eastAsia" w:ascii="宋体" w:hAnsi="宋体" w:eastAsia="宋体" w:cs="宋体"/>
          <w:bCs/>
          <w:color w:val="000000" w:themeColor="text1"/>
          <w:sz w:val="40"/>
          <w:szCs w:val="40"/>
          <w14:textFill>
            <w14:solidFill>
              <w14:schemeClr w14:val="tx1"/>
            </w14:solidFill>
          </w14:textFill>
        </w:rPr>
        <w:t xml:space="preserve">审核： </w:t>
      </w:r>
      <w:r>
        <w:rPr>
          <w:rFonts w:hint="eastAsia" w:ascii="宋体" w:hAnsi="宋体" w:eastAsia="宋体" w:cs="宋体"/>
          <w:b/>
          <w:sz w:val="32"/>
          <w:szCs w:val="32"/>
          <w:u w:val="single"/>
        </w:rPr>
        <w:t xml:space="preserve">                 </w:t>
      </w:r>
    </w:p>
    <w:p w14:paraId="1FB980A3">
      <w:pPr>
        <w:adjustRightInd w:val="0"/>
        <w:snapToGrid w:val="0"/>
        <w:spacing w:before="120" w:after="120"/>
        <w:ind w:left="720" w:leftChars="300" w:firstLine="4658" w:firstLineChars="1450"/>
        <w:outlineLvl w:val="9"/>
        <w:rPr>
          <w:rFonts w:hint="eastAsia" w:ascii="宋体" w:hAnsi="宋体" w:eastAsia="宋体" w:cs="宋体"/>
          <w:b/>
          <w:sz w:val="32"/>
          <w:szCs w:val="32"/>
        </w:rPr>
      </w:pPr>
    </w:p>
    <w:p w14:paraId="3BE9E597">
      <w:pPr>
        <w:adjustRightInd w:val="0"/>
        <w:snapToGrid w:val="0"/>
        <w:spacing w:before="120" w:after="120"/>
        <w:ind w:firstLine="2400" w:firstLineChars="600"/>
        <w:outlineLvl w:val="9"/>
        <w:rPr>
          <w:rFonts w:hint="eastAsia" w:ascii="宋体" w:hAnsi="宋体" w:eastAsia="宋体" w:cs="宋体"/>
          <w:sz w:val="32"/>
          <w:szCs w:val="32"/>
        </w:rPr>
      </w:pPr>
      <w:r>
        <w:rPr>
          <w:rFonts w:hint="eastAsia" w:ascii="宋体" w:hAnsi="宋体" w:eastAsia="宋体" w:cs="宋体"/>
          <w:bCs/>
          <w:color w:val="000000" w:themeColor="text1"/>
          <w:sz w:val="40"/>
          <w:szCs w:val="40"/>
          <w14:textFill>
            <w14:solidFill>
              <w14:schemeClr w14:val="tx1"/>
            </w14:solidFill>
          </w14:textFill>
        </w:rPr>
        <w:t xml:space="preserve">编制： </w:t>
      </w:r>
      <w:r>
        <w:rPr>
          <w:rFonts w:hint="eastAsia" w:ascii="宋体" w:hAnsi="宋体" w:eastAsia="宋体" w:cs="宋体"/>
          <w:b/>
          <w:sz w:val="32"/>
          <w:szCs w:val="32"/>
          <w:u w:val="single"/>
        </w:rPr>
        <w:t xml:space="preserve">                 </w:t>
      </w:r>
      <w:r>
        <w:rPr>
          <w:rFonts w:hint="eastAsia" w:ascii="宋体" w:hAnsi="宋体" w:eastAsia="宋体" w:cs="宋体"/>
          <w:sz w:val="32"/>
          <w:szCs w:val="32"/>
        </w:rPr>
        <w:t xml:space="preserve">                   </w:t>
      </w:r>
    </w:p>
    <w:p w14:paraId="219C0DB8">
      <w:pPr>
        <w:spacing w:before="120" w:after="120" w:line="240" w:lineRule="auto"/>
        <w:ind w:firstLine="0" w:firstLineChars="0"/>
        <w:jc w:val="both"/>
        <w:outlineLvl w:val="9"/>
        <w:rPr>
          <w:rFonts w:hint="eastAsia" w:ascii="宋体" w:hAnsi="宋体" w:eastAsia="宋体" w:cs="宋体"/>
          <w:bCs/>
          <w:color w:val="000000" w:themeColor="text1"/>
          <w:sz w:val="40"/>
          <w:szCs w:val="40"/>
          <w14:textFill>
            <w14:solidFill>
              <w14:schemeClr w14:val="tx1"/>
            </w14:solidFill>
          </w14:textFill>
        </w:rPr>
      </w:pPr>
      <w:r>
        <w:rPr>
          <w:rFonts w:hint="eastAsia" w:ascii="宋体" w:hAnsi="宋体" w:eastAsia="宋体" w:cs="宋体"/>
          <w:sz w:val="32"/>
          <w:szCs w:val="32"/>
        </w:rPr>
        <w:t xml:space="preserve">                  </w:t>
      </w:r>
      <w:r>
        <w:rPr>
          <w:rFonts w:hint="eastAsia" w:ascii="宋体" w:hAnsi="宋体" w:eastAsia="宋体" w:cs="宋体"/>
          <w:bCs/>
          <w:color w:val="000000" w:themeColor="text1"/>
          <w:sz w:val="40"/>
          <w:szCs w:val="40"/>
          <w14:textFill>
            <w14:solidFill>
              <w14:schemeClr w14:val="tx1"/>
            </w14:solidFill>
          </w14:textFill>
        </w:rPr>
        <w:t xml:space="preserve">      </w:t>
      </w:r>
    </w:p>
    <w:p w14:paraId="15EC2E13">
      <w:pPr>
        <w:spacing w:before="120" w:after="120" w:line="240" w:lineRule="auto"/>
        <w:ind w:firstLine="0" w:firstLineChars="0"/>
        <w:jc w:val="both"/>
        <w:outlineLvl w:val="9"/>
        <w:rPr>
          <w:rFonts w:hint="eastAsia" w:ascii="宋体" w:hAnsi="宋体" w:eastAsia="宋体" w:cs="宋体"/>
          <w:bCs/>
          <w:color w:val="000000" w:themeColor="text1"/>
          <w:sz w:val="32"/>
          <w:szCs w:val="32"/>
          <w14:textFill>
            <w14:solidFill>
              <w14:schemeClr w14:val="tx1"/>
            </w14:solidFill>
          </w14:textFill>
        </w:rPr>
      </w:pPr>
    </w:p>
    <w:p w14:paraId="7AD26450">
      <w:pPr>
        <w:pStyle w:val="2"/>
        <w:outlineLvl w:val="9"/>
        <w:rPr>
          <w:rFonts w:hint="eastAsia" w:ascii="宋体" w:hAnsi="宋体" w:eastAsia="宋体" w:cs="宋体"/>
          <w:bCs/>
          <w:color w:val="000000" w:themeColor="text1"/>
          <w:sz w:val="32"/>
          <w:szCs w:val="32"/>
          <w14:textFill>
            <w14:solidFill>
              <w14:schemeClr w14:val="tx1"/>
            </w14:solidFill>
          </w14:textFill>
        </w:rPr>
      </w:pPr>
    </w:p>
    <w:p w14:paraId="15BDCA84">
      <w:pPr>
        <w:pStyle w:val="13"/>
        <w:outlineLvl w:val="9"/>
        <w:rPr>
          <w:rFonts w:hint="eastAsia" w:ascii="宋体" w:hAnsi="宋体" w:eastAsia="宋体" w:cs="宋体"/>
        </w:rPr>
      </w:pPr>
    </w:p>
    <w:p w14:paraId="451438F6">
      <w:pPr>
        <w:spacing w:before="120" w:after="120" w:line="240" w:lineRule="auto"/>
        <w:ind w:firstLine="0" w:firstLineChars="0"/>
        <w:jc w:val="both"/>
        <w:outlineLvl w:val="9"/>
        <w:rPr>
          <w:rFonts w:hint="eastAsia" w:ascii="宋体" w:hAnsi="宋体" w:eastAsia="宋体" w:cs="宋体"/>
          <w:bCs/>
          <w:color w:val="000000" w:themeColor="text1"/>
          <w:sz w:val="40"/>
          <w:szCs w:val="40"/>
          <w14:textFill>
            <w14:solidFill>
              <w14:schemeClr w14:val="tx1"/>
            </w14:solidFill>
          </w14:textFill>
        </w:rPr>
      </w:pPr>
    </w:p>
    <w:p w14:paraId="1ABE363B">
      <w:pPr>
        <w:spacing w:before="120" w:after="120" w:line="240" w:lineRule="auto"/>
        <w:ind w:firstLine="0" w:firstLineChars="0"/>
        <w:jc w:val="center"/>
        <w:outlineLvl w:val="9"/>
        <w:rPr>
          <w:rFonts w:hint="eastAsia" w:ascii="宋体" w:hAnsi="宋体" w:eastAsia="宋体" w:cs="宋体"/>
          <w:bCs/>
          <w:color w:val="000000" w:themeColor="text1"/>
          <w:sz w:val="40"/>
          <w:szCs w:val="40"/>
          <w:lang w:eastAsia="zh-CN"/>
          <w14:textFill>
            <w14:solidFill>
              <w14:schemeClr w14:val="tx1"/>
            </w14:solidFill>
          </w14:textFill>
        </w:rPr>
      </w:pPr>
      <w:r>
        <w:rPr>
          <w:rFonts w:hint="eastAsia" w:ascii="宋体" w:hAnsi="宋体" w:eastAsia="宋体" w:cs="宋体"/>
          <w:bCs/>
          <w:color w:val="000000" w:themeColor="text1"/>
          <w:sz w:val="40"/>
          <w:szCs w:val="40"/>
          <w:lang w:eastAsia="zh-CN"/>
          <w14:textFill>
            <w14:solidFill>
              <w14:schemeClr w14:val="tx1"/>
            </w14:solidFill>
          </w14:textFill>
        </w:rPr>
        <w:t>重庆</w:t>
      </w:r>
      <w:r>
        <w:rPr>
          <w:rFonts w:hint="eastAsia" w:ascii="宋体" w:hAnsi="宋体" w:eastAsia="宋体" w:cs="宋体"/>
          <w:bCs/>
          <w:color w:val="000000" w:themeColor="text1"/>
          <w:sz w:val="40"/>
          <w:szCs w:val="40"/>
          <w:lang w:val="en-US" w:eastAsia="zh-CN"/>
          <w14:textFill>
            <w14:solidFill>
              <w14:schemeClr w14:val="tx1"/>
            </w14:solidFill>
          </w14:textFill>
        </w:rPr>
        <w:t>桥渝工程机械</w:t>
      </w:r>
      <w:r>
        <w:rPr>
          <w:rFonts w:hint="eastAsia" w:ascii="宋体" w:hAnsi="宋体" w:eastAsia="宋体" w:cs="宋体"/>
          <w:bCs/>
          <w:color w:val="000000" w:themeColor="text1"/>
          <w:sz w:val="40"/>
          <w:szCs w:val="40"/>
          <w:lang w:eastAsia="zh-CN"/>
          <w14:textFill>
            <w14:solidFill>
              <w14:schemeClr w14:val="tx1"/>
            </w14:solidFill>
          </w14:textFill>
        </w:rPr>
        <w:t>租赁有限公司</w:t>
      </w:r>
    </w:p>
    <w:p w14:paraId="2400368E">
      <w:pPr>
        <w:spacing w:before="120" w:after="120" w:line="240" w:lineRule="auto"/>
        <w:ind w:firstLine="0" w:firstLineChars="0"/>
        <w:jc w:val="center"/>
        <w:outlineLvl w:val="9"/>
        <w:rPr>
          <w:rFonts w:hint="eastAsia" w:ascii="宋体" w:hAnsi="宋体" w:eastAsia="宋体" w:cs="宋体"/>
          <w:bCs/>
          <w:color w:val="000000" w:themeColor="text1"/>
          <w:sz w:val="40"/>
          <w:szCs w:val="40"/>
          <w14:textFill>
            <w14:solidFill>
              <w14:schemeClr w14:val="tx1"/>
            </w14:solidFill>
          </w14:textFill>
        </w:rPr>
      </w:pPr>
      <w:r>
        <w:rPr>
          <w:rFonts w:hint="eastAsia" w:ascii="宋体" w:hAnsi="宋体" w:eastAsia="宋体" w:cs="宋体"/>
          <w:bCs/>
          <w:color w:val="000000" w:themeColor="text1"/>
          <w:sz w:val="40"/>
          <w:szCs w:val="40"/>
          <w14:textFill>
            <w14:solidFill>
              <w14:schemeClr w14:val="tx1"/>
            </w14:solidFill>
          </w14:textFill>
        </w:rPr>
        <w:t>202</w:t>
      </w:r>
      <w:r>
        <w:rPr>
          <w:rFonts w:hint="eastAsia" w:ascii="宋体" w:hAnsi="宋体" w:eastAsia="宋体" w:cs="宋体"/>
          <w:bCs/>
          <w:color w:val="000000" w:themeColor="text1"/>
          <w:sz w:val="40"/>
          <w:szCs w:val="40"/>
          <w:lang w:val="en-US" w:eastAsia="zh-CN"/>
          <w14:textFill>
            <w14:solidFill>
              <w14:schemeClr w14:val="tx1"/>
            </w14:solidFill>
          </w14:textFill>
        </w:rPr>
        <w:t>5</w:t>
      </w:r>
      <w:r>
        <w:rPr>
          <w:rFonts w:hint="eastAsia" w:ascii="宋体" w:hAnsi="宋体" w:eastAsia="宋体" w:cs="宋体"/>
          <w:bCs/>
          <w:color w:val="000000" w:themeColor="text1"/>
          <w:sz w:val="40"/>
          <w:szCs w:val="40"/>
          <w14:textFill>
            <w14:solidFill>
              <w14:schemeClr w14:val="tx1"/>
            </w14:solidFill>
          </w14:textFill>
        </w:rPr>
        <w:t>年</w:t>
      </w:r>
      <w:r>
        <w:rPr>
          <w:rFonts w:hint="eastAsia" w:ascii="宋体" w:hAnsi="宋体" w:eastAsia="宋体" w:cs="宋体"/>
          <w:bCs/>
          <w:color w:val="000000" w:themeColor="text1"/>
          <w:sz w:val="40"/>
          <w:szCs w:val="40"/>
          <w:lang w:val="en-US" w:eastAsia="zh-CN"/>
          <w14:textFill>
            <w14:solidFill>
              <w14:schemeClr w14:val="tx1"/>
            </w14:solidFill>
          </w14:textFill>
        </w:rPr>
        <w:t>4</w:t>
      </w:r>
      <w:r>
        <w:rPr>
          <w:rFonts w:hint="eastAsia" w:ascii="宋体" w:hAnsi="宋体" w:eastAsia="宋体" w:cs="宋体"/>
          <w:bCs/>
          <w:color w:val="000000" w:themeColor="text1"/>
          <w:sz w:val="40"/>
          <w:szCs w:val="40"/>
          <w14:textFill>
            <w14:solidFill>
              <w14:schemeClr w14:val="tx1"/>
            </w14:solidFill>
          </w14:textFill>
        </w:rPr>
        <w:t>月</w:t>
      </w:r>
      <w:r>
        <w:rPr>
          <w:rFonts w:hint="eastAsia" w:ascii="宋体" w:hAnsi="宋体" w:eastAsia="宋体" w:cs="宋体"/>
          <w:bCs/>
          <w:color w:val="000000" w:themeColor="text1"/>
          <w:sz w:val="40"/>
          <w:szCs w:val="40"/>
          <w:lang w:val="en-US" w:eastAsia="zh-CN"/>
          <w14:textFill>
            <w14:solidFill>
              <w14:schemeClr w14:val="tx1"/>
            </w14:solidFill>
          </w14:textFill>
        </w:rPr>
        <w:t>21</w:t>
      </w:r>
      <w:r>
        <w:rPr>
          <w:rFonts w:hint="eastAsia" w:ascii="宋体" w:hAnsi="宋体" w:eastAsia="宋体" w:cs="宋体"/>
          <w:bCs/>
          <w:color w:val="000000" w:themeColor="text1"/>
          <w:sz w:val="40"/>
          <w:szCs w:val="40"/>
          <w14:textFill>
            <w14:solidFill>
              <w14:schemeClr w14:val="tx1"/>
            </w14:solidFill>
          </w14:textFill>
        </w:rPr>
        <w:t>日</w:t>
      </w:r>
    </w:p>
    <w:p w14:paraId="196BD248">
      <w:pPr>
        <w:pStyle w:val="2"/>
        <w:rPr>
          <w:rFonts w:hint="eastAsia" w:ascii="宋体" w:hAnsi="宋体" w:eastAsia="宋体" w:cs="宋体"/>
          <w:bCs/>
          <w:color w:val="000000" w:themeColor="text1"/>
          <w:sz w:val="40"/>
          <w:szCs w:val="40"/>
          <w14:textFill>
            <w14:solidFill>
              <w14:schemeClr w14:val="tx1"/>
            </w14:solidFill>
          </w14:textFill>
        </w:rPr>
      </w:pPr>
    </w:p>
    <w:p w14:paraId="2C4A973A">
      <w:pPr>
        <w:rPr>
          <w:rFonts w:hint="eastAsia" w:ascii="宋体" w:hAnsi="宋体" w:eastAsia="宋体" w:cs="宋体"/>
          <w:bCs/>
          <w:color w:val="000000" w:themeColor="text1"/>
          <w:sz w:val="40"/>
          <w:szCs w:val="40"/>
          <w14:textFill>
            <w14:solidFill>
              <w14:schemeClr w14:val="tx1"/>
            </w14:solidFill>
          </w14:textFill>
        </w:rPr>
      </w:pPr>
    </w:p>
    <w:p w14:paraId="7154053E">
      <w:pPr>
        <w:pStyle w:val="2"/>
        <w:rPr>
          <w:rFonts w:hint="eastAsia" w:ascii="宋体" w:hAnsi="宋体" w:eastAsia="宋体" w:cs="宋体"/>
          <w:bCs/>
          <w:color w:val="000000" w:themeColor="text1"/>
          <w:sz w:val="40"/>
          <w:szCs w:val="40"/>
          <w14:textFill>
            <w14:solidFill>
              <w14:schemeClr w14:val="tx1"/>
            </w14:solidFill>
          </w14:textFill>
        </w:rPr>
      </w:pPr>
    </w:p>
    <w:p w14:paraId="5B6A765B">
      <w:pPr>
        <w:rPr>
          <w:rFonts w:hint="eastAsia" w:ascii="宋体" w:hAnsi="宋体" w:eastAsia="宋体" w:cs="宋体"/>
          <w:bCs/>
          <w:color w:val="000000" w:themeColor="text1"/>
          <w:sz w:val="40"/>
          <w:szCs w:val="40"/>
          <w14:textFill>
            <w14:solidFill>
              <w14:schemeClr w14:val="tx1"/>
            </w14:solidFill>
          </w14:textFill>
        </w:rPr>
      </w:pPr>
    </w:p>
    <w:p w14:paraId="68EC2A3F">
      <w:pPr>
        <w:pStyle w:val="2"/>
        <w:rPr>
          <w:rFonts w:hint="eastAsia" w:ascii="宋体" w:hAnsi="宋体" w:eastAsia="宋体" w:cs="宋体"/>
          <w:bCs/>
          <w:color w:val="000000" w:themeColor="text1"/>
          <w:sz w:val="40"/>
          <w:szCs w:val="40"/>
          <w14:textFill>
            <w14:solidFill>
              <w14:schemeClr w14:val="tx1"/>
            </w14:solidFill>
          </w14:textFill>
        </w:rPr>
      </w:pPr>
    </w:p>
    <w:p w14:paraId="7CEAE8FE">
      <w:pPr>
        <w:rPr>
          <w:rFonts w:hint="eastAsia" w:ascii="宋体" w:hAnsi="宋体" w:eastAsia="宋体" w:cs="宋体"/>
          <w:bCs/>
          <w:color w:val="000000" w:themeColor="text1"/>
          <w:sz w:val="40"/>
          <w:szCs w:val="40"/>
          <w14:textFill>
            <w14:solidFill>
              <w14:schemeClr w14:val="tx1"/>
            </w14:solidFill>
          </w14:textFill>
        </w:rPr>
      </w:pPr>
    </w:p>
    <w:p w14:paraId="7317BD25">
      <w:pPr>
        <w:pStyle w:val="2"/>
        <w:rPr>
          <w:rFonts w:hint="eastAsia" w:ascii="宋体" w:hAnsi="宋体" w:eastAsia="宋体" w:cs="宋体"/>
          <w:bCs/>
          <w:color w:val="000000" w:themeColor="text1"/>
          <w:sz w:val="40"/>
          <w:szCs w:val="40"/>
          <w14:textFill>
            <w14:solidFill>
              <w14:schemeClr w14:val="tx1"/>
            </w14:solidFill>
          </w14:textFill>
        </w:rPr>
      </w:pPr>
    </w:p>
    <w:p w14:paraId="1F229CCF">
      <w:pPr>
        <w:rPr>
          <w:rFonts w:hint="eastAsia" w:ascii="宋体" w:hAnsi="宋体" w:eastAsia="宋体" w:cs="宋体"/>
          <w:bCs/>
          <w:color w:val="000000" w:themeColor="text1"/>
          <w:sz w:val="40"/>
          <w:szCs w:val="40"/>
          <w14:textFill>
            <w14:solidFill>
              <w14:schemeClr w14:val="tx1"/>
            </w14:solidFill>
          </w14:textFill>
        </w:rPr>
      </w:pPr>
    </w:p>
    <w:p w14:paraId="2FCC5A08">
      <w:pPr>
        <w:pStyle w:val="2"/>
        <w:rPr>
          <w:rFonts w:hint="eastAsia" w:ascii="宋体" w:hAnsi="宋体" w:eastAsia="宋体" w:cs="宋体"/>
          <w:bCs/>
          <w:color w:val="000000" w:themeColor="text1"/>
          <w:sz w:val="40"/>
          <w:szCs w:val="40"/>
          <w14:textFill>
            <w14:solidFill>
              <w14:schemeClr w14:val="tx1"/>
            </w14:solidFill>
          </w14:textFill>
        </w:rPr>
      </w:pPr>
    </w:p>
    <w:p w14:paraId="04FFB969">
      <w:pPr>
        <w:rPr>
          <w:rFonts w:hint="eastAsia" w:ascii="宋体" w:hAnsi="宋体" w:eastAsia="宋体" w:cs="宋体"/>
          <w:bCs/>
          <w:color w:val="000000" w:themeColor="text1"/>
          <w:sz w:val="40"/>
          <w:szCs w:val="40"/>
          <w14:textFill>
            <w14:solidFill>
              <w14:schemeClr w14:val="tx1"/>
            </w14:solidFill>
          </w14:textFill>
        </w:rPr>
      </w:pPr>
    </w:p>
    <w:p w14:paraId="1000D73E">
      <w:pPr>
        <w:pStyle w:val="2"/>
        <w:rPr>
          <w:rFonts w:hint="eastAsia" w:ascii="宋体" w:hAnsi="宋体" w:eastAsia="宋体" w:cs="宋体"/>
          <w:bCs/>
          <w:color w:val="000000" w:themeColor="text1"/>
          <w:sz w:val="40"/>
          <w:szCs w:val="40"/>
          <w14:textFill>
            <w14:solidFill>
              <w14:schemeClr w14:val="tx1"/>
            </w14:solidFill>
          </w14:textFill>
        </w:rPr>
      </w:pPr>
    </w:p>
    <w:p w14:paraId="2688815F">
      <w:pPr>
        <w:rPr>
          <w:rFonts w:hint="eastAsia" w:ascii="宋体" w:hAnsi="宋体" w:eastAsia="宋体" w:cs="宋体"/>
          <w:bCs/>
          <w:color w:val="000000" w:themeColor="text1"/>
          <w:sz w:val="40"/>
          <w:szCs w:val="40"/>
          <w14:textFill>
            <w14:solidFill>
              <w14:schemeClr w14:val="tx1"/>
            </w14:solidFill>
          </w14:textFill>
        </w:rPr>
      </w:pPr>
    </w:p>
    <w:p w14:paraId="5DD18845">
      <w:pPr>
        <w:pStyle w:val="2"/>
        <w:rPr>
          <w:rFonts w:hint="eastAsia" w:ascii="宋体" w:hAnsi="宋体" w:eastAsia="宋体" w:cs="宋体"/>
          <w:bCs/>
          <w:color w:val="000000" w:themeColor="text1"/>
          <w:sz w:val="40"/>
          <w:szCs w:val="40"/>
          <w14:textFill>
            <w14:solidFill>
              <w14:schemeClr w14:val="tx1"/>
            </w14:solidFill>
          </w14:textFill>
        </w:rPr>
      </w:pPr>
    </w:p>
    <w:p w14:paraId="3BF413D1">
      <w:pP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74" w:right="1174" w:bottom="1174" w:left="1174" w:header="170" w:footer="170" w:gutter="284"/>
          <w:pgNumType w:fmt="decimal" w:chapStyle="1"/>
          <w:cols w:space="425" w:num="1"/>
          <w:docGrid w:linePitch="326" w:charSpace="0"/>
        </w:sectPr>
      </w:pPr>
    </w:p>
    <w:sdt>
      <w:sdtPr>
        <w:rPr>
          <w:rFonts w:ascii="宋体" w:hAnsi="宋体" w:eastAsia="宋体" w:cstheme="minorBidi"/>
          <w:kern w:val="2"/>
          <w:sz w:val="21"/>
          <w:szCs w:val="24"/>
          <w:lang w:val="en-US" w:eastAsia="zh-CN" w:bidi="ar-SA"/>
        </w:rPr>
        <w:id w:val="147477797"/>
        <w15:color w:val="DBDBDB"/>
        <w:docPartObj>
          <w:docPartGallery w:val="Table of Contents"/>
          <w:docPartUnique/>
        </w:docPartObj>
      </w:sdtPr>
      <w:sdtEndPr>
        <w:rPr>
          <w:rFonts w:hint="eastAsia" w:ascii="仿宋" w:hAnsi="仿宋" w:eastAsia="仿宋" w:cs="仿宋"/>
          <w:b/>
          <w:kern w:val="2"/>
          <w:sz w:val="30"/>
          <w:szCs w:val="24"/>
          <w:lang w:val="en-US" w:eastAsia="zh-CN" w:bidi="ar-SA"/>
        </w:rPr>
      </w:sdtEndPr>
      <w:sdtContent>
        <w:p w14:paraId="2A715844">
          <w:pPr>
            <w:spacing w:before="0" w:beforeLines="0" w:after="0" w:afterLines="0" w:line="240" w:lineRule="auto"/>
            <w:ind w:left="0" w:leftChars="0" w:right="0" w:rightChars="0" w:firstLine="0" w:firstLineChars="0"/>
            <w:jc w:val="center"/>
          </w:pPr>
          <w:bookmarkStart w:id="457" w:name="_GoBack"/>
          <w:bookmarkEnd w:id="457"/>
          <w:r>
            <w:rPr>
              <w:rFonts w:ascii="宋体" w:hAnsi="宋体" w:eastAsia="宋体"/>
              <w:sz w:val="21"/>
            </w:rPr>
            <w:t>目录</w:t>
          </w:r>
        </w:p>
        <w:p w14:paraId="436D7EA9">
          <w:pPr>
            <w:pStyle w:val="26"/>
            <w:tabs>
              <w:tab w:val="right" w:leader="dot" w:pos="9558"/>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_Toc18616 </w:instrText>
          </w:r>
          <w:r>
            <w:rPr>
              <w:rFonts w:hint="eastAsia"/>
            </w:rPr>
            <w:fldChar w:fldCharType="separate"/>
          </w:r>
          <w:r>
            <w:rPr>
              <w:rFonts w:hint="eastAsia"/>
            </w:rPr>
            <w:t>1. 编制依据</w:t>
          </w:r>
          <w:r>
            <w:tab/>
          </w:r>
          <w:r>
            <w:fldChar w:fldCharType="begin"/>
          </w:r>
          <w:r>
            <w:instrText xml:space="preserve"> PAGEREF _Toc18616 \h </w:instrText>
          </w:r>
          <w:r>
            <w:fldChar w:fldCharType="separate"/>
          </w:r>
          <w:r>
            <w:t>1</w:t>
          </w:r>
          <w:r>
            <w:fldChar w:fldCharType="end"/>
          </w:r>
          <w:r>
            <w:rPr>
              <w:rFonts w:hint="eastAsia"/>
            </w:rPr>
            <w:fldChar w:fldCharType="end"/>
          </w:r>
        </w:p>
        <w:p w14:paraId="12FF06A3">
          <w:pPr>
            <w:pStyle w:val="29"/>
            <w:tabs>
              <w:tab w:val="right" w:leader="dot" w:pos="9558"/>
            </w:tabs>
          </w:pPr>
          <w:r>
            <w:rPr>
              <w:rFonts w:hint="eastAsia"/>
            </w:rPr>
            <w:fldChar w:fldCharType="begin"/>
          </w:r>
          <w:r>
            <w:rPr>
              <w:rFonts w:hint="eastAsia"/>
            </w:rPr>
            <w:instrText xml:space="preserve"> HYPERLINK \l _Toc21131 </w:instrText>
          </w:r>
          <w:r>
            <w:rPr>
              <w:rFonts w:hint="eastAsia"/>
            </w:rPr>
            <w:fldChar w:fldCharType="separate"/>
          </w:r>
          <w:r>
            <w:rPr>
              <w:rFonts w:hint="eastAsia"/>
            </w:rPr>
            <w:t>1.1国家相关法律、法规和规范性文件</w:t>
          </w:r>
          <w:r>
            <w:tab/>
          </w:r>
          <w:r>
            <w:fldChar w:fldCharType="begin"/>
          </w:r>
          <w:r>
            <w:instrText xml:space="preserve"> PAGEREF _Toc21131 \h </w:instrText>
          </w:r>
          <w:r>
            <w:fldChar w:fldCharType="separate"/>
          </w:r>
          <w:r>
            <w:t>1</w:t>
          </w:r>
          <w:r>
            <w:fldChar w:fldCharType="end"/>
          </w:r>
          <w:r>
            <w:rPr>
              <w:rFonts w:hint="eastAsia"/>
            </w:rPr>
            <w:fldChar w:fldCharType="end"/>
          </w:r>
        </w:p>
        <w:p w14:paraId="2A87D2FC">
          <w:pPr>
            <w:pStyle w:val="26"/>
            <w:tabs>
              <w:tab w:val="right" w:leader="dot" w:pos="9558"/>
            </w:tabs>
          </w:pPr>
          <w:r>
            <w:rPr>
              <w:rFonts w:hint="eastAsia"/>
            </w:rPr>
            <w:fldChar w:fldCharType="begin"/>
          </w:r>
          <w:r>
            <w:rPr>
              <w:rFonts w:hint="eastAsia"/>
            </w:rPr>
            <w:instrText xml:space="preserve"> HYPERLINK \l _Toc16847 </w:instrText>
          </w:r>
          <w:r>
            <w:rPr>
              <w:rFonts w:hint="eastAsia"/>
            </w:rPr>
            <w:fldChar w:fldCharType="separate"/>
          </w:r>
          <w:r>
            <w:rPr>
              <w:rFonts w:hint="eastAsia"/>
            </w:rPr>
            <w:t>2. 工程概况</w:t>
          </w:r>
          <w:r>
            <w:tab/>
          </w:r>
          <w:r>
            <w:fldChar w:fldCharType="begin"/>
          </w:r>
          <w:r>
            <w:instrText xml:space="preserve"> PAGEREF _Toc16847 \h </w:instrText>
          </w:r>
          <w:r>
            <w:fldChar w:fldCharType="separate"/>
          </w:r>
          <w:r>
            <w:t>3</w:t>
          </w:r>
          <w:r>
            <w:fldChar w:fldCharType="end"/>
          </w:r>
          <w:r>
            <w:rPr>
              <w:rFonts w:hint="eastAsia"/>
            </w:rPr>
            <w:fldChar w:fldCharType="end"/>
          </w:r>
        </w:p>
        <w:p w14:paraId="495F2480">
          <w:pPr>
            <w:pStyle w:val="29"/>
            <w:tabs>
              <w:tab w:val="right" w:leader="dot" w:pos="9558"/>
            </w:tabs>
          </w:pPr>
          <w:r>
            <w:rPr>
              <w:rFonts w:hint="eastAsia"/>
            </w:rPr>
            <w:fldChar w:fldCharType="begin"/>
          </w:r>
          <w:r>
            <w:rPr>
              <w:rFonts w:hint="eastAsia"/>
            </w:rPr>
            <w:instrText xml:space="preserve"> HYPERLINK \l _Toc13820 </w:instrText>
          </w:r>
          <w:r>
            <w:rPr>
              <w:rFonts w:hint="eastAsia"/>
            </w:rPr>
            <w:fldChar w:fldCharType="separate"/>
          </w:r>
          <w:r>
            <w:rPr>
              <w:rFonts w:hint="eastAsia"/>
              <w:lang w:val="en-US" w:eastAsia="zh-CN"/>
            </w:rPr>
            <w:t>2.1 工程概况</w:t>
          </w:r>
          <w:r>
            <w:tab/>
          </w:r>
          <w:r>
            <w:fldChar w:fldCharType="begin"/>
          </w:r>
          <w:r>
            <w:instrText xml:space="preserve"> PAGEREF _Toc13820 \h </w:instrText>
          </w:r>
          <w:r>
            <w:fldChar w:fldCharType="separate"/>
          </w:r>
          <w:r>
            <w:t>3</w:t>
          </w:r>
          <w:r>
            <w:fldChar w:fldCharType="end"/>
          </w:r>
          <w:r>
            <w:rPr>
              <w:rFonts w:hint="eastAsia"/>
            </w:rPr>
            <w:fldChar w:fldCharType="end"/>
          </w:r>
        </w:p>
        <w:p w14:paraId="3199A713">
          <w:pPr>
            <w:pStyle w:val="29"/>
            <w:tabs>
              <w:tab w:val="right" w:leader="dot" w:pos="9558"/>
            </w:tabs>
          </w:pPr>
          <w:r>
            <w:rPr>
              <w:rFonts w:hint="eastAsia"/>
            </w:rPr>
            <w:fldChar w:fldCharType="begin"/>
          </w:r>
          <w:r>
            <w:rPr>
              <w:rFonts w:hint="eastAsia"/>
            </w:rPr>
            <w:instrText xml:space="preserve"> HYPERLINK \l _Toc6900 </w:instrText>
          </w:r>
          <w:r>
            <w:rPr>
              <w:rFonts w:hint="eastAsia"/>
            </w:rPr>
            <w:fldChar w:fldCharType="separate"/>
          </w:r>
          <w:r>
            <w:rPr>
              <w:rFonts w:hint="eastAsia"/>
            </w:rPr>
            <w:t>2.</w:t>
          </w:r>
          <w:r>
            <w:rPr>
              <w:rFonts w:hint="eastAsia"/>
              <w:lang w:val="en-US" w:eastAsia="zh-CN"/>
            </w:rPr>
            <w:t>2</w:t>
          </w:r>
          <w:r>
            <w:rPr>
              <w:rFonts w:hint="eastAsia"/>
            </w:rPr>
            <w:t>塔机安装工程概况</w:t>
          </w:r>
          <w:r>
            <w:tab/>
          </w:r>
          <w:r>
            <w:fldChar w:fldCharType="begin"/>
          </w:r>
          <w:r>
            <w:instrText xml:space="preserve"> PAGEREF _Toc6900 \h </w:instrText>
          </w:r>
          <w:r>
            <w:fldChar w:fldCharType="separate"/>
          </w:r>
          <w:r>
            <w:t>3</w:t>
          </w:r>
          <w:r>
            <w:fldChar w:fldCharType="end"/>
          </w:r>
          <w:r>
            <w:rPr>
              <w:rFonts w:hint="eastAsia"/>
            </w:rPr>
            <w:fldChar w:fldCharType="end"/>
          </w:r>
        </w:p>
        <w:p w14:paraId="3788524B">
          <w:pPr>
            <w:pStyle w:val="29"/>
            <w:tabs>
              <w:tab w:val="right" w:leader="dot" w:pos="9558"/>
            </w:tabs>
          </w:pPr>
          <w:r>
            <w:rPr>
              <w:rFonts w:hint="eastAsia"/>
            </w:rPr>
            <w:fldChar w:fldCharType="begin"/>
          </w:r>
          <w:r>
            <w:rPr>
              <w:rFonts w:hint="eastAsia"/>
            </w:rPr>
            <w:instrText xml:space="preserve"> HYPERLINK \l _Toc20802 </w:instrText>
          </w:r>
          <w:r>
            <w:rPr>
              <w:rFonts w:hint="eastAsia"/>
            </w:rPr>
            <w:fldChar w:fldCharType="separate"/>
          </w:r>
          <w:r>
            <w:rPr>
              <w:rFonts w:hint="eastAsia"/>
            </w:rPr>
            <w:t>2.</w:t>
          </w:r>
          <w:r>
            <w:rPr>
              <w:rFonts w:hint="eastAsia"/>
              <w:lang w:val="en-US" w:eastAsia="zh-CN"/>
            </w:rPr>
            <w:t>3</w:t>
          </w:r>
          <w:r>
            <w:rPr>
              <w:rFonts w:hint="eastAsia"/>
            </w:rPr>
            <w:t>危大工程概况</w:t>
          </w:r>
          <w:r>
            <w:tab/>
          </w:r>
          <w:r>
            <w:fldChar w:fldCharType="begin"/>
          </w:r>
          <w:r>
            <w:instrText xml:space="preserve"> PAGEREF _Toc20802 \h </w:instrText>
          </w:r>
          <w:r>
            <w:fldChar w:fldCharType="separate"/>
          </w:r>
          <w:r>
            <w:t>3</w:t>
          </w:r>
          <w:r>
            <w:fldChar w:fldCharType="end"/>
          </w:r>
          <w:r>
            <w:rPr>
              <w:rFonts w:hint="eastAsia"/>
            </w:rPr>
            <w:fldChar w:fldCharType="end"/>
          </w:r>
        </w:p>
        <w:p w14:paraId="6E5D06DC">
          <w:pPr>
            <w:pStyle w:val="26"/>
            <w:tabs>
              <w:tab w:val="right" w:leader="dot" w:pos="9558"/>
            </w:tabs>
          </w:pPr>
          <w:r>
            <w:rPr>
              <w:rFonts w:hint="eastAsia"/>
            </w:rPr>
            <w:fldChar w:fldCharType="begin"/>
          </w:r>
          <w:r>
            <w:rPr>
              <w:rFonts w:hint="eastAsia"/>
            </w:rPr>
            <w:instrText xml:space="preserve"> HYPERLINK \l _Toc16812 </w:instrText>
          </w:r>
          <w:r>
            <w:rPr>
              <w:rFonts w:hint="eastAsia"/>
            </w:rPr>
            <w:fldChar w:fldCharType="separate"/>
          </w:r>
          <w:r>
            <w:rPr>
              <w:rFonts w:hint="eastAsia"/>
            </w:rPr>
            <w:t>3. 塔机概况</w:t>
          </w:r>
          <w:r>
            <w:tab/>
          </w:r>
          <w:r>
            <w:fldChar w:fldCharType="begin"/>
          </w:r>
          <w:r>
            <w:instrText xml:space="preserve"> PAGEREF _Toc16812 \h </w:instrText>
          </w:r>
          <w:r>
            <w:fldChar w:fldCharType="separate"/>
          </w:r>
          <w:r>
            <w:t>4</w:t>
          </w:r>
          <w:r>
            <w:fldChar w:fldCharType="end"/>
          </w:r>
          <w:r>
            <w:rPr>
              <w:rFonts w:hint="eastAsia"/>
            </w:rPr>
            <w:fldChar w:fldCharType="end"/>
          </w:r>
        </w:p>
        <w:p w14:paraId="2ABBBAF4">
          <w:pPr>
            <w:pStyle w:val="29"/>
            <w:tabs>
              <w:tab w:val="right" w:leader="dot" w:pos="9558"/>
            </w:tabs>
          </w:pPr>
          <w:r>
            <w:rPr>
              <w:rFonts w:hint="eastAsia"/>
            </w:rPr>
            <w:fldChar w:fldCharType="begin"/>
          </w:r>
          <w:r>
            <w:rPr>
              <w:rFonts w:hint="eastAsia"/>
            </w:rPr>
            <w:instrText xml:space="preserve"> HYPERLINK \l _Toc11680 </w:instrText>
          </w:r>
          <w:r>
            <w:rPr>
              <w:rFonts w:hint="eastAsia"/>
            </w:rPr>
            <w:fldChar w:fldCharType="separate"/>
          </w:r>
          <w:r>
            <w:rPr>
              <w:rFonts w:hint="eastAsia"/>
            </w:rPr>
            <w:t xml:space="preserve">3.1 </w:t>
          </w:r>
          <w:r>
            <w:rPr>
              <w:rFonts w:hint="eastAsia"/>
              <w:lang w:val="en-US" w:eastAsia="zh-CN"/>
            </w:rPr>
            <w:t>XGT8040-25</w:t>
          </w:r>
          <w:r>
            <w:rPr>
              <w:rFonts w:hint="eastAsia"/>
            </w:rPr>
            <w:t>塔机基本性能参数表</w:t>
          </w:r>
          <w:r>
            <w:tab/>
          </w:r>
          <w:r>
            <w:fldChar w:fldCharType="begin"/>
          </w:r>
          <w:r>
            <w:instrText xml:space="preserve"> PAGEREF _Toc11680 \h </w:instrText>
          </w:r>
          <w:r>
            <w:fldChar w:fldCharType="separate"/>
          </w:r>
          <w:r>
            <w:t>4</w:t>
          </w:r>
          <w:r>
            <w:fldChar w:fldCharType="end"/>
          </w:r>
          <w:r>
            <w:rPr>
              <w:rFonts w:hint="eastAsia"/>
            </w:rPr>
            <w:fldChar w:fldCharType="end"/>
          </w:r>
        </w:p>
        <w:p w14:paraId="1D4E32D1">
          <w:pPr>
            <w:pStyle w:val="29"/>
            <w:tabs>
              <w:tab w:val="right" w:leader="dot" w:pos="9558"/>
            </w:tabs>
          </w:pPr>
          <w:r>
            <w:rPr>
              <w:rFonts w:hint="eastAsia"/>
            </w:rPr>
            <w:fldChar w:fldCharType="begin"/>
          </w:r>
          <w:r>
            <w:rPr>
              <w:rFonts w:hint="eastAsia"/>
            </w:rPr>
            <w:instrText xml:space="preserve"> HYPERLINK \l _Toc3225 </w:instrText>
          </w:r>
          <w:r>
            <w:rPr>
              <w:rFonts w:hint="eastAsia"/>
            </w:rPr>
            <w:fldChar w:fldCharType="separate"/>
          </w:r>
          <w:r>
            <w:rPr>
              <w:rFonts w:hint="eastAsia"/>
            </w:rPr>
            <w:t>3.2塔式起重机主要部件</w:t>
          </w:r>
          <w:r>
            <w:tab/>
          </w:r>
          <w:r>
            <w:fldChar w:fldCharType="begin"/>
          </w:r>
          <w:r>
            <w:instrText xml:space="preserve"> PAGEREF _Toc3225 \h </w:instrText>
          </w:r>
          <w:r>
            <w:fldChar w:fldCharType="separate"/>
          </w:r>
          <w:r>
            <w:t>7</w:t>
          </w:r>
          <w:r>
            <w:fldChar w:fldCharType="end"/>
          </w:r>
          <w:r>
            <w:rPr>
              <w:rFonts w:hint="eastAsia"/>
            </w:rPr>
            <w:fldChar w:fldCharType="end"/>
          </w:r>
        </w:p>
        <w:p w14:paraId="2163AB07">
          <w:pPr>
            <w:pStyle w:val="26"/>
            <w:tabs>
              <w:tab w:val="right" w:leader="dot" w:pos="9558"/>
            </w:tabs>
          </w:pPr>
          <w:r>
            <w:rPr>
              <w:rFonts w:hint="eastAsia"/>
            </w:rPr>
            <w:fldChar w:fldCharType="begin"/>
          </w:r>
          <w:r>
            <w:rPr>
              <w:rFonts w:hint="eastAsia"/>
            </w:rPr>
            <w:instrText xml:space="preserve"> HYPERLINK \l _Toc14306 </w:instrText>
          </w:r>
          <w:r>
            <w:rPr>
              <w:rFonts w:hint="eastAsia"/>
            </w:rPr>
            <w:fldChar w:fldCharType="separate"/>
          </w:r>
          <w:r>
            <w:rPr>
              <w:rFonts w:hint="eastAsia"/>
              <w:lang w:val="en-US" w:eastAsia="zh-CN"/>
            </w:rPr>
            <w:t>4.</w:t>
          </w:r>
          <w:r>
            <w:rPr>
              <w:rFonts w:hint="eastAsia"/>
            </w:rPr>
            <w:t>塔机基础定位及基础施工</w:t>
          </w:r>
          <w:r>
            <w:tab/>
          </w:r>
          <w:r>
            <w:fldChar w:fldCharType="begin"/>
          </w:r>
          <w:r>
            <w:instrText xml:space="preserve"> PAGEREF _Toc14306 \h </w:instrText>
          </w:r>
          <w:r>
            <w:fldChar w:fldCharType="separate"/>
          </w:r>
          <w:r>
            <w:t>8</w:t>
          </w:r>
          <w:r>
            <w:fldChar w:fldCharType="end"/>
          </w:r>
          <w:r>
            <w:rPr>
              <w:rFonts w:hint="eastAsia"/>
            </w:rPr>
            <w:fldChar w:fldCharType="end"/>
          </w:r>
        </w:p>
        <w:p w14:paraId="014C9A6D">
          <w:pPr>
            <w:pStyle w:val="29"/>
            <w:tabs>
              <w:tab w:val="right" w:leader="dot" w:pos="9558"/>
            </w:tabs>
          </w:pPr>
          <w:r>
            <w:rPr>
              <w:rFonts w:hint="eastAsia"/>
            </w:rPr>
            <w:fldChar w:fldCharType="begin"/>
          </w:r>
          <w:r>
            <w:rPr>
              <w:rFonts w:hint="eastAsia"/>
            </w:rPr>
            <w:instrText xml:space="preserve"> HYPERLINK \l _Toc2911 </w:instrText>
          </w:r>
          <w:r>
            <w:rPr>
              <w:rFonts w:hint="eastAsia"/>
            </w:rPr>
            <w:fldChar w:fldCharType="separate"/>
          </w:r>
          <w:r>
            <w:rPr>
              <w:rFonts w:hint="eastAsia"/>
              <w:lang w:val="en-US" w:eastAsia="zh-CN"/>
            </w:rPr>
            <w:t>4.1基础施工</w:t>
          </w:r>
          <w:r>
            <w:tab/>
          </w:r>
          <w:r>
            <w:fldChar w:fldCharType="begin"/>
          </w:r>
          <w:r>
            <w:instrText xml:space="preserve"> PAGEREF _Toc2911 \h </w:instrText>
          </w:r>
          <w:r>
            <w:fldChar w:fldCharType="separate"/>
          </w:r>
          <w:r>
            <w:t>8</w:t>
          </w:r>
          <w:r>
            <w:fldChar w:fldCharType="end"/>
          </w:r>
          <w:r>
            <w:rPr>
              <w:rFonts w:hint="eastAsia"/>
            </w:rPr>
            <w:fldChar w:fldCharType="end"/>
          </w:r>
        </w:p>
        <w:p w14:paraId="24D29C85">
          <w:pPr>
            <w:pStyle w:val="29"/>
            <w:tabs>
              <w:tab w:val="right" w:leader="dot" w:pos="9558"/>
            </w:tabs>
          </w:pPr>
          <w:r>
            <w:rPr>
              <w:rFonts w:hint="eastAsia"/>
            </w:rPr>
            <w:fldChar w:fldCharType="begin"/>
          </w:r>
          <w:r>
            <w:rPr>
              <w:rFonts w:hint="eastAsia"/>
            </w:rPr>
            <w:instrText xml:space="preserve"> HYPERLINK \l _Toc18193 </w:instrText>
          </w:r>
          <w:r>
            <w:rPr>
              <w:rFonts w:hint="eastAsia"/>
            </w:rPr>
            <w:fldChar w:fldCharType="separate"/>
          </w:r>
          <w:r>
            <w:rPr>
              <w:rFonts w:hint="eastAsia"/>
              <w:lang w:val="en-US" w:eastAsia="zh-CN"/>
            </w:rPr>
            <w:t>4.2基础验收</w:t>
          </w:r>
          <w:r>
            <w:tab/>
          </w:r>
          <w:r>
            <w:fldChar w:fldCharType="begin"/>
          </w:r>
          <w:r>
            <w:instrText xml:space="preserve"> PAGEREF _Toc18193 \h </w:instrText>
          </w:r>
          <w:r>
            <w:fldChar w:fldCharType="separate"/>
          </w:r>
          <w:r>
            <w:t>9</w:t>
          </w:r>
          <w:r>
            <w:fldChar w:fldCharType="end"/>
          </w:r>
          <w:r>
            <w:rPr>
              <w:rFonts w:hint="eastAsia"/>
            </w:rPr>
            <w:fldChar w:fldCharType="end"/>
          </w:r>
        </w:p>
        <w:p w14:paraId="09D16170">
          <w:pPr>
            <w:pStyle w:val="26"/>
            <w:tabs>
              <w:tab w:val="right" w:leader="dot" w:pos="9558"/>
            </w:tabs>
          </w:pPr>
          <w:r>
            <w:rPr>
              <w:rFonts w:hint="eastAsia"/>
            </w:rPr>
            <w:fldChar w:fldCharType="begin"/>
          </w:r>
          <w:r>
            <w:rPr>
              <w:rFonts w:hint="eastAsia"/>
            </w:rPr>
            <w:instrText xml:space="preserve"> HYPERLINK \l _Toc3825 </w:instrText>
          </w:r>
          <w:r>
            <w:rPr>
              <w:rFonts w:hint="eastAsia"/>
            </w:rPr>
            <w:fldChar w:fldCharType="separate"/>
          </w:r>
          <w:r>
            <w:rPr>
              <w:rFonts w:hint="eastAsia"/>
              <w:lang w:val="en-US" w:eastAsia="zh-CN"/>
            </w:rPr>
            <w:t>5.</w:t>
          </w:r>
          <w:r>
            <w:rPr>
              <w:rFonts w:hint="eastAsia"/>
            </w:rPr>
            <w:t>施工计划</w:t>
          </w:r>
          <w:r>
            <w:tab/>
          </w:r>
          <w:r>
            <w:fldChar w:fldCharType="begin"/>
          </w:r>
          <w:r>
            <w:instrText xml:space="preserve"> PAGEREF _Toc3825 \h </w:instrText>
          </w:r>
          <w:r>
            <w:fldChar w:fldCharType="separate"/>
          </w:r>
          <w:r>
            <w:t>10</w:t>
          </w:r>
          <w:r>
            <w:fldChar w:fldCharType="end"/>
          </w:r>
          <w:r>
            <w:rPr>
              <w:rFonts w:hint="eastAsia"/>
            </w:rPr>
            <w:fldChar w:fldCharType="end"/>
          </w:r>
        </w:p>
        <w:p w14:paraId="78AACCEA">
          <w:pPr>
            <w:pStyle w:val="29"/>
            <w:tabs>
              <w:tab w:val="right" w:leader="dot" w:pos="9558"/>
            </w:tabs>
          </w:pPr>
          <w:r>
            <w:rPr>
              <w:rFonts w:hint="eastAsia"/>
            </w:rPr>
            <w:fldChar w:fldCharType="begin"/>
          </w:r>
          <w:r>
            <w:rPr>
              <w:rFonts w:hint="eastAsia"/>
            </w:rPr>
            <w:instrText xml:space="preserve"> HYPERLINK \l _Toc11806 </w:instrText>
          </w:r>
          <w:r>
            <w:rPr>
              <w:rFonts w:hint="eastAsia"/>
            </w:rPr>
            <w:fldChar w:fldCharType="separate"/>
          </w:r>
          <w:r>
            <w:rPr>
              <w:rFonts w:hint="eastAsia"/>
            </w:rPr>
            <w:t>5.1工程总体目标</w:t>
          </w:r>
          <w:r>
            <w:tab/>
          </w:r>
          <w:r>
            <w:fldChar w:fldCharType="begin"/>
          </w:r>
          <w:r>
            <w:instrText xml:space="preserve"> PAGEREF _Toc11806 \h </w:instrText>
          </w:r>
          <w:r>
            <w:fldChar w:fldCharType="separate"/>
          </w:r>
          <w:r>
            <w:t>10</w:t>
          </w:r>
          <w:r>
            <w:fldChar w:fldCharType="end"/>
          </w:r>
          <w:r>
            <w:rPr>
              <w:rFonts w:hint="eastAsia"/>
            </w:rPr>
            <w:fldChar w:fldCharType="end"/>
          </w:r>
        </w:p>
        <w:p w14:paraId="61D1F911">
          <w:pPr>
            <w:pStyle w:val="29"/>
            <w:tabs>
              <w:tab w:val="right" w:leader="dot" w:pos="9558"/>
            </w:tabs>
          </w:pPr>
          <w:r>
            <w:rPr>
              <w:rFonts w:hint="eastAsia"/>
            </w:rPr>
            <w:fldChar w:fldCharType="begin"/>
          </w:r>
          <w:r>
            <w:rPr>
              <w:rFonts w:hint="eastAsia"/>
            </w:rPr>
            <w:instrText xml:space="preserve"> HYPERLINK \l _Toc29981 </w:instrText>
          </w:r>
          <w:r>
            <w:rPr>
              <w:rFonts w:hint="eastAsia"/>
            </w:rPr>
            <w:fldChar w:fldCharType="separate"/>
          </w:r>
          <w:r>
            <w:rPr>
              <w:rFonts w:hint="eastAsia"/>
            </w:rPr>
            <w:t>5.2施工生产管理机构设置及职责</w:t>
          </w:r>
          <w:r>
            <w:tab/>
          </w:r>
          <w:r>
            <w:fldChar w:fldCharType="begin"/>
          </w:r>
          <w:r>
            <w:instrText xml:space="preserve"> PAGEREF _Toc29981 \h </w:instrText>
          </w:r>
          <w:r>
            <w:fldChar w:fldCharType="separate"/>
          </w:r>
          <w:r>
            <w:t>10</w:t>
          </w:r>
          <w:r>
            <w:fldChar w:fldCharType="end"/>
          </w:r>
          <w:r>
            <w:rPr>
              <w:rFonts w:hint="eastAsia"/>
            </w:rPr>
            <w:fldChar w:fldCharType="end"/>
          </w:r>
        </w:p>
        <w:p w14:paraId="7A028589">
          <w:pPr>
            <w:pStyle w:val="29"/>
            <w:tabs>
              <w:tab w:val="right" w:leader="dot" w:pos="9558"/>
            </w:tabs>
          </w:pPr>
          <w:r>
            <w:rPr>
              <w:rFonts w:hint="eastAsia"/>
            </w:rPr>
            <w:fldChar w:fldCharType="begin"/>
          </w:r>
          <w:r>
            <w:rPr>
              <w:rFonts w:hint="eastAsia"/>
            </w:rPr>
            <w:instrText xml:space="preserve"> HYPERLINK \l _Toc22457 </w:instrText>
          </w:r>
          <w:r>
            <w:rPr>
              <w:rFonts w:hint="eastAsia"/>
            </w:rPr>
            <w:fldChar w:fldCharType="separate"/>
          </w:r>
          <w:r>
            <w:rPr>
              <w:rFonts w:hint="eastAsia"/>
            </w:rPr>
            <w:t>5.3施工进度计划</w:t>
          </w:r>
          <w:r>
            <w:tab/>
          </w:r>
          <w:r>
            <w:fldChar w:fldCharType="begin"/>
          </w:r>
          <w:r>
            <w:instrText xml:space="preserve"> PAGEREF _Toc22457 \h </w:instrText>
          </w:r>
          <w:r>
            <w:fldChar w:fldCharType="separate"/>
          </w:r>
          <w:r>
            <w:t>12</w:t>
          </w:r>
          <w:r>
            <w:fldChar w:fldCharType="end"/>
          </w:r>
          <w:r>
            <w:rPr>
              <w:rFonts w:hint="eastAsia"/>
            </w:rPr>
            <w:fldChar w:fldCharType="end"/>
          </w:r>
        </w:p>
        <w:p w14:paraId="0C7013A1">
          <w:pPr>
            <w:pStyle w:val="29"/>
            <w:tabs>
              <w:tab w:val="right" w:leader="dot" w:pos="9558"/>
            </w:tabs>
          </w:pPr>
          <w:r>
            <w:rPr>
              <w:rFonts w:hint="eastAsia"/>
            </w:rPr>
            <w:fldChar w:fldCharType="begin"/>
          </w:r>
          <w:r>
            <w:rPr>
              <w:rFonts w:hint="eastAsia"/>
            </w:rPr>
            <w:instrText xml:space="preserve"> HYPERLINK \l _Toc22920 </w:instrText>
          </w:r>
          <w:r>
            <w:rPr>
              <w:rFonts w:hint="eastAsia"/>
            </w:rPr>
            <w:fldChar w:fldCharType="separate"/>
          </w:r>
          <w:r>
            <w:rPr>
              <w:rFonts w:hint="eastAsia"/>
            </w:rPr>
            <w:t>5.4材料及设备计划</w:t>
          </w:r>
          <w:r>
            <w:tab/>
          </w:r>
          <w:r>
            <w:fldChar w:fldCharType="begin"/>
          </w:r>
          <w:r>
            <w:instrText xml:space="preserve"> PAGEREF _Toc22920 \h </w:instrText>
          </w:r>
          <w:r>
            <w:fldChar w:fldCharType="separate"/>
          </w:r>
          <w:r>
            <w:t>12</w:t>
          </w:r>
          <w:r>
            <w:fldChar w:fldCharType="end"/>
          </w:r>
          <w:r>
            <w:rPr>
              <w:rFonts w:hint="eastAsia"/>
            </w:rPr>
            <w:fldChar w:fldCharType="end"/>
          </w:r>
        </w:p>
        <w:p w14:paraId="17207E77">
          <w:pPr>
            <w:pStyle w:val="26"/>
            <w:tabs>
              <w:tab w:val="right" w:leader="dot" w:pos="9558"/>
            </w:tabs>
          </w:pPr>
          <w:r>
            <w:rPr>
              <w:rFonts w:hint="eastAsia"/>
            </w:rPr>
            <w:fldChar w:fldCharType="begin"/>
          </w:r>
          <w:r>
            <w:rPr>
              <w:rFonts w:hint="eastAsia"/>
            </w:rPr>
            <w:instrText xml:space="preserve"> HYPERLINK \l _Toc9696 </w:instrText>
          </w:r>
          <w:r>
            <w:rPr>
              <w:rFonts w:hint="eastAsia"/>
            </w:rPr>
            <w:fldChar w:fldCharType="separate"/>
          </w:r>
          <w:r>
            <w:rPr>
              <w:rFonts w:hint="eastAsia"/>
              <w:lang w:val="en-US" w:eastAsia="zh-CN"/>
            </w:rPr>
            <w:t>6.</w:t>
          </w:r>
          <w:r>
            <w:rPr>
              <w:rFonts w:hint="eastAsia"/>
            </w:rPr>
            <w:t>安装工艺</w:t>
          </w:r>
          <w:r>
            <w:tab/>
          </w:r>
          <w:r>
            <w:fldChar w:fldCharType="begin"/>
          </w:r>
          <w:r>
            <w:instrText xml:space="preserve"> PAGEREF _Toc9696 \h </w:instrText>
          </w:r>
          <w:r>
            <w:fldChar w:fldCharType="separate"/>
          </w:r>
          <w:r>
            <w:t>14</w:t>
          </w:r>
          <w:r>
            <w:fldChar w:fldCharType="end"/>
          </w:r>
          <w:r>
            <w:rPr>
              <w:rFonts w:hint="eastAsia"/>
            </w:rPr>
            <w:fldChar w:fldCharType="end"/>
          </w:r>
        </w:p>
        <w:p w14:paraId="23F01CAA">
          <w:pPr>
            <w:pStyle w:val="29"/>
            <w:tabs>
              <w:tab w:val="right" w:leader="dot" w:pos="9558"/>
            </w:tabs>
          </w:pPr>
          <w:r>
            <w:rPr>
              <w:rFonts w:hint="eastAsia"/>
            </w:rPr>
            <w:fldChar w:fldCharType="begin"/>
          </w:r>
          <w:r>
            <w:rPr>
              <w:rFonts w:hint="eastAsia"/>
            </w:rPr>
            <w:instrText xml:space="preserve"> HYPERLINK \l _Toc8060 </w:instrText>
          </w:r>
          <w:r>
            <w:rPr>
              <w:rFonts w:hint="eastAsia"/>
            </w:rPr>
            <w:fldChar w:fldCharType="separate"/>
          </w:r>
          <w:r>
            <w:rPr>
              <w:rFonts w:hint="eastAsia"/>
            </w:rPr>
            <w:t>6.1安装前的条件</w:t>
          </w:r>
          <w:r>
            <w:tab/>
          </w:r>
          <w:r>
            <w:fldChar w:fldCharType="begin"/>
          </w:r>
          <w:r>
            <w:instrText xml:space="preserve"> PAGEREF _Toc8060 \h </w:instrText>
          </w:r>
          <w:r>
            <w:fldChar w:fldCharType="separate"/>
          </w:r>
          <w:r>
            <w:t>14</w:t>
          </w:r>
          <w:r>
            <w:fldChar w:fldCharType="end"/>
          </w:r>
          <w:r>
            <w:rPr>
              <w:rFonts w:hint="eastAsia"/>
            </w:rPr>
            <w:fldChar w:fldCharType="end"/>
          </w:r>
        </w:p>
        <w:p w14:paraId="2A06E6B7">
          <w:pPr>
            <w:pStyle w:val="29"/>
            <w:tabs>
              <w:tab w:val="right" w:leader="dot" w:pos="9558"/>
            </w:tabs>
          </w:pPr>
          <w:r>
            <w:rPr>
              <w:rFonts w:hint="eastAsia"/>
            </w:rPr>
            <w:fldChar w:fldCharType="begin"/>
          </w:r>
          <w:r>
            <w:rPr>
              <w:rFonts w:hint="eastAsia"/>
            </w:rPr>
            <w:instrText xml:space="preserve"> HYPERLINK \l _Toc23279 </w:instrText>
          </w:r>
          <w:r>
            <w:rPr>
              <w:rFonts w:hint="eastAsia"/>
            </w:rPr>
            <w:fldChar w:fldCharType="separate"/>
          </w:r>
          <w:r>
            <w:rPr>
              <w:rFonts w:hint="eastAsia"/>
            </w:rPr>
            <w:t>6.2安装辅助设备的选择</w:t>
          </w:r>
          <w:r>
            <w:tab/>
          </w:r>
          <w:r>
            <w:fldChar w:fldCharType="begin"/>
          </w:r>
          <w:r>
            <w:instrText xml:space="preserve"> PAGEREF _Toc23279 \h </w:instrText>
          </w:r>
          <w:r>
            <w:fldChar w:fldCharType="separate"/>
          </w:r>
          <w:r>
            <w:t>14</w:t>
          </w:r>
          <w:r>
            <w:fldChar w:fldCharType="end"/>
          </w:r>
          <w:r>
            <w:rPr>
              <w:rFonts w:hint="eastAsia"/>
            </w:rPr>
            <w:fldChar w:fldCharType="end"/>
          </w:r>
        </w:p>
        <w:p w14:paraId="691823B8">
          <w:pPr>
            <w:pStyle w:val="29"/>
            <w:tabs>
              <w:tab w:val="right" w:leader="dot" w:pos="9558"/>
            </w:tabs>
          </w:pPr>
          <w:r>
            <w:rPr>
              <w:rFonts w:hint="eastAsia"/>
            </w:rPr>
            <w:fldChar w:fldCharType="begin"/>
          </w:r>
          <w:r>
            <w:rPr>
              <w:rFonts w:hint="eastAsia"/>
            </w:rPr>
            <w:instrText xml:space="preserve"> HYPERLINK \l _Toc9012 </w:instrText>
          </w:r>
          <w:r>
            <w:rPr>
              <w:rFonts w:hint="eastAsia"/>
            </w:rPr>
            <w:fldChar w:fldCharType="separate"/>
          </w:r>
          <w:r>
            <w:rPr>
              <w:rFonts w:hint="eastAsia"/>
            </w:rPr>
            <w:t xml:space="preserve">6.3 </w:t>
          </w:r>
          <w:r>
            <w:rPr>
              <w:rFonts w:hint="eastAsia"/>
              <w:lang w:val="en-US" w:eastAsia="zh-CN"/>
            </w:rPr>
            <w:t>XGT8040-25</w:t>
          </w:r>
          <w:r>
            <w:rPr>
              <w:rFonts w:hint="eastAsia"/>
            </w:rPr>
            <w:t>安装工艺流程及技术要求</w:t>
          </w:r>
          <w:r>
            <w:tab/>
          </w:r>
          <w:r>
            <w:fldChar w:fldCharType="begin"/>
          </w:r>
          <w:r>
            <w:instrText xml:space="preserve"> PAGEREF _Toc9012 \h </w:instrText>
          </w:r>
          <w:r>
            <w:fldChar w:fldCharType="separate"/>
          </w:r>
          <w:r>
            <w:t>15</w:t>
          </w:r>
          <w:r>
            <w:fldChar w:fldCharType="end"/>
          </w:r>
          <w:r>
            <w:rPr>
              <w:rFonts w:hint="eastAsia"/>
            </w:rPr>
            <w:fldChar w:fldCharType="end"/>
          </w:r>
        </w:p>
        <w:p w14:paraId="37619E10">
          <w:pPr>
            <w:pStyle w:val="29"/>
            <w:tabs>
              <w:tab w:val="right" w:leader="dot" w:pos="9558"/>
            </w:tabs>
          </w:pPr>
          <w:r>
            <w:rPr>
              <w:rFonts w:hint="eastAsia"/>
            </w:rPr>
            <w:fldChar w:fldCharType="begin"/>
          </w:r>
          <w:r>
            <w:rPr>
              <w:rFonts w:hint="eastAsia"/>
            </w:rPr>
            <w:instrText xml:space="preserve"> HYPERLINK \l _Toc16443 </w:instrText>
          </w:r>
          <w:r>
            <w:rPr>
              <w:rFonts w:hint="eastAsia"/>
            </w:rPr>
            <w:fldChar w:fldCharType="separate"/>
          </w:r>
          <w:r>
            <w:rPr>
              <w:rFonts w:hint="eastAsia"/>
              <w:lang w:val="en-US" w:eastAsia="zh-CN"/>
            </w:rPr>
            <w:t>6.3.1</w:t>
          </w:r>
          <w:r>
            <w:rPr>
              <w:rFonts w:hint="eastAsia"/>
            </w:rPr>
            <w:t>塔吊安装前施工准备</w:t>
          </w:r>
          <w:r>
            <w:tab/>
          </w:r>
          <w:r>
            <w:fldChar w:fldCharType="begin"/>
          </w:r>
          <w:r>
            <w:instrText xml:space="preserve"> PAGEREF _Toc16443 \h </w:instrText>
          </w:r>
          <w:r>
            <w:fldChar w:fldCharType="separate"/>
          </w:r>
          <w:r>
            <w:t>15</w:t>
          </w:r>
          <w:r>
            <w:fldChar w:fldCharType="end"/>
          </w:r>
          <w:r>
            <w:rPr>
              <w:rFonts w:hint="eastAsia"/>
            </w:rPr>
            <w:fldChar w:fldCharType="end"/>
          </w:r>
        </w:p>
        <w:p w14:paraId="3FBA88DA">
          <w:pPr>
            <w:pStyle w:val="29"/>
            <w:tabs>
              <w:tab w:val="right" w:leader="dot" w:pos="9558"/>
            </w:tabs>
          </w:pPr>
          <w:r>
            <w:rPr>
              <w:rFonts w:hint="eastAsia"/>
            </w:rPr>
            <w:fldChar w:fldCharType="begin"/>
          </w:r>
          <w:r>
            <w:rPr>
              <w:rFonts w:hint="eastAsia"/>
            </w:rPr>
            <w:instrText xml:space="preserve"> HYPERLINK \l _Toc5776 </w:instrText>
          </w:r>
          <w:r>
            <w:rPr>
              <w:rFonts w:hint="eastAsia"/>
            </w:rPr>
            <w:fldChar w:fldCharType="separate"/>
          </w:r>
          <w:r>
            <w:rPr>
              <w:rFonts w:hint="eastAsia"/>
              <w:lang w:val="en-US" w:eastAsia="zh-CN"/>
            </w:rPr>
            <w:t>6.3.2塔吊安装具体步骤</w:t>
          </w:r>
          <w:r>
            <w:tab/>
          </w:r>
          <w:r>
            <w:fldChar w:fldCharType="begin"/>
          </w:r>
          <w:r>
            <w:instrText xml:space="preserve"> PAGEREF _Toc5776 \h </w:instrText>
          </w:r>
          <w:r>
            <w:fldChar w:fldCharType="separate"/>
          </w:r>
          <w:r>
            <w:t>16</w:t>
          </w:r>
          <w:r>
            <w:fldChar w:fldCharType="end"/>
          </w:r>
          <w:r>
            <w:rPr>
              <w:rFonts w:hint="eastAsia"/>
            </w:rPr>
            <w:fldChar w:fldCharType="end"/>
          </w:r>
        </w:p>
        <w:p w14:paraId="010E2A41">
          <w:pPr>
            <w:pStyle w:val="29"/>
            <w:tabs>
              <w:tab w:val="right" w:leader="dot" w:pos="9558"/>
            </w:tabs>
          </w:pPr>
          <w:r>
            <w:rPr>
              <w:rFonts w:hint="eastAsia"/>
            </w:rPr>
            <w:fldChar w:fldCharType="begin"/>
          </w:r>
          <w:r>
            <w:rPr>
              <w:rFonts w:hint="eastAsia"/>
            </w:rPr>
            <w:instrText xml:space="preserve"> HYPERLINK \l _Toc7809 </w:instrText>
          </w:r>
          <w:r>
            <w:rPr>
              <w:rFonts w:hint="eastAsia"/>
            </w:rPr>
            <w:fldChar w:fldCharType="separate"/>
          </w:r>
          <w:r>
            <w:rPr>
              <w:rFonts w:hint="default" w:ascii="仿宋_GB2312" w:hAnsi="仿宋_GB2312" w:eastAsia="仿宋_GB2312" w:cs="黑体"/>
              <w:bCs/>
              <w:kern w:val="2"/>
              <w:szCs w:val="30"/>
              <w:lang w:val="en-US" w:eastAsia="zh-CN" w:bidi="ar-SA"/>
            </w:rPr>
            <w:t>6.3.</w:t>
          </w:r>
          <w:r>
            <w:rPr>
              <w:rFonts w:hint="eastAsia" w:cs="黑体"/>
              <w:bCs/>
              <w:kern w:val="2"/>
              <w:szCs w:val="30"/>
              <w:lang w:val="en-US" w:eastAsia="zh-CN" w:bidi="ar-SA"/>
            </w:rPr>
            <w:t>3</w:t>
          </w:r>
          <w:r>
            <w:rPr>
              <w:rFonts w:hint="eastAsia"/>
              <w:szCs w:val="30"/>
              <w:lang w:val="en-US" w:eastAsia="zh-CN"/>
            </w:rPr>
            <w:t>塔吊顶升加节</w:t>
          </w:r>
          <w:r>
            <w:tab/>
          </w:r>
          <w:r>
            <w:fldChar w:fldCharType="begin"/>
          </w:r>
          <w:r>
            <w:instrText xml:space="preserve"> PAGEREF _Toc7809 \h </w:instrText>
          </w:r>
          <w:r>
            <w:fldChar w:fldCharType="separate"/>
          </w:r>
          <w:r>
            <w:t>40</w:t>
          </w:r>
          <w:r>
            <w:fldChar w:fldCharType="end"/>
          </w:r>
          <w:r>
            <w:rPr>
              <w:rFonts w:hint="eastAsia"/>
            </w:rPr>
            <w:fldChar w:fldCharType="end"/>
          </w:r>
        </w:p>
        <w:p w14:paraId="19DFC466">
          <w:pPr>
            <w:pStyle w:val="29"/>
            <w:tabs>
              <w:tab w:val="right" w:leader="dot" w:pos="9558"/>
            </w:tabs>
          </w:pPr>
          <w:r>
            <w:rPr>
              <w:rFonts w:hint="eastAsia"/>
            </w:rPr>
            <w:fldChar w:fldCharType="begin"/>
          </w:r>
          <w:r>
            <w:rPr>
              <w:rFonts w:hint="eastAsia"/>
            </w:rPr>
            <w:instrText xml:space="preserve"> HYPERLINK \l _Toc27731 </w:instrText>
          </w:r>
          <w:r>
            <w:rPr>
              <w:rFonts w:hint="eastAsia"/>
            </w:rPr>
            <w:fldChar w:fldCharType="separate"/>
          </w:r>
          <w:r>
            <w:rPr>
              <w:rFonts w:hint="eastAsia"/>
              <w:lang w:val="en-US" w:eastAsia="zh-CN"/>
            </w:rPr>
            <w:t>6.4XGT8040-25塔吊拆除</w:t>
          </w:r>
          <w:r>
            <w:tab/>
          </w:r>
          <w:r>
            <w:fldChar w:fldCharType="begin"/>
          </w:r>
          <w:r>
            <w:instrText xml:space="preserve"> PAGEREF _Toc27731 \h </w:instrText>
          </w:r>
          <w:r>
            <w:fldChar w:fldCharType="separate"/>
          </w:r>
          <w:r>
            <w:t>45</w:t>
          </w:r>
          <w:r>
            <w:fldChar w:fldCharType="end"/>
          </w:r>
          <w:r>
            <w:rPr>
              <w:rFonts w:hint="eastAsia"/>
            </w:rPr>
            <w:fldChar w:fldCharType="end"/>
          </w:r>
        </w:p>
        <w:p w14:paraId="3D0E54BF">
          <w:pPr>
            <w:pStyle w:val="26"/>
            <w:tabs>
              <w:tab w:val="right" w:leader="dot" w:pos="9558"/>
            </w:tabs>
          </w:pPr>
          <w:r>
            <w:rPr>
              <w:rFonts w:hint="eastAsia"/>
            </w:rPr>
            <w:fldChar w:fldCharType="begin"/>
          </w:r>
          <w:r>
            <w:rPr>
              <w:rFonts w:hint="eastAsia"/>
            </w:rPr>
            <w:instrText xml:space="preserve"> HYPERLINK \l _Toc32418 </w:instrText>
          </w:r>
          <w:r>
            <w:rPr>
              <w:rFonts w:hint="eastAsia"/>
            </w:rPr>
            <w:fldChar w:fldCharType="separate"/>
          </w:r>
          <w:r>
            <w:rPr>
              <w:rFonts w:hint="eastAsia"/>
            </w:rPr>
            <w:t>7.安全保证措施</w:t>
          </w:r>
          <w:r>
            <w:tab/>
          </w:r>
          <w:r>
            <w:fldChar w:fldCharType="begin"/>
          </w:r>
          <w:r>
            <w:instrText xml:space="preserve"> PAGEREF _Toc32418 \h </w:instrText>
          </w:r>
          <w:r>
            <w:fldChar w:fldCharType="separate"/>
          </w:r>
          <w:r>
            <w:t>54</w:t>
          </w:r>
          <w:r>
            <w:fldChar w:fldCharType="end"/>
          </w:r>
          <w:r>
            <w:rPr>
              <w:rFonts w:hint="eastAsia"/>
            </w:rPr>
            <w:fldChar w:fldCharType="end"/>
          </w:r>
        </w:p>
        <w:p w14:paraId="06607795">
          <w:pPr>
            <w:pStyle w:val="29"/>
            <w:tabs>
              <w:tab w:val="right" w:leader="dot" w:pos="9558"/>
            </w:tabs>
          </w:pPr>
          <w:r>
            <w:rPr>
              <w:rFonts w:hint="eastAsia"/>
            </w:rPr>
            <w:fldChar w:fldCharType="begin"/>
          </w:r>
          <w:r>
            <w:rPr>
              <w:rFonts w:hint="eastAsia"/>
            </w:rPr>
            <w:instrText xml:space="preserve"> HYPERLINK \l _Toc3668 </w:instrText>
          </w:r>
          <w:r>
            <w:rPr>
              <w:rFonts w:hint="eastAsia"/>
            </w:rPr>
            <w:fldChar w:fldCharType="separate"/>
          </w:r>
          <w:r>
            <w:rPr>
              <w:rFonts w:hint="eastAsia"/>
            </w:rPr>
            <w:t>7.1安全生产目标、指标</w:t>
          </w:r>
          <w:r>
            <w:tab/>
          </w:r>
          <w:r>
            <w:fldChar w:fldCharType="begin"/>
          </w:r>
          <w:r>
            <w:instrText xml:space="preserve"> PAGEREF _Toc3668 \h </w:instrText>
          </w:r>
          <w:r>
            <w:fldChar w:fldCharType="separate"/>
          </w:r>
          <w:r>
            <w:t>54</w:t>
          </w:r>
          <w:r>
            <w:fldChar w:fldCharType="end"/>
          </w:r>
          <w:r>
            <w:rPr>
              <w:rFonts w:hint="eastAsia"/>
            </w:rPr>
            <w:fldChar w:fldCharType="end"/>
          </w:r>
        </w:p>
        <w:p w14:paraId="031FBDF2">
          <w:pPr>
            <w:pStyle w:val="29"/>
            <w:tabs>
              <w:tab w:val="right" w:leader="dot" w:pos="9558"/>
            </w:tabs>
          </w:pPr>
          <w:r>
            <w:rPr>
              <w:rFonts w:hint="eastAsia"/>
            </w:rPr>
            <w:fldChar w:fldCharType="begin"/>
          </w:r>
          <w:r>
            <w:rPr>
              <w:rFonts w:hint="eastAsia"/>
            </w:rPr>
            <w:instrText xml:space="preserve"> HYPERLINK \l _Toc7567 </w:instrText>
          </w:r>
          <w:r>
            <w:rPr>
              <w:rFonts w:hint="eastAsia"/>
            </w:rPr>
            <w:fldChar w:fldCharType="separate"/>
          </w:r>
          <w:r>
            <w:rPr>
              <w:rFonts w:hint="eastAsia"/>
            </w:rPr>
            <w:t>7.2 安全施工制度保证</w:t>
          </w:r>
          <w:r>
            <w:tab/>
          </w:r>
          <w:r>
            <w:fldChar w:fldCharType="begin"/>
          </w:r>
          <w:r>
            <w:instrText xml:space="preserve"> PAGEREF _Toc7567 \h </w:instrText>
          </w:r>
          <w:r>
            <w:fldChar w:fldCharType="separate"/>
          </w:r>
          <w:r>
            <w:t>54</w:t>
          </w:r>
          <w:r>
            <w:fldChar w:fldCharType="end"/>
          </w:r>
          <w:r>
            <w:rPr>
              <w:rFonts w:hint="eastAsia"/>
            </w:rPr>
            <w:fldChar w:fldCharType="end"/>
          </w:r>
        </w:p>
        <w:p w14:paraId="249896C9">
          <w:pPr>
            <w:pStyle w:val="29"/>
            <w:tabs>
              <w:tab w:val="right" w:leader="dot" w:pos="9558"/>
            </w:tabs>
          </w:pPr>
          <w:r>
            <w:rPr>
              <w:rFonts w:hint="eastAsia"/>
            </w:rPr>
            <w:fldChar w:fldCharType="begin"/>
          </w:r>
          <w:r>
            <w:rPr>
              <w:rFonts w:hint="eastAsia"/>
            </w:rPr>
            <w:instrText xml:space="preserve"> HYPERLINK \l _Toc15956 </w:instrText>
          </w:r>
          <w:r>
            <w:rPr>
              <w:rFonts w:hint="eastAsia"/>
            </w:rPr>
            <w:fldChar w:fldCharType="separate"/>
          </w:r>
          <w:r>
            <w:rPr>
              <w:rFonts w:hint="eastAsia"/>
            </w:rPr>
            <w:t>7.3 领导带班安全生产制度</w:t>
          </w:r>
          <w:r>
            <w:tab/>
          </w:r>
          <w:r>
            <w:fldChar w:fldCharType="begin"/>
          </w:r>
          <w:r>
            <w:instrText xml:space="preserve"> PAGEREF _Toc15956 \h </w:instrText>
          </w:r>
          <w:r>
            <w:fldChar w:fldCharType="separate"/>
          </w:r>
          <w:r>
            <w:t>55</w:t>
          </w:r>
          <w:r>
            <w:fldChar w:fldCharType="end"/>
          </w:r>
          <w:r>
            <w:rPr>
              <w:rFonts w:hint="eastAsia"/>
            </w:rPr>
            <w:fldChar w:fldCharType="end"/>
          </w:r>
        </w:p>
        <w:p w14:paraId="61F85CE3">
          <w:pPr>
            <w:pStyle w:val="29"/>
            <w:tabs>
              <w:tab w:val="right" w:leader="dot" w:pos="9558"/>
            </w:tabs>
          </w:pPr>
          <w:r>
            <w:rPr>
              <w:rFonts w:hint="eastAsia"/>
            </w:rPr>
            <w:fldChar w:fldCharType="begin"/>
          </w:r>
          <w:r>
            <w:rPr>
              <w:rFonts w:hint="eastAsia"/>
            </w:rPr>
            <w:instrText xml:space="preserve"> HYPERLINK \l _Toc5207 </w:instrText>
          </w:r>
          <w:r>
            <w:rPr>
              <w:rFonts w:hint="eastAsia"/>
            </w:rPr>
            <w:fldChar w:fldCharType="separate"/>
          </w:r>
          <w:r>
            <w:rPr>
              <w:rFonts w:hint="eastAsia"/>
            </w:rPr>
            <w:t>7.4安全保证措施</w:t>
          </w:r>
          <w:r>
            <w:tab/>
          </w:r>
          <w:r>
            <w:fldChar w:fldCharType="begin"/>
          </w:r>
          <w:r>
            <w:instrText xml:space="preserve"> PAGEREF _Toc5207 \h </w:instrText>
          </w:r>
          <w:r>
            <w:fldChar w:fldCharType="separate"/>
          </w:r>
          <w:r>
            <w:t>56</w:t>
          </w:r>
          <w:r>
            <w:fldChar w:fldCharType="end"/>
          </w:r>
          <w:r>
            <w:rPr>
              <w:rFonts w:hint="eastAsia"/>
            </w:rPr>
            <w:fldChar w:fldCharType="end"/>
          </w:r>
        </w:p>
        <w:p w14:paraId="4A32A2CC">
          <w:pPr>
            <w:pStyle w:val="29"/>
            <w:tabs>
              <w:tab w:val="right" w:leader="dot" w:pos="9558"/>
            </w:tabs>
          </w:pPr>
          <w:r>
            <w:rPr>
              <w:rFonts w:hint="eastAsia"/>
            </w:rPr>
            <w:fldChar w:fldCharType="begin"/>
          </w:r>
          <w:r>
            <w:rPr>
              <w:rFonts w:hint="eastAsia"/>
            </w:rPr>
            <w:instrText xml:space="preserve"> HYPERLINK \l _Toc15948 </w:instrText>
          </w:r>
          <w:r>
            <w:rPr>
              <w:rFonts w:hint="eastAsia"/>
            </w:rPr>
            <w:fldChar w:fldCharType="separate"/>
          </w:r>
          <w:r>
            <w:rPr>
              <w:rFonts w:hint="eastAsia"/>
            </w:rPr>
            <w:t>7.5安全应急预案</w:t>
          </w:r>
          <w:r>
            <w:tab/>
          </w:r>
          <w:r>
            <w:fldChar w:fldCharType="begin"/>
          </w:r>
          <w:r>
            <w:instrText xml:space="preserve"> PAGEREF _Toc15948 \h </w:instrText>
          </w:r>
          <w:r>
            <w:fldChar w:fldCharType="separate"/>
          </w:r>
          <w:r>
            <w:t>62</w:t>
          </w:r>
          <w:r>
            <w:fldChar w:fldCharType="end"/>
          </w:r>
          <w:r>
            <w:rPr>
              <w:rFonts w:hint="eastAsia"/>
            </w:rPr>
            <w:fldChar w:fldCharType="end"/>
          </w:r>
        </w:p>
        <w:p w14:paraId="3B34DB06">
          <w:pPr>
            <w:pStyle w:val="26"/>
            <w:tabs>
              <w:tab w:val="right" w:leader="dot" w:pos="9558"/>
            </w:tabs>
          </w:pPr>
          <w:r>
            <w:rPr>
              <w:rFonts w:hint="eastAsia"/>
            </w:rPr>
            <w:fldChar w:fldCharType="begin"/>
          </w:r>
          <w:r>
            <w:rPr>
              <w:rFonts w:hint="eastAsia"/>
            </w:rPr>
            <w:instrText xml:space="preserve"> HYPERLINK \l _Toc32160 </w:instrText>
          </w:r>
          <w:r>
            <w:rPr>
              <w:rFonts w:hint="eastAsia"/>
            </w:rPr>
            <w:fldChar w:fldCharType="separate"/>
          </w:r>
          <w:r>
            <w:rPr>
              <w:rFonts w:hint="eastAsia"/>
            </w:rPr>
            <w:t>8.安全检查与验收</w:t>
          </w:r>
          <w:r>
            <w:tab/>
          </w:r>
          <w:r>
            <w:fldChar w:fldCharType="begin"/>
          </w:r>
          <w:r>
            <w:instrText xml:space="preserve"> PAGEREF _Toc32160 \h </w:instrText>
          </w:r>
          <w:r>
            <w:fldChar w:fldCharType="separate"/>
          </w:r>
          <w:r>
            <w:t>75</w:t>
          </w:r>
          <w:r>
            <w:fldChar w:fldCharType="end"/>
          </w:r>
          <w:r>
            <w:rPr>
              <w:rFonts w:hint="eastAsia"/>
            </w:rPr>
            <w:fldChar w:fldCharType="end"/>
          </w:r>
        </w:p>
        <w:p w14:paraId="16EC5355">
          <w:pPr>
            <w:pStyle w:val="29"/>
            <w:tabs>
              <w:tab w:val="right" w:leader="dot" w:pos="9558"/>
            </w:tabs>
          </w:pPr>
          <w:r>
            <w:rPr>
              <w:rFonts w:hint="eastAsia"/>
            </w:rPr>
            <w:fldChar w:fldCharType="begin"/>
          </w:r>
          <w:r>
            <w:rPr>
              <w:rFonts w:hint="eastAsia"/>
            </w:rPr>
            <w:instrText xml:space="preserve"> HYPERLINK \l _Toc1145 </w:instrText>
          </w:r>
          <w:r>
            <w:rPr>
              <w:rFonts w:hint="eastAsia"/>
            </w:rPr>
            <w:fldChar w:fldCharType="separate"/>
          </w:r>
          <w:r>
            <w:rPr>
              <w:rFonts w:hint="eastAsia"/>
            </w:rPr>
            <w:t>8.1检查的方法</w:t>
          </w:r>
          <w:r>
            <w:tab/>
          </w:r>
          <w:r>
            <w:fldChar w:fldCharType="begin"/>
          </w:r>
          <w:r>
            <w:instrText xml:space="preserve"> PAGEREF _Toc1145 \h </w:instrText>
          </w:r>
          <w:r>
            <w:fldChar w:fldCharType="separate"/>
          </w:r>
          <w:r>
            <w:t>75</w:t>
          </w:r>
          <w:r>
            <w:fldChar w:fldCharType="end"/>
          </w:r>
          <w:r>
            <w:rPr>
              <w:rFonts w:hint="eastAsia"/>
            </w:rPr>
            <w:fldChar w:fldCharType="end"/>
          </w:r>
        </w:p>
        <w:p w14:paraId="5C6D4D1B">
          <w:pPr>
            <w:pStyle w:val="29"/>
            <w:tabs>
              <w:tab w:val="right" w:leader="dot" w:pos="9558"/>
            </w:tabs>
          </w:pPr>
          <w:r>
            <w:rPr>
              <w:rFonts w:hint="eastAsia"/>
            </w:rPr>
            <w:fldChar w:fldCharType="begin"/>
          </w:r>
          <w:r>
            <w:rPr>
              <w:rFonts w:hint="eastAsia"/>
            </w:rPr>
            <w:instrText xml:space="preserve"> HYPERLINK \l _Toc27685 </w:instrText>
          </w:r>
          <w:r>
            <w:rPr>
              <w:rFonts w:hint="eastAsia"/>
            </w:rPr>
            <w:fldChar w:fldCharType="separate"/>
          </w:r>
          <w:r>
            <w:rPr>
              <w:rFonts w:hint="eastAsia"/>
            </w:rPr>
            <w:t>8.2检查的内容</w:t>
          </w:r>
          <w:r>
            <w:tab/>
          </w:r>
          <w:r>
            <w:fldChar w:fldCharType="begin"/>
          </w:r>
          <w:r>
            <w:instrText xml:space="preserve"> PAGEREF _Toc27685 \h </w:instrText>
          </w:r>
          <w:r>
            <w:fldChar w:fldCharType="separate"/>
          </w:r>
          <w:r>
            <w:t>75</w:t>
          </w:r>
          <w:r>
            <w:fldChar w:fldCharType="end"/>
          </w:r>
          <w:r>
            <w:rPr>
              <w:rFonts w:hint="eastAsia"/>
            </w:rPr>
            <w:fldChar w:fldCharType="end"/>
          </w:r>
        </w:p>
        <w:p w14:paraId="775CE066">
          <w:pPr>
            <w:pStyle w:val="29"/>
            <w:tabs>
              <w:tab w:val="right" w:leader="dot" w:pos="9558"/>
            </w:tabs>
          </w:pPr>
          <w:r>
            <w:rPr>
              <w:rFonts w:hint="eastAsia"/>
            </w:rPr>
            <w:fldChar w:fldCharType="begin"/>
          </w:r>
          <w:r>
            <w:rPr>
              <w:rFonts w:hint="eastAsia"/>
            </w:rPr>
            <w:instrText xml:space="preserve"> HYPERLINK \l _Toc8297 </w:instrText>
          </w:r>
          <w:r>
            <w:rPr>
              <w:rFonts w:hint="eastAsia"/>
            </w:rPr>
            <w:fldChar w:fldCharType="separate"/>
          </w:r>
          <w:r>
            <w:rPr>
              <w:rFonts w:hint="eastAsia"/>
            </w:rPr>
            <w:t>8.3安全检查的整改</w:t>
          </w:r>
          <w:r>
            <w:tab/>
          </w:r>
          <w:r>
            <w:fldChar w:fldCharType="begin"/>
          </w:r>
          <w:r>
            <w:instrText xml:space="preserve"> PAGEREF _Toc8297 \h </w:instrText>
          </w:r>
          <w:r>
            <w:fldChar w:fldCharType="separate"/>
          </w:r>
          <w:r>
            <w:t>79</w:t>
          </w:r>
          <w:r>
            <w:fldChar w:fldCharType="end"/>
          </w:r>
          <w:r>
            <w:rPr>
              <w:rFonts w:hint="eastAsia"/>
            </w:rPr>
            <w:fldChar w:fldCharType="end"/>
          </w:r>
        </w:p>
        <w:p w14:paraId="4B01EB94">
          <w:pPr>
            <w:pStyle w:val="29"/>
            <w:tabs>
              <w:tab w:val="right" w:leader="dot" w:pos="9558"/>
            </w:tabs>
          </w:pPr>
          <w:r>
            <w:rPr>
              <w:rFonts w:hint="eastAsia"/>
            </w:rPr>
            <w:fldChar w:fldCharType="begin"/>
          </w:r>
          <w:r>
            <w:rPr>
              <w:rFonts w:hint="eastAsia"/>
            </w:rPr>
            <w:instrText xml:space="preserve"> HYPERLINK \l _Toc25071 </w:instrText>
          </w:r>
          <w:r>
            <w:rPr>
              <w:rFonts w:hint="eastAsia"/>
            </w:rPr>
            <w:fldChar w:fldCharType="separate"/>
          </w:r>
          <w:r>
            <w:rPr>
              <w:rFonts w:hint="eastAsia"/>
            </w:rPr>
            <w:t>8.4塔机验收</w:t>
          </w:r>
          <w:r>
            <w:tab/>
          </w:r>
          <w:r>
            <w:fldChar w:fldCharType="begin"/>
          </w:r>
          <w:r>
            <w:instrText xml:space="preserve"> PAGEREF _Toc25071 \h </w:instrText>
          </w:r>
          <w:r>
            <w:fldChar w:fldCharType="separate"/>
          </w:r>
          <w:r>
            <w:t>79</w:t>
          </w:r>
          <w:r>
            <w:fldChar w:fldCharType="end"/>
          </w:r>
          <w:r>
            <w:rPr>
              <w:rFonts w:hint="eastAsia"/>
            </w:rPr>
            <w:fldChar w:fldCharType="end"/>
          </w:r>
        </w:p>
        <w:p w14:paraId="34B9C3E1">
          <w:pPr>
            <w:pStyle w:val="3"/>
            <w:numPr>
              <w:ilvl w:val="0"/>
              <w:numId w:val="0"/>
            </w:numPr>
            <w:bidi w:val="0"/>
            <w:outlineLvl w:val="9"/>
            <w:rPr>
              <w:rFonts w:hint="eastAsia"/>
            </w:rPr>
          </w:pPr>
          <w:r>
            <w:rPr>
              <w:rFonts w:hint="eastAsia"/>
            </w:rPr>
            <w:fldChar w:fldCharType="end"/>
          </w:r>
        </w:p>
      </w:sdtContent>
    </w:sdt>
    <w:p w14:paraId="2CFEBFB2">
      <w:pPr>
        <w:rPr>
          <w:rFonts w:hint="eastAsia"/>
        </w:rPr>
      </w:pPr>
    </w:p>
    <w:p w14:paraId="51D0238C">
      <w:pPr>
        <w:pStyle w:val="43"/>
        <w:tabs>
          <w:tab w:val="left" w:pos="6328"/>
        </w:tabs>
        <w:rPr>
          <w:rFonts w:hint="eastAsia" w:eastAsia="ST Kaiti"/>
          <w:lang w:eastAsia="zh-CN"/>
        </w:rPr>
      </w:pPr>
      <w:r>
        <w:rPr>
          <w:rFonts w:hint="eastAsia"/>
          <w:lang w:eastAsia="zh-CN"/>
        </w:rPr>
        <w:tab/>
      </w:r>
    </w:p>
    <w:p w14:paraId="7918BBEF">
      <w:pPr>
        <w:pStyle w:val="43"/>
        <w:rPr>
          <w:rFonts w:hint="eastAsia"/>
        </w:rPr>
      </w:pPr>
    </w:p>
    <w:p w14:paraId="1E3C6062">
      <w:pPr>
        <w:pStyle w:val="43"/>
        <w:rPr>
          <w:rFonts w:hint="eastAsia"/>
        </w:rPr>
      </w:pPr>
    </w:p>
    <w:p w14:paraId="17D55495">
      <w:pPr>
        <w:pStyle w:val="43"/>
        <w:rPr>
          <w:rFonts w:hint="eastAsia"/>
        </w:rPr>
      </w:pPr>
    </w:p>
    <w:p w14:paraId="7B6C0EC8">
      <w:pPr>
        <w:pStyle w:val="43"/>
        <w:rPr>
          <w:rFonts w:hint="eastAsia"/>
        </w:rPr>
      </w:pPr>
    </w:p>
    <w:p w14:paraId="69784361">
      <w:pPr>
        <w:pStyle w:val="43"/>
        <w:rPr>
          <w:rFonts w:hint="eastAsia"/>
        </w:rPr>
      </w:pPr>
    </w:p>
    <w:p w14:paraId="18807FEE">
      <w:pPr>
        <w:pStyle w:val="43"/>
        <w:rPr>
          <w:rFonts w:hint="eastAsia"/>
        </w:rPr>
      </w:pPr>
    </w:p>
    <w:p w14:paraId="09ABBFC7">
      <w:pPr>
        <w:pStyle w:val="43"/>
        <w:rPr>
          <w:rFonts w:hint="eastAsia"/>
        </w:rPr>
      </w:pPr>
    </w:p>
    <w:p w14:paraId="4FCF1DE3">
      <w:pPr>
        <w:pStyle w:val="43"/>
        <w:rPr>
          <w:rFonts w:hint="eastAsia"/>
        </w:rPr>
      </w:pPr>
    </w:p>
    <w:p w14:paraId="3E291D12">
      <w:pPr>
        <w:pStyle w:val="43"/>
        <w:rPr>
          <w:rFonts w:hint="eastAsia"/>
        </w:rPr>
      </w:pPr>
    </w:p>
    <w:p w14:paraId="7C22FE55">
      <w:pPr>
        <w:pStyle w:val="43"/>
        <w:rPr>
          <w:rFonts w:hint="eastAsia"/>
        </w:rPr>
      </w:pPr>
    </w:p>
    <w:p w14:paraId="639C815B">
      <w:pPr>
        <w:pStyle w:val="43"/>
        <w:rPr>
          <w:rFonts w:hint="eastAsia"/>
        </w:rPr>
      </w:pPr>
    </w:p>
    <w:p w14:paraId="7585BAB4">
      <w:pPr>
        <w:pStyle w:val="43"/>
        <w:rPr>
          <w:rFonts w:hint="eastAsia"/>
        </w:rPr>
      </w:pPr>
    </w:p>
    <w:p w14:paraId="6295CE35">
      <w:pPr>
        <w:pStyle w:val="43"/>
        <w:rPr>
          <w:rFonts w:hint="eastAsia"/>
        </w:rPr>
      </w:pPr>
    </w:p>
    <w:p w14:paraId="57512871">
      <w:pPr>
        <w:pStyle w:val="43"/>
        <w:rPr>
          <w:rFonts w:hint="eastAsia"/>
        </w:rPr>
      </w:pPr>
    </w:p>
    <w:p w14:paraId="655572D7">
      <w:pPr>
        <w:pStyle w:val="43"/>
        <w:rPr>
          <w:rFonts w:hint="eastAsia"/>
        </w:rPr>
      </w:pPr>
    </w:p>
    <w:p w14:paraId="0EF8BDA8">
      <w:pPr>
        <w:pStyle w:val="43"/>
        <w:rPr>
          <w:rFonts w:hint="eastAsia"/>
        </w:rPr>
      </w:pPr>
    </w:p>
    <w:p w14:paraId="15D013A9">
      <w:pPr>
        <w:pStyle w:val="43"/>
        <w:rPr>
          <w:rFonts w:hint="eastAsia"/>
        </w:rPr>
      </w:pPr>
    </w:p>
    <w:p w14:paraId="348CC829">
      <w:pPr>
        <w:pStyle w:val="43"/>
        <w:rPr>
          <w:rFonts w:hint="eastAsia"/>
        </w:rPr>
      </w:pPr>
    </w:p>
    <w:p w14:paraId="777D2185">
      <w:pPr>
        <w:pStyle w:val="43"/>
        <w:rPr>
          <w:rFonts w:hint="eastAsia"/>
        </w:rPr>
      </w:pPr>
    </w:p>
    <w:p w14:paraId="3C2CCF50">
      <w:pPr>
        <w:pStyle w:val="43"/>
        <w:rPr>
          <w:rFonts w:hint="eastAsia"/>
        </w:rPr>
      </w:pPr>
    </w:p>
    <w:p w14:paraId="5D4060CF">
      <w:pPr>
        <w:pStyle w:val="43"/>
        <w:rPr>
          <w:rFonts w:hint="eastAsia"/>
        </w:rPr>
      </w:pPr>
    </w:p>
    <w:p w14:paraId="56E52B86">
      <w:pPr>
        <w:pStyle w:val="43"/>
        <w:rPr>
          <w:rFonts w:hint="eastAsia"/>
        </w:rPr>
      </w:pPr>
    </w:p>
    <w:p w14:paraId="480F3012">
      <w:pPr>
        <w:pStyle w:val="43"/>
        <w:rPr>
          <w:rFonts w:hint="eastAsia"/>
        </w:rPr>
      </w:pPr>
    </w:p>
    <w:p w14:paraId="1C55C79B">
      <w:pPr>
        <w:pStyle w:val="43"/>
        <w:rPr>
          <w:rFonts w:hint="eastAsia"/>
        </w:rPr>
      </w:pPr>
    </w:p>
    <w:p w14:paraId="09BF36AC">
      <w:pPr>
        <w:pStyle w:val="43"/>
        <w:rPr>
          <w:rFonts w:hint="eastAsia"/>
        </w:rPr>
      </w:pPr>
    </w:p>
    <w:p w14:paraId="2D763DF0">
      <w:pPr>
        <w:pStyle w:val="43"/>
        <w:rPr>
          <w:rFonts w:hint="eastAsia"/>
        </w:rPr>
      </w:pPr>
    </w:p>
    <w:p w14:paraId="7642B647">
      <w:pPr>
        <w:pStyle w:val="43"/>
        <w:rPr>
          <w:rFonts w:hint="eastAsia"/>
        </w:rPr>
      </w:pPr>
    </w:p>
    <w:p w14:paraId="1884FFEF">
      <w:pPr>
        <w:pStyle w:val="43"/>
        <w:rPr>
          <w:rFonts w:hint="eastAsia"/>
        </w:rPr>
      </w:pPr>
    </w:p>
    <w:p w14:paraId="0B641FCD">
      <w:pPr>
        <w:pStyle w:val="3"/>
        <w:numPr>
          <w:ilvl w:val="0"/>
          <w:numId w:val="2"/>
        </w:numPr>
        <w:bidi w:val="0"/>
        <w:rPr>
          <w:rFonts w:hint="eastAsia"/>
        </w:rPr>
        <w:sectPr>
          <w:headerReference r:id="rId11" w:type="default"/>
          <w:footerReference r:id="rId12" w:type="default"/>
          <w:pgSz w:w="11906" w:h="16838"/>
          <w:pgMar w:top="1174" w:right="1174" w:bottom="1174" w:left="1174" w:header="680" w:footer="227" w:gutter="0"/>
          <w:pgNumType w:fmt="decimal" w:start="1"/>
          <w:cols w:space="0" w:num="1"/>
          <w:docGrid w:linePitch="312" w:charSpace="0"/>
        </w:sectPr>
      </w:pPr>
    </w:p>
    <w:p w14:paraId="4CC2A6E4">
      <w:pPr>
        <w:pStyle w:val="3"/>
        <w:numPr>
          <w:ilvl w:val="0"/>
          <w:numId w:val="2"/>
        </w:numPr>
        <w:bidi w:val="0"/>
        <w:rPr>
          <w:rFonts w:hint="eastAsia"/>
        </w:rPr>
      </w:pPr>
      <w:bookmarkStart w:id="0" w:name="_Toc18616"/>
      <w:r>
        <w:rPr>
          <w:rFonts w:hint="eastAsia"/>
        </w:rPr>
        <w:t>编制依据</w:t>
      </w:r>
      <w:bookmarkEnd w:id="0"/>
    </w:p>
    <w:p w14:paraId="2BE7FAFE">
      <w:pPr>
        <w:pStyle w:val="4"/>
        <w:bidi w:val="0"/>
        <w:rPr>
          <w:rFonts w:hint="eastAsia"/>
        </w:rPr>
      </w:pPr>
      <w:bookmarkStart w:id="1" w:name="_Toc32671"/>
      <w:bookmarkStart w:id="2" w:name="_Toc1565"/>
      <w:bookmarkStart w:id="3" w:name="_Toc21131"/>
      <w:bookmarkStart w:id="4" w:name="_Toc26477"/>
      <w:r>
        <w:rPr>
          <w:rFonts w:hint="eastAsia"/>
        </w:rPr>
        <w:t>1.1国家相关法律、法规和规范性文件</w:t>
      </w:r>
      <w:bookmarkEnd w:id="1"/>
      <w:bookmarkEnd w:id="2"/>
      <w:bookmarkEnd w:id="3"/>
      <w:bookmarkEnd w:id="4"/>
    </w:p>
    <w:p w14:paraId="37696EE0">
      <w:pPr>
        <w:bidi w:val="0"/>
        <w:rPr>
          <w:rFonts w:hint="eastAsia"/>
        </w:rPr>
      </w:pPr>
      <w:r>
        <w:rPr>
          <w:rFonts w:hint="eastAsia"/>
        </w:rPr>
        <w:t>⑴《建设工程安全生产管理条例》（国务院令第393号）；</w:t>
      </w:r>
    </w:p>
    <w:p w14:paraId="49F9CEBF">
      <w:pPr>
        <w:bidi w:val="0"/>
        <w:rPr>
          <w:rFonts w:hint="eastAsia"/>
        </w:rPr>
      </w:pPr>
      <w:r>
        <w:rPr>
          <w:rFonts w:hint="eastAsia"/>
        </w:rPr>
        <w:t>⑵《安全生产事故隐患排查治理暂行规定》（国家安全生产监督管理总局令第16号）；</w:t>
      </w:r>
    </w:p>
    <w:p w14:paraId="0C781424">
      <w:pPr>
        <w:bidi w:val="0"/>
        <w:rPr>
          <w:rFonts w:hint="eastAsia"/>
        </w:rPr>
      </w:pPr>
      <w:r>
        <w:rPr>
          <w:rFonts w:hint="eastAsia"/>
        </w:rPr>
        <w:t>⑶《交通运输突发事件应急管理规定》（2011年11月14日交通运输部令2011年第9号）；</w:t>
      </w:r>
    </w:p>
    <w:p w14:paraId="0209A4F9">
      <w:pPr>
        <w:bidi w:val="0"/>
        <w:rPr>
          <w:rFonts w:hint="eastAsia"/>
        </w:rPr>
      </w:pPr>
      <w:r>
        <w:rPr>
          <w:rFonts w:hint="eastAsia"/>
        </w:rPr>
        <w:t>⑷《中华人民共和国特种设备安全法》（2013主席令4号）；</w:t>
      </w:r>
    </w:p>
    <w:p w14:paraId="3C328DA7">
      <w:pPr>
        <w:bidi w:val="0"/>
        <w:rPr>
          <w:rFonts w:hint="eastAsia"/>
        </w:rPr>
      </w:pPr>
      <w:r>
        <w:rPr>
          <w:rFonts w:hint="eastAsia"/>
        </w:rPr>
        <w:t>⑸《中华人民共和国安全生产法》（中华人民共和国主席令88号）；</w:t>
      </w:r>
    </w:p>
    <w:p w14:paraId="2F9A6643">
      <w:pPr>
        <w:bidi w:val="0"/>
        <w:rPr>
          <w:rFonts w:hint="eastAsia"/>
        </w:rPr>
      </w:pPr>
      <w:r>
        <w:rPr>
          <w:rFonts w:hint="eastAsia"/>
        </w:rPr>
        <w:t>⑹《中华人民共和国道路交通安全法》（2011主席令第81号）；</w:t>
      </w:r>
    </w:p>
    <w:p w14:paraId="758696B2">
      <w:pPr>
        <w:bidi w:val="0"/>
        <w:rPr>
          <w:rFonts w:hint="eastAsia"/>
        </w:rPr>
      </w:pPr>
      <w:r>
        <w:rPr>
          <w:rFonts w:hint="eastAsia"/>
        </w:rPr>
        <w:t>⑺《安全生产事故应急预案管理办法》（中华人民共和国应急管理部令第2号）；</w:t>
      </w:r>
    </w:p>
    <w:p w14:paraId="764048E0">
      <w:pPr>
        <w:bidi w:val="0"/>
        <w:rPr>
          <w:rFonts w:hint="eastAsia"/>
        </w:rPr>
      </w:pPr>
      <w:r>
        <w:rPr>
          <w:rFonts w:hint="eastAsia"/>
        </w:rPr>
        <w:t>⑻《建筑起重机械安全监督管理规定》 （中华人民共和国建设部令第166 号）；</w:t>
      </w:r>
    </w:p>
    <w:p w14:paraId="22DEEAAC">
      <w:pPr>
        <w:bidi w:val="0"/>
        <w:rPr>
          <w:rFonts w:hint="eastAsia"/>
        </w:rPr>
      </w:pPr>
      <w:r>
        <w:rPr>
          <w:rFonts w:hint="eastAsia"/>
        </w:rPr>
        <w:t>⑼《特种设备安全监察条例》（国务院第373号令）。</w:t>
      </w:r>
    </w:p>
    <w:p w14:paraId="7E365DDF">
      <w:pPr>
        <w:pStyle w:val="5"/>
        <w:numPr>
          <w:ilvl w:val="2"/>
          <w:numId w:val="3"/>
        </w:numPr>
        <w:bidi w:val="0"/>
        <w:rPr>
          <w:rFonts w:hint="eastAsia"/>
        </w:rPr>
      </w:pPr>
      <w:bookmarkStart w:id="5" w:name="_Toc4359"/>
      <w:bookmarkStart w:id="6" w:name="_Toc3473"/>
      <w:r>
        <w:rPr>
          <w:rFonts w:hint="eastAsia"/>
        </w:rPr>
        <w:t>标准、规范</w:t>
      </w:r>
      <w:bookmarkEnd w:id="5"/>
      <w:bookmarkEnd w:id="6"/>
    </w:p>
    <w:p w14:paraId="7461F0D4">
      <w:pPr>
        <w:numPr>
          <w:ilvl w:val="0"/>
          <w:numId w:val="4"/>
        </w:numPr>
        <w:bidi w:val="0"/>
        <w:rPr>
          <w:rFonts w:hint="eastAsia"/>
        </w:rPr>
      </w:pPr>
      <w:r>
        <w:rPr>
          <w:rFonts w:hint="eastAsia"/>
        </w:rPr>
        <w:t>《塔式起重机安全规程》（GB5144-2006）；</w:t>
      </w:r>
    </w:p>
    <w:p w14:paraId="1C67BA5F">
      <w:pPr>
        <w:numPr>
          <w:ilvl w:val="0"/>
          <w:numId w:val="4"/>
        </w:numPr>
        <w:bidi w:val="0"/>
        <w:rPr>
          <w:rFonts w:hint="eastAsia"/>
        </w:rPr>
      </w:pPr>
      <w:r>
        <w:rPr>
          <w:rFonts w:hint="eastAsia"/>
        </w:rPr>
        <w:t>《塔式起重机》（GB/T 5031-2019）；</w:t>
      </w:r>
    </w:p>
    <w:p w14:paraId="35C63866">
      <w:pPr>
        <w:numPr>
          <w:ilvl w:val="0"/>
          <w:numId w:val="4"/>
        </w:numPr>
        <w:bidi w:val="0"/>
        <w:rPr>
          <w:rFonts w:hint="eastAsia"/>
        </w:rPr>
      </w:pPr>
      <w:r>
        <w:rPr>
          <w:rFonts w:hint="eastAsia"/>
        </w:rPr>
        <w:t>《起重设备安装工程施工及验收规范》（GB50278-2010）；</w:t>
      </w:r>
    </w:p>
    <w:p w14:paraId="091BEB9D">
      <w:pPr>
        <w:numPr>
          <w:ilvl w:val="0"/>
          <w:numId w:val="4"/>
        </w:numPr>
        <w:bidi w:val="0"/>
        <w:rPr>
          <w:rFonts w:hint="eastAsia"/>
        </w:rPr>
      </w:pPr>
      <w:r>
        <w:rPr>
          <w:rFonts w:hint="eastAsia"/>
        </w:rPr>
        <w:t>《重要用途钢丝绳》（GB8918-2006）；</w:t>
      </w:r>
    </w:p>
    <w:p w14:paraId="684DC64E">
      <w:pPr>
        <w:numPr>
          <w:ilvl w:val="0"/>
          <w:numId w:val="4"/>
        </w:numPr>
        <w:bidi w:val="0"/>
        <w:rPr>
          <w:rFonts w:hint="eastAsia"/>
        </w:rPr>
      </w:pPr>
      <w:r>
        <w:rPr>
          <w:rFonts w:hint="eastAsia"/>
        </w:rPr>
        <w:t>《建筑机械使用安全技术规程》（JGJ33-2012）；</w:t>
      </w:r>
    </w:p>
    <w:p w14:paraId="11C3118A">
      <w:pPr>
        <w:numPr>
          <w:ilvl w:val="0"/>
          <w:numId w:val="4"/>
        </w:numPr>
        <w:bidi w:val="0"/>
        <w:rPr>
          <w:rFonts w:hint="eastAsia"/>
        </w:rPr>
      </w:pPr>
      <w:r>
        <w:rPr>
          <w:rFonts w:hint="eastAsia"/>
        </w:rPr>
        <w:t>《施工现场临时用电安全技术规范》（JGJ46 -2005）；</w:t>
      </w:r>
    </w:p>
    <w:p w14:paraId="76413705">
      <w:pPr>
        <w:numPr>
          <w:ilvl w:val="0"/>
          <w:numId w:val="4"/>
        </w:numPr>
        <w:bidi w:val="0"/>
        <w:rPr>
          <w:rFonts w:hint="eastAsia"/>
        </w:rPr>
      </w:pPr>
      <w:r>
        <w:rPr>
          <w:rFonts w:hint="eastAsia"/>
        </w:rPr>
        <w:t>《建筑施工安全检查标准》（JGJ59-2011）；</w:t>
      </w:r>
    </w:p>
    <w:p w14:paraId="2C502B5E">
      <w:pPr>
        <w:numPr>
          <w:ilvl w:val="0"/>
          <w:numId w:val="4"/>
        </w:numPr>
        <w:bidi w:val="0"/>
        <w:rPr>
          <w:rFonts w:hint="eastAsia"/>
        </w:rPr>
      </w:pPr>
      <w:r>
        <w:rPr>
          <w:rFonts w:hint="eastAsia"/>
        </w:rPr>
        <w:t>《建筑施工塔式起重机安装、使用、拆卸安全技术规程》（JGJ196-2010）；</w:t>
      </w:r>
    </w:p>
    <w:p w14:paraId="1BB34382">
      <w:pPr>
        <w:numPr>
          <w:ilvl w:val="0"/>
          <w:numId w:val="4"/>
        </w:numPr>
        <w:bidi w:val="0"/>
        <w:rPr>
          <w:rFonts w:hint="eastAsia"/>
        </w:rPr>
      </w:pPr>
      <w:r>
        <w:rPr>
          <w:rFonts w:hint="eastAsia"/>
        </w:rPr>
        <w:t>《塔式起重机操作使用规程》（JG/T100-1999）；</w:t>
      </w:r>
    </w:p>
    <w:p w14:paraId="2BD6BF0E">
      <w:pPr>
        <w:numPr>
          <w:ilvl w:val="0"/>
          <w:numId w:val="4"/>
        </w:numPr>
        <w:bidi w:val="0"/>
        <w:rPr>
          <w:rFonts w:hint="eastAsia"/>
        </w:rPr>
      </w:pPr>
      <w:r>
        <w:rPr>
          <w:rFonts w:hint="eastAsia"/>
        </w:rPr>
        <w:t>《建筑施工起重吊装工程安全技术规范》（JGJ276-2012）；</w:t>
      </w:r>
    </w:p>
    <w:p w14:paraId="6150C2DE">
      <w:pPr>
        <w:numPr>
          <w:ilvl w:val="0"/>
          <w:numId w:val="4"/>
        </w:numPr>
        <w:bidi w:val="0"/>
        <w:rPr>
          <w:rFonts w:hint="eastAsia"/>
        </w:rPr>
      </w:pPr>
      <w:r>
        <w:rPr>
          <w:rFonts w:hint="eastAsia"/>
        </w:rPr>
        <w:t>《塔式起重机安装与拆卸规则》（GB/T 26471-2011）；</w:t>
      </w:r>
    </w:p>
    <w:p w14:paraId="78BE0096">
      <w:pPr>
        <w:numPr>
          <w:ilvl w:val="0"/>
          <w:numId w:val="4"/>
        </w:numPr>
        <w:bidi w:val="0"/>
        <w:rPr>
          <w:rFonts w:hint="eastAsia"/>
        </w:rPr>
      </w:pPr>
      <w:r>
        <w:rPr>
          <w:rFonts w:hint="eastAsia"/>
        </w:rPr>
        <w:t>《塔式起重机设计规范》（GB/T 13752-2017）；</w:t>
      </w:r>
    </w:p>
    <w:p w14:paraId="17745C50">
      <w:pPr>
        <w:numPr>
          <w:ilvl w:val="0"/>
          <w:numId w:val="4"/>
        </w:numPr>
        <w:bidi w:val="0"/>
        <w:rPr>
          <w:rFonts w:hint="eastAsia"/>
        </w:rPr>
      </w:pPr>
      <w:r>
        <w:rPr>
          <w:rFonts w:hint="eastAsia"/>
        </w:rPr>
        <w:t>《建筑施工高处作业安全技术规范》（JGJ 80-2016）；</w:t>
      </w:r>
    </w:p>
    <w:p w14:paraId="0D23E62E">
      <w:pPr>
        <w:numPr>
          <w:ilvl w:val="0"/>
          <w:numId w:val="4"/>
        </w:numPr>
        <w:bidi w:val="0"/>
        <w:rPr>
          <w:rFonts w:hint="eastAsia"/>
        </w:rPr>
      </w:pPr>
      <w:r>
        <w:rPr>
          <w:rFonts w:hint="eastAsia"/>
        </w:rPr>
        <w:t>《一般用途钢丝绳吊索特性和技术条件》（GB/T16762-2009）；</w:t>
      </w:r>
    </w:p>
    <w:p w14:paraId="73A65C46">
      <w:pPr>
        <w:numPr>
          <w:ilvl w:val="0"/>
          <w:numId w:val="4"/>
        </w:numPr>
        <w:bidi w:val="0"/>
        <w:rPr>
          <w:rFonts w:hint="eastAsia"/>
        </w:rPr>
      </w:pPr>
      <w:r>
        <w:rPr>
          <w:rFonts w:hint="eastAsia"/>
        </w:rPr>
        <w:t>《钢丝绳通用技术条件》（GB/T 20118-2017）；</w:t>
      </w:r>
    </w:p>
    <w:p w14:paraId="6C858915">
      <w:pPr>
        <w:numPr>
          <w:ilvl w:val="0"/>
          <w:numId w:val="4"/>
        </w:numPr>
        <w:bidi w:val="0"/>
        <w:rPr>
          <w:rFonts w:hint="eastAsia"/>
        </w:rPr>
      </w:pPr>
      <w:r>
        <w:rPr>
          <w:rFonts w:hint="eastAsia"/>
        </w:rPr>
        <w:t>《一般起重用D形和弓形锻造卸扣》（GB/T 25854-2010）；</w:t>
      </w:r>
    </w:p>
    <w:p w14:paraId="6863B3FD">
      <w:pPr>
        <w:numPr>
          <w:ilvl w:val="0"/>
          <w:numId w:val="4"/>
        </w:numPr>
        <w:bidi w:val="0"/>
        <w:rPr>
          <w:rFonts w:hint="eastAsia"/>
        </w:rPr>
      </w:pPr>
      <w:r>
        <w:rPr>
          <w:rFonts w:hint="eastAsia"/>
        </w:rPr>
        <w:t>《电气装置安装工程起重机电气装置施工及验收规范》（GB 50256-2014）；</w:t>
      </w:r>
    </w:p>
    <w:p w14:paraId="48C6ACAA">
      <w:pPr>
        <w:numPr>
          <w:ilvl w:val="0"/>
          <w:numId w:val="4"/>
        </w:numPr>
        <w:bidi w:val="0"/>
        <w:rPr>
          <w:rFonts w:hint="eastAsia"/>
        </w:rPr>
      </w:pPr>
      <w:r>
        <w:rPr>
          <w:rFonts w:hint="eastAsia"/>
        </w:rPr>
        <w:t>《建筑地基基础设计规范》（GB 50007-2011）；</w:t>
      </w:r>
    </w:p>
    <w:p w14:paraId="3B227A88">
      <w:pPr>
        <w:numPr>
          <w:ilvl w:val="0"/>
          <w:numId w:val="4"/>
        </w:numPr>
        <w:bidi w:val="0"/>
        <w:rPr>
          <w:rFonts w:hint="eastAsia"/>
        </w:rPr>
      </w:pPr>
      <w:r>
        <w:rPr>
          <w:rFonts w:hint="eastAsia"/>
        </w:rPr>
        <w:t>《起重机和起重机械 钢丝绳的选择 第2部分：流动式起重机》（GB/T 24811.2-2009）。</w:t>
      </w:r>
      <w:r>
        <w:rPr>
          <w:rFonts w:hint="eastAsia"/>
          <w:lang w:val="en-US" w:eastAsia="zh-CN"/>
        </w:rPr>
        <w:t xml:space="preserve">     </w:t>
      </w:r>
    </w:p>
    <w:p w14:paraId="7463ACAC">
      <w:pPr>
        <w:numPr>
          <w:ilvl w:val="0"/>
          <w:numId w:val="4"/>
        </w:numPr>
        <w:bidi w:val="0"/>
        <w:rPr>
          <w:rFonts w:hint="eastAsia"/>
        </w:rPr>
      </w:pPr>
      <w:r>
        <w:rPr>
          <w:rFonts w:hint="eastAsia"/>
        </w:rPr>
        <w:t>《危险性较大的分部分项工程安全管理规定》（住建部令37号）</w:t>
      </w:r>
    </w:p>
    <w:p w14:paraId="705C4CF0">
      <w:pPr>
        <w:pStyle w:val="5"/>
        <w:numPr>
          <w:ilvl w:val="2"/>
          <w:numId w:val="3"/>
        </w:numPr>
        <w:bidi w:val="0"/>
        <w:rPr>
          <w:rFonts w:hint="eastAsia"/>
        </w:rPr>
      </w:pPr>
      <w:bookmarkStart w:id="7" w:name="_Toc15607"/>
      <w:bookmarkStart w:id="8" w:name="_Toc22225"/>
      <w:r>
        <w:rPr>
          <w:rFonts w:hint="eastAsia"/>
        </w:rPr>
        <w:t>总体施工组织设计等前期文件</w:t>
      </w:r>
      <w:bookmarkEnd w:id="7"/>
      <w:bookmarkEnd w:id="8"/>
    </w:p>
    <w:p w14:paraId="39673616">
      <w:pPr>
        <w:numPr>
          <w:ilvl w:val="0"/>
          <w:numId w:val="5"/>
        </w:numPr>
        <w:bidi w:val="0"/>
        <w:rPr>
          <w:rFonts w:hint="eastAsia"/>
        </w:rPr>
      </w:pPr>
      <w:bookmarkStart w:id="9" w:name="_Hlk66180149"/>
      <w:bookmarkStart w:id="10" w:name="_Toc324"/>
      <w:r>
        <w:rPr>
          <w:rFonts w:hint="eastAsia"/>
        </w:rPr>
        <w:t xml:space="preserve"> 现场地勘调查资料。</w:t>
      </w:r>
    </w:p>
    <w:bookmarkEnd w:id="9"/>
    <w:p w14:paraId="48B50C5A">
      <w:pPr>
        <w:pStyle w:val="5"/>
        <w:numPr>
          <w:ilvl w:val="2"/>
          <w:numId w:val="3"/>
        </w:numPr>
        <w:bidi w:val="0"/>
        <w:rPr>
          <w:rFonts w:hint="eastAsia"/>
        </w:rPr>
      </w:pPr>
      <w:bookmarkStart w:id="11" w:name="_Toc7554"/>
      <w:r>
        <w:rPr>
          <w:rFonts w:hint="eastAsia"/>
        </w:rPr>
        <w:t>公司相关管理文件</w:t>
      </w:r>
      <w:bookmarkEnd w:id="10"/>
      <w:bookmarkEnd w:id="11"/>
    </w:p>
    <w:p w14:paraId="3219179B">
      <w:pPr>
        <w:numPr>
          <w:ilvl w:val="0"/>
          <w:numId w:val="6"/>
        </w:numPr>
        <w:bidi w:val="0"/>
        <w:rPr>
          <w:rFonts w:hint="eastAsia"/>
        </w:rPr>
      </w:pPr>
      <w:bookmarkStart w:id="12" w:name="_Hlk66180183"/>
      <w:bookmarkStart w:id="13" w:name="_Hlk66180128"/>
      <w:r>
        <w:rPr>
          <w:rFonts w:hint="eastAsia"/>
        </w:rPr>
        <w:t>《</w:t>
      </w:r>
      <w:r>
        <w:rPr>
          <w:rFonts w:hint="eastAsia"/>
          <w:lang w:val="en-US" w:eastAsia="zh-CN"/>
        </w:rPr>
        <w:t>XGT8040-25</w:t>
      </w:r>
      <w:r>
        <w:rPr>
          <w:rFonts w:hint="eastAsia"/>
        </w:rPr>
        <w:t>塔式起重机使用说明书》</w:t>
      </w:r>
      <w:bookmarkEnd w:id="12"/>
    </w:p>
    <w:p w14:paraId="1D91B2D3">
      <w:pPr>
        <w:pStyle w:val="43"/>
        <w:numPr>
          <w:ilvl w:val="0"/>
          <w:numId w:val="0"/>
        </w:numPr>
        <w:rPr>
          <w:rFonts w:hint="eastAsia"/>
        </w:rPr>
      </w:pPr>
    </w:p>
    <w:p w14:paraId="40FB6966">
      <w:pPr>
        <w:pStyle w:val="43"/>
        <w:numPr>
          <w:ilvl w:val="0"/>
          <w:numId w:val="0"/>
        </w:numPr>
        <w:rPr>
          <w:rFonts w:hint="eastAsia"/>
        </w:rPr>
      </w:pPr>
    </w:p>
    <w:p w14:paraId="2CB74D3A">
      <w:pPr>
        <w:pStyle w:val="43"/>
        <w:numPr>
          <w:ilvl w:val="0"/>
          <w:numId w:val="0"/>
        </w:numPr>
        <w:rPr>
          <w:rFonts w:hint="eastAsia"/>
        </w:rPr>
      </w:pPr>
    </w:p>
    <w:p w14:paraId="7C26A8C1">
      <w:pPr>
        <w:pStyle w:val="43"/>
        <w:numPr>
          <w:ilvl w:val="0"/>
          <w:numId w:val="0"/>
        </w:numPr>
        <w:rPr>
          <w:rFonts w:hint="eastAsia"/>
        </w:rPr>
      </w:pPr>
    </w:p>
    <w:p w14:paraId="4DD90D81">
      <w:pPr>
        <w:pStyle w:val="43"/>
        <w:numPr>
          <w:ilvl w:val="0"/>
          <w:numId w:val="0"/>
        </w:numPr>
        <w:rPr>
          <w:rFonts w:hint="eastAsia"/>
        </w:rPr>
      </w:pPr>
    </w:p>
    <w:p w14:paraId="75889DA2">
      <w:pPr>
        <w:pStyle w:val="43"/>
        <w:numPr>
          <w:ilvl w:val="0"/>
          <w:numId w:val="0"/>
        </w:numPr>
        <w:rPr>
          <w:rFonts w:hint="eastAsia"/>
        </w:rPr>
      </w:pPr>
    </w:p>
    <w:p w14:paraId="1C254A4B">
      <w:pPr>
        <w:pStyle w:val="43"/>
        <w:numPr>
          <w:ilvl w:val="0"/>
          <w:numId w:val="0"/>
        </w:numPr>
        <w:rPr>
          <w:rFonts w:hint="eastAsia"/>
        </w:rPr>
      </w:pPr>
    </w:p>
    <w:p w14:paraId="3C830682">
      <w:pPr>
        <w:pStyle w:val="43"/>
        <w:numPr>
          <w:ilvl w:val="0"/>
          <w:numId w:val="0"/>
        </w:numPr>
        <w:rPr>
          <w:rFonts w:hint="eastAsia"/>
        </w:rPr>
      </w:pPr>
    </w:p>
    <w:p w14:paraId="6A4249BB">
      <w:pPr>
        <w:pStyle w:val="43"/>
        <w:numPr>
          <w:ilvl w:val="0"/>
          <w:numId w:val="0"/>
        </w:numPr>
        <w:rPr>
          <w:rFonts w:hint="eastAsia"/>
        </w:rPr>
      </w:pPr>
    </w:p>
    <w:p w14:paraId="0E5D66C1">
      <w:pPr>
        <w:pStyle w:val="43"/>
        <w:numPr>
          <w:ilvl w:val="0"/>
          <w:numId w:val="0"/>
        </w:numPr>
        <w:rPr>
          <w:rFonts w:hint="eastAsia"/>
        </w:rPr>
      </w:pPr>
    </w:p>
    <w:p w14:paraId="791F4A86">
      <w:pPr>
        <w:pStyle w:val="43"/>
        <w:numPr>
          <w:ilvl w:val="0"/>
          <w:numId w:val="0"/>
        </w:numPr>
        <w:rPr>
          <w:rFonts w:hint="eastAsia"/>
        </w:rPr>
      </w:pPr>
    </w:p>
    <w:p w14:paraId="5CA0B9E0">
      <w:pPr>
        <w:pStyle w:val="43"/>
        <w:numPr>
          <w:ilvl w:val="0"/>
          <w:numId w:val="0"/>
        </w:numPr>
        <w:rPr>
          <w:rFonts w:hint="eastAsia"/>
        </w:rPr>
      </w:pPr>
    </w:p>
    <w:p w14:paraId="1061B7B0">
      <w:pPr>
        <w:pStyle w:val="43"/>
        <w:numPr>
          <w:ilvl w:val="0"/>
          <w:numId w:val="0"/>
        </w:numPr>
        <w:rPr>
          <w:rFonts w:hint="eastAsia"/>
        </w:rPr>
      </w:pPr>
    </w:p>
    <w:p w14:paraId="01905349">
      <w:pPr>
        <w:pStyle w:val="43"/>
        <w:numPr>
          <w:ilvl w:val="0"/>
          <w:numId w:val="0"/>
        </w:numPr>
        <w:rPr>
          <w:rFonts w:hint="eastAsia"/>
        </w:rPr>
      </w:pPr>
    </w:p>
    <w:p w14:paraId="1DA4B5E7">
      <w:pPr>
        <w:pStyle w:val="43"/>
        <w:numPr>
          <w:ilvl w:val="0"/>
          <w:numId w:val="0"/>
        </w:numPr>
        <w:rPr>
          <w:rFonts w:hint="eastAsia"/>
        </w:rPr>
      </w:pPr>
    </w:p>
    <w:p w14:paraId="210F2C25">
      <w:pPr>
        <w:pStyle w:val="43"/>
        <w:numPr>
          <w:ilvl w:val="0"/>
          <w:numId w:val="0"/>
        </w:numPr>
        <w:rPr>
          <w:rFonts w:hint="eastAsia"/>
        </w:rPr>
      </w:pPr>
    </w:p>
    <w:p w14:paraId="31E34EA2">
      <w:pPr>
        <w:pStyle w:val="43"/>
        <w:numPr>
          <w:ilvl w:val="0"/>
          <w:numId w:val="0"/>
        </w:numPr>
        <w:rPr>
          <w:rFonts w:hint="eastAsia"/>
        </w:rPr>
      </w:pPr>
    </w:p>
    <w:p w14:paraId="4BD27F5B">
      <w:pPr>
        <w:pStyle w:val="43"/>
        <w:numPr>
          <w:ilvl w:val="0"/>
          <w:numId w:val="0"/>
        </w:numPr>
        <w:rPr>
          <w:rFonts w:hint="eastAsia"/>
        </w:rPr>
      </w:pPr>
    </w:p>
    <w:p w14:paraId="373B3ACF">
      <w:pPr>
        <w:pStyle w:val="43"/>
        <w:numPr>
          <w:ilvl w:val="0"/>
          <w:numId w:val="0"/>
        </w:numPr>
        <w:rPr>
          <w:rFonts w:hint="eastAsia"/>
        </w:rPr>
      </w:pPr>
    </w:p>
    <w:p w14:paraId="5F28AE16">
      <w:pPr>
        <w:pStyle w:val="43"/>
        <w:numPr>
          <w:ilvl w:val="0"/>
          <w:numId w:val="0"/>
        </w:numPr>
        <w:rPr>
          <w:rFonts w:hint="eastAsia"/>
        </w:rPr>
      </w:pPr>
    </w:p>
    <w:p w14:paraId="71DAB640">
      <w:pPr>
        <w:pStyle w:val="43"/>
        <w:numPr>
          <w:ilvl w:val="0"/>
          <w:numId w:val="0"/>
        </w:numPr>
        <w:rPr>
          <w:rFonts w:hint="eastAsia"/>
        </w:rPr>
      </w:pPr>
    </w:p>
    <w:p w14:paraId="713A5E53">
      <w:pPr>
        <w:pStyle w:val="43"/>
        <w:numPr>
          <w:ilvl w:val="0"/>
          <w:numId w:val="0"/>
        </w:numPr>
        <w:rPr>
          <w:rFonts w:hint="eastAsia"/>
        </w:rPr>
      </w:pPr>
    </w:p>
    <w:p w14:paraId="7DDCC706">
      <w:pPr>
        <w:pStyle w:val="43"/>
        <w:numPr>
          <w:ilvl w:val="0"/>
          <w:numId w:val="0"/>
        </w:numPr>
        <w:rPr>
          <w:rFonts w:hint="eastAsia"/>
        </w:rPr>
      </w:pPr>
    </w:p>
    <w:p w14:paraId="51C4A4D4">
      <w:pPr>
        <w:pStyle w:val="43"/>
        <w:numPr>
          <w:ilvl w:val="0"/>
          <w:numId w:val="0"/>
        </w:numPr>
        <w:rPr>
          <w:rFonts w:hint="eastAsia"/>
        </w:rPr>
      </w:pPr>
    </w:p>
    <w:p w14:paraId="659F8659">
      <w:pPr>
        <w:pStyle w:val="43"/>
        <w:numPr>
          <w:ilvl w:val="0"/>
          <w:numId w:val="0"/>
        </w:numPr>
        <w:rPr>
          <w:rFonts w:hint="eastAsia"/>
        </w:rPr>
      </w:pPr>
    </w:p>
    <w:p w14:paraId="0AEA779D">
      <w:pPr>
        <w:pStyle w:val="43"/>
        <w:numPr>
          <w:ilvl w:val="0"/>
          <w:numId w:val="0"/>
        </w:numPr>
        <w:rPr>
          <w:rFonts w:hint="eastAsia"/>
        </w:rPr>
      </w:pPr>
    </w:p>
    <w:p w14:paraId="1CAC135A">
      <w:pPr>
        <w:pStyle w:val="43"/>
        <w:numPr>
          <w:ilvl w:val="0"/>
          <w:numId w:val="0"/>
        </w:numPr>
        <w:rPr>
          <w:rFonts w:hint="eastAsia"/>
        </w:rPr>
      </w:pPr>
    </w:p>
    <w:p w14:paraId="74D04DAD">
      <w:pPr>
        <w:pStyle w:val="43"/>
        <w:numPr>
          <w:ilvl w:val="0"/>
          <w:numId w:val="0"/>
        </w:numPr>
        <w:rPr>
          <w:rFonts w:hint="eastAsia"/>
        </w:rPr>
      </w:pPr>
    </w:p>
    <w:p w14:paraId="15DA110C">
      <w:pPr>
        <w:pStyle w:val="43"/>
        <w:numPr>
          <w:ilvl w:val="0"/>
          <w:numId w:val="0"/>
        </w:numPr>
        <w:rPr>
          <w:rFonts w:hint="eastAsia"/>
        </w:rPr>
      </w:pPr>
    </w:p>
    <w:bookmarkEnd w:id="13"/>
    <w:p w14:paraId="73098656">
      <w:pPr>
        <w:pStyle w:val="3"/>
        <w:numPr>
          <w:ilvl w:val="0"/>
          <w:numId w:val="2"/>
        </w:numPr>
        <w:bidi w:val="0"/>
        <w:rPr>
          <w:rFonts w:hint="eastAsia"/>
        </w:rPr>
      </w:pPr>
      <w:bookmarkStart w:id="14" w:name="_Toc92"/>
      <w:bookmarkStart w:id="15" w:name="_Toc29511"/>
      <w:bookmarkStart w:id="16" w:name="_Toc32107"/>
      <w:bookmarkStart w:id="17" w:name="_Toc16847"/>
      <w:r>
        <w:rPr>
          <w:rFonts w:hint="eastAsia"/>
        </w:rPr>
        <w:t>工程概况</w:t>
      </w:r>
      <w:bookmarkEnd w:id="14"/>
      <w:bookmarkEnd w:id="15"/>
      <w:bookmarkEnd w:id="16"/>
      <w:bookmarkEnd w:id="17"/>
    </w:p>
    <w:p w14:paraId="4A97B0D1">
      <w:pPr>
        <w:pStyle w:val="4"/>
        <w:bidi w:val="0"/>
        <w:rPr>
          <w:rFonts w:hint="eastAsia"/>
        </w:rPr>
      </w:pPr>
      <w:bookmarkStart w:id="18" w:name="_Toc6223"/>
      <w:bookmarkStart w:id="19" w:name="_Toc19182"/>
      <w:bookmarkStart w:id="20" w:name="_Toc2574"/>
      <w:bookmarkStart w:id="21" w:name="_Toc25435"/>
      <w:bookmarkStart w:id="22" w:name="_Toc13820"/>
      <w:r>
        <w:rPr>
          <w:rFonts w:hint="eastAsia"/>
          <w:lang w:val="en-US" w:eastAsia="zh-CN"/>
        </w:rPr>
        <w:t>2.1 工程概况</w:t>
      </w:r>
      <w:bookmarkEnd w:id="18"/>
      <w:bookmarkEnd w:id="19"/>
      <w:bookmarkEnd w:id="20"/>
      <w:bookmarkEnd w:id="21"/>
      <w:bookmarkEnd w:id="22"/>
      <w:r>
        <w:rPr>
          <w:rFonts w:hint="eastAsia"/>
          <w:lang w:val="en-US" w:eastAsia="zh-CN"/>
        </w:rPr>
        <w:t xml:space="preserve"> </w:t>
      </w:r>
    </w:p>
    <w:p w14:paraId="440A8655">
      <w:pPr>
        <w:bidi w:val="0"/>
        <w:rPr>
          <w:rFonts w:hint="eastAsia"/>
          <w:lang w:val="zh-CN" w:eastAsia="zh-CN"/>
        </w:rPr>
      </w:pPr>
      <w:r>
        <w:rPr>
          <w:rFonts w:hint="eastAsia"/>
          <w:lang w:val="en-US" w:eastAsia="zh-CN"/>
        </w:rPr>
        <w:t>重庆桥渝工程机械租赁有限公司武汉仓库堆场，重庆桥渝公司设备仓库拟定安装一台自有塔式起重机，用于本公司仓库内部调运设备使用；拟定安装塔吊型号：XGT8040-25型塔式起重机。</w:t>
      </w:r>
      <w:r>
        <w:rPr>
          <w:rFonts w:hint="eastAsia"/>
          <w:lang w:val="zh-CN" w:eastAsia="zh-CN"/>
        </w:rPr>
        <w:t>该塔机基础由重庆桥渝工程机械租赁有限公司提供固定式混凝土基础。重庆桥渝工程机械租赁有限公司负责塔机的安装、拆卸及塔机的维护保养工作。混凝土</w:t>
      </w:r>
      <w:r>
        <w:rPr>
          <w:rFonts w:hint="eastAsia"/>
          <w:lang w:val="en-US" w:eastAsia="zh-CN"/>
        </w:rPr>
        <w:t>桩</w:t>
      </w:r>
      <w:r>
        <w:rPr>
          <w:rFonts w:hint="eastAsia"/>
          <w:lang w:val="zh-CN" w:eastAsia="zh-CN"/>
        </w:rPr>
        <w:t>基础为</w:t>
      </w:r>
      <w:r>
        <w:rPr>
          <w:rFonts w:hint="eastAsia"/>
          <w:lang w:val="en-US" w:eastAsia="zh-CN"/>
        </w:rPr>
        <w:t>5.6</w:t>
      </w:r>
      <w:r>
        <w:rPr>
          <w:rFonts w:hint="eastAsia"/>
          <w:lang w:val="zh-CN" w:eastAsia="zh-CN"/>
        </w:rPr>
        <w:t>米*</w:t>
      </w:r>
      <w:r>
        <w:rPr>
          <w:rFonts w:hint="eastAsia"/>
          <w:lang w:val="en-US" w:eastAsia="zh-CN"/>
        </w:rPr>
        <w:t>5.6</w:t>
      </w:r>
      <w:r>
        <w:rPr>
          <w:rFonts w:hint="eastAsia"/>
          <w:lang w:val="zh-CN" w:eastAsia="zh-CN"/>
        </w:rPr>
        <w:t>米</w:t>
      </w:r>
      <w:r>
        <w:rPr>
          <w:rFonts w:hint="eastAsia"/>
          <w:lang w:val="en-US" w:eastAsia="zh-CN"/>
        </w:rPr>
        <w:t>*2米</w:t>
      </w:r>
      <w:r>
        <w:rPr>
          <w:rFonts w:hint="eastAsia"/>
          <w:lang w:val="zh-CN" w:eastAsia="zh-CN"/>
        </w:rPr>
        <w:t>。</w:t>
      </w:r>
    </w:p>
    <w:p w14:paraId="1EC5EE9B">
      <w:pPr>
        <w:pStyle w:val="4"/>
        <w:bidi w:val="0"/>
        <w:rPr>
          <w:rFonts w:hint="eastAsia"/>
        </w:rPr>
      </w:pPr>
      <w:bookmarkStart w:id="23" w:name="_Toc25895"/>
      <w:bookmarkStart w:id="24" w:name="_Toc9360"/>
      <w:bookmarkStart w:id="25" w:name="_Toc6900"/>
      <w:bookmarkStart w:id="26" w:name="_Toc5925"/>
      <w:r>
        <w:rPr>
          <w:rFonts w:hint="eastAsia"/>
        </w:rPr>
        <w:t>2.</w:t>
      </w:r>
      <w:r>
        <w:rPr>
          <w:rFonts w:hint="eastAsia"/>
          <w:lang w:val="en-US" w:eastAsia="zh-CN"/>
        </w:rPr>
        <w:t>2</w:t>
      </w:r>
      <w:r>
        <w:rPr>
          <w:rFonts w:hint="eastAsia"/>
        </w:rPr>
        <w:t>塔机安装工程概况</w:t>
      </w:r>
      <w:bookmarkEnd w:id="23"/>
      <w:bookmarkEnd w:id="24"/>
      <w:bookmarkEnd w:id="25"/>
      <w:bookmarkEnd w:id="26"/>
    </w:p>
    <w:p w14:paraId="1BF49A44">
      <w:pPr>
        <w:bidi w:val="0"/>
        <w:rPr>
          <w:rFonts w:hint="eastAsia"/>
        </w:rPr>
      </w:pPr>
      <w:r>
        <w:rPr>
          <w:rFonts w:hint="eastAsia"/>
        </w:rPr>
        <w:t>塔机安装前，塔机固定式</w:t>
      </w:r>
      <w:r>
        <w:rPr>
          <w:rFonts w:hint="eastAsia"/>
          <w:lang w:eastAsia="zh-CN"/>
        </w:rPr>
        <w:t>混凝土</w:t>
      </w:r>
      <w:r>
        <w:rPr>
          <w:rFonts w:hint="eastAsia"/>
        </w:rPr>
        <w:t>基础应验收合格，出具塔机基础合格</w:t>
      </w:r>
      <w:r>
        <w:rPr>
          <w:rFonts w:hint="eastAsia"/>
          <w:lang w:eastAsia="zh-CN"/>
        </w:rPr>
        <w:t>验收</w:t>
      </w:r>
      <w:r>
        <w:rPr>
          <w:rFonts w:hint="eastAsia"/>
        </w:rPr>
        <w:t>表格后方能进行安装，安装前，应配置供电容量足够的符合要求的电源。安装时，应有足够的支设辅助汽车吊场地，及塔机零部件组装场地，支设汽车吊场地应有足够的地基承载能力。车辆行驶路线应满足车辆行驶。所有塔机利用辅助汽车吊安装的初次安装高度应超过其回转范围内最高施工机具的高度，以满足各塔机的顶升时臂架的旋转。</w:t>
      </w:r>
    </w:p>
    <w:p w14:paraId="34ABBF8B">
      <w:pPr>
        <w:bidi w:val="0"/>
        <w:rPr>
          <w:rFonts w:hint="eastAsia"/>
        </w:rPr>
      </w:pPr>
      <w:r>
        <w:rPr>
          <w:rFonts w:hint="eastAsia"/>
        </w:rPr>
        <w:t>拆卸时，按说明书要求降节，降节至辅助起重设备可拆卸高度后，利用辅助起重设备拆卸塔机。</w:t>
      </w:r>
    </w:p>
    <w:p w14:paraId="23E16F8A">
      <w:pPr>
        <w:pStyle w:val="4"/>
        <w:bidi w:val="0"/>
        <w:rPr>
          <w:rFonts w:hint="eastAsia"/>
        </w:rPr>
      </w:pPr>
      <w:bookmarkStart w:id="27" w:name="_Toc29410"/>
      <w:bookmarkStart w:id="28" w:name="_Toc32253"/>
      <w:bookmarkStart w:id="29" w:name="_Toc31704"/>
      <w:bookmarkStart w:id="30" w:name="_Toc20802"/>
      <w:r>
        <w:rPr>
          <w:rFonts w:hint="eastAsia"/>
        </w:rPr>
        <w:t>2.</w:t>
      </w:r>
      <w:r>
        <w:rPr>
          <w:rFonts w:hint="eastAsia"/>
          <w:lang w:val="en-US" w:eastAsia="zh-CN"/>
        </w:rPr>
        <w:t>3</w:t>
      </w:r>
      <w:r>
        <w:rPr>
          <w:rFonts w:hint="eastAsia"/>
        </w:rPr>
        <w:t>危大工程概况</w:t>
      </w:r>
      <w:bookmarkEnd w:id="27"/>
      <w:bookmarkEnd w:id="28"/>
      <w:bookmarkEnd w:id="29"/>
      <w:bookmarkEnd w:id="30"/>
    </w:p>
    <w:p w14:paraId="62311807">
      <w:pPr>
        <w:bidi w:val="0"/>
        <w:jc w:val="center"/>
        <w:rPr>
          <w:rFonts w:hint="eastAsia"/>
        </w:rPr>
      </w:pPr>
      <w:r>
        <w:rPr>
          <w:rFonts w:hint="eastAsia"/>
        </w:rPr>
        <w:t>表2.</w:t>
      </w:r>
      <w:r>
        <w:rPr>
          <w:rFonts w:hint="eastAsia"/>
          <w:lang w:val="en-US" w:eastAsia="zh-CN"/>
        </w:rPr>
        <w:t>3</w:t>
      </w:r>
      <w:r>
        <w:rPr>
          <w:rFonts w:hint="eastAsia"/>
        </w:rPr>
        <w:t>-1 危大工程概况表</w:t>
      </w:r>
    </w:p>
    <w:tbl>
      <w:tblPr>
        <w:tblStyle w:val="36"/>
        <w:tblW w:w="10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952"/>
        <w:gridCol w:w="5501"/>
        <w:gridCol w:w="1604"/>
      </w:tblGrid>
      <w:tr w14:paraId="2ED8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2301" w:type="dxa"/>
            <w:vAlign w:val="center"/>
          </w:tcPr>
          <w:p w14:paraId="7FF40910">
            <w:pPr>
              <w:bidi w:val="0"/>
              <w:jc w:val="both"/>
              <w:rPr>
                <w:rFonts w:hint="eastAsia"/>
              </w:rPr>
            </w:pPr>
            <w:r>
              <w:rPr>
                <w:rFonts w:hint="eastAsia"/>
              </w:rPr>
              <w:t>危大工程级别</w:t>
            </w:r>
          </w:p>
        </w:tc>
        <w:tc>
          <w:tcPr>
            <w:tcW w:w="952" w:type="dxa"/>
            <w:vAlign w:val="center"/>
          </w:tcPr>
          <w:p w14:paraId="4831217A">
            <w:pPr>
              <w:bidi w:val="0"/>
              <w:ind w:left="0" w:leftChars="0" w:firstLine="0" w:firstLineChars="0"/>
              <w:jc w:val="center"/>
              <w:rPr>
                <w:rFonts w:hint="eastAsia"/>
              </w:rPr>
            </w:pPr>
            <w:r>
              <w:rPr>
                <w:rFonts w:hint="eastAsia"/>
                <w:sz w:val="21"/>
                <w:szCs w:val="21"/>
              </w:rPr>
              <w:t>勾选</w:t>
            </w:r>
          </w:p>
        </w:tc>
        <w:tc>
          <w:tcPr>
            <w:tcW w:w="5501" w:type="dxa"/>
            <w:vAlign w:val="center"/>
          </w:tcPr>
          <w:p w14:paraId="52C110CA">
            <w:pPr>
              <w:bidi w:val="0"/>
              <w:jc w:val="both"/>
              <w:rPr>
                <w:rFonts w:hint="eastAsia"/>
              </w:rPr>
            </w:pPr>
            <w:r>
              <w:rPr>
                <w:rFonts w:hint="eastAsia"/>
              </w:rPr>
              <w:t>明细</w:t>
            </w:r>
          </w:p>
        </w:tc>
        <w:tc>
          <w:tcPr>
            <w:tcW w:w="1604" w:type="dxa"/>
            <w:vAlign w:val="center"/>
          </w:tcPr>
          <w:p w14:paraId="5B8B2328">
            <w:pPr>
              <w:bidi w:val="0"/>
              <w:jc w:val="both"/>
              <w:rPr>
                <w:rFonts w:hint="eastAsia"/>
              </w:rPr>
            </w:pPr>
            <w:r>
              <w:rPr>
                <w:rFonts w:hint="eastAsia"/>
              </w:rPr>
              <w:t>勾选</w:t>
            </w:r>
          </w:p>
        </w:tc>
      </w:tr>
      <w:tr w14:paraId="07FC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exact"/>
        </w:trPr>
        <w:tc>
          <w:tcPr>
            <w:tcW w:w="2301" w:type="dxa"/>
            <w:vMerge w:val="restart"/>
            <w:vAlign w:val="center"/>
          </w:tcPr>
          <w:p w14:paraId="4C80405C">
            <w:pPr>
              <w:bidi w:val="0"/>
              <w:jc w:val="both"/>
              <w:rPr>
                <w:rFonts w:hint="eastAsia"/>
              </w:rPr>
            </w:pPr>
            <w:r>
              <w:rPr>
                <w:rFonts w:hint="eastAsia"/>
              </w:rPr>
              <w:t>危险性较大的分部分项工程</w:t>
            </w:r>
          </w:p>
        </w:tc>
        <w:tc>
          <w:tcPr>
            <w:tcW w:w="952" w:type="dxa"/>
            <w:vMerge w:val="restart"/>
            <w:vAlign w:val="center"/>
          </w:tcPr>
          <w:p w14:paraId="394EDAF7">
            <w:pPr>
              <w:bidi w:val="0"/>
              <w:jc w:val="both"/>
              <w:rPr>
                <w:rFonts w:hint="eastAsia"/>
              </w:rPr>
            </w:pPr>
            <w:r>
              <w:rPr>
                <w:rFonts w:hint="eastAsia"/>
              </w:rPr>
              <w:t>☑</w:t>
            </w:r>
          </w:p>
        </w:tc>
        <w:tc>
          <w:tcPr>
            <w:tcW w:w="5501" w:type="dxa"/>
            <w:vAlign w:val="center"/>
          </w:tcPr>
          <w:p w14:paraId="2FE1DD38">
            <w:pPr>
              <w:bidi w:val="0"/>
              <w:jc w:val="both"/>
              <w:rPr>
                <w:rFonts w:hint="eastAsia"/>
              </w:rPr>
            </w:pPr>
            <w:r>
              <w:rPr>
                <w:rFonts w:hint="eastAsia"/>
              </w:rPr>
              <w:t>采用非常规起重设备、方法，且单件起吊重量在10kN及以上的起重吊装工程</w:t>
            </w:r>
          </w:p>
        </w:tc>
        <w:tc>
          <w:tcPr>
            <w:tcW w:w="1604" w:type="dxa"/>
            <w:vAlign w:val="center"/>
          </w:tcPr>
          <w:p w14:paraId="29B1240D">
            <w:pPr>
              <w:bidi w:val="0"/>
              <w:jc w:val="both"/>
              <w:rPr>
                <w:rFonts w:hint="eastAsia"/>
              </w:rPr>
            </w:pPr>
            <w:r>
              <w:rPr>
                <w:rFonts w:hint="eastAsia"/>
              </w:rPr>
              <w:t>□</w:t>
            </w:r>
          </w:p>
        </w:tc>
      </w:tr>
      <w:tr w14:paraId="55D8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2301" w:type="dxa"/>
            <w:vMerge w:val="continue"/>
          </w:tcPr>
          <w:p w14:paraId="254A5484">
            <w:pPr>
              <w:bidi w:val="0"/>
              <w:jc w:val="both"/>
              <w:rPr>
                <w:rFonts w:hint="eastAsia"/>
              </w:rPr>
            </w:pPr>
          </w:p>
        </w:tc>
        <w:tc>
          <w:tcPr>
            <w:tcW w:w="952" w:type="dxa"/>
            <w:vMerge w:val="continue"/>
            <w:vAlign w:val="center"/>
          </w:tcPr>
          <w:p w14:paraId="0D2EA6E0">
            <w:pPr>
              <w:bidi w:val="0"/>
              <w:jc w:val="both"/>
              <w:rPr>
                <w:rFonts w:hint="eastAsia"/>
              </w:rPr>
            </w:pPr>
          </w:p>
        </w:tc>
        <w:tc>
          <w:tcPr>
            <w:tcW w:w="5501" w:type="dxa"/>
            <w:vAlign w:val="center"/>
          </w:tcPr>
          <w:p w14:paraId="4DB69C55">
            <w:pPr>
              <w:bidi w:val="0"/>
              <w:jc w:val="both"/>
              <w:rPr>
                <w:rFonts w:hint="eastAsia"/>
              </w:rPr>
            </w:pPr>
            <w:r>
              <w:rPr>
                <w:rFonts w:hint="eastAsia"/>
              </w:rPr>
              <w:t>采用起重机械进行安装的工程</w:t>
            </w:r>
          </w:p>
        </w:tc>
        <w:tc>
          <w:tcPr>
            <w:tcW w:w="1604" w:type="dxa"/>
            <w:vAlign w:val="center"/>
          </w:tcPr>
          <w:p w14:paraId="461F1A14">
            <w:pPr>
              <w:bidi w:val="0"/>
              <w:jc w:val="both"/>
              <w:rPr>
                <w:rFonts w:hint="eastAsia"/>
              </w:rPr>
            </w:pPr>
            <w:r>
              <w:rPr>
                <w:rFonts w:hint="eastAsia"/>
              </w:rPr>
              <w:t>☑</w:t>
            </w:r>
          </w:p>
        </w:tc>
      </w:tr>
      <w:tr w14:paraId="270F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2301" w:type="dxa"/>
            <w:vMerge w:val="continue"/>
          </w:tcPr>
          <w:p w14:paraId="5673D111">
            <w:pPr>
              <w:bidi w:val="0"/>
              <w:jc w:val="both"/>
              <w:rPr>
                <w:rFonts w:hint="eastAsia"/>
              </w:rPr>
            </w:pPr>
          </w:p>
        </w:tc>
        <w:tc>
          <w:tcPr>
            <w:tcW w:w="952" w:type="dxa"/>
            <w:vMerge w:val="continue"/>
            <w:vAlign w:val="center"/>
          </w:tcPr>
          <w:p w14:paraId="76A57CF4">
            <w:pPr>
              <w:bidi w:val="0"/>
              <w:jc w:val="both"/>
              <w:rPr>
                <w:rFonts w:hint="eastAsia"/>
              </w:rPr>
            </w:pPr>
          </w:p>
        </w:tc>
        <w:tc>
          <w:tcPr>
            <w:tcW w:w="5501" w:type="dxa"/>
            <w:vAlign w:val="center"/>
          </w:tcPr>
          <w:p w14:paraId="04211FD6">
            <w:pPr>
              <w:bidi w:val="0"/>
              <w:jc w:val="both"/>
              <w:rPr>
                <w:rFonts w:hint="eastAsia"/>
              </w:rPr>
            </w:pPr>
            <w:r>
              <w:rPr>
                <w:rFonts w:hint="eastAsia"/>
              </w:rPr>
              <w:t>起重机械安装和拆卸工程</w:t>
            </w:r>
          </w:p>
        </w:tc>
        <w:tc>
          <w:tcPr>
            <w:tcW w:w="1604" w:type="dxa"/>
            <w:vAlign w:val="center"/>
          </w:tcPr>
          <w:p w14:paraId="2A75F8DC">
            <w:pPr>
              <w:bidi w:val="0"/>
              <w:jc w:val="both"/>
              <w:rPr>
                <w:rFonts w:hint="eastAsia"/>
              </w:rPr>
            </w:pPr>
            <w:r>
              <w:rPr>
                <w:rFonts w:hint="eastAsia"/>
              </w:rPr>
              <w:t>☑</w:t>
            </w:r>
          </w:p>
        </w:tc>
      </w:tr>
      <w:tr w14:paraId="2409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exact"/>
        </w:trPr>
        <w:tc>
          <w:tcPr>
            <w:tcW w:w="2301" w:type="dxa"/>
            <w:vMerge w:val="restart"/>
            <w:vAlign w:val="center"/>
          </w:tcPr>
          <w:p w14:paraId="3730AB18">
            <w:pPr>
              <w:bidi w:val="0"/>
              <w:jc w:val="both"/>
              <w:rPr>
                <w:rFonts w:hint="eastAsia"/>
              </w:rPr>
            </w:pPr>
            <w:r>
              <w:rPr>
                <w:rFonts w:hint="eastAsia"/>
              </w:rPr>
              <w:t>超过一定规模的危险性较大的分部分项工程</w:t>
            </w:r>
          </w:p>
        </w:tc>
        <w:tc>
          <w:tcPr>
            <w:tcW w:w="952" w:type="dxa"/>
            <w:vMerge w:val="restart"/>
            <w:vAlign w:val="center"/>
          </w:tcPr>
          <w:p w14:paraId="27E14F72">
            <w:pPr>
              <w:bidi w:val="0"/>
              <w:jc w:val="both"/>
              <w:rPr>
                <w:rFonts w:hint="eastAsia"/>
              </w:rPr>
            </w:pPr>
            <w:r>
              <w:rPr>
                <w:rFonts w:hint="eastAsia"/>
              </w:rPr>
              <w:t>□</w:t>
            </w:r>
          </w:p>
        </w:tc>
        <w:tc>
          <w:tcPr>
            <w:tcW w:w="5501" w:type="dxa"/>
            <w:vAlign w:val="center"/>
          </w:tcPr>
          <w:p w14:paraId="34D5C90A">
            <w:pPr>
              <w:bidi w:val="0"/>
              <w:jc w:val="both"/>
              <w:rPr>
                <w:rFonts w:hint="eastAsia"/>
              </w:rPr>
            </w:pPr>
            <w:r>
              <w:rPr>
                <w:rFonts w:hint="eastAsia"/>
              </w:rPr>
              <w:t>采用非常规起重设备、方法，且单件起吊重量在100kN及以上的起重吊装工程</w:t>
            </w:r>
          </w:p>
        </w:tc>
        <w:tc>
          <w:tcPr>
            <w:tcW w:w="1604" w:type="dxa"/>
            <w:vAlign w:val="center"/>
          </w:tcPr>
          <w:p w14:paraId="6F1A4ED6">
            <w:pPr>
              <w:bidi w:val="0"/>
              <w:jc w:val="both"/>
              <w:rPr>
                <w:rFonts w:hint="eastAsia"/>
              </w:rPr>
            </w:pPr>
            <w:r>
              <w:rPr>
                <w:rFonts w:hint="eastAsia"/>
              </w:rPr>
              <w:t>□</w:t>
            </w:r>
          </w:p>
        </w:tc>
      </w:tr>
      <w:tr w14:paraId="025F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exact"/>
        </w:trPr>
        <w:tc>
          <w:tcPr>
            <w:tcW w:w="2301" w:type="dxa"/>
            <w:vMerge w:val="continue"/>
          </w:tcPr>
          <w:p w14:paraId="3917F7C9">
            <w:pPr>
              <w:bidi w:val="0"/>
              <w:jc w:val="both"/>
              <w:rPr>
                <w:rFonts w:hint="eastAsia"/>
              </w:rPr>
            </w:pPr>
          </w:p>
        </w:tc>
        <w:tc>
          <w:tcPr>
            <w:tcW w:w="952" w:type="dxa"/>
            <w:vMerge w:val="continue"/>
            <w:vAlign w:val="center"/>
          </w:tcPr>
          <w:p w14:paraId="3BA1EBA7">
            <w:pPr>
              <w:bidi w:val="0"/>
              <w:jc w:val="both"/>
              <w:rPr>
                <w:rFonts w:hint="eastAsia"/>
              </w:rPr>
            </w:pPr>
          </w:p>
        </w:tc>
        <w:tc>
          <w:tcPr>
            <w:tcW w:w="5501" w:type="dxa"/>
            <w:vAlign w:val="center"/>
          </w:tcPr>
          <w:p w14:paraId="6C557A4B">
            <w:pPr>
              <w:bidi w:val="0"/>
              <w:jc w:val="both"/>
              <w:rPr>
                <w:rFonts w:hint="eastAsia"/>
              </w:rPr>
            </w:pPr>
            <w:r>
              <w:rPr>
                <w:rFonts w:hint="eastAsia"/>
              </w:rPr>
              <w:t>起重量300kN及以上，或搭设总高度200m及以上，或搭设基础标高在200m及以上的起重机械安装和拆卸工程</w:t>
            </w:r>
          </w:p>
        </w:tc>
        <w:tc>
          <w:tcPr>
            <w:tcW w:w="1604" w:type="dxa"/>
            <w:vAlign w:val="center"/>
          </w:tcPr>
          <w:p w14:paraId="680B9A54">
            <w:pPr>
              <w:bidi w:val="0"/>
              <w:jc w:val="both"/>
              <w:rPr>
                <w:rFonts w:hint="eastAsia"/>
              </w:rPr>
            </w:pPr>
            <w:r>
              <w:rPr>
                <w:rFonts w:hint="eastAsia"/>
              </w:rPr>
              <w:t>□</w:t>
            </w:r>
          </w:p>
        </w:tc>
      </w:tr>
    </w:tbl>
    <w:p w14:paraId="51565C5C">
      <w:pPr>
        <w:ind w:left="0" w:leftChars="0" w:firstLine="0" w:firstLineChars="0"/>
        <w:outlineLvl w:val="9"/>
        <w:rPr>
          <w:rFonts w:hint="eastAsia" w:ascii="宋体" w:hAnsi="宋体" w:eastAsia="宋体" w:cs="宋体"/>
          <w:b w:val="0"/>
          <w:bCs/>
          <w:color w:val="000000" w:themeColor="text1"/>
          <w14:textFill>
            <w14:solidFill>
              <w14:schemeClr w14:val="tx1"/>
            </w14:solidFill>
          </w14:textFill>
        </w:rPr>
      </w:pPr>
      <w:bookmarkStart w:id="31" w:name="_Toc12491"/>
      <w:bookmarkStart w:id="32" w:name="_Toc2403"/>
    </w:p>
    <w:p w14:paraId="62F624D3">
      <w:pPr>
        <w:pStyle w:val="43"/>
        <w:rPr>
          <w:rFonts w:hint="eastAsia" w:ascii="宋体" w:hAnsi="宋体" w:eastAsia="宋体" w:cs="宋体"/>
          <w:b w:val="0"/>
          <w:bCs/>
          <w:color w:val="000000" w:themeColor="text1"/>
          <w14:textFill>
            <w14:solidFill>
              <w14:schemeClr w14:val="tx1"/>
            </w14:solidFill>
          </w14:textFill>
        </w:rPr>
      </w:pPr>
    </w:p>
    <w:p w14:paraId="65B3E87C">
      <w:pPr>
        <w:pStyle w:val="43"/>
        <w:rPr>
          <w:rFonts w:hint="eastAsia" w:ascii="宋体" w:hAnsi="宋体" w:eastAsia="宋体" w:cs="宋体"/>
          <w:b w:val="0"/>
          <w:bCs/>
          <w:color w:val="000000" w:themeColor="text1"/>
          <w14:textFill>
            <w14:solidFill>
              <w14:schemeClr w14:val="tx1"/>
            </w14:solidFill>
          </w14:textFill>
        </w:rPr>
      </w:pPr>
    </w:p>
    <w:p w14:paraId="295D6BC4">
      <w:pPr>
        <w:pStyle w:val="3"/>
        <w:numPr>
          <w:ilvl w:val="0"/>
          <w:numId w:val="2"/>
        </w:numPr>
        <w:bidi w:val="0"/>
        <w:rPr>
          <w:rFonts w:hint="eastAsia"/>
        </w:rPr>
      </w:pPr>
      <w:bookmarkStart w:id="33" w:name="_Toc15632"/>
      <w:bookmarkStart w:id="34" w:name="_Toc16812"/>
      <w:r>
        <w:rPr>
          <w:rFonts w:hint="eastAsia"/>
        </w:rPr>
        <w:t>塔机概况</w:t>
      </w:r>
      <w:bookmarkEnd w:id="31"/>
      <w:bookmarkEnd w:id="32"/>
      <w:bookmarkEnd w:id="33"/>
      <w:bookmarkEnd w:id="34"/>
    </w:p>
    <w:p w14:paraId="27184860">
      <w:pPr>
        <w:pStyle w:val="4"/>
        <w:bidi w:val="0"/>
        <w:rPr>
          <w:rFonts w:hint="eastAsia"/>
        </w:rPr>
      </w:pPr>
      <w:bookmarkStart w:id="35" w:name="_Toc9933"/>
      <w:bookmarkStart w:id="36" w:name="_Toc8291"/>
      <w:bookmarkStart w:id="37" w:name="_Toc11680"/>
      <w:bookmarkStart w:id="38" w:name="_Toc3078"/>
      <w:r>
        <w:rPr>
          <w:rFonts w:hint="eastAsia"/>
        </w:rPr>
        <w:t xml:space="preserve">3.1 </w:t>
      </w:r>
      <w:r>
        <w:rPr>
          <w:rFonts w:hint="eastAsia"/>
          <w:lang w:val="en-US" w:eastAsia="zh-CN"/>
        </w:rPr>
        <w:t>XGT8040-25</w:t>
      </w:r>
      <w:r>
        <w:rPr>
          <w:rFonts w:hint="eastAsia"/>
        </w:rPr>
        <w:t>塔机基本性能参数表</w:t>
      </w:r>
      <w:bookmarkEnd w:id="35"/>
      <w:bookmarkEnd w:id="36"/>
      <w:bookmarkEnd w:id="37"/>
      <w:bookmarkEnd w:id="38"/>
    </w:p>
    <w:p w14:paraId="14154651">
      <w:pPr>
        <w:bidi w:val="0"/>
        <w:jc w:val="center"/>
        <w:rPr>
          <w:rFonts w:hint="eastAsia"/>
        </w:rPr>
      </w:pPr>
      <w:r>
        <w:rPr>
          <w:rFonts w:hint="eastAsia"/>
        </w:rPr>
        <w:t xml:space="preserve">表3.1-1  </w:t>
      </w:r>
      <w:r>
        <w:rPr>
          <w:rFonts w:hint="eastAsia"/>
          <w:lang w:eastAsia="zh-CN"/>
        </w:rPr>
        <w:t>XGT8040-25</w:t>
      </w:r>
      <w:r>
        <w:rPr>
          <w:rFonts w:hint="eastAsia"/>
        </w:rPr>
        <w:t>塔吊主要技术性能参数表</w:t>
      </w:r>
    </w:p>
    <w:p w14:paraId="62BBA3F0">
      <w:pPr>
        <w:bidi w:val="0"/>
        <w:ind w:left="0" w:leftChars="0" w:firstLine="0" w:firstLineChars="0"/>
        <w:jc w:val="center"/>
        <w:rPr>
          <w:rFonts w:hint="eastAsia"/>
        </w:rPr>
      </w:pPr>
      <w:r>
        <w:drawing>
          <wp:inline distT="0" distB="0" distL="114300" distR="114300">
            <wp:extent cx="4629150" cy="60388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629150" cy="6038850"/>
                    </a:xfrm>
                    <a:prstGeom prst="rect">
                      <a:avLst/>
                    </a:prstGeom>
                    <a:noFill/>
                    <a:ln>
                      <a:noFill/>
                    </a:ln>
                  </pic:spPr>
                </pic:pic>
              </a:graphicData>
            </a:graphic>
          </wp:inline>
        </w:drawing>
      </w:r>
      <w:r>
        <w:drawing>
          <wp:inline distT="0" distB="0" distL="114300" distR="114300">
            <wp:extent cx="4791075" cy="3076575"/>
            <wp:effectExtent l="0" t="0" r="9525" b="952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4791075" cy="3076575"/>
                    </a:xfrm>
                    <a:prstGeom prst="rect">
                      <a:avLst/>
                    </a:prstGeom>
                    <a:noFill/>
                    <a:ln>
                      <a:noFill/>
                    </a:ln>
                  </pic:spPr>
                </pic:pic>
              </a:graphicData>
            </a:graphic>
          </wp:inline>
        </w:drawing>
      </w:r>
    </w:p>
    <w:p w14:paraId="10CF8AF3">
      <w:pPr>
        <w:bidi w:val="0"/>
        <w:jc w:val="center"/>
        <w:rPr>
          <w:rFonts w:hint="eastAsia"/>
        </w:rPr>
      </w:pPr>
      <w:r>
        <w:rPr>
          <w:rFonts w:hint="eastAsia"/>
        </w:rPr>
        <w:t xml:space="preserve">表3.1-2 </w:t>
      </w:r>
      <w:r>
        <w:rPr>
          <w:rFonts w:hint="eastAsia"/>
          <w:lang w:eastAsia="zh-CN"/>
        </w:rPr>
        <w:t>XGT8040-25</w:t>
      </w:r>
      <w:r>
        <w:rPr>
          <w:rFonts w:hint="eastAsia"/>
        </w:rPr>
        <w:t>起重性能表</w:t>
      </w:r>
    </w:p>
    <w:p w14:paraId="0DA8CFB1">
      <w:pPr>
        <w:bidi w:val="0"/>
        <w:jc w:val="center"/>
      </w:pPr>
      <w:r>
        <w:drawing>
          <wp:inline distT="0" distB="0" distL="114300" distR="114300">
            <wp:extent cx="4521200" cy="5511165"/>
            <wp:effectExtent l="0" t="0" r="0" b="63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7"/>
                    <a:stretch>
                      <a:fillRect/>
                    </a:stretch>
                  </pic:blipFill>
                  <pic:spPr>
                    <a:xfrm>
                      <a:off x="0" y="0"/>
                      <a:ext cx="4521200" cy="5511165"/>
                    </a:xfrm>
                    <a:prstGeom prst="rect">
                      <a:avLst/>
                    </a:prstGeom>
                    <a:noFill/>
                    <a:ln>
                      <a:noFill/>
                    </a:ln>
                  </pic:spPr>
                </pic:pic>
              </a:graphicData>
            </a:graphic>
          </wp:inline>
        </w:drawing>
      </w:r>
      <w:r>
        <w:drawing>
          <wp:inline distT="0" distB="0" distL="114300" distR="114300">
            <wp:extent cx="4362450" cy="5410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4362450" cy="5410200"/>
                    </a:xfrm>
                    <a:prstGeom prst="rect">
                      <a:avLst/>
                    </a:prstGeom>
                    <a:noFill/>
                    <a:ln>
                      <a:noFill/>
                    </a:ln>
                  </pic:spPr>
                </pic:pic>
              </a:graphicData>
            </a:graphic>
          </wp:inline>
        </w:drawing>
      </w:r>
    </w:p>
    <w:p w14:paraId="78907626">
      <w:pPr>
        <w:bidi w:val="0"/>
        <w:jc w:val="center"/>
        <w:rPr>
          <w:rFonts w:hint="eastAsia"/>
        </w:rPr>
      </w:pPr>
      <w:r>
        <w:rPr>
          <w:rFonts w:hint="eastAsia"/>
        </w:rPr>
        <w:t xml:space="preserve">表3.1-3  </w:t>
      </w:r>
      <w:r>
        <w:rPr>
          <w:rFonts w:hint="eastAsia"/>
          <w:lang w:eastAsia="zh-CN"/>
        </w:rPr>
        <w:t>XGT8040-25</w:t>
      </w:r>
      <w:r>
        <w:rPr>
          <w:rFonts w:hint="eastAsia"/>
        </w:rPr>
        <w:t>塔吊主要结构尺寸参数表</w:t>
      </w:r>
    </w:p>
    <w:tbl>
      <w:tblPr>
        <w:tblStyle w:val="302"/>
        <w:tblW w:w="962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701"/>
        <w:gridCol w:w="977"/>
        <w:gridCol w:w="936"/>
        <w:gridCol w:w="2292"/>
        <w:gridCol w:w="1909"/>
      </w:tblGrid>
      <w:tr w14:paraId="3DAFC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809" w:type="dxa"/>
            <w:shd w:val="clear" w:color="auto" w:fill="D6DCE4" w:themeFill="text2" w:themeFillTint="33"/>
            <w:vAlign w:val="center"/>
          </w:tcPr>
          <w:p w14:paraId="60912182">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名称</w:t>
            </w:r>
          </w:p>
        </w:tc>
        <w:tc>
          <w:tcPr>
            <w:tcW w:w="1701" w:type="dxa"/>
            <w:shd w:val="clear" w:color="auto" w:fill="D6DCE4" w:themeFill="text2" w:themeFillTint="33"/>
            <w:vAlign w:val="center"/>
          </w:tcPr>
          <w:p w14:paraId="2B44D557">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外形尺寸</w:t>
            </w:r>
          </w:p>
          <w:p w14:paraId="2A95EB5D">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长×宽×高（m）</w:t>
            </w:r>
          </w:p>
        </w:tc>
        <w:tc>
          <w:tcPr>
            <w:tcW w:w="977" w:type="dxa"/>
            <w:shd w:val="clear" w:color="auto" w:fill="D6DCE4" w:themeFill="text2" w:themeFillTint="33"/>
            <w:vAlign w:val="center"/>
          </w:tcPr>
          <w:p w14:paraId="28461181">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重量（kg）</w:t>
            </w:r>
          </w:p>
        </w:tc>
        <w:tc>
          <w:tcPr>
            <w:tcW w:w="936" w:type="dxa"/>
            <w:shd w:val="clear" w:color="auto" w:fill="D6DCE4" w:themeFill="text2" w:themeFillTint="33"/>
            <w:vAlign w:val="center"/>
          </w:tcPr>
          <w:p w14:paraId="34E97001">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数量</w:t>
            </w:r>
          </w:p>
          <w:p w14:paraId="7EB12E12">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（件）</w:t>
            </w:r>
          </w:p>
        </w:tc>
        <w:tc>
          <w:tcPr>
            <w:tcW w:w="2292" w:type="dxa"/>
            <w:shd w:val="clear" w:color="auto" w:fill="D6DCE4" w:themeFill="text2" w:themeFillTint="33"/>
            <w:vAlign w:val="center"/>
          </w:tcPr>
          <w:p w14:paraId="108F7AD6">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吊点位置</w:t>
            </w:r>
          </w:p>
        </w:tc>
        <w:tc>
          <w:tcPr>
            <w:tcW w:w="1909" w:type="dxa"/>
            <w:shd w:val="clear" w:color="auto" w:fill="D6DCE4" w:themeFill="text2" w:themeFillTint="33"/>
            <w:vAlign w:val="center"/>
          </w:tcPr>
          <w:p w14:paraId="53B750DD">
            <w:pPr>
              <w:pStyle w:val="75"/>
              <w:rPr>
                <w:rFonts w:eastAsia="宋体" w:cstheme="minorBidi"/>
                <w:b w:val="0"/>
                <w:color w:val="000000" w:themeColor="text1"/>
                <w:kern w:val="2"/>
                <w14:textFill>
                  <w14:solidFill>
                    <w14:schemeClr w14:val="tx1"/>
                  </w14:solidFill>
                </w14:textFill>
              </w:rPr>
            </w:pPr>
            <w:r>
              <w:rPr>
                <w:rFonts w:hint="eastAsia" w:eastAsia="宋体" w:cstheme="minorBidi"/>
                <w:b/>
                <w:color w:val="000000" w:themeColor="text1"/>
                <w:kern w:val="2"/>
                <w14:textFill>
                  <w14:solidFill>
                    <w14:schemeClr w14:val="tx1"/>
                  </w14:solidFill>
                </w14:textFill>
              </w:rPr>
              <w:t>备注</w:t>
            </w:r>
          </w:p>
        </w:tc>
      </w:tr>
      <w:tr w14:paraId="72F20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1C04810B">
            <w:pPr>
              <w:pStyle w:val="76"/>
              <w:ind w:firstLine="0" w:firstLineChars="0"/>
              <w:rPr>
                <w:rFonts w:hint="eastAsia" w:eastAsia="仿宋" w:cstheme="minorBidi"/>
                <w:color w:val="000000" w:themeColor="text1"/>
                <w:kern w:val="0"/>
                <w:lang w:eastAsia="zh-CN"/>
                <w14:textFill>
                  <w14:solidFill>
                    <w14:schemeClr w14:val="tx1"/>
                  </w14:solidFill>
                </w14:textFill>
              </w:rPr>
            </w:pPr>
            <w:r>
              <w:rPr>
                <w:rFonts w:hint="eastAsia"/>
                <w:lang w:val="en-US" w:eastAsia="zh-CN"/>
              </w:rPr>
              <w:t>加强节</w:t>
            </w:r>
          </w:p>
        </w:tc>
        <w:tc>
          <w:tcPr>
            <w:tcW w:w="1701" w:type="dxa"/>
            <w:shd w:val="clear" w:color="auto" w:fill="FFFFFF" w:themeFill="background1"/>
            <w:vAlign w:val="center"/>
          </w:tcPr>
          <w:p w14:paraId="3B2D008E">
            <w:pPr>
              <w:pStyle w:val="76"/>
              <w:ind w:firstLine="0" w:firstLineChars="0"/>
              <w:rPr>
                <w:rFonts w:hint="default" w:eastAsia="仿宋" w:cstheme="minorBidi"/>
                <w:color w:val="000000" w:themeColor="text1"/>
                <w:kern w:val="0"/>
                <w:lang w:val="en-US" w:eastAsia="zh-CN"/>
                <w14:textFill>
                  <w14:solidFill>
                    <w14:schemeClr w14:val="tx1"/>
                  </w14:solidFill>
                </w14:textFill>
              </w:rPr>
            </w:pPr>
            <w:r>
              <w:rPr>
                <w:rFonts w:hint="eastAsia"/>
                <w:lang w:val="en-US" w:eastAsia="zh-CN"/>
              </w:rPr>
              <w:t>2.5</w:t>
            </w:r>
            <w:r>
              <w:rPr>
                <w:rFonts w:hint="eastAsia"/>
              </w:rPr>
              <w:t>×</w:t>
            </w:r>
            <w:r>
              <w:rPr>
                <w:rFonts w:hint="eastAsia"/>
                <w:lang w:val="en-US" w:eastAsia="zh-CN"/>
              </w:rPr>
              <w:t>2.5</w:t>
            </w:r>
            <w:r>
              <w:rPr>
                <w:rFonts w:hint="eastAsia"/>
              </w:rPr>
              <w:t>×</w:t>
            </w:r>
            <w:r>
              <w:rPr>
                <w:rFonts w:hint="eastAsia"/>
                <w:lang w:val="en-US" w:eastAsia="zh-CN"/>
              </w:rPr>
              <w:t>5.95</w:t>
            </w:r>
          </w:p>
        </w:tc>
        <w:tc>
          <w:tcPr>
            <w:tcW w:w="977" w:type="dxa"/>
            <w:shd w:val="clear" w:color="auto" w:fill="FFFFFF" w:themeFill="background1"/>
            <w:vAlign w:val="center"/>
          </w:tcPr>
          <w:p w14:paraId="072DBDC5">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6325</w:t>
            </w:r>
          </w:p>
        </w:tc>
        <w:tc>
          <w:tcPr>
            <w:tcW w:w="936" w:type="dxa"/>
            <w:shd w:val="clear" w:color="auto" w:fill="FFFFFF" w:themeFill="background1"/>
            <w:vAlign w:val="center"/>
          </w:tcPr>
          <w:p w14:paraId="0112589D">
            <w:pPr>
              <w:pStyle w:val="75"/>
              <w:rPr>
                <w:rFonts w:cstheme="minorBidi"/>
                <w:color w:val="000000" w:themeColor="text1"/>
                <w:kern w:val="0"/>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40B218EB">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5C7DAAFD">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塔身节</w:t>
            </w:r>
          </w:p>
        </w:tc>
      </w:tr>
      <w:tr w14:paraId="0AA2DD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72A89FA4">
            <w:pPr>
              <w:pStyle w:val="76"/>
              <w:ind w:firstLine="0" w:firstLineChars="0"/>
              <w:rPr>
                <w:rFonts w:hint="default" w:eastAsia="仿宋" w:cstheme="minorBidi"/>
                <w:color w:val="000000" w:themeColor="text1"/>
                <w:kern w:val="0"/>
                <w:lang w:val="en-US" w:eastAsia="zh-CN"/>
                <w14:textFill>
                  <w14:solidFill>
                    <w14:schemeClr w14:val="tx1"/>
                  </w14:solidFill>
                </w14:textFill>
              </w:rPr>
            </w:pPr>
            <w:r>
              <w:rPr>
                <w:rFonts w:hint="eastAsia"/>
                <w:lang w:val="en-US" w:eastAsia="zh-CN"/>
              </w:rPr>
              <w:t>套架</w:t>
            </w:r>
          </w:p>
        </w:tc>
        <w:tc>
          <w:tcPr>
            <w:tcW w:w="1701" w:type="dxa"/>
            <w:shd w:val="clear" w:color="auto" w:fill="FFFFFF" w:themeFill="background1"/>
            <w:vAlign w:val="center"/>
          </w:tcPr>
          <w:p w14:paraId="7FBD29FC">
            <w:pPr>
              <w:pStyle w:val="76"/>
              <w:ind w:firstLine="0" w:firstLineChars="0"/>
              <w:rPr>
                <w:rFonts w:hint="default" w:eastAsia="仿宋" w:cstheme="minorBidi"/>
                <w:color w:val="000000" w:themeColor="text1"/>
                <w:kern w:val="0"/>
                <w:lang w:val="en-US" w:eastAsia="zh-CN"/>
                <w14:textFill>
                  <w14:solidFill>
                    <w14:schemeClr w14:val="tx1"/>
                  </w14:solidFill>
                </w14:textFill>
              </w:rPr>
            </w:pPr>
            <w:r>
              <w:rPr>
                <w:rFonts w:hint="eastAsia"/>
                <w:lang w:val="en-US" w:eastAsia="zh-CN"/>
              </w:rPr>
              <w:t>3.28</w:t>
            </w:r>
            <w:r>
              <w:rPr>
                <w:rFonts w:hint="eastAsia"/>
              </w:rPr>
              <w:t>×</w:t>
            </w:r>
            <w:r>
              <w:rPr>
                <w:rFonts w:hint="eastAsia"/>
                <w:lang w:val="en-US" w:eastAsia="zh-CN"/>
              </w:rPr>
              <w:t>3.58</w:t>
            </w:r>
            <w:r>
              <w:rPr>
                <w:rFonts w:hint="eastAsia"/>
              </w:rPr>
              <w:t>×</w:t>
            </w:r>
            <w:r>
              <w:rPr>
                <w:rFonts w:hint="eastAsia"/>
                <w:lang w:val="en-US" w:eastAsia="zh-CN"/>
              </w:rPr>
              <w:t>11.96</w:t>
            </w:r>
          </w:p>
        </w:tc>
        <w:tc>
          <w:tcPr>
            <w:tcW w:w="977" w:type="dxa"/>
            <w:shd w:val="clear" w:color="auto" w:fill="FFFFFF" w:themeFill="background1"/>
            <w:vAlign w:val="center"/>
          </w:tcPr>
          <w:p w14:paraId="4C372B4A">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15620</w:t>
            </w:r>
          </w:p>
        </w:tc>
        <w:tc>
          <w:tcPr>
            <w:tcW w:w="936" w:type="dxa"/>
            <w:shd w:val="clear" w:color="auto" w:fill="FFFFFF" w:themeFill="background1"/>
            <w:vAlign w:val="center"/>
          </w:tcPr>
          <w:p w14:paraId="714A1073">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211098BE">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3002B5D6">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包括油缸、泵站、平台、护栏</w:t>
            </w:r>
          </w:p>
        </w:tc>
      </w:tr>
      <w:tr w14:paraId="7805C0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5BCA0C42">
            <w:pPr>
              <w:pStyle w:val="76"/>
              <w:ind w:firstLine="0" w:firstLineChars="0"/>
              <w:rPr>
                <w:rFonts w:hint="eastAsia" w:eastAsia="仿宋" w:cstheme="minorBidi"/>
                <w:color w:val="000000" w:themeColor="text1"/>
                <w:kern w:val="0"/>
                <w:lang w:eastAsia="zh-CN"/>
                <w14:textFill>
                  <w14:solidFill>
                    <w14:schemeClr w14:val="tx1"/>
                  </w14:solidFill>
                </w14:textFill>
              </w:rPr>
            </w:pPr>
            <w:r>
              <w:rPr>
                <w:rFonts w:hint="eastAsia"/>
                <w:lang w:val="en-US" w:eastAsia="zh-CN"/>
              </w:rPr>
              <w:t>标准节</w:t>
            </w:r>
          </w:p>
        </w:tc>
        <w:tc>
          <w:tcPr>
            <w:tcW w:w="1701" w:type="dxa"/>
            <w:shd w:val="clear" w:color="auto" w:fill="FFFFFF" w:themeFill="background1"/>
            <w:vAlign w:val="center"/>
          </w:tcPr>
          <w:p w14:paraId="2D058F6F">
            <w:pPr>
              <w:pStyle w:val="76"/>
              <w:ind w:firstLine="0" w:firstLineChars="0"/>
              <w:rPr>
                <w:rFonts w:hint="eastAsia" w:eastAsia="宋体" w:cstheme="minorBidi"/>
                <w:color w:val="000000" w:themeColor="text1"/>
                <w:kern w:val="0"/>
                <w:lang w:val="en-US" w:eastAsia="zh-CN"/>
                <w14:textFill>
                  <w14:solidFill>
                    <w14:schemeClr w14:val="tx1"/>
                  </w14:solidFill>
                </w14:textFill>
              </w:rPr>
            </w:pPr>
            <w:r>
              <w:rPr>
                <w:rFonts w:hint="eastAsia"/>
                <w:lang w:val="en-US" w:eastAsia="zh-CN"/>
              </w:rPr>
              <w:t>2.5</w:t>
            </w:r>
            <w:r>
              <w:rPr>
                <w:rFonts w:hint="eastAsia"/>
              </w:rPr>
              <w:t>×</w:t>
            </w:r>
            <w:r>
              <w:rPr>
                <w:rFonts w:hint="eastAsia"/>
                <w:lang w:val="en-US" w:eastAsia="zh-CN"/>
              </w:rPr>
              <w:t>2.5</w:t>
            </w:r>
            <w:r>
              <w:rPr>
                <w:rFonts w:hint="eastAsia"/>
              </w:rPr>
              <w:t>×</w:t>
            </w:r>
            <w:r>
              <w:rPr>
                <w:rFonts w:hint="eastAsia"/>
                <w:lang w:val="en-US" w:eastAsia="zh-CN"/>
              </w:rPr>
              <w:t>5.95</w:t>
            </w:r>
          </w:p>
        </w:tc>
        <w:tc>
          <w:tcPr>
            <w:tcW w:w="977" w:type="dxa"/>
            <w:shd w:val="clear" w:color="auto" w:fill="FFFFFF" w:themeFill="background1"/>
            <w:vAlign w:val="center"/>
          </w:tcPr>
          <w:p w14:paraId="140ECAD6">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5730</w:t>
            </w:r>
          </w:p>
        </w:tc>
        <w:tc>
          <w:tcPr>
            <w:tcW w:w="936" w:type="dxa"/>
            <w:shd w:val="clear" w:color="auto" w:fill="FFFFFF" w:themeFill="background1"/>
            <w:vAlign w:val="center"/>
          </w:tcPr>
          <w:p w14:paraId="7208FD9D">
            <w:pPr>
              <w:pStyle w:val="75"/>
              <w:rPr>
                <w:rFonts w:cstheme="minorBidi"/>
                <w:color w:val="000000" w:themeColor="text1"/>
                <w:kern w:val="0"/>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1E2F045D">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463C722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塔身节</w:t>
            </w:r>
          </w:p>
        </w:tc>
      </w:tr>
      <w:tr w14:paraId="53BEA3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32D41512">
            <w:pPr>
              <w:pStyle w:val="76"/>
              <w:ind w:firstLine="0" w:firstLineChars="0"/>
              <w:rPr>
                <w:rFonts w:hint="default" w:eastAsia="宋体"/>
                <w:lang w:val="en-US" w:eastAsia="zh-CN"/>
              </w:rPr>
            </w:pPr>
            <w:r>
              <w:rPr>
                <w:rFonts w:hint="eastAsia"/>
              </w:rPr>
              <w:t>回转总成（含司机室）</w:t>
            </w:r>
          </w:p>
        </w:tc>
        <w:tc>
          <w:tcPr>
            <w:tcW w:w="1701" w:type="dxa"/>
            <w:shd w:val="clear" w:color="auto" w:fill="FFFFFF" w:themeFill="background1"/>
            <w:vAlign w:val="center"/>
          </w:tcPr>
          <w:p w14:paraId="1B0AA719">
            <w:pPr>
              <w:pStyle w:val="76"/>
              <w:ind w:firstLine="0" w:firstLineChars="0"/>
              <w:rPr>
                <w:rFonts w:hint="default" w:eastAsia="宋体"/>
                <w:lang w:val="en-US" w:eastAsia="zh-CN"/>
              </w:rPr>
            </w:pPr>
            <w:r>
              <w:rPr>
                <w:rFonts w:hint="eastAsia"/>
                <w:lang w:val="en-US" w:eastAsia="zh-CN"/>
              </w:rPr>
              <w:t>3.19</w:t>
            </w:r>
            <w:r>
              <w:rPr>
                <w:rFonts w:hint="eastAsia"/>
              </w:rPr>
              <w:t>×</w:t>
            </w:r>
            <w:r>
              <w:rPr>
                <w:rFonts w:hint="eastAsia"/>
                <w:lang w:val="en-US" w:eastAsia="zh-CN"/>
              </w:rPr>
              <w:t>2.99</w:t>
            </w:r>
            <w:r>
              <w:rPr>
                <w:rFonts w:hint="eastAsia"/>
              </w:rPr>
              <w:t>×</w:t>
            </w:r>
            <w:r>
              <w:rPr>
                <w:rFonts w:hint="eastAsia"/>
                <w:lang w:val="en-US" w:eastAsia="zh-CN"/>
              </w:rPr>
              <w:t>2.56</w:t>
            </w:r>
          </w:p>
        </w:tc>
        <w:tc>
          <w:tcPr>
            <w:tcW w:w="977" w:type="dxa"/>
            <w:shd w:val="clear" w:color="auto" w:fill="FFFFFF" w:themeFill="background1"/>
            <w:vAlign w:val="center"/>
          </w:tcPr>
          <w:p w14:paraId="04DCB382">
            <w:pPr>
              <w:pStyle w:val="76"/>
              <w:ind w:firstLine="0" w:firstLineChars="0"/>
              <w:rPr>
                <w:rFonts w:hint="default"/>
                <w:lang w:val="en-US" w:eastAsia="zh-CN"/>
              </w:rPr>
            </w:pPr>
            <w:r>
              <w:rPr>
                <w:rFonts w:hint="eastAsia"/>
                <w:lang w:val="en-US" w:eastAsia="zh-CN"/>
              </w:rPr>
              <w:t>17080</w:t>
            </w:r>
          </w:p>
        </w:tc>
        <w:tc>
          <w:tcPr>
            <w:tcW w:w="936" w:type="dxa"/>
            <w:shd w:val="clear" w:color="auto" w:fill="FFFFFF" w:themeFill="background1"/>
            <w:vAlign w:val="center"/>
          </w:tcPr>
          <w:p w14:paraId="660D9B8D">
            <w:pPr>
              <w:pStyle w:val="75"/>
              <w:rPr>
                <w:rFonts w:hint="eastAsia"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w:t>
            </w:r>
            <w:r>
              <w:rPr>
                <w:rFonts w:hint="eastAsia" w:cstheme="minorBidi"/>
                <w:color w:val="000000" w:themeColor="text1"/>
                <w:kern w:val="0"/>
                <w14:textFill>
                  <w14:solidFill>
                    <w14:schemeClr w14:val="tx1"/>
                  </w14:solidFill>
                </w14:textFill>
              </w:rPr>
              <w:t>件</w:t>
            </w:r>
          </w:p>
        </w:tc>
        <w:tc>
          <w:tcPr>
            <w:tcW w:w="2292" w:type="dxa"/>
            <w:shd w:val="clear" w:color="auto" w:fill="FFFFFF" w:themeFill="background1"/>
            <w:vAlign w:val="center"/>
          </w:tcPr>
          <w:p w14:paraId="3AE2A08E">
            <w:pPr>
              <w:pStyle w:val="75"/>
              <w:rPr>
                <w:rFonts w:hint="eastAsia"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724CC0F0">
            <w:pPr>
              <w:pStyle w:val="75"/>
              <w:rPr>
                <w:rFonts w:hint="eastAsia"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包括上支座(含平台、护栏)、下支座、回转支承、回转机构</w:t>
            </w:r>
          </w:p>
        </w:tc>
      </w:tr>
      <w:tr w14:paraId="2281C9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809" w:type="dxa"/>
            <w:shd w:val="clear" w:color="auto" w:fill="FFFFFF" w:themeFill="background1"/>
            <w:vAlign w:val="center"/>
          </w:tcPr>
          <w:p w14:paraId="4172B51D">
            <w:pPr>
              <w:pStyle w:val="76"/>
              <w:ind w:firstLine="0" w:firstLineChars="0"/>
              <w:rPr>
                <w:rFonts w:hint="eastAsia" w:eastAsia="仿宋" w:cstheme="minorBidi"/>
                <w:color w:val="000000" w:themeColor="text1"/>
                <w:kern w:val="0"/>
                <w:lang w:eastAsia="zh-CN"/>
                <w14:textFill>
                  <w14:solidFill>
                    <w14:schemeClr w14:val="tx1"/>
                  </w14:solidFill>
                </w14:textFill>
              </w:rPr>
            </w:pPr>
            <w:r>
              <w:rPr>
                <w:rFonts w:hint="eastAsia"/>
                <w:lang w:val="en-US" w:eastAsia="zh-CN"/>
              </w:rPr>
              <w:t>塔顶</w:t>
            </w:r>
          </w:p>
        </w:tc>
        <w:tc>
          <w:tcPr>
            <w:tcW w:w="1701" w:type="dxa"/>
            <w:shd w:val="clear" w:color="auto" w:fill="FFFFFF" w:themeFill="background1"/>
            <w:vAlign w:val="center"/>
          </w:tcPr>
          <w:p w14:paraId="608AF1BD">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3.16</w:t>
            </w:r>
            <w:r>
              <w:rPr>
                <w:rFonts w:hint="eastAsia"/>
              </w:rPr>
              <w:t>×</w:t>
            </w:r>
            <w:r>
              <w:rPr>
                <w:rFonts w:hint="eastAsia"/>
                <w:lang w:val="en-US" w:eastAsia="zh-CN"/>
              </w:rPr>
              <w:t>1.69</w:t>
            </w:r>
            <w:r>
              <w:rPr>
                <w:rFonts w:hint="eastAsia"/>
              </w:rPr>
              <w:t>×</w:t>
            </w:r>
            <w:r>
              <w:rPr>
                <w:rFonts w:hint="eastAsia"/>
                <w:lang w:val="en-US" w:eastAsia="zh-CN"/>
              </w:rPr>
              <w:t>6.23</w:t>
            </w:r>
          </w:p>
        </w:tc>
        <w:tc>
          <w:tcPr>
            <w:tcW w:w="977" w:type="dxa"/>
            <w:shd w:val="clear" w:color="auto" w:fill="FFFFFF" w:themeFill="background1"/>
            <w:vAlign w:val="center"/>
          </w:tcPr>
          <w:p w14:paraId="0233509E">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6785</w:t>
            </w:r>
          </w:p>
        </w:tc>
        <w:tc>
          <w:tcPr>
            <w:tcW w:w="936" w:type="dxa"/>
            <w:shd w:val="clear" w:color="auto" w:fill="FFFFFF" w:themeFill="background1"/>
            <w:vAlign w:val="center"/>
          </w:tcPr>
          <w:p w14:paraId="61095B2C">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51846C1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10CDBB73">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包括力矩限制器</w:t>
            </w:r>
          </w:p>
        </w:tc>
      </w:tr>
      <w:tr w14:paraId="6D2449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20CD722B">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起重臂臂根节</w:t>
            </w:r>
          </w:p>
        </w:tc>
        <w:tc>
          <w:tcPr>
            <w:tcW w:w="1701" w:type="dxa"/>
            <w:shd w:val="clear" w:color="auto" w:fill="FFFFFF" w:themeFill="background1"/>
            <w:vAlign w:val="center"/>
          </w:tcPr>
          <w:p w14:paraId="7B3C1E97">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5</w:t>
            </w:r>
            <w:r>
              <w:rPr>
                <w:rFonts w:hint="eastAsia"/>
              </w:rPr>
              <w:t>×</w:t>
            </w:r>
            <w:r>
              <w:rPr>
                <w:rFonts w:hint="eastAsia"/>
                <w:lang w:val="en-US" w:eastAsia="zh-CN"/>
              </w:rPr>
              <w:t>1.548</w:t>
            </w:r>
            <w:r>
              <w:rPr>
                <w:rFonts w:hint="eastAsia"/>
              </w:rPr>
              <w:t>×</w:t>
            </w:r>
            <w:r>
              <w:rPr>
                <w:rFonts w:hint="eastAsia"/>
                <w:lang w:val="en-US" w:eastAsia="zh-CN"/>
              </w:rPr>
              <w:t>2.31</w:t>
            </w:r>
          </w:p>
        </w:tc>
        <w:tc>
          <w:tcPr>
            <w:tcW w:w="977" w:type="dxa"/>
            <w:shd w:val="clear" w:color="auto" w:fill="FFFFFF" w:themeFill="background1"/>
            <w:vAlign w:val="center"/>
          </w:tcPr>
          <w:p w14:paraId="77B936B8">
            <w:pPr>
              <w:pStyle w:val="76"/>
              <w:ind w:firstLine="0" w:firstLineChars="0"/>
              <w:rPr>
                <w:rFonts w:hint="default" w:eastAsia="宋体" w:cstheme="minorBidi"/>
                <w:color w:val="000000" w:themeColor="text1"/>
                <w:kern w:val="0"/>
                <w:lang w:val="en-US" w:eastAsia="zh-CN"/>
                <w14:textFill>
                  <w14:solidFill>
                    <w14:schemeClr w14:val="tx1"/>
                  </w14:solidFill>
                </w14:textFill>
              </w:rPr>
            </w:pPr>
            <w:r>
              <w:rPr>
                <w:rFonts w:hint="eastAsia"/>
                <w:lang w:val="en-US" w:eastAsia="zh-CN"/>
              </w:rPr>
              <w:t>3744</w:t>
            </w:r>
          </w:p>
        </w:tc>
        <w:tc>
          <w:tcPr>
            <w:tcW w:w="936" w:type="dxa"/>
            <w:shd w:val="clear" w:color="auto" w:fill="FFFFFF" w:themeFill="background1"/>
            <w:vAlign w:val="center"/>
          </w:tcPr>
          <w:p w14:paraId="58B547FB">
            <w:pPr>
              <w:pStyle w:val="75"/>
              <w:rPr>
                <w:rFonts w:cstheme="minorBidi"/>
                <w:color w:val="000000" w:themeColor="text1"/>
                <w:kern w:val="0"/>
                <w14:textFill>
                  <w14:solidFill>
                    <w14:schemeClr w14:val="tx1"/>
                  </w14:solidFill>
                </w14:textFill>
              </w:rPr>
            </w:pPr>
            <w:r>
              <w:rPr>
                <w:rFonts w:hint="eastAsia" w:cstheme="minorBidi"/>
                <w:color w:val="000000" w:themeColor="text1"/>
                <w:kern w:val="0"/>
                <w14:textFill>
                  <w14:solidFill>
                    <w14:schemeClr w14:val="tx1"/>
                  </w14:solidFill>
                </w14:textFill>
              </w:rPr>
              <w:t>1件</w:t>
            </w:r>
          </w:p>
        </w:tc>
        <w:tc>
          <w:tcPr>
            <w:tcW w:w="2292" w:type="dxa"/>
            <w:shd w:val="clear" w:color="auto" w:fill="FFFFFF" w:themeFill="background1"/>
            <w:vAlign w:val="center"/>
          </w:tcPr>
          <w:p w14:paraId="6452D839">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1D33C7D7">
            <w:pPr>
              <w:pStyle w:val="75"/>
              <w:rPr>
                <w:rFonts w:cstheme="minorBidi"/>
                <w:color w:val="000000" w:themeColor="text1"/>
                <w:kern w:val="2"/>
                <w14:textFill>
                  <w14:solidFill>
                    <w14:schemeClr w14:val="tx1"/>
                  </w14:solidFill>
                </w14:textFill>
              </w:rPr>
            </w:pPr>
          </w:p>
        </w:tc>
      </w:tr>
      <w:tr w14:paraId="25D7E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09" w:type="dxa"/>
            <w:shd w:val="clear" w:color="auto" w:fill="FFFFFF" w:themeFill="background1"/>
            <w:vAlign w:val="center"/>
          </w:tcPr>
          <w:p w14:paraId="39C0F7FF">
            <w:pPr>
              <w:pStyle w:val="76"/>
              <w:ind w:firstLine="0" w:firstLineChars="0"/>
              <w:rPr>
                <w:rFonts w:hint="default" w:cstheme="minorBidi"/>
                <w:color w:val="000000" w:themeColor="text1"/>
                <w:kern w:val="0"/>
                <w:lang w:val="en-US"/>
                <w14:textFill>
                  <w14:solidFill>
                    <w14:schemeClr w14:val="tx1"/>
                  </w14:solidFill>
                </w14:textFill>
              </w:rPr>
            </w:pPr>
            <w:r>
              <w:rPr>
                <w:rFonts w:hint="eastAsia"/>
                <w:lang w:val="en-US" w:eastAsia="zh-CN"/>
              </w:rPr>
              <w:t>平衡臂总成</w:t>
            </w:r>
          </w:p>
        </w:tc>
        <w:tc>
          <w:tcPr>
            <w:tcW w:w="1701" w:type="dxa"/>
            <w:shd w:val="clear" w:color="auto" w:fill="FFFFFF" w:themeFill="background1"/>
            <w:vAlign w:val="center"/>
          </w:tcPr>
          <w:p w14:paraId="0611A476">
            <w:pPr>
              <w:pStyle w:val="76"/>
              <w:ind w:firstLine="0" w:firstLineChars="0"/>
              <w:rPr>
                <w:rFonts w:hint="default"/>
                <w:lang w:val="en-US" w:eastAsia="zh-CN"/>
              </w:rPr>
            </w:pPr>
            <w:r>
              <w:rPr>
                <w:rFonts w:hint="eastAsia"/>
                <w:lang w:val="en-US" w:eastAsia="zh-CN"/>
              </w:rPr>
              <w:t>6.78</w:t>
            </w:r>
            <w:r>
              <w:rPr>
                <w:rFonts w:hint="eastAsia"/>
              </w:rPr>
              <w:t>×</w:t>
            </w:r>
            <w:r>
              <w:rPr>
                <w:rFonts w:hint="eastAsia"/>
                <w:lang w:val="en-US" w:eastAsia="zh-CN"/>
              </w:rPr>
              <w:t>1.43</w:t>
            </w:r>
            <w:r>
              <w:rPr>
                <w:rFonts w:hint="eastAsia"/>
              </w:rPr>
              <w:t>×</w:t>
            </w:r>
            <w:r>
              <w:rPr>
                <w:rFonts w:hint="eastAsia"/>
                <w:lang w:val="en-US" w:eastAsia="zh-CN"/>
              </w:rPr>
              <w:t>2.198</w:t>
            </w:r>
          </w:p>
          <w:p w14:paraId="4E204CD0">
            <w:pPr>
              <w:pStyle w:val="76"/>
              <w:ind w:firstLine="0" w:firstLineChars="0"/>
              <w:rPr>
                <w:rFonts w:hint="default"/>
                <w:lang w:val="en-US" w:eastAsia="zh-CN"/>
              </w:rPr>
            </w:pPr>
            <w:r>
              <w:rPr>
                <w:rFonts w:hint="eastAsia"/>
                <w:lang w:val="en-US" w:eastAsia="zh-CN"/>
              </w:rPr>
              <w:t>4.03</w:t>
            </w:r>
            <w:r>
              <w:rPr>
                <w:rFonts w:hint="eastAsia"/>
              </w:rPr>
              <w:t>×</w:t>
            </w:r>
            <w:r>
              <w:rPr>
                <w:rFonts w:hint="eastAsia"/>
                <w:lang w:val="en-US" w:eastAsia="zh-CN"/>
              </w:rPr>
              <w:t>1.98</w:t>
            </w:r>
            <w:r>
              <w:rPr>
                <w:rFonts w:hint="eastAsia"/>
              </w:rPr>
              <w:t>×</w:t>
            </w:r>
            <w:r>
              <w:rPr>
                <w:rFonts w:hint="eastAsia"/>
                <w:lang w:val="en-US" w:eastAsia="zh-CN"/>
              </w:rPr>
              <w:t>0.71</w:t>
            </w:r>
          </w:p>
          <w:p w14:paraId="18B14A13">
            <w:pPr>
              <w:pStyle w:val="76"/>
              <w:ind w:firstLine="0" w:firstLineChars="0"/>
              <w:rPr>
                <w:rFonts w:hint="default"/>
                <w:lang w:val="en-US" w:eastAsia="zh-CN"/>
              </w:rPr>
            </w:pPr>
            <w:r>
              <w:rPr>
                <w:rFonts w:hint="eastAsia"/>
                <w:lang w:val="en-US" w:eastAsia="zh-CN"/>
              </w:rPr>
              <w:t>11.69</w:t>
            </w:r>
            <w:r>
              <w:rPr>
                <w:rFonts w:hint="eastAsia"/>
              </w:rPr>
              <w:t>×</w:t>
            </w:r>
            <w:r>
              <w:rPr>
                <w:rFonts w:hint="eastAsia"/>
                <w:lang w:val="en-US" w:eastAsia="zh-CN"/>
              </w:rPr>
              <w:t>1.98</w:t>
            </w:r>
            <w:r>
              <w:rPr>
                <w:rFonts w:hint="eastAsia"/>
              </w:rPr>
              <w:t>×</w:t>
            </w:r>
            <w:r>
              <w:rPr>
                <w:rFonts w:hint="eastAsia"/>
                <w:lang w:val="en-US" w:eastAsia="zh-CN"/>
              </w:rPr>
              <w:t>0.71</w:t>
            </w:r>
          </w:p>
        </w:tc>
        <w:tc>
          <w:tcPr>
            <w:tcW w:w="977" w:type="dxa"/>
            <w:shd w:val="clear" w:color="auto" w:fill="FFFFFF" w:themeFill="background1"/>
            <w:vAlign w:val="center"/>
          </w:tcPr>
          <w:p w14:paraId="2776058C">
            <w:pPr>
              <w:pStyle w:val="76"/>
              <w:ind w:firstLine="0" w:firstLineChars="0"/>
              <w:rPr>
                <w:rFonts w:hint="eastAsia"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3509</w:t>
            </w:r>
          </w:p>
          <w:p w14:paraId="6ACDC1D2">
            <w:pPr>
              <w:pStyle w:val="76"/>
              <w:ind w:firstLine="0" w:firstLineChars="0"/>
              <w:rPr>
                <w:rFonts w:hint="eastAsia"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1776</w:t>
            </w:r>
          </w:p>
          <w:p w14:paraId="13D98D5C">
            <w:pPr>
              <w:pStyle w:val="76"/>
              <w:ind w:firstLine="0" w:firstLineChars="0"/>
              <w:rPr>
                <w:rFonts w:hint="default"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4913</w:t>
            </w:r>
          </w:p>
        </w:tc>
        <w:tc>
          <w:tcPr>
            <w:tcW w:w="936" w:type="dxa"/>
            <w:shd w:val="clear" w:color="auto" w:fill="FFFFFF" w:themeFill="background1"/>
            <w:vAlign w:val="center"/>
          </w:tcPr>
          <w:p w14:paraId="5288488E">
            <w:pPr>
              <w:pStyle w:val="75"/>
              <w:spacing w:line="240" w:lineRule="auto"/>
              <w:rPr>
                <w:rFonts w:hint="eastAsia" w:eastAsia="仿宋"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3件</w:t>
            </w:r>
          </w:p>
        </w:tc>
        <w:tc>
          <w:tcPr>
            <w:tcW w:w="2292" w:type="dxa"/>
            <w:shd w:val="clear" w:color="auto" w:fill="FFFFFF" w:themeFill="background1"/>
            <w:vAlign w:val="center"/>
          </w:tcPr>
          <w:p w14:paraId="2FA62651">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上部四角靠内侧四个销轴孔</w:t>
            </w:r>
          </w:p>
        </w:tc>
        <w:tc>
          <w:tcPr>
            <w:tcW w:w="1909" w:type="dxa"/>
            <w:shd w:val="clear" w:color="auto" w:fill="FFFFFF" w:themeFill="background1"/>
            <w:vAlign w:val="center"/>
          </w:tcPr>
          <w:p w14:paraId="301CCEFF">
            <w:pPr>
              <w:pStyle w:val="75"/>
              <w:rPr>
                <w:rFonts w:cstheme="minorBidi"/>
                <w:color w:val="000000" w:themeColor="text1"/>
                <w:kern w:val="2"/>
                <w14:textFill>
                  <w14:solidFill>
                    <w14:schemeClr w14:val="tx1"/>
                  </w14:solidFill>
                </w14:textFill>
              </w:rPr>
            </w:pPr>
            <w:r>
              <w:rPr>
                <w:rFonts w:hint="eastAsia" w:cstheme="minorBidi"/>
                <w:color w:val="000000" w:themeColor="text1"/>
                <w:kern w:val="2"/>
                <w14:textFill>
                  <w14:solidFill>
                    <w14:schemeClr w14:val="tx1"/>
                  </w14:solidFill>
                </w14:textFill>
              </w:rPr>
              <w:t>包括平衡臂、起升机构、配电柜、部分平衡臂拉杆</w:t>
            </w:r>
          </w:p>
        </w:tc>
      </w:tr>
      <w:tr w14:paraId="5B6A8A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1809" w:type="dxa"/>
            <w:shd w:val="clear" w:color="auto" w:fill="FFFFFF" w:themeFill="background1"/>
            <w:vAlign w:val="center"/>
          </w:tcPr>
          <w:p w14:paraId="763AFA86">
            <w:pPr>
              <w:pStyle w:val="76"/>
              <w:ind w:firstLine="0" w:firstLineChars="0"/>
              <w:rPr>
                <w:rFonts w:hint="default" w:eastAsia="宋体"/>
                <w:highlight w:val="none"/>
                <w:lang w:val="en-US" w:eastAsia="zh-CN"/>
              </w:rPr>
            </w:pPr>
            <w:r>
              <w:rPr>
                <w:rFonts w:hint="eastAsia"/>
                <w:highlight w:val="none"/>
                <w:lang w:val="en-US" w:eastAsia="zh-CN"/>
              </w:rPr>
              <w:t>1块5.5t平衡重</w:t>
            </w:r>
          </w:p>
        </w:tc>
        <w:tc>
          <w:tcPr>
            <w:tcW w:w="1701" w:type="dxa"/>
            <w:shd w:val="clear" w:color="auto" w:fill="FFFFFF" w:themeFill="background1"/>
            <w:vAlign w:val="center"/>
          </w:tcPr>
          <w:p w14:paraId="7F1A4353">
            <w:pPr>
              <w:pStyle w:val="76"/>
              <w:ind w:firstLine="0" w:firstLineChars="0"/>
              <w:rPr>
                <w:rFonts w:hint="default" w:eastAsia="宋体"/>
                <w:highlight w:val="none"/>
                <w:lang w:val="en-US" w:eastAsia="zh-CN"/>
              </w:rPr>
            </w:pPr>
            <w:r>
              <w:rPr>
                <w:rFonts w:hint="eastAsia"/>
                <w:highlight w:val="none"/>
                <w:lang w:val="en-US" w:eastAsia="zh-CN"/>
              </w:rPr>
              <w:t>1.55</w:t>
            </w:r>
            <w:r>
              <w:rPr>
                <w:rFonts w:hint="eastAsia"/>
                <w:highlight w:val="none"/>
              </w:rPr>
              <w:t>×</w:t>
            </w:r>
            <w:r>
              <w:rPr>
                <w:rFonts w:hint="eastAsia"/>
                <w:highlight w:val="none"/>
                <w:lang w:val="en-US" w:eastAsia="zh-CN"/>
              </w:rPr>
              <w:t>0.35</w:t>
            </w:r>
            <w:r>
              <w:rPr>
                <w:rFonts w:hint="eastAsia"/>
                <w:highlight w:val="none"/>
              </w:rPr>
              <w:t>×</w:t>
            </w:r>
            <w:r>
              <w:rPr>
                <w:rFonts w:hint="eastAsia"/>
                <w:highlight w:val="none"/>
                <w:lang w:val="en-US" w:eastAsia="zh-CN"/>
              </w:rPr>
              <w:t>4.29</w:t>
            </w:r>
          </w:p>
        </w:tc>
        <w:tc>
          <w:tcPr>
            <w:tcW w:w="977" w:type="dxa"/>
            <w:shd w:val="clear" w:color="auto" w:fill="FFFFFF" w:themeFill="background1"/>
            <w:vAlign w:val="center"/>
          </w:tcPr>
          <w:p w14:paraId="0C8DCFBF">
            <w:pPr>
              <w:pStyle w:val="76"/>
              <w:ind w:firstLine="0" w:firstLineChars="0"/>
              <w:rPr>
                <w:rFonts w:hint="default" w:eastAsia="宋体"/>
                <w:highlight w:val="none"/>
                <w:lang w:val="en-US" w:eastAsia="zh-CN"/>
              </w:rPr>
            </w:pPr>
            <w:r>
              <w:rPr>
                <w:rFonts w:hint="eastAsia"/>
                <w:highlight w:val="none"/>
                <w:lang w:val="en-US" w:eastAsia="zh-CN"/>
              </w:rPr>
              <w:t>5500</w:t>
            </w:r>
          </w:p>
        </w:tc>
        <w:tc>
          <w:tcPr>
            <w:tcW w:w="936" w:type="dxa"/>
            <w:shd w:val="clear" w:color="auto" w:fill="FFFFFF" w:themeFill="background1"/>
            <w:vAlign w:val="center"/>
          </w:tcPr>
          <w:p w14:paraId="5EEB063E">
            <w:pPr>
              <w:pStyle w:val="75"/>
              <w:rPr>
                <w:rFonts w:hint="default" w:cstheme="minorBidi"/>
                <w:color w:val="000000" w:themeColor="text1"/>
                <w:kern w:val="0"/>
                <w:highlight w:val="none"/>
                <w:lang w:val="en-US" w:eastAsia="zh-CN"/>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1件</w:t>
            </w:r>
          </w:p>
        </w:tc>
        <w:tc>
          <w:tcPr>
            <w:tcW w:w="2292" w:type="dxa"/>
            <w:shd w:val="clear" w:color="auto" w:fill="FFFFFF" w:themeFill="background1"/>
            <w:vAlign w:val="center"/>
          </w:tcPr>
          <w:p w14:paraId="620A077A">
            <w:pPr>
              <w:pStyle w:val="75"/>
              <w:rPr>
                <w:rFonts w:cstheme="minorBidi"/>
                <w:color w:val="000000" w:themeColor="text1"/>
                <w:kern w:val="2"/>
                <w:highlight w:val="none"/>
                <w14:textFill>
                  <w14:solidFill>
                    <w14:schemeClr w14:val="tx1"/>
                  </w14:solidFill>
                </w14:textFill>
              </w:rPr>
            </w:pPr>
            <w:r>
              <w:rPr>
                <w:rFonts w:hint="eastAsia" w:cstheme="minorBidi"/>
                <w:color w:val="000000" w:themeColor="text1"/>
                <w:kern w:val="2"/>
                <w:lang w:val="en-US" w:eastAsia="zh-CN"/>
                <w14:textFill>
                  <w14:solidFill>
                    <w14:schemeClr w14:val="tx1"/>
                  </w14:solidFill>
                </w14:textFill>
              </w:rPr>
              <w:t>平衡重吊耳</w:t>
            </w:r>
          </w:p>
        </w:tc>
        <w:tc>
          <w:tcPr>
            <w:tcW w:w="1909" w:type="dxa"/>
            <w:shd w:val="clear" w:color="auto" w:fill="FFFFFF" w:themeFill="background1"/>
            <w:vAlign w:val="center"/>
          </w:tcPr>
          <w:p w14:paraId="6DBBCAF6">
            <w:pPr>
              <w:pStyle w:val="75"/>
              <w:rPr>
                <w:rFonts w:cstheme="minorBidi"/>
                <w:color w:val="000000" w:themeColor="text1"/>
                <w:kern w:val="2"/>
                <w:highlight w:val="yellow"/>
                <w14:textFill>
                  <w14:solidFill>
                    <w14:schemeClr w14:val="tx1"/>
                  </w14:solidFill>
                </w14:textFill>
              </w:rPr>
            </w:pPr>
          </w:p>
        </w:tc>
      </w:tr>
      <w:tr w14:paraId="14D945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638851A4">
            <w:pPr>
              <w:pStyle w:val="75"/>
              <w:rPr>
                <w:rFonts w:hint="default" w:eastAsia="宋体" w:cstheme="minorBidi"/>
                <w:color w:val="000000" w:themeColor="text1"/>
                <w:kern w:val="0"/>
                <w:highlight w:val="none"/>
                <w:lang w:val="en-US" w:eastAsia="zh-CN"/>
                <w14:textFill>
                  <w14:solidFill>
                    <w14:schemeClr w14:val="tx1"/>
                  </w14:solidFill>
                </w14:textFill>
              </w:rPr>
            </w:pPr>
            <w:r>
              <w:rPr>
                <w:rFonts w:hint="eastAsia"/>
                <w:kern w:val="2"/>
                <w:highlight w:val="none"/>
                <w:lang w:val="en-US" w:eastAsia="zh-CN"/>
              </w:rPr>
              <w:t>80</w:t>
            </w:r>
            <w:r>
              <w:rPr>
                <w:rFonts w:hint="eastAsia" w:ascii="Times New Roman" w:eastAsia="宋体"/>
                <w:kern w:val="2"/>
                <w:highlight w:val="none"/>
                <w:lang w:val="en-US" w:eastAsia="zh-CN"/>
              </w:rPr>
              <w:t>m</w:t>
            </w:r>
            <w:r>
              <w:rPr>
                <w:rFonts w:hint="eastAsia" w:cstheme="minorBidi"/>
                <w:color w:val="000000" w:themeColor="text1"/>
                <w:kern w:val="0"/>
                <w:highlight w:val="none"/>
                <w:lang w:val="en-US" w:eastAsia="zh-CN"/>
                <w14:textFill>
                  <w14:solidFill>
                    <w14:schemeClr w14:val="tx1"/>
                  </w14:solidFill>
                </w14:textFill>
              </w:rPr>
              <w:t>剩余起重臂</w:t>
            </w:r>
          </w:p>
        </w:tc>
        <w:tc>
          <w:tcPr>
            <w:tcW w:w="1701" w:type="dxa"/>
            <w:shd w:val="clear" w:color="auto" w:fill="FFFFFF" w:themeFill="background1"/>
            <w:vAlign w:val="center"/>
          </w:tcPr>
          <w:p w14:paraId="56DB619C">
            <w:pPr>
              <w:pStyle w:val="75"/>
              <w:rPr>
                <w:rFonts w:hint="default" w:eastAsia="宋体" w:cstheme="minorBidi"/>
                <w:color w:val="000000" w:themeColor="text1"/>
                <w:kern w:val="0"/>
                <w:highlight w:val="none"/>
                <w:lang w:val="en-US" w:eastAsia="zh-CN"/>
                <w14:textFill>
                  <w14:solidFill>
                    <w14:schemeClr w14:val="tx1"/>
                  </w14:solidFill>
                </w14:textFill>
              </w:rPr>
            </w:pPr>
          </w:p>
        </w:tc>
        <w:tc>
          <w:tcPr>
            <w:tcW w:w="977" w:type="dxa"/>
            <w:shd w:val="clear" w:color="auto" w:fill="FFFFFF" w:themeFill="background1"/>
            <w:vAlign w:val="center"/>
          </w:tcPr>
          <w:p w14:paraId="324F0C46">
            <w:pPr>
              <w:ind w:left="0" w:leftChars="0" w:firstLine="0" w:firstLineChars="0"/>
              <w:jc w:val="center"/>
              <w:rPr>
                <w:rFonts w:hint="default"/>
                <w:highlight w:val="none"/>
                <w:lang w:val="en-US" w:eastAsia="zh-CN"/>
              </w:rPr>
            </w:pPr>
            <w:r>
              <w:rPr>
                <w:rFonts w:hint="eastAsia"/>
                <w:kern w:val="2"/>
                <w:highlight w:val="none"/>
                <w:lang w:val="en-US" w:eastAsia="zh-CN"/>
              </w:rPr>
              <w:t>19733</w:t>
            </w:r>
          </w:p>
        </w:tc>
        <w:tc>
          <w:tcPr>
            <w:tcW w:w="936" w:type="dxa"/>
            <w:shd w:val="clear" w:color="auto" w:fill="FFFFFF" w:themeFill="background1"/>
            <w:vAlign w:val="center"/>
          </w:tcPr>
          <w:p w14:paraId="0DC4A9AD">
            <w:pPr>
              <w:pStyle w:val="75"/>
              <w:rPr>
                <w:rFonts w:cstheme="minorBidi"/>
                <w:color w:val="000000" w:themeColor="text1"/>
                <w:kern w:val="0"/>
                <w:highlight w:val="none"/>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11</w:t>
            </w:r>
            <w:r>
              <w:rPr>
                <w:rFonts w:hint="eastAsia" w:cstheme="minorBidi"/>
                <w:color w:val="000000" w:themeColor="text1"/>
                <w:kern w:val="0"/>
                <w:highlight w:val="none"/>
                <w14:textFill>
                  <w14:solidFill>
                    <w14:schemeClr w14:val="tx1"/>
                  </w14:solidFill>
                </w14:textFill>
              </w:rPr>
              <w:t>件</w:t>
            </w:r>
          </w:p>
        </w:tc>
        <w:tc>
          <w:tcPr>
            <w:tcW w:w="2292" w:type="dxa"/>
            <w:shd w:val="clear" w:color="auto" w:fill="FFFFFF" w:themeFill="background1"/>
            <w:vAlign w:val="center"/>
          </w:tcPr>
          <w:p w14:paraId="7E9D3786">
            <w:pPr>
              <w:pStyle w:val="75"/>
              <w:rPr>
                <w:rFonts w:hint="default" w:eastAsia="宋体" w:cstheme="minorBidi"/>
                <w:color w:val="000000" w:themeColor="text1"/>
                <w:kern w:val="2"/>
                <w:highlight w:val="none"/>
                <w:lang w:val="en-US" w:eastAsia="zh-CN"/>
                <w14:textFill>
                  <w14:solidFill>
                    <w14:schemeClr w14:val="tx1"/>
                  </w14:solidFill>
                </w14:textFill>
              </w:rPr>
            </w:pPr>
            <w:r>
              <w:rPr>
                <w:rFonts w:hint="eastAsia" w:cstheme="minorBidi"/>
                <w:color w:val="000000" w:themeColor="text1"/>
                <w:kern w:val="2"/>
                <w:highlight w:val="none"/>
                <w14:textFill>
                  <w14:solidFill>
                    <w14:schemeClr w14:val="tx1"/>
                  </w14:solidFill>
                </w14:textFill>
              </w:rPr>
              <w:t>起重臂上弦杆</w:t>
            </w:r>
          </w:p>
        </w:tc>
        <w:tc>
          <w:tcPr>
            <w:tcW w:w="1909" w:type="dxa"/>
            <w:shd w:val="clear" w:color="auto" w:fill="FFFFFF" w:themeFill="background1"/>
            <w:vAlign w:val="center"/>
          </w:tcPr>
          <w:p w14:paraId="2EE5DBD5">
            <w:pPr>
              <w:pStyle w:val="75"/>
              <w:rPr>
                <w:rFonts w:cstheme="minorBidi"/>
                <w:color w:val="000000" w:themeColor="text1"/>
                <w:kern w:val="2"/>
                <w:highlight w:val="yellow"/>
                <w14:textFill>
                  <w14:solidFill>
                    <w14:schemeClr w14:val="tx1"/>
                  </w14:solidFill>
                </w14:textFill>
              </w:rPr>
            </w:pPr>
          </w:p>
        </w:tc>
      </w:tr>
      <w:tr w14:paraId="101C24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809" w:type="dxa"/>
            <w:shd w:val="clear" w:color="auto" w:fill="FFFFFF" w:themeFill="background1"/>
            <w:vAlign w:val="center"/>
          </w:tcPr>
          <w:p w14:paraId="2825810A">
            <w:pPr>
              <w:pStyle w:val="75"/>
              <w:rPr>
                <w:rFonts w:hint="eastAsia"/>
                <w:kern w:val="2"/>
                <w:highlight w:val="none"/>
                <w:lang w:val="en-US" w:eastAsia="zh-CN"/>
              </w:rPr>
            </w:pPr>
            <w:bookmarkStart w:id="39" w:name="_Toc16276"/>
            <w:bookmarkStart w:id="40" w:name="_Toc15331"/>
            <w:bookmarkStart w:id="41" w:name="_Toc10409776"/>
            <w:bookmarkStart w:id="42" w:name="_Toc16326"/>
            <w:r>
              <w:rPr>
                <w:rFonts w:hint="eastAsia"/>
                <w:kern w:val="2"/>
                <w:highlight w:val="none"/>
                <w:lang w:val="en-US" w:eastAsia="zh-CN"/>
              </w:rPr>
              <w:t>80</w:t>
            </w:r>
            <w:r>
              <w:rPr>
                <w:rFonts w:hint="eastAsia" w:ascii="Times New Roman" w:eastAsia="宋体"/>
                <w:kern w:val="2"/>
                <w:highlight w:val="none"/>
                <w:lang w:val="en-US" w:eastAsia="zh-CN"/>
              </w:rPr>
              <w:t>m</w:t>
            </w:r>
            <w:r>
              <w:rPr>
                <w:rFonts w:hint="eastAsia" w:cstheme="minorBidi"/>
                <w:color w:val="000000" w:themeColor="text1"/>
                <w:kern w:val="0"/>
                <w:highlight w:val="none"/>
                <w:lang w:val="en-US" w:eastAsia="zh-CN"/>
                <w14:textFill>
                  <w14:solidFill>
                    <w14:schemeClr w14:val="tx1"/>
                  </w14:solidFill>
                </w14:textFill>
              </w:rPr>
              <w:t>剩余平衡重</w:t>
            </w:r>
          </w:p>
        </w:tc>
        <w:tc>
          <w:tcPr>
            <w:tcW w:w="1701" w:type="dxa"/>
            <w:shd w:val="clear" w:color="auto" w:fill="FFFFFF" w:themeFill="background1"/>
            <w:vAlign w:val="center"/>
          </w:tcPr>
          <w:p w14:paraId="47385CA6">
            <w:pPr>
              <w:pStyle w:val="75"/>
              <w:rPr>
                <w:rFonts w:hint="default" w:eastAsia="宋体" w:cstheme="minorBidi"/>
                <w:color w:val="000000" w:themeColor="text1"/>
                <w:kern w:val="0"/>
                <w:highlight w:val="none"/>
                <w:lang w:val="en-US" w:eastAsia="zh-CN"/>
                <w14:textFill>
                  <w14:solidFill>
                    <w14:schemeClr w14:val="tx1"/>
                  </w14:solidFill>
                </w14:textFill>
              </w:rPr>
            </w:pPr>
          </w:p>
        </w:tc>
        <w:tc>
          <w:tcPr>
            <w:tcW w:w="977" w:type="dxa"/>
            <w:shd w:val="clear" w:color="auto" w:fill="FFFFFF" w:themeFill="background1"/>
            <w:vAlign w:val="center"/>
          </w:tcPr>
          <w:p w14:paraId="65AEAD17">
            <w:pPr>
              <w:pStyle w:val="76"/>
              <w:ind w:firstLine="0" w:firstLineChars="0"/>
              <w:rPr>
                <w:rFonts w:hint="default" w:cstheme="minorBidi"/>
                <w:color w:val="000000" w:themeColor="text1"/>
                <w:kern w:val="0"/>
                <w:lang w:val="en-US" w:eastAsia="zh-CN"/>
                <w14:textFill>
                  <w14:solidFill>
                    <w14:schemeClr w14:val="tx1"/>
                  </w14:solidFill>
                </w14:textFill>
              </w:rPr>
            </w:pPr>
            <w:r>
              <w:rPr>
                <w:rFonts w:hint="eastAsia" w:cstheme="minorBidi"/>
                <w:color w:val="000000" w:themeColor="text1"/>
                <w:kern w:val="0"/>
                <w:lang w:val="en-US" w:eastAsia="zh-CN"/>
                <w14:textFill>
                  <w14:solidFill>
                    <w14:schemeClr w14:val="tx1"/>
                  </w14:solidFill>
                </w14:textFill>
              </w:rPr>
              <w:t>5500*5</w:t>
            </w:r>
          </w:p>
          <w:p w14:paraId="52989AB6">
            <w:pPr>
              <w:pStyle w:val="76"/>
              <w:ind w:firstLine="0" w:firstLineChars="0"/>
              <w:rPr>
                <w:rFonts w:hint="default"/>
                <w:lang w:val="en-US" w:eastAsia="zh-CN"/>
              </w:rPr>
            </w:pPr>
            <w:r>
              <w:rPr>
                <w:rFonts w:hint="eastAsia" w:cstheme="minorBidi"/>
                <w:color w:val="000000" w:themeColor="text1"/>
                <w:kern w:val="0"/>
                <w:lang w:val="en-US" w:eastAsia="zh-CN"/>
                <w14:textFill>
                  <w14:solidFill>
                    <w14:schemeClr w14:val="tx1"/>
                  </w14:solidFill>
                </w14:textFill>
              </w:rPr>
              <w:t>2000*1</w:t>
            </w:r>
          </w:p>
        </w:tc>
        <w:tc>
          <w:tcPr>
            <w:tcW w:w="936" w:type="dxa"/>
            <w:shd w:val="clear" w:color="auto" w:fill="FFFFFF" w:themeFill="background1"/>
            <w:vAlign w:val="center"/>
          </w:tcPr>
          <w:p w14:paraId="7C45CFD4">
            <w:pPr>
              <w:pStyle w:val="75"/>
              <w:rPr>
                <w:rFonts w:hint="default" w:cstheme="minorBidi"/>
                <w:color w:val="000000" w:themeColor="text1"/>
                <w:kern w:val="0"/>
                <w:highlight w:val="none"/>
                <w:lang w:val="en-US" w:eastAsia="zh-CN"/>
                <w14:textFill>
                  <w14:solidFill>
                    <w14:schemeClr w14:val="tx1"/>
                  </w14:solidFill>
                </w14:textFill>
              </w:rPr>
            </w:pPr>
            <w:r>
              <w:rPr>
                <w:rFonts w:hint="eastAsia" w:cstheme="minorBidi"/>
                <w:color w:val="000000" w:themeColor="text1"/>
                <w:kern w:val="0"/>
                <w:highlight w:val="none"/>
                <w:lang w:val="en-US" w:eastAsia="zh-CN"/>
                <w14:textFill>
                  <w14:solidFill>
                    <w14:schemeClr w14:val="tx1"/>
                  </w14:solidFill>
                </w14:textFill>
              </w:rPr>
              <w:t>6件</w:t>
            </w:r>
          </w:p>
        </w:tc>
        <w:tc>
          <w:tcPr>
            <w:tcW w:w="2292" w:type="dxa"/>
            <w:shd w:val="clear" w:color="auto" w:fill="FFFFFF" w:themeFill="background1"/>
            <w:vAlign w:val="center"/>
          </w:tcPr>
          <w:p w14:paraId="28B441E6">
            <w:pPr>
              <w:pStyle w:val="75"/>
              <w:rPr>
                <w:rFonts w:hint="eastAsia" w:cstheme="minorBidi"/>
                <w:color w:val="000000" w:themeColor="text1"/>
                <w:kern w:val="2"/>
                <w:highlight w:val="none"/>
                <w:lang w:val="en-US" w:eastAsia="zh-CN"/>
                <w14:textFill>
                  <w14:solidFill>
                    <w14:schemeClr w14:val="tx1"/>
                  </w14:solidFill>
                </w14:textFill>
              </w:rPr>
            </w:pPr>
            <w:r>
              <w:rPr>
                <w:rFonts w:hint="eastAsia" w:cstheme="minorBidi"/>
                <w:color w:val="000000" w:themeColor="text1"/>
                <w:kern w:val="2"/>
                <w:highlight w:val="none"/>
                <w:lang w:val="en-US" w:eastAsia="zh-CN"/>
                <w14:textFill>
                  <w14:solidFill>
                    <w14:schemeClr w14:val="tx1"/>
                  </w14:solidFill>
                </w14:textFill>
              </w:rPr>
              <w:t>平衡重吊耳</w:t>
            </w:r>
          </w:p>
        </w:tc>
        <w:tc>
          <w:tcPr>
            <w:tcW w:w="1909" w:type="dxa"/>
            <w:shd w:val="clear" w:color="auto" w:fill="FFFFFF" w:themeFill="background1"/>
            <w:vAlign w:val="center"/>
          </w:tcPr>
          <w:p w14:paraId="75E8C4FA">
            <w:pPr>
              <w:pStyle w:val="75"/>
              <w:rPr>
                <w:rFonts w:cstheme="minorBidi"/>
                <w:color w:val="000000" w:themeColor="text1"/>
                <w:kern w:val="2"/>
                <w:highlight w:val="yellow"/>
                <w14:textFill>
                  <w14:solidFill>
                    <w14:schemeClr w14:val="tx1"/>
                  </w14:solidFill>
                </w14:textFill>
              </w:rPr>
            </w:pPr>
          </w:p>
        </w:tc>
      </w:tr>
    </w:tbl>
    <w:p w14:paraId="4043E2B0">
      <w:pPr>
        <w:pStyle w:val="4"/>
        <w:bidi w:val="0"/>
        <w:rPr>
          <w:rFonts w:hint="eastAsia"/>
        </w:rPr>
      </w:pPr>
      <w:bookmarkStart w:id="43" w:name="_Toc3225"/>
      <w:r>
        <w:rPr>
          <w:rFonts w:hint="eastAsia"/>
        </w:rPr>
        <w:t>3.2塔式起重机主要部件</w:t>
      </w:r>
      <w:bookmarkEnd w:id="39"/>
      <w:bookmarkEnd w:id="40"/>
      <w:bookmarkEnd w:id="41"/>
      <w:bookmarkEnd w:id="42"/>
      <w:bookmarkEnd w:id="43"/>
    </w:p>
    <w:p w14:paraId="03E9D40E">
      <w:pPr>
        <w:bidi w:val="0"/>
        <w:jc w:val="center"/>
        <w:rPr>
          <w:rFonts w:hint="eastAsia"/>
        </w:rPr>
      </w:pPr>
      <w:r>
        <w:drawing>
          <wp:inline distT="0" distB="0" distL="114300" distR="114300">
            <wp:extent cx="4781550" cy="371475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9"/>
                    <a:stretch>
                      <a:fillRect/>
                    </a:stretch>
                  </pic:blipFill>
                  <pic:spPr>
                    <a:xfrm>
                      <a:off x="0" y="0"/>
                      <a:ext cx="4781550" cy="3714750"/>
                    </a:xfrm>
                    <a:prstGeom prst="rect">
                      <a:avLst/>
                    </a:prstGeom>
                    <a:noFill/>
                    <a:ln>
                      <a:noFill/>
                    </a:ln>
                  </pic:spPr>
                </pic:pic>
              </a:graphicData>
            </a:graphic>
          </wp:inline>
        </w:drawing>
      </w:r>
    </w:p>
    <w:p w14:paraId="26F7F1F4">
      <w:pPr>
        <w:bidi w:val="0"/>
        <w:jc w:val="center"/>
        <w:rPr>
          <w:rFonts w:hint="eastAsia"/>
        </w:rPr>
      </w:pPr>
      <w:r>
        <w:rPr>
          <w:rFonts w:hint="eastAsia"/>
        </w:rPr>
        <w:t xml:space="preserve">图3.2-1  </w:t>
      </w:r>
      <w:r>
        <w:rPr>
          <w:rFonts w:hint="eastAsia"/>
          <w:lang w:eastAsia="zh-CN"/>
        </w:rPr>
        <w:t>XGT8040-25</w:t>
      </w:r>
      <w:r>
        <w:rPr>
          <w:rFonts w:hint="eastAsia"/>
        </w:rPr>
        <w:t>塔吊安装结构图</w:t>
      </w:r>
    </w:p>
    <w:p w14:paraId="3C0B4123">
      <w:pPr>
        <w:pStyle w:val="3"/>
        <w:bidi w:val="0"/>
        <w:rPr>
          <w:rFonts w:hint="eastAsia"/>
        </w:rPr>
      </w:pPr>
      <w:bookmarkStart w:id="44" w:name="_Toc14306"/>
      <w:bookmarkStart w:id="45" w:name="_Toc13073"/>
      <w:r>
        <w:rPr>
          <w:rFonts w:hint="eastAsia"/>
          <w:lang w:val="en-US" w:eastAsia="zh-CN"/>
        </w:rPr>
        <w:t>4.</w:t>
      </w:r>
      <w:r>
        <w:rPr>
          <w:rFonts w:hint="eastAsia"/>
        </w:rPr>
        <w:t>塔机基础定位及基础施工</w:t>
      </w:r>
      <w:bookmarkEnd w:id="44"/>
      <w:bookmarkEnd w:id="45"/>
    </w:p>
    <w:p w14:paraId="73421873">
      <w:pPr>
        <w:pStyle w:val="4"/>
        <w:bidi w:val="0"/>
        <w:rPr>
          <w:rFonts w:hint="eastAsia"/>
          <w:lang w:val="en-US" w:eastAsia="zh-CN"/>
        </w:rPr>
      </w:pPr>
      <w:bookmarkStart w:id="46" w:name="_Toc2911"/>
      <w:bookmarkStart w:id="47" w:name="_Toc21728"/>
      <w:bookmarkStart w:id="48" w:name="_Toc6888"/>
      <w:r>
        <w:rPr>
          <w:rFonts w:hint="eastAsia"/>
          <w:lang w:val="en-US" w:eastAsia="zh-CN"/>
        </w:rPr>
        <w:t>4.1基础施工</w:t>
      </w:r>
      <w:bookmarkEnd w:id="46"/>
    </w:p>
    <w:p w14:paraId="6C8CB8D4">
      <w:pPr>
        <w:pStyle w:val="12"/>
        <w:ind w:firstLine="480"/>
        <w:rPr>
          <w:rFonts w:hint="default"/>
          <w:color w:val="auto"/>
          <w:highlight w:val="none"/>
        </w:rPr>
      </w:pPr>
      <w:r>
        <w:rPr>
          <w:rFonts w:hint="default"/>
          <w:highlight w:val="none"/>
        </w:rPr>
        <w:t>塔吊基础顶层钢筋安装时由测量人员利用全站仪放样出塔吊预埋</w:t>
      </w:r>
      <w:r>
        <w:rPr>
          <w:rFonts w:hint="eastAsia"/>
          <w:highlight w:val="none"/>
          <w:lang w:val="en-US" w:eastAsia="zh-CN"/>
        </w:rPr>
        <w:t>螺栓的</w:t>
      </w:r>
      <w:r>
        <w:rPr>
          <w:rFonts w:hint="default"/>
          <w:highlight w:val="none"/>
        </w:rPr>
        <w:t>位置</w:t>
      </w:r>
      <w:r>
        <w:rPr>
          <w:rFonts w:hint="eastAsia"/>
          <w:highlight w:val="none"/>
          <w:lang w:val="en-US" w:eastAsia="zh-CN"/>
        </w:rPr>
        <w:t>，</w:t>
      </w:r>
      <w:r>
        <w:rPr>
          <w:rFonts w:hint="default"/>
          <w:highlight w:val="none"/>
        </w:rPr>
        <w:t>并做好标记，塔吊</w:t>
      </w:r>
      <w:r>
        <w:rPr>
          <w:rFonts w:hint="eastAsia"/>
          <w:highlight w:val="none"/>
          <w:lang w:eastAsia="zh-CN"/>
        </w:rPr>
        <w:t>预埋螺栓</w:t>
      </w:r>
      <w:r>
        <w:rPr>
          <w:rFonts w:hint="default"/>
          <w:highlight w:val="none"/>
        </w:rPr>
        <w:t>安装按塔吊说明书进行预埋。</w:t>
      </w:r>
      <w:r>
        <w:rPr>
          <w:rFonts w:hint="eastAsia"/>
          <w:highlight w:val="none"/>
          <w:lang w:eastAsia="zh-CN"/>
        </w:rPr>
        <w:t>预埋螺栓</w:t>
      </w:r>
      <w:r>
        <w:rPr>
          <w:rFonts w:hint="default"/>
          <w:highlight w:val="none"/>
        </w:rPr>
        <w:t>安装后由测量复测</w:t>
      </w:r>
      <w:r>
        <w:rPr>
          <w:rFonts w:hint="eastAsia"/>
          <w:highlight w:val="none"/>
          <w:lang w:eastAsia="zh-CN"/>
        </w:rPr>
        <w:t>预埋螺栓</w:t>
      </w:r>
      <w:r>
        <w:rPr>
          <w:rFonts w:hint="default"/>
          <w:highlight w:val="none"/>
        </w:rPr>
        <w:t>高程、平面位置，用垂线法测量</w:t>
      </w:r>
      <w:r>
        <w:rPr>
          <w:rFonts w:hint="eastAsia"/>
          <w:highlight w:val="none"/>
          <w:lang w:eastAsia="zh-CN"/>
        </w:rPr>
        <w:t>预埋螺栓</w:t>
      </w:r>
      <w:r>
        <w:rPr>
          <w:rFonts w:hint="default"/>
          <w:highlight w:val="none"/>
        </w:rPr>
        <w:t>垂直度，合格后进行固定。</w:t>
      </w:r>
      <w:r>
        <w:rPr>
          <w:rFonts w:hint="default"/>
          <w:color w:val="auto"/>
          <w:highlight w:val="none"/>
        </w:rPr>
        <w:t>塔吊</w:t>
      </w:r>
      <w:r>
        <w:rPr>
          <w:rFonts w:hint="eastAsia"/>
          <w:color w:val="auto"/>
          <w:highlight w:val="none"/>
          <w:lang w:eastAsia="zh-CN"/>
        </w:rPr>
        <w:t>预埋螺栓</w:t>
      </w:r>
      <w:r>
        <w:rPr>
          <w:rFonts w:hint="default"/>
          <w:color w:val="auto"/>
          <w:highlight w:val="none"/>
        </w:rPr>
        <w:t>安装后，进行防雷接地安装。</w:t>
      </w:r>
    </w:p>
    <w:p w14:paraId="7C8A4D72">
      <w:pPr>
        <w:rPr>
          <w:color w:val="auto"/>
          <w:highlight w:val="none"/>
        </w:rPr>
      </w:pPr>
      <w:r>
        <w:rPr>
          <w:rFonts w:hint="eastAsia"/>
          <w:color w:val="auto"/>
          <w:highlight w:val="none"/>
          <w:lang w:val="en-US" w:eastAsia="zh-CN"/>
        </w:rPr>
        <w:t>基础</w:t>
      </w:r>
      <w:r>
        <w:rPr>
          <w:color w:val="auto"/>
          <w:highlight w:val="none"/>
        </w:rPr>
        <w:t>采用C</w:t>
      </w:r>
      <w:r>
        <w:rPr>
          <w:rFonts w:hint="eastAsia"/>
          <w:color w:val="auto"/>
          <w:highlight w:val="none"/>
          <w:lang w:val="en-US" w:eastAsia="zh-CN"/>
        </w:rPr>
        <w:t>35</w:t>
      </w:r>
      <w:r>
        <w:rPr>
          <w:color w:val="auto"/>
          <w:highlight w:val="none"/>
        </w:rPr>
        <w:t>混凝土，采用</w:t>
      </w:r>
      <w:r>
        <w:rPr>
          <w:rFonts w:hint="eastAsia"/>
          <w:color w:val="auto"/>
          <w:highlight w:val="none"/>
          <w:lang w:val="en-US" w:eastAsia="zh-CN"/>
        </w:rPr>
        <w:t>混凝土罐车一次</w:t>
      </w:r>
      <w:r>
        <w:rPr>
          <w:color w:val="auto"/>
          <w:highlight w:val="none"/>
        </w:rPr>
        <w:t>浇筑</w:t>
      </w:r>
      <w:r>
        <w:rPr>
          <w:rFonts w:hint="eastAsia"/>
          <w:color w:val="auto"/>
          <w:highlight w:val="none"/>
        </w:rPr>
        <w:t>成型</w:t>
      </w:r>
      <w:r>
        <w:rPr>
          <w:color w:val="auto"/>
          <w:highlight w:val="none"/>
        </w:rPr>
        <w:t>。</w:t>
      </w:r>
    </w:p>
    <w:p w14:paraId="0DE33B9A">
      <w:pPr>
        <w:pStyle w:val="14"/>
        <w:ind w:left="0" w:leftChars="0" w:firstLine="0" w:firstLineChars="0"/>
        <w:jc w:val="center"/>
      </w:pPr>
      <w:r>
        <w:drawing>
          <wp:inline distT="0" distB="0" distL="114300" distR="114300">
            <wp:extent cx="4520565" cy="2846705"/>
            <wp:effectExtent l="0" t="0" r="13335" b="1079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0"/>
                    <a:stretch>
                      <a:fillRect/>
                    </a:stretch>
                  </pic:blipFill>
                  <pic:spPr>
                    <a:xfrm>
                      <a:off x="0" y="0"/>
                      <a:ext cx="4520565" cy="2846705"/>
                    </a:xfrm>
                    <a:prstGeom prst="rect">
                      <a:avLst/>
                    </a:prstGeom>
                    <a:noFill/>
                    <a:ln>
                      <a:noFill/>
                    </a:ln>
                  </pic:spPr>
                </pic:pic>
              </a:graphicData>
            </a:graphic>
          </wp:inline>
        </w:drawing>
      </w:r>
      <w:r>
        <w:drawing>
          <wp:inline distT="0" distB="0" distL="114300" distR="114300">
            <wp:extent cx="2767965" cy="3636010"/>
            <wp:effectExtent l="0" t="0" r="13335" b="25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1"/>
                    <a:stretch>
                      <a:fillRect/>
                    </a:stretch>
                  </pic:blipFill>
                  <pic:spPr>
                    <a:xfrm>
                      <a:off x="0" y="0"/>
                      <a:ext cx="2767965" cy="3636010"/>
                    </a:xfrm>
                    <a:prstGeom prst="rect">
                      <a:avLst/>
                    </a:prstGeom>
                    <a:noFill/>
                    <a:ln>
                      <a:noFill/>
                    </a:ln>
                  </pic:spPr>
                </pic:pic>
              </a:graphicData>
            </a:graphic>
          </wp:inline>
        </w:drawing>
      </w:r>
      <w:r>
        <w:drawing>
          <wp:inline distT="0" distB="0" distL="114300" distR="114300">
            <wp:extent cx="4247515" cy="4247515"/>
            <wp:effectExtent l="0" t="0" r="635" b="63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2"/>
                    <a:stretch>
                      <a:fillRect/>
                    </a:stretch>
                  </pic:blipFill>
                  <pic:spPr>
                    <a:xfrm>
                      <a:off x="0" y="0"/>
                      <a:ext cx="4247515" cy="4247515"/>
                    </a:xfrm>
                    <a:prstGeom prst="rect">
                      <a:avLst/>
                    </a:prstGeom>
                    <a:noFill/>
                    <a:ln>
                      <a:noFill/>
                    </a:ln>
                  </pic:spPr>
                </pic:pic>
              </a:graphicData>
            </a:graphic>
          </wp:inline>
        </w:drawing>
      </w:r>
    </w:p>
    <w:p w14:paraId="25B59FF0">
      <w:pPr>
        <w:pStyle w:val="14"/>
        <w:rPr>
          <w:rFonts w:hint="default" w:eastAsia="仿宋"/>
          <w:color w:val="auto"/>
          <w:highlight w:val="none"/>
          <w:lang w:val="en-US" w:eastAsia="zh-CN"/>
        </w:rPr>
      </w:pPr>
      <w:r>
        <w:rPr>
          <w:rFonts w:hint="eastAsia"/>
          <w:color w:val="auto"/>
          <w:highlight w:val="none"/>
        </w:rPr>
        <w:t xml:space="preserve">图 </w:t>
      </w:r>
      <w:r>
        <w:rPr>
          <w:color w:val="auto"/>
          <w:highlight w:val="none"/>
        </w:rPr>
        <w:fldChar w:fldCharType="begin"/>
      </w:r>
      <w:r>
        <w:rPr>
          <w:color w:val="auto"/>
          <w:highlight w:val="none"/>
        </w:rPr>
        <w:instrText xml:space="preserve"> </w:instrText>
      </w:r>
      <w:r>
        <w:rPr>
          <w:rFonts w:hint="eastAsia"/>
          <w:color w:val="auto"/>
          <w:highlight w:val="none"/>
        </w:rPr>
        <w:instrText xml:space="preserve">STYLEREF 3 \s</w:instrText>
      </w:r>
      <w:r>
        <w:rPr>
          <w:color w:val="auto"/>
          <w:highlight w:val="none"/>
        </w:rPr>
        <w:instrText xml:space="preserve"> </w:instrText>
      </w:r>
      <w:r>
        <w:rPr>
          <w:color w:val="auto"/>
          <w:highlight w:val="none"/>
        </w:rPr>
        <w:fldChar w:fldCharType="separate"/>
      </w:r>
      <w:r>
        <w:rPr>
          <w:color w:val="auto"/>
          <w:highlight w:val="none"/>
        </w:rPr>
        <w:t>4.4.1</w:t>
      </w:r>
      <w:r>
        <w:rPr>
          <w:color w:val="auto"/>
          <w:highlight w:val="none"/>
        </w:rPr>
        <w:fldChar w:fldCharType="end"/>
      </w:r>
      <w:r>
        <w:rPr>
          <w:color w:val="auto"/>
          <w:highlight w:val="none"/>
        </w:rPr>
        <w:noBreakHyphen/>
      </w:r>
      <w:r>
        <w:rPr>
          <w:color w:val="auto"/>
          <w:highlight w:val="none"/>
        </w:rPr>
        <w:fldChar w:fldCharType="begin"/>
      </w:r>
      <w:r>
        <w:rPr>
          <w:color w:val="auto"/>
          <w:highlight w:val="none"/>
        </w:rPr>
        <w:instrText xml:space="preserve"> </w:instrText>
      </w:r>
      <w:r>
        <w:rPr>
          <w:rFonts w:hint="eastAsia"/>
          <w:color w:val="auto"/>
          <w:highlight w:val="none"/>
        </w:rPr>
        <w:instrText xml:space="preserve">SEQ 图 \* ARABIC \s 3</w:instrText>
      </w:r>
      <w:r>
        <w:rPr>
          <w:color w:val="auto"/>
          <w:highlight w:val="none"/>
        </w:rPr>
        <w:instrText xml:space="preserve">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t xml:space="preserve">  </w:t>
      </w:r>
      <w:r>
        <w:rPr>
          <w:rFonts w:hint="eastAsia"/>
          <w:color w:val="auto"/>
          <w:highlight w:val="none"/>
          <w:lang w:val="en-US" w:eastAsia="zh-CN"/>
        </w:rPr>
        <w:t>基础示意图</w:t>
      </w:r>
    </w:p>
    <w:p w14:paraId="41D4532B">
      <w:pPr>
        <w:pStyle w:val="4"/>
        <w:bidi w:val="0"/>
        <w:rPr>
          <w:rFonts w:hint="eastAsia"/>
          <w:lang w:val="en-US" w:eastAsia="zh-CN"/>
        </w:rPr>
      </w:pPr>
      <w:bookmarkStart w:id="49" w:name="_Toc18193"/>
      <w:r>
        <w:rPr>
          <w:rFonts w:hint="eastAsia"/>
          <w:lang w:val="en-US" w:eastAsia="zh-CN"/>
        </w:rPr>
        <w:t>4.2基础验收</w:t>
      </w:r>
      <w:bookmarkEnd w:id="49"/>
    </w:p>
    <w:p w14:paraId="300CAF4B">
      <w:r>
        <w:t>塔吊基础验收的主要内容有：标高、尺寸、</w:t>
      </w:r>
      <w:r>
        <w:rPr>
          <w:rFonts w:hint="eastAsia"/>
          <w:lang w:eastAsia="zh-CN"/>
        </w:rPr>
        <w:t>预埋螺栓</w:t>
      </w:r>
      <w:r>
        <w:t>位置和垂直度、防雷接地装置。</w:t>
      </w:r>
    </w:p>
    <w:p w14:paraId="78861186">
      <w:pPr>
        <w:rPr>
          <w:rFonts w:hint="default" w:eastAsia="宋体"/>
          <w:lang w:val="en-US" w:eastAsia="zh-CN"/>
        </w:rPr>
      </w:pPr>
      <w:r>
        <w:t>塔吊基础验收由项目部、监理单位、安装单位及产权单位相关负责人共同进行，验收合格后方可进行塔吊的安装。</w:t>
      </w:r>
    </w:p>
    <w:p w14:paraId="05C5FFB8">
      <w:pPr>
        <w:pStyle w:val="43"/>
        <w:rPr>
          <w:rFonts w:hint="eastAsia"/>
        </w:rPr>
      </w:pPr>
    </w:p>
    <w:p w14:paraId="6072A07E">
      <w:pPr>
        <w:pStyle w:val="43"/>
        <w:rPr>
          <w:rFonts w:hint="eastAsia"/>
        </w:rPr>
      </w:pPr>
    </w:p>
    <w:p w14:paraId="49DF3B62">
      <w:pPr>
        <w:pStyle w:val="43"/>
        <w:rPr>
          <w:rFonts w:hint="eastAsia"/>
        </w:rPr>
      </w:pPr>
    </w:p>
    <w:p w14:paraId="0CD74FD5">
      <w:pPr>
        <w:pStyle w:val="43"/>
        <w:rPr>
          <w:rFonts w:hint="eastAsia"/>
        </w:rPr>
      </w:pPr>
    </w:p>
    <w:p w14:paraId="146FE73E">
      <w:pPr>
        <w:pStyle w:val="43"/>
        <w:rPr>
          <w:rFonts w:hint="eastAsia"/>
        </w:rPr>
      </w:pPr>
    </w:p>
    <w:p w14:paraId="24D91869">
      <w:pPr>
        <w:pStyle w:val="43"/>
        <w:rPr>
          <w:rFonts w:hint="eastAsia"/>
        </w:rPr>
      </w:pPr>
    </w:p>
    <w:p w14:paraId="1EB4CBBF">
      <w:pPr>
        <w:pStyle w:val="43"/>
        <w:rPr>
          <w:rFonts w:hint="eastAsia"/>
        </w:rPr>
      </w:pPr>
    </w:p>
    <w:p w14:paraId="1CB8A1CC">
      <w:pPr>
        <w:pStyle w:val="43"/>
        <w:rPr>
          <w:rFonts w:hint="eastAsia"/>
        </w:rPr>
      </w:pPr>
    </w:p>
    <w:p w14:paraId="6A53EBAA">
      <w:pPr>
        <w:pStyle w:val="43"/>
        <w:rPr>
          <w:rFonts w:hint="eastAsia"/>
        </w:rPr>
      </w:pPr>
    </w:p>
    <w:p w14:paraId="39511CBB">
      <w:pPr>
        <w:pStyle w:val="43"/>
        <w:rPr>
          <w:rFonts w:hint="eastAsia"/>
        </w:rPr>
      </w:pPr>
    </w:p>
    <w:p w14:paraId="2598BF94">
      <w:pPr>
        <w:pStyle w:val="3"/>
        <w:bidi w:val="0"/>
        <w:rPr>
          <w:rFonts w:hint="eastAsia"/>
        </w:rPr>
      </w:pPr>
      <w:bookmarkStart w:id="50" w:name="_Toc7229"/>
      <w:bookmarkStart w:id="51" w:name="_Toc3825"/>
      <w:r>
        <w:rPr>
          <w:rFonts w:hint="eastAsia"/>
          <w:lang w:val="en-US" w:eastAsia="zh-CN"/>
        </w:rPr>
        <w:t>5.</w:t>
      </w:r>
      <w:r>
        <w:rPr>
          <w:rFonts w:hint="eastAsia"/>
        </w:rPr>
        <w:t>施工计划</w:t>
      </w:r>
      <w:bookmarkEnd w:id="47"/>
      <w:bookmarkEnd w:id="48"/>
      <w:bookmarkEnd w:id="50"/>
      <w:bookmarkEnd w:id="51"/>
    </w:p>
    <w:p w14:paraId="6C38E804">
      <w:pPr>
        <w:pStyle w:val="4"/>
        <w:bidi w:val="0"/>
        <w:rPr>
          <w:rFonts w:hint="eastAsia"/>
        </w:rPr>
      </w:pPr>
      <w:bookmarkStart w:id="52" w:name="_Toc31378"/>
      <w:bookmarkStart w:id="53" w:name="_Toc2946"/>
      <w:bookmarkStart w:id="54" w:name="_Toc24280"/>
      <w:bookmarkStart w:id="55" w:name="_Toc11806"/>
      <w:r>
        <w:rPr>
          <w:rFonts w:hint="eastAsia"/>
        </w:rPr>
        <w:t>5.1工程总体目标</w:t>
      </w:r>
      <w:bookmarkEnd w:id="52"/>
      <w:bookmarkEnd w:id="53"/>
      <w:bookmarkEnd w:id="54"/>
      <w:bookmarkEnd w:id="55"/>
    </w:p>
    <w:p w14:paraId="622DC852">
      <w:pPr>
        <w:pStyle w:val="5"/>
        <w:numPr>
          <w:ilvl w:val="0"/>
          <w:numId w:val="7"/>
        </w:numPr>
        <w:bidi w:val="0"/>
        <w:rPr>
          <w:rFonts w:hint="eastAsia"/>
        </w:rPr>
      </w:pPr>
      <w:bookmarkStart w:id="56" w:name="_Toc8577"/>
      <w:r>
        <w:rPr>
          <w:rFonts w:hint="eastAsia"/>
        </w:rPr>
        <w:t>吊装工程安全管理目标</w:t>
      </w:r>
      <w:bookmarkEnd w:id="56"/>
    </w:p>
    <w:p w14:paraId="5138705C">
      <w:pPr>
        <w:bidi w:val="0"/>
        <w:rPr>
          <w:rFonts w:hint="eastAsia"/>
        </w:rPr>
      </w:pPr>
      <w:r>
        <w:rPr>
          <w:rFonts w:hint="eastAsia"/>
        </w:rPr>
        <w:t>杜绝一般等级(含)以上安全生产责任事故。</w:t>
      </w:r>
    </w:p>
    <w:p w14:paraId="1BED33CC">
      <w:pPr>
        <w:pStyle w:val="5"/>
        <w:numPr>
          <w:ilvl w:val="0"/>
          <w:numId w:val="7"/>
        </w:numPr>
        <w:bidi w:val="0"/>
        <w:rPr>
          <w:rFonts w:hint="eastAsia"/>
        </w:rPr>
      </w:pPr>
      <w:bookmarkStart w:id="57" w:name="_Toc18314"/>
      <w:r>
        <w:rPr>
          <w:rFonts w:hint="eastAsia"/>
        </w:rPr>
        <w:t>吊装工程质量管理目标</w:t>
      </w:r>
      <w:bookmarkEnd w:id="57"/>
    </w:p>
    <w:p w14:paraId="7C2FB334">
      <w:pPr>
        <w:bidi w:val="0"/>
        <w:rPr>
          <w:rFonts w:hint="eastAsia"/>
        </w:rPr>
      </w:pPr>
      <w:r>
        <w:rPr>
          <w:rFonts w:hint="eastAsia"/>
        </w:rPr>
        <w:t>消除质量隐患,杜绝质量事故。</w:t>
      </w:r>
    </w:p>
    <w:p w14:paraId="51E758F3">
      <w:pPr>
        <w:pStyle w:val="5"/>
        <w:numPr>
          <w:ilvl w:val="0"/>
          <w:numId w:val="7"/>
        </w:numPr>
        <w:bidi w:val="0"/>
        <w:rPr>
          <w:rFonts w:hint="eastAsia"/>
        </w:rPr>
      </w:pPr>
      <w:bookmarkStart w:id="58" w:name="_Toc8975"/>
      <w:r>
        <w:rPr>
          <w:rFonts w:hint="eastAsia"/>
        </w:rPr>
        <w:t>吊装工程文明施工及环境保护目标</w:t>
      </w:r>
      <w:bookmarkEnd w:id="58"/>
    </w:p>
    <w:p w14:paraId="6F750DDB">
      <w:pPr>
        <w:bidi w:val="0"/>
        <w:rPr>
          <w:rFonts w:hint="eastAsia"/>
        </w:rPr>
      </w:pPr>
      <w:r>
        <w:rPr>
          <w:rFonts w:hint="eastAsia"/>
        </w:rPr>
        <w:t>有效防范和降低环境污染,杜绝违法违规事件。</w:t>
      </w:r>
    </w:p>
    <w:p w14:paraId="59DACAE0">
      <w:pPr>
        <w:pStyle w:val="4"/>
        <w:bidi w:val="0"/>
        <w:rPr>
          <w:rFonts w:hint="eastAsia"/>
        </w:rPr>
      </w:pPr>
      <w:bookmarkStart w:id="59" w:name="_Toc8826"/>
      <w:bookmarkStart w:id="60" w:name="_Toc29981"/>
      <w:bookmarkStart w:id="61" w:name="_Toc22162"/>
      <w:bookmarkStart w:id="62" w:name="_Toc15280"/>
      <w:r>
        <w:rPr>
          <w:rFonts w:hint="eastAsia"/>
        </w:rPr>
        <w:t>5.2施工生产管理机构设置及职责</w:t>
      </w:r>
      <w:bookmarkEnd w:id="59"/>
      <w:bookmarkEnd w:id="60"/>
      <w:bookmarkEnd w:id="61"/>
      <w:bookmarkEnd w:id="62"/>
    </w:p>
    <w:p w14:paraId="4302B699">
      <w:pPr>
        <w:pStyle w:val="5"/>
        <w:numPr>
          <w:ilvl w:val="0"/>
          <w:numId w:val="8"/>
        </w:numPr>
        <w:bidi w:val="0"/>
        <w:rPr>
          <w:rFonts w:hint="eastAsia"/>
        </w:rPr>
      </w:pPr>
      <w:bookmarkStart w:id="63" w:name="_Toc7425"/>
      <w:r>
        <w:rPr>
          <w:rFonts w:hint="eastAsia"/>
        </w:rPr>
        <w:t>主要职责分工</w:t>
      </w:r>
      <w:bookmarkEnd w:id="63"/>
    </w:p>
    <w:p w14:paraId="52E3F8D7">
      <w:pPr>
        <w:bidi w:val="0"/>
        <w:jc w:val="center"/>
        <w:rPr>
          <w:rFonts w:hint="eastAsia"/>
          <w:lang w:eastAsia="zh-CN"/>
        </w:rPr>
      </w:pPr>
      <w:r>
        <w:rPr>
          <w:rFonts w:hint="eastAsia"/>
          <w:lang w:eastAsia="zh-CN"/>
        </w:rPr>
        <w:t>表5-1 主要职责分工表</w:t>
      </w:r>
    </w:p>
    <w:tbl>
      <w:tblPr>
        <w:tblStyle w:val="36"/>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440"/>
        <w:gridCol w:w="6118"/>
      </w:tblGrid>
      <w:tr w14:paraId="53AF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777F05D2">
            <w:pPr>
              <w:bidi w:val="0"/>
              <w:jc w:val="left"/>
              <w:rPr>
                <w:rFonts w:hint="eastAsia"/>
              </w:rPr>
            </w:pPr>
            <w:r>
              <w:rPr>
                <w:rFonts w:hint="eastAsia"/>
              </w:rPr>
              <w:t>职务</w:t>
            </w:r>
          </w:p>
        </w:tc>
        <w:tc>
          <w:tcPr>
            <w:tcW w:w="1440" w:type="dxa"/>
          </w:tcPr>
          <w:p w14:paraId="0A00C991">
            <w:pPr>
              <w:bidi w:val="0"/>
              <w:jc w:val="left"/>
              <w:rPr>
                <w:rFonts w:hint="eastAsia"/>
              </w:rPr>
            </w:pPr>
            <w:r>
              <w:rPr>
                <w:rFonts w:hint="eastAsia"/>
              </w:rPr>
              <w:t>姓名</w:t>
            </w:r>
          </w:p>
        </w:tc>
        <w:tc>
          <w:tcPr>
            <w:tcW w:w="6118" w:type="dxa"/>
          </w:tcPr>
          <w:p w14:paraId="3CEC30A1">
            <w:pPr>
              <w:bidi w:val="0"/>
              <w:jc w:val="left"/>
              <w:rPr>
                <w:rFonts w:hint="eastAsia"/>
              </w:rPr>
            </w:pPr>
            <w:r>
              <w:rPr>
                <w:rFonts w:hint="eastAsia"/>
              </w:rPr>
              <w:t>工作职责</w:t>
            </w:r>
          </w:p>
        </w:tc>
      </w:tr>
      <w:tr w14:paraId="0611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2E1F6082">
            <w:pPr>
              <w:bidi w:val="0"/>
              <w:ind w:left="0" w:leftChars="0" w:firstLine="0" w:firstLineChars="0"/>
              <w:jc w:val="left"/>
              <w:rPr>
                <w:rFonts w:hint="eastAsia"/>
              </w:rPr>
            </w:pPr>
            <w:r>
              <w:rPr>
                <w:rFonts w:hint="eastAsia"/>
                <w:lang w:eastAsia="zh-CN"/>
              </w:rPr>
              <w:t>公司</w:t>
            </w:r>
            <w:r>
              <w:rPr>
                <w:rFonts w:hint="eastAsia"/>
              </w:rPr>
              <w:t>负责人</w:t>
            </w:r>
          </w:p>
        </w:tc>
        <w:tc>
          <w:tcPr>
            <w:tcW w:w="1440" w:type="dxa"/>
            <w:vAlign w:val="center"/>
          </w:tcPr>
          <w:p w14:paraId="112DEC3A">
            <w:pPr>
              <w:bidi w:val="0"/>
              <w:jc w:val="left"/>
              <w:rPr>
                <w:rFonts w:hint="eastAsia"/>
                <w:lang w:eastAsia="zh-CN"/>
              </w:rPr>
            </w:pPr>
            <w:r>
              <w:rPr>
                <w:rFonts w:hint="eastAsia"/>
                <w:lang w:eastAsia="zh-CN"/>
              </w:rPr>
              <w:t>吕仕昌</w:t>
            </w:r>
          </w:p>
        </w:tc>
        <w:tc>
          <w:tcPr>
            <w:tcW w:w="6118" w:type="dxa"/>
            <w:vAlign w:val="center"/>
          </w:tcPr>
          <w:p w14:paraId="3F587595">
            <w:pPr>
              <w:bidi w:val="0"/>
              <w:ind w:left="0" w:leftChars="0" w:firstLine="0" w:firstLineChars="0"/>
              <w:jc w:val="left"/>
              <w:rPr>
                <w:rFonts w:hint="eastAsia"/>
              </w:rPr>
            </w:pPr>
            <w:r>
              <w:rPr>
                <w:rFonts w:hint="eastAsia"/>
              </w:rPr>
              <w:t>负责整个</w:t>
            </w:r>
            <w:r>
              <w:rPr>
                <w:rFonts w:hint="eastAsia"/>
                <w:lang w:eastAsia="zh-CN"/>
              </w:rPr>
              <w:t>公司</w:t>
            </w:r>
            <w:r>
              <w:rPr>
                <w:rFonts w:hint="eastAsia"/>
              </w:rPr>
              <w:t>实施,保证工期、质量安全处于受控状态</w:t>
            </w:r>
          </w:p>
        </w:tc>
      </w:tr>
      <w:tr w14:paraId="4E18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82" w:type="dxa"/>
            <w:vAlign w:val="center"/>
          </w:tcPr>
          <w:p w14:paraId="5A7E8FA6">
            <w:pPr>
              <w:bidi w:val="0"/>
              <w:ind w:left="0" w:leftChars="0" w:firstLine="0" w:firstLineChars="0"/>
              <w:jc w:val="left"/>
              <w:rPr>
                <w:rFonts w:hint="eastAsia"/>
              </w:rPr>
            </w:pPr>
            <w:r>
              <w:rPr>
                <w:rFonts w:hint="eastAsia"/>
              </w:rPr>
              <w:t>技术负责人</w:t>
            </w:r>
          </w:p>
        </w:tc>
        <w:tc>
          <w:tcPr>
            <w:tcW w:w="1440" w:type="dxa"/>
            <w:vAlign w:val="center"/>
          </w:tcPr>
          <w:p w14:paraId="0E7D14DE">
            <w:pPr>
              <w:bidi w:val="0"/>
              <w:jc w:val="left"/>
              <w:rPr>
                <w:rFonts w:hint="eastAsia" w:eastAsia="仿宋"/>
                <w:lang w:eastAsia="zh-CN"/>
              </w:rPr>
            </w:pPr>
            <w:r>
              <w:rPr>
                <w:rFonts w:hint="eastAsia"/>
                <w:lang w:val="en-US" w:eastAsia="zh-CN"/>
              </w:rPr>
              <w:t>刘慧敏</w:t>
            </w:r>
          </w:p>
        </w:tc>
        <w:tc>
          <w:tcPr>
            <w:tcW w:w="6118" w:type="dxa"/>
            <w:vAlign w:val="center"/>
          </w:tcPr>
          <w:p w14:paraId="6D344246">
            <w:pPr>
              <w:bidi w:val="0"/>
              <w:ind w:left="0" w:leftChars="0" w:firstLine="0" w:firstLineChars="0"/>
              <w:jc w:val="left"/>
              <w:rPr>
                <w:rFonts w:hint="eastAsia"/>
              </w:rPr>
            </w:pPr>
            <w:r>
              <w:rPr>
                <w:rFonts w:hint="eastAsia"/>
              </w:rPr>
              <w:t>负责技术方案审批,确保方案的正确性、科学性和可行性</w:t>
            </w:r>
          </w:p>
        </w:tc>
      </w:tr>
      <w:tr w14:paraId="30AC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2" w:type="dxa"/>
            <w:vAlign w:val="center"/>
          </w:tcPr>
          <w:p w14:paraId="785FB919">
            <w:pPr>
              <w:bidi w:val="0"/>
              <w:ind w:left="0" w:leftChars="0" w:firstLine="0" w:firstLineChars="0"/>
              <w:jc w:val="left"/>
              <w:rPr>
                <w:rFonts w:hint="eastAsia"/>
              </w:rPr>
            </w:pPr>
            <w:r>
              <w:rPr>
                <w:rFonts w:hint="eastAsia"/>
              </w:rPr>
              <w:t>安全负责人</w:t>
            </w:r>
          </w:p>
        </w:tc>
        <w:tc>
          <w:tcPr>
            <w:tcW w:w="1440" w:type="dxa"/>
            <w:vAlign w:val="center"/>
          </w:tcPr>
          <w:p w14:paraId="247EEB49">
            <w:pPr>
              <w:bidi w:val="0"/>
              <w:jc w:val="left"/>
              <w:rPr>
                <w:rFonts w:hint="eastAsia"/>
                <w:lang w:eastAsia="zh-CN"/>
              </w:rPr>
            </w:pPr>
            <w:r>
              <w:rPr>
                <w:rFonts w:hint="eastAsia"/>
                <w:lang w:val="en-US" w:eastAsia="zh-CN"/>
              </w:rPr>
              <w:t>熊登</w:t>
            </w:r>
          </w:p>
        </w:tc>
        <w:tc>
          <w:tcPr>
            <w:tcW w:w="6118" w:type="dxa"/>
            <w:vAlign w:val="center"/>
          </w:tcPr>
          <w:p w14:paraId="6DE16358">
            <w:pPr>
              <w:bidi w:val="0"/>
              <w:ind w:left="0" w:leftChars="0" w:firstLine="0" w:firstLineChars="0"/>
              <w:jc w:val="left"/>
              <w:rPr>
                <w:rFonts w:hint="eastAsia"/>
              </w:rPr>
            </w:pPr>
            <w:r>
              <w:rPr>
                <w:rFonts w:hint="eastAsia"/>
              </w:rPr>
              <w:t>落实安全责任制度,负责检查,监督现场人、机、物安全性、可靠性,制止违章作业,消除可能存在的安全隐患</w:t>
            </w:r>
          </w:p>
        </w:tc>
      </w:tr>
      <w:tr w14:paraId="42A6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82" w:type="dxa"/>
            <w:vAlign w:val="center"/>
          </w:tcPr>
          <w:p w14:paraId="7E4804D6">
            <w:pPr>
              <w:bidi w:val="0"/>
              <w:ind w:left="0" w:leftChars="0" w:firstLine="0" w:firstLineChars="0"/>
              <w:jc w:val="left"/>
              <w:rPr>
                <w:rFonts w:hint="eastAsia"/>
              </w:rPr>
            </w:pPr>
            <w:r>
              <w:rPr>
                <w:rFonts w:hint="eastAsia"/>
              </w:rPr>
              <w:t>拆装负责人</w:t>
            </w:r>
          </w:p>
        </w:tc>
        <w:tc>
          <w:tcPr>
            <w:tcW w:w="1440" w:type="dxa"/>
            <w:vAlign w:val="center"/>
          </w:tcPr>
          <w:p w14:paraId="5DD228D6">
            <w:pPr>
              <w:bidi w:val="0"/>
              <w:jc w:val="left"/>
              <w:rPr>
                <w:rFonts w:hint="eastAsia"/>
                <w:lang w:eastAsia="zh-CN"/>
              </w:rPr>
            </w:pPr>
            <w:r>
              <w:rPr>
                <w:rFonts w:hint="eastAsia"/>
                <w:lang w:eastAsia="zh-CN"/>
              </w:rPr>
              <w:t>孔令波</w:t>
            </w:r>
          </w:p>
        </w:tc>
        <w:tc>
          <w:tcPr>
            <w:tcW w:w="6118" w:type="dxa"/>
            <w:vAlign w:val="center"/>
          </w:tcPr>
          <w:p w14:paraId="24CD4FBE">
            <w:pPr>
              <w:bidi w:val="0"/>
              <w:ind w:left="0" w:leftChars="0" w:firstLine="0" w:firstLineChars="0"/>
              <w:jc w:val="left"/>
              <w:rPr>
                <w:rFonts w:hint="eastAsia"/>
              </w:rPr>
            </w:pPr>
            <w:r>
              <w:rPr>
                <w:rFonts w:hint="eastAsia"/>
              </w:rPr>
              <w:t>负责现场的统一安排和现场指挥;负责现场的吊装指挥;负责每日的工作安排,安全交底、工作记录,严格执行施工方案,制止任何违章作业</w:t>
            </w:r>
          </w:p>
        </w:tc>
      </w:tr>
    </w:tbl>
    <w:p w14:paraId="630B338E">
      <w:pPr>
        <w:pStyle w:val="2"/>
        <w:ind w:left="0" w:leftChars="0" w:firstLine="0" w:firstLineChars="0"/>
        <w:rPr>
          <w:rFonts w:hint="eastAsia"/>
          <w:lang w:eastAsia="zh-CN"/>
        </w:rPr>
      </w:pPr>
    </w:p>
    <w:p w14:paraId="4162DD1E">
      <w:pPr>
        <w:pStyle w:val="5"/>
        <w:numPr>
          <w:ilvl w:val="0"/>
          <w:numId w:val="8"/>
        </w:numPr>
        <w:bidi w:val="0"/>
        <w:rPr>
          <w:rFonts w:hint="eastAsia"/>
        </w:rPr>
      </w:pPr>
      <w:bookmarkStart w:id="64" w:name="_Toc19776"/>
      <w:r>
        <w:rPr>
          <w:rFonts w:hint="eastAsia"/>
        </w:rPr>
        <w:t>作业人员配置</w:t>
      </w:r>
      <w:bookmarkEnd w:id="64"/>
    </w:p>
    <w:p w14:paraId="7F27C737">
      <w:pPr>
        <w:spacing w:after="156"/>
        <w:ind w:firstLine="422"/>
        <w:jc w:val="center"/>
        <w:rPr>
          <w:rFonts w:hint="eastAsia" w:ascii="宋体" w:hAnsi="宋体" w:eastAsia="宋体" w:cs="宋体"/>
          <w:bCs/>
          <w:color w:val="000000" w:themeColor="text1"/>
          <w:lang w:eastAsia="zh-CN"/>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表5-2 作业人员配置表</w:t>
      </w:r>
    </w:p>
    <w:tbl>
      <w:tblPr>
        <w:tblStyle w:val="36"/>
        <w:tblW w:w="9118" w:type="dxa"/>
        <w:tblInd w:w="7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1061"/>
        <w:gridCol w:w="803"/>
        <w:gridCol w:w="3300"/>
        <w:gridCol w:w="3440"/>
      </w:tblGrid>
      <w:tr w14:paraId="79A15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5CB8461F">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1061" w:type="dxa"/>
          </w:tcPr>
          <w:p w14:paraId="04254A7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工种</w:t>
            </w:r>
          </w:p>
        </w:tc>
        <w:tc>
          <w:tcPr>
            <w:tcW w:w="803" w:type="dxa"/>
          </w:tcPr>
          <w:p w14:paraId="5CE831A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人数</w:t>
            </w:r>
          </w:p>
        </w:tc>
        <w:tc>
          <w:tcPr>
            <w:tcW w:w="3300" w:type="dxa"/>
          </w:tcPr>
          <w:p w14:paraId="4ADECE0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能力</w:t>
            </w:r>
          </w:p>
        </w:tc>
        <w:tc>
          <w:tcPr>
            <w:tcW w:w="3440" w:type="dxa"/>
          </w:tcPr>
          <w:p w14:paraId="6589729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职责</w:t>
            </w:r>
          </w:p>
        </w:tc>
      </w:tr>
      <w:tr w14:paraId="75F9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3E0A8A3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1061" w:type="dxa"/>
            <w:vAlign w:val="center"/>
          </w:tcPr>
          <w:p w14:paraId="03186D03">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总指挥</w:t>
            </w:r>
          </w:p>
        </w:tc>
        <w:tc>
          <w:tcPr>
            <w:tcW w:w="803" w:type="dxa"/>
            <w:vAlign w:val="center"/>
          </w:tcPr>
          <w:p w14:paraId="1A53770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69BA5E2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熟悉本专业施工工艺流程质量和安环要求,具备应有的协调和组织能力,能冷静地处理施工中突发事件</w:t>
            </w:r>
          </w:p>
        </w:tc>
        <w:tc>
          <w:tcPr>
            <w:tcW w:w="3440" w:type="dxa"/>
            <w:vAlign w:val="center"/>
          </w:tcPr>
          <w:p w14:paraId="2C58BE3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1.全面负责施工中的质量和安全问题;</w:t>
            </w:r>
          </w:p>
          <w:p w14:paraId="38ACB52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2.对各个危险源进行监控;</w:t>
            </w:r>
          </w:p>
          <w:p w14:paraId="61DE7CBD">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3.处理施工中的突发事件</w:t>
            </w:r>
          </w:p>
        </w:tc>
      </w:tr>
      <w:tr w14:paraId="70FC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12A71830">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1061" w:type="dxa"/>
            <w:vAlign w:val="center"/>
          </w:tcPr>
          <w:p w14:paraId="7EEE47E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班长</w:t>
            </w:r>
          </w:p>
        </w:tc>
        <w:tc>
          <w:tcPr>
            <w:tcW w:w="803" w:type="dxa"/>
            <w:vAlign w:val="center"/>
          </w:tcPr>
          <w:p w14:paraId="55B15BB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550847E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具有施工组织能力,熟悉本专业施工工艺流程,熟悉施工质量、安环要求</w:t>
            </w:r>
          </w:p>
        </w:tc>
        <w:tc>
          <w:tcPr>
            <w:tcW w:w="3440" w:type="dxa"/>
            <w:vAlign w:val="center"/>
          </w:tcPr>
          <w:p w14:paraId="34CC191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1.负责组织安排施工人力、物力,严格按照作业指导书的施工工艺要求、质量要求和安全环境要求进行施工,全面负责质量、安全工作</w:t>
            </w:r>
          </w:p>
          <w:p w14:paraId="1A44EE0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2.组织安装工作班前安全交底;</w:t>
            </w:r>
          </w:p>
          <w:p w14:paraId="59A177A6">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3.负责安装前的安全设施的检查,对危险的地点设置安全监护人;</w:t>
            </w:r>
          </w:p>
          <w:p w14:paraId="6FD5CD3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4.发生质量、安全事故立即上报,组织本班组职工按照“四不放过”的原则认真分析</w:t>
            </w:r>
          </w:p>
        </w:tc>
      </w:tr>
      <w:tr w14:paraId="15BB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068E886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1061" w:type="dxa"/>
            <w:vAlign w:val="center"/>
          </w:tcPr>
          <w:p w14:paraId="29005BEC">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技术员</w:t>
            </w:r>
          </w:p>
        </w:tc>
        <w:tc>
          <w:tcPr>
            <w:tcW w:w="803" w:type="dxa"/>
            <w:vAlign w:val="center"/>
          </w:tcPr>
          <w:p w14:paraId="3C4932F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2281F1B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熟悉本专业技术管理</w:t>
            </w:r>
          </w:p>
        </w:tc>
        <w:tc>
          <w:tcPr>
            <w:tcW w:w="3440" w:type="dxa"/>
            <w:vAlign w:val="center"/>
          </w:tcPr>
          <w:p w14:paraId="5EDC0169">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1.负责安装工作安全技术措施的编制和安全施工的监督;</w:t>
            </w:r>
          </w:p>
          <w:p w14:paraId="3C68480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2.负责安装现场技术指导;</w:t>
            </w:r>
          </w:p>
          <w:p w14:paraId="43191BE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3.对违章操作,有权制止,严重者可令其停工,并及时向有关领导汇报</w:t>
            </w:r>
          </w:p>
        </w:tc>
      </w:tr>
      <w:tr w14:paraId="5C82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45B70FA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1061" w:type="dxa"/>
            <w:vAlign w:val="center"/>
          </w:tcPr>
          <w:p w14:paraId="1C71CC3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安全员</w:t>
            </w:r>
          </w:p>
        </w:tc>
        <w:tc>
          <w:tcPr>
            <w:tcW w:w="803" w:type="dxa"/>
            <w:vAlign w:val="center"/>
          </w:tcPr>
          <w:p w14:paraId="1C62CC3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183662D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熟悉本专业安全管理</w:t>
            </w:r>
          </w:p>
        </w:tc>
        <w:tc>
          <w:tcPr>
            <w:tcW w:w="3440" w:type="dxa"/>
            <w:vAlign w:val="center"/>
          </w:tcPr>
          <w:p w14:paraId="7C3617AB">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1.负责安装工作安全技术交底</w:t>
            </w:r>
          </w:p>
          <w:p w14:paraId="4ECE4B8A">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2.负责安装工作安全施工的监督;</w:t>
            </w:r>
          </w:p>
          <w:p w14:paraId="3C43AA6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3.监督检查施工措施的执行情况;</w:t>
            </w:r>
          </w:p>
          <w:p w14:paraId="10A6743A">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4.协助班组长进行安装现场的安全检查,及时解决施工过程中出现的问题;</w:t>
            </w:r>
          </w:p>
          <w:p w14:paraId="32D3DC4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5.对违章操作,有权制止,严重者可令其停工,并及时向有关领导汇报</w:t>
            </w:r>
          </w:p>
        </w:tc>
      </w:tr>
      <w:tr w14:paraId="6E73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79B8ADC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1061" w:type="dxa"/>
            <w:vAlign w:val="center"/>
          </w:tcPr>
          <w:p w14:paraId="275318DD">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辅助吊机司机</w:t>
            </w:r>
          </w:p>
        </w:tc>
        <w:tc>
          <w:tcPr>
            <w:tcW w:w="803" w:type="dxa"/>
            <w:vAlign w:val="center"/>
          </w:tcPr>
          <w:p w14:paraId="1812011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1-2</w:t>
            </w:r>
          </w:p>
        </w:tc>
        <w:tc>
          <w:tcPr>
            <w:tcW w:w="3300" w:type="dxa"/>
            <w:vAlign w:val="center"/>
          </w:tcPr>
          <w:p w14:paraId="37E0DAB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掌握起重施工技术,持有效</w:t>
            </w:r>
          </w:p>
          <w:p w14:paraId="0FF0460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特种作业操作证</w:t>
            </w:r>
          </w:p>
        </w:tc>
        <w:tc>
          <w:tcPr>
            <w:tcW w:w="3440" w:type="dxa"/>
            <w:vAlign w:val="center"/>
          </w:tcPr>
          <w:p w14:paraId="61B9C0BC">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1.负责设备的吊装作业</w:t>
            </w:r>
          </w:p>
          <w:p w14:paraId="1B04C00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0594E7D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3.掌握塔机各部件重量及汽车起重机起重性能</w:t>
            </w:r>
          </w:p>
        </w:tc>
      </w:tr>
      <w:tr w14:paraId="6846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6E75779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6</w:t>
            </w:r>
          </w:p>
        </w:tc>
        <w:tc>
          <w:tcPr>
            <w:tcW w:w="1061" w:type="dxa"/>
            <w:vAlign w:val="center"/>
          </w:tcPr>
          <w:p w14:paraId="559C4ABE">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w:t>
            </w:r>
          </w:p>
        </w:tc>
        <w:tc>
          <w:tcPr>
            <w:tcW w:w="803" w:type="dxa"/>
            <w:vAlign w:val="center"/>
          </w:tcPr>
          <w:p w14:paraId="14AB97FC">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6CCDFD7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掌握电气技术,持有效特种</w:t>
            </w:r>
          </w:p>
          <w:p w14:paraId="4B438EF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作业操作证</w:t>
            </w:r>
          </w:p>
        </w:tc>
        <w:tc>
          <w:tcPr>
            <w:tcW w:w="3440" w:type="dxa"/>
            <w:vAlign w:val="center"/>
          </w:tcPr>
          <w:p w14:paraId="323FD993">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1.负责设备电气部分的作业;</w:t>
            </w:r>
          </w:p>
          <w:p w14:paraId="178737D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6B69C90F">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3.掌握塔机电气线路</w:t>
            </w:r>
          </w:p>
        </w:tc>
      </w:tr>
      <w:tr w14:paraId="3D78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60E3D43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7</w:t>
            </w:r>
          </w:p>
        </w:tc>
        <w:tc>
          <w:tcPr>
            <w:tcW w:w="1061" w:type="dxa"/>
            <w:vAlign w:val="center"/>
          </w:tcPr>
          <w:p w14:paraId="101882B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安拆工</w:t>
            </w:r>
          </w:p>
        </w:tc>
        <w:tc>
          <w:tcPr>
            <w:tcW w:w="803" w:type="dxa"/>
            <w:vAlign w:val="center"/>
          </w:tcPr>
          <w:p w14:paraId="1378788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w:t>
            </w:r>
          </w:p>
        </w:tc>
        <w:tc>
          <w:tcPr>
            <w:tcW w:w="3300" w:type="dxa"/>
            <w:vAlign w:val="center"/>
          </w:tcPr>
          <w:p w14:paraId="52274936">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掌握起重操作技术,持建委</w:t>
            </w:r>
          </w:p>
          <w:p w14:paraId="2AE2A0D5">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颁发有效特种作业操作证</w:t>
            </w:r>
          </w:p>
        </w:tc>
        <w:tc>
          <w:tcPr>
            <w:tcW w:w="3440" w:type="dxa"/>
            <w:vAlign w:val="center"/>
          </w:tcPr>
          <w:p w14:paraId="2AAFD0F8">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1.进行各部件的安装;</w:t>
            </w:r>
          </w:p>
          <w:p w14:paraId="3B2452B4">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2.严格按照作业指导书的施工工艺要求、质量要求和安全环境要求进行施工</w:t>
            </w:r>
          </w:p>
          <w:p w14:paraId="12229E49">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3.掌握塔机安装程序及各部件吊点</w:t>
            </w:r>
          </w:p>
        </w:tc>
      </w:tr>
      <w:tr w14:paraId="448C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dxa"/>
            <w:vAlign w:val="center"/>
          </w:tcPr>
          <w:p w14:paraId="76ED65F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8</w:t>
            </w:r>
          </w:p>
        </w:tc>
        <w:tc>
          <w:tcPr>
            <w:tcW w:w="1061" w:type="dxa"/>
            <w:vAlign w:val="center"/>
          </w:tcPr>
          <w:p w14:paraId="1AAC5D4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信号司索工</w:t>
            </w:r>
          </w:p>
        </w:tc>
        <w:tc>
          <w:tcPr>
            <w:tcW w:w="803" w:type="dxa"/>
            <w:vAlign w:val="center"/>
          </w:tcPr>
          <w:p w14:paraId="62A92CF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3300" w:type="dxa"/>
            <w:vAlign w:val="center"/>
          </w:tcPr>
          <w:p w14:paraId="4763447A">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熟悉本专业操作规程,持建</w:t>
            </w:r>
          </w:p>
          <w:p w14:paraId="79B8F2C1">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委颁发的上岗证书</w:t>
            </w:r>
          </w:p>
        </w:tc>
        <w:tc>
          <w:tcPr>
            <w:tcW w:w="3440" w:type="dxa"/>
            <w:vAlign w:val="center"/>
          </w:tcPr>
          <w:p w14:paraId="31B4E46E">
            <w:pPr>
              <w:spacing w:after="0" w:afterLines="0" w:line="240" w:lineRule="auto"/>
              <w:ind w:firstLine="0" w:firstLineChars="0"/>
              <w:jc w:val="both"/>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负责安装过程中的指挥信号</w:t>
            </w:r>
          </w:p>
        </w:tc>
      </w:tr>
    </w:tbl>
    <w:p w14:paraId="5F3F69E2">
      <w:pPr>
        <w:pStyle w:val="4"/>
        <w:bidi w:val="0"/>
        <w:rPr>
          <w:rFonts w:hint="eastAsia"/>
        </w:rPr>
      </w:pPr>
      <w:bookmarkStart w:id="65" w:name="_Toc15269"/>
      <w:bookmarkStart w:id="66" w:name="_Toc22457"/>
      <w:bookmarkStart w:id="67" w:name="_Toc2357"/>
      <w:bookmarkStart w:id="68" w:name="_Toc32400"/>
      <w:r>
        <w:rPr>
          <w:rFonts w:hint="eastAsia"/>
        </w:rPr>
        <w:t>5.3施工进度计划</w:t>
      </w:r>
      <w:bookmarkEnd w:id="65"/>
      <w:bookmarkEnd w:id="66"/>
      <w:bookmarkEnd w:id="67"/>
      <w:bookmarkEnd w:id="68"/>
    </w:p>
    <w:p w14:paraId="6E818501">
      <w:pPr>
        <w:bidi w:val="0"/>
        <w:ind w:firstLine="960" w:firstLineChars="400"/>
        <w:jc w:val="left"/>
        <w:rPr>
          <w:rFonts w:hint="eastAsia"/>
        </w:rPr>
      </w:pPr>
      <w:r>
        <w:rPr>
          <w:rFonts w:hint="eastAsia"/>
          <w:lang w:val="en-US" w:eastAsia="zh-CN"/>
        </w:rPr>
        <w:t>XGT8040-25</w:t>
      </w:r>
      <w:r>
        <w:rPr>
          <w:rFonts w:hint="eastAsia"/>
        </w:rPr>
        <w:t>塔机安装的施工进度见表5-3，如遇天气等其他不可控因素，工期顺延。</w:t>
      </w:r>
    </w:p>
    <w:tbl>
      <w:tblPr>
        <w:tblStyle w:val="303"/>
        <w:tblW w:w="911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975"/>
        <w:gridCol w:w="1623"/>
      </w:tblGrid>
      <w:tr w14:paraId="3DDD12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809" w:type="dxa"/>
            <w:shd w:val="clear" w:color="auto" w:fill="D6DCE4" w:themeFill="text2" w:themeFillTint="33"/>
            <w:vAlign w:val="center"/>
          </w:tcPr>
          <w:p w14:paraId="63CD8342">
            <w:pPr>
              <w:pStyle w:val="75"/>
              <w:jc w:val="center"/>
              <w:rPr>
                <w:rFonts w:cstheme="minorBidi"/>
                <w:b w:val="0"/>
                <w:kern w:val="2"/>
              </w:rPr>
            </w:pPr>
            <w:r>
              <w:rPr>
                <w:rFonts w:hint="eastAsia" w:cstheme="minorBidi"/>
                <w:b/>
                <w:kern w:val="2"/>
              </w:rPr>
              <w:t>序号</w:t>
            </w:r>
          </w:p>
        </w:tc>
        <w:tc>
          <w:tcPr>
            <w:tcW w:w="3950" w:type="dxa"/>
            <w:shd w:val="clear" w:color="auto" w:fill="D6DCE4" w:themeFill="text2" w:themeFillTint="33"/>
            <w:vAlign w:val="center"/>
          </w:tcPr>
          <w:p w14:paraId="2CB476BF">
            <w:pPr>
              <w:pStyle w:val="75"/>
              <w:jc w:val="center"/>
              <w:rPr>
                <w:rFonts w:cstheme="minorBidi"/>
                <w:b w:val="0"/>
                <w:kern w:val="2"/>
              </w:rPr>
            </w:pPr>
            <w:r>
              <w:rPr>
                <w:rFonts w:hint="eastAsia" w:cstheme="minorBidi"/>
                <w:b/>
                <w:kern w:val="2"/>
              </w:rPr>
              <w:t>安装内容</w:t>
            </w:r>
          </w:p>
        </w:tc>
        <w:tc>
          <w:tcPr>
            <w:tcW w:w="1760" w:type="dxa"/>
            <w:shd w:val="clear" w:color="auto" w:fill="D6DCE4" w:themeFill="text2" w:themeFillTint="33"/>
            <w:vAlign w:val="center"/>
          </w:tcPr>
          <w:p w14:paraId="494C1C1C">
            <w:pPr>
              <w:pStyle w:val="75"/>
              <w:jc w:val="center"/>
              <w:rPr>
                <w:rFonts w:cstheme="minorBidi"/>
                <w:b w:val="0"/>
                <w:kern w:val="2"/>
              </w:rPr>
            </w:pPr>
            <w:r>
              <w:rPr>
                <w:rFonts w:hint="eastAsia" w:cstheme="minorBidi"/>
                <w:b/>
                <w:kern w:val="2"/>
              </w:rPr>
              <w:t>关键设备</w:t>
            </w:r>
          </w:p>
        </w:tc>
        <w:tc>
          <w:tcPr>
            <w:tcW w:w="975" w:type="dxa"/>
            <w:shd w:val="clear" w:color="auto" w:fill="D6DCE4" w:themeFill="text2" w:themeFillTint="33"/>
            <w:vAlign w:val="center"/>
          </w:tcPr>
          <w:p w14:paraId="220774AC">
            <w:pPr>
              <w:pStyle w:val="75"/>
              <w:jc w:val="center"/>
              <w:rPr>
                <w:rFonts w:cstheme="minorBidi"/>
                <w:b w:val="0"/>
                <w:kern w:val="2"/>
              </w:rPr>
            </w:pPr>
            <w:r>
              <w:rPr>
                <w:rFonts w:hint="eastAsia" w:cstheme="minorBidi"/>
                <w:b/>
                <w:kern w:val="2"/>
              </w:rPr>
              <w:t>时间（天）</w:t>
            </w:r>
          </w:p>
        </w:tc>
        <w:tc>
          <w:tcPr>
            <w:tcW w:w="1623" w:type="dxa"/>
            <w:shd w:val="clear" w:color="auto" w:fill="D6DCE4" w:themeFill="text2" w:themeFillTint="33"/>
            <w:vAlign w:val="center"/>
          </w:tcPr>
          <w:p w14:paraId="6E148A78">
            <w:pPr>
              <w:pStyle w:val="75"/>
              <w:jc w:val="center"/>
              <w:rPr>
                <w:rFonts w:cstheme="minorBidi"/>
                <w:b w:val="0"/>
                <w:kern w:val="2"/>
              </w:rPr>
            </w:pPr>
            <w:r>
              <w:rPr>
                <w:rFonts w:hint="eastAsia" w:cstheme="minorBidi"/>
                <w:b/>
                <w:kern w:val="2"/>
              </w:rPr>
              <w:t>备注</w:t>
            </w:r>
          </w:p>
        </w:tc>
      </w:tr>
      <w:tr w14:paraId="563B90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24699EF">
            <w:pPr>
              <w:pStyle w:val="75"/>
              <w:jc w:val="center"/>
              <w:rPr>
                <w:rFonts w:cstheme="minorBidi"/>
                <w:kern w:val="2"/>
              </w:rPr>
            </w:pPr>
            <w:r>
              <w:rPr>
                <w:rFonts w:hint="eastAsia" w:cstheme="minorBidi"/>
                <w:kern w:val="2"/>
              </w:rPr>
              <w:t>1</w:t>
            </w:r>
          </w:p>
        </w:tc>
        <w:tc>
          <w:tcPr>
            <w:tcW w:w="3950" w:type="dxa"/>
            <w:vAlign w:val="center"/>
          </w:tcPr>
          <w:p w14:paraId="2EF4EB68">
            <w:pPr>
              <w:pStyle w:val="75"/>
              <w:jc w:val="center"/>
              <w:rPr>
                <w:rFonts w:cstheme="minorBidi"/>
                <w:kern w:val="2"/>
              </w:rPr>
            </w:pPr>
            <w:r>
              <w:rPr>
                <w:rFonts w:hint="eastAsia" w:cstheme="minorBidi"/>
                <w:kern w:val="2"/>
              </w:rPr>
              <w:t>塔吊基础验收</w:t>
            </w:r>
          </w:p>
        </w:tc>
        <w:tc>
          <w:tcPr>
            <w:tcW w:w="1760" w:type="dxa"/>
            <w:vAlign w:val="center"/>
          </w:tcPr>
          <w:p w14:paraId="76341BAC">
            <w:pPr>
              <w:pStyle w:val="75"/>
              <w:jc w:val="center"/>
              <w:rPr>
                <w:rFonts w:cstheme="minorBidi"/>
                <w:kern w:val="2"/>
              </w:rPr>
            </w:pPr>
            <w:r>
              <w:rPr>
                <w:rFonts w:hint="eastAsia" w:cstheme="minorBidi"/>
                <w:kern w:val="2"/>
              </w:rPr>
              <w:t>-</w:t>
            </w:r>
          </w:p>
        </w:tc>
        <w:tc>
          <w:tcPr>
            <w:tcW w:w="975" w:type="dxa"/>
            <w:vAlign w:val="center"/>
          </w:tcPr>
          <w:p w14:paraId="7207072A">
            <w:pPr>
              <w:pStyle w:val="75"/>
              <w:jc w:val="center"/>
              <w:rPr>
                <w:rFonts w:cstheme="minorBidi"/>
                <w:kern w:val="2"/>
              </w:rPr>
            </w:pPr>
            <w:r>
              <w:rPr>
                <w:rFonts w:hint="eastAsia" w:cstheme="minorBidi"/>
                <w:kern w:val="2"/>
              </w:rPr>
              <w:t>0.5</w:t>
            </w:r>
          </w:p>
        </w:tc>
        <w:tc>
          <w:tcPr>
            <w:tcW w:w="1623" w:type="dxa"/>
            <w:vAlign w:val="center"/>
          </w:tcPr>
          <w:p w14:paraId="6E8D114B">
            <w:pPr>
              <w:pStyle w:val="75"/>
              <w:jc w:val="center"/>
              <w:rPr>
                <w:rFonts w:cstheme="minorBidi"/>
                <w:kern w:val="2"/>
              </w:rPr>
            </w:pPr>
          </w:p>
        </w:tc>
      </w:tr>
      <w:tr w14:paraId="30D0B0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3AFF362F">
            <w:pPr>
              <w:pStyle w:val="75"/>
              <w:jc w:val="center"/>
              <w:rPr>
                <w:rFonts w:cstheme="minorBidi"/>
                <w:kern w:val="2"/>
              </w:rPr>
            </w:pPr>
            <w:r>
              <w:rPr>
                <w:rFonts w:hint="eastAsia" w:cstheme="minorBidi"/>
                <w:kern w:val="2"/>
              </w:rPr>
              <w:t>2</w:t>
            </w:r>
          </w:p>
        </w:tc>
        <w:tc>
          <w:tcPr>
            <w:tcW w:w="3950" w:type="dxa"/>
            <w:vAlign w:val="center"/>
          </w:tcPr>
          <w:p w14:paraId="4D401ACD">
            <w:pPr>
              <w:pStyle w:val="75"/>
              <w:jc w:val="center"/>
              <w:rPr>
                <w:rFonts w:cstheme="minorBidi"/>
                <w:kern w:val="2"/>
              </w:rPr>
            </w:pPr>
            <w:r>
              <w:rPr>
                <w:rFonts w:hint="eastAsia" w:cstheme="minorBidi"/>
                <w:kern w:val="2"/>
                <w:lang w:val="en-US" w:eastAsia="zh-CN"/>
              </w:rPr>
              <w:t>加强</w:t>
            </w:r>
            <w:r>
              <w:rPr>
                <w:rFonts w:hint="eastAsia" w:cstheme="minorBidi"/>
                <w:kern w:val="2"/>
              </w:rPr>
              <w:t>节、标准节、套架安装</w:t>
            </w:r>
          </w:p>
        </w:tc>
        <w:tc>
          <w:tcPr>
            <w:tcW w:w="1760" w:type="dxa"/>
            <w:vAlign w:val="center"/>
          </w:tcPr>
          <w:p w14:paraId="3B2F4027">
            <w:pPr>
              <w:pStyle w:val="75"/>
              <w:jc w:val="center"/>
              <w:rPr>
                <w:rFonts w:hint="eastAsia" w:eastAsia="宋体" w:cstheme="minorBidi"/>
                <w:kern w:val="2"/>
                <w:lang w:eastAsia="zh-CN"/>
              </w:rPr>
            </w:pPr>
            <w:r>
              <w:rPr>
                <w:rFonts w:hint="eastAsia" w:cstheme="minorBidi"/>
                <w:kern w:val="2"/>
                <w:lang w:val="en-US" w:eastAsia="zh-CN"/>
              </w:rPr>
              <w:t>80</w:t>
            </w:r>
            <w:r>
              <w:rPr>
                <w:rFonts w:hint="eastAsia" w:cstheme="minorBidi"/>
                <w:kern w:val="2"/>
                <w:lang w:eastAsia="zh-CN"/>
              </w:rPr>
              <w:t>t汽车吊</w:t>
            </w:r>
          </w:p>
        </w:tc>
        <w:tc>
          <w:tcPr>
            <w:tcW w:w="975" w:type="dxa"/>
            <w:vAlign w:val="center"/>
          </w:tcPr>
          <w:p w14:paraId="261BA3EC">
            <w:pPr>
              <w:pStyle w:val="75"/>
              <w:jc w:val="center"/>
              <w:rPr>
                <w:rFonts w:cstheme="minorBidi"/>
                <w:kern w:val="2"/>
              </w:rPr>
            </w:pPr>
            <w:r>
              <w:rPr>
                <w:rFonts w:hint="eastAsia" w:cstheme="minorBidi"/>
                <w:kern w:val="2"/>
              </w:rPr>
              <w:t>0.5</w:t>
            </w:r>
          </w:p>
        </w:tc>
        <w:tc>
          <w:tcPr>
            <w:tcW w:w="1623" w:type="dxa"/>
            <w:vAlign w:val="center"/>
          </w:tcPr>
          <w:p w14:paraId="51C31FB3">
            <w:pPr>
              <w:pStyle w:val="75"/>
              <w:jc w:val="center"/>
              <w:rPr>
                <w:rFonts w:cstheme="minorBidi"/>
                <w:kern w:val="2"/>
              </w:rPr>
            </w:pPr>
          </w:p>
        </w:tc>
      </w:tr>
      <w:tr w14:paraId="3893CE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9074529">
            <w:pPr>
              <w:pStyle w:val="75"/>
              <w:jc w:val="center"/>
              <w:rPr>
                <w:rFonts w:cstheme="minorBidi"/>
                <w:kern w:val="2"/>
              </w:rPr>
            </w:pPr>
            <w:r>
              <w:rPr>
                <w:rFonts w:hint="eastAsia" w:cstheme="minorBidi"/>
                <w:kern w:val="2"/>
              </w:rPr>
              <w:t>3</w:t>
            </w:r>
          </w:p>
        </w:tc>
        <w:tc>
          <w:tcPr>
            <w:tcW w:w="3950" w:type="dxa"/>
            <w:vAlign w:val="center"/>
          </w:tcPr>
          <w:p w14:paraId="685C0FAE">
            <w:pPr>
              <w:pStyle w:val="75"/>
              <w:jc w:val="center"/>
              <w:rPr>
                <w:rFonts w:cstheme="minorBidi"/>
                <w:kern w:val="2"/>
              </w:rPr>
            </w:pPr>
            <w:r>
              <w:rPr>
                <w:rFonts w:hint="eastAsia" w:cstheme="minorBidi"/>
                <w:kern w:val="2"/>
              </w:rPr>
              <w:t>回转总成、回转塔身、司机室</w:t>
            </w:r>
          </w:p>
        </w:tc>
        <w:tc>
          <w:tcPr>
            <w:tcW w:w="1760" w:type="dxa"/>
            <w:vAlign w:val="center"/>
          </w:tcPr>
          <w:p w14:paraId="6E1F159A">
            <w:pPr>
              <w:pStyle w:val="75"/>
              <w:jc w:val="center"/>
              <w:rPr>
                <w:rFonts w:hint="eastAsia" w:eastAsia="宋体" w:cstheme="minorBidi"/>
                <w:kern w:val="2"/>
                <w:lang w:eastAsia="zh-CN"/>
              </w:rPr>
            </w:pPr>
            <w:r>
              <w:rPr>
                <w:rFonts w:hint="eastAsia" w:cstheme="minorBidi"/>
                <w:kern w:val="2"/>
                <w:lang w:val="en-US" w:eastAsia="zh-CN"/>
              </w:rPr>
              <w:t>80</w:t>
            </w:r>
            <w:r>
              <w:rPr>
                <w:rFonts w:hint="eastAsia" w:cstheme="minorBidi"/>
                <w:kern w:val="2"/>
                <w:lang w:eastAsia="zh-CN"/>
              </w:rPr>
              <w:t>t汽车吊</w:t>
            </w:r>
          </w:p>
        </w:tc>
        <w:tc>
          <w:tcPr>
            <w:tcW w:w="975" w:type="dxa"/>
            <w:vAlign w:val="center"/>
          </w:tcPr>
          <w:p w14:paraId="73FEBCF1">
            <w:pPr>
              <w:pStyle w:val="75"/>
              <w:jc w:val="center"/>
              <w:rPr>
                <w:rFonts w:cstheme="minorBidi"/>
                <w:kern w:val="2"/>
              </w:rPr>
            </w:pPr>
            <w:r>
              <w:rPr>
                <w:rFonts w:hint="eastAsia" w:cstheme="minorBidi"/>
                <w:kern w:val="2"/>
              </w:rPr>
              <w:t>1</w:t>
            </w:r>
          </w:p>
        </w:tc>
        <w:tc>
          <w:tcPr>
            <w:tcW w:w="1623" w:type="dxa"/>
            <w:vAlign w:val="center"/>
          </w:tcPr>
          <w:p w14:paraId="6986323F">
            <w:pPr>
              <w:pStyle w:val="75"/>
              <w:jc w:val="center"/>
              <w:rPr>
                <w:rFonts w:cstheme="minorBidi"/>
                <w:kern w:val="2"/>
              </w:rPr>
            </w:pPr>
          </w:p>
        </w:tc>
      </w:tr>
      <w:tr w14:paraId="6230E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1905CC72">
            <w:pPr>
              <w:pStyle w:val="75"/>
              <w:jc w:val="center"/>
              <w:rPr>
                <w:rFonts w:cstheme="minorBidi"/>
                <w:kern w:val="2"/>
              </w:rPr>
            </w:pPr>
            <w:r>
              <w:rPr>
                <w:rFonts w:hint="eastAsia" w:cstheme="minorBidi"/>
                <w:kern w:val="2"/>
              </w:rPr>
              <w:t>4</w:t>
            </w:r>
          </w:p>
        </w:tc>
        <w:tc>
          <w:tcPr>
            <w:tcW w:w="3950" w:type="dxa"/>
            <w:vAlign w:val="center"/>
          </w:tcPr>
          <w:p w14:paraId="1B0241C2">
            <w:pPr>
              <w:pStyle w:val="75"/>
              <w:jc w:val="center"/>
              <w:rPr>
                <w:rFonts w:cstheme="minorBidi"/>
                <w:kern w:val="2"/>
              </w:rPr>
            </w:pPr>
            <w:r>
              <w:rPr>
                <w:rFonts w:hint="eastAsia" w:cstheme="minorBidi"/>
                <w:kern w:val="2"/>
              </w:rPr>
              <w:t>平衡臂、主卷扬、起重臂、配重、安装</w:t>
            </w:r>
          </w:p>
        </w:tc>
        <w:tc>
          <w:tcPr>
            <w:tcW w:w="1760" w:type="dxa"/>
            <w:vAlign w:val="center"/>
          </w:tcPr>
          <w:p w14:paraId="3E880EB9">
            <w:pPr>
              <w:pStyle w:val="75"/>
              <w:jc w:val="center"/>
              <w:rPr>
                <w:rFonts w:hint="eastAsia" w:eastAsia="宋体" w:cstheme="minorBidi"/>
                <w:kern w:val="2"/>
                <w:lang w:eastAsia="zh-CN"/>
              </w:rPr>
            </w:pPr>
            <w:r>
              <w:rPr>
                <w:rFonts w:hint="eastAsia" w:cstheme="minorBidi"/>
                <w:kern w:val="2"/>
                <w:lang w:val="en-US" w:eastAsia="zh-CN"/>
              </w:rPr>
              <w:t>80</w:t>
            </w:r>
            <w:r>
              <w:rPr>
                <w:rFonts w:hint="eastAsia" w:cstheme="minorBidi"/>
                <w:kern w:val="2"/>
                <w:lang w:eastAsia="zh-CN"/>
              </w:rPr>
              <w:t>t汽车吊</w:t>
            </w:r>
          </w:p>
        </w:tc>
        <w:tc>
          <w:tcPr>
            <w:tcW w:w="975" w:type="dxa"/>
            <w:vAlign w:val="center"/>
          </w:tcPr>
          <w:p w14:paraId="00974BBE">
            <w:pPr>
              <w:pStyle w:val="75"/>
              <w:jc w:val="center"/>
              <w:rPr>
                <w:rFonts w:cstheme="minorBidi"/>
                <w:kern w:val="2"/>
              </w:rPr>
            </w:pPr>
            <w:r>
              <w:rPr>
                <w:rFonts w:hint="eastAsia" w:cstheme="minorBidi"/>
                <w:kern w:val="2"/>
              </w:rPr>
              <w:t>1</w:t>
            </w:r>
          </w:p>
        </w:tc>
        <w:tc>
          <w:tcPr>
            <w:tcW w:w="1623" w:type="dxa"/>
            <w:vAlign w:val="center"/>
          </w:tcPr>
          <w:p w14:paraId="1EA2C02F">
            <w:pPr>
              <w:pStyle w:val="75"/>
              <w:jc w:val="center"/>
              <w:rPr>
                <w:rFonts w:cstheme="minorBidi"/>
                <w:kern w:val="2"/>
              </w:rPr>
            </w:pPr>
          </w:p>
        </w:tc>
      </w:tr>
      <w:tr w14:paraId="16840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809" w:type="dxa"/>
            <w:vAlign w:val="center"/>
          </w:tcPr>
          <w:p w14:paraId="7600694D">
            <w:pPr>
              <w:pStyle w:val="75"/>
              <w:jc w:val="center"/>
              <w:rPr>
                <w:rFonts w:cstheme="minorBidi"/>
                <w:kern w:val="2"/>
              </w:rPr>
            </w:pPr>
            <w:r>
              <w:rPr>
                <w:rFonts w:hint="eastAsia" w:cstheme="minorBidi"/>
                <w:kern w:val="2"/>
              </w:rPr>
              <w:t>5</w:t>
            </w:r>
          </w:p>
        </w:tc>
        <w:tc>
          <w:tcPr>
            <w:tcW w:w="3950" w:type="dxa"/>
            <w:vAlign w:val="center"/>
          </w:tcPr>
          <w:p w14:paraId="680ACBFC">
            <w:pPr>
              <w:pStyle w:val="75"/>
              <w:jc w:val="center"/>
              <w:rPr>
                <w:rFonts w:cstheme="minorBidi"/>
                <w:kern w:val="2"/>
              </w:rPr>
            </w:pPr>
            <w:r>
              <w:rPr>
                <w:rFonts w:hint="eastAsia" w:cstheme="minorBidi"/>
                <w:kern w:val="2"/>
              </w:rPr>
              <w:t>电气调试、钢丝绳穿绕</w:t>
            </w:r>
          </w:p>
        </w:tc>
        <w:tc>
          <w:tcPr>
            <w:tcW w:w="1760" w:type="dxa"/>
            <w:vAlign w:val="center"/>
          </w:tcPr>
          <w:p w14:paraId="40FC9C50">
            <w:pPr>
              <w:pStyle w:val="75"/>
              <w:jc w:val="center"/>
              <w:rPr>
                <w:rFonts w:hint="eastAsia" w:eastAsia="宋体" w:cstheme="minorBidi"/>
                <w:kern w:val="2"/>
                <w:lang w:eastAsia="zh-CN"/>
              </w:rPr>
            </w:pPr>
          </w:p>
        </w:tc>
        <w:tc>
          <w:tcPr>
            <w:tcW w:w="975" w:type="dxa"/>
            <w:vAlign w:val="center"/>
          </w:tcPr>
          <w:p w14:paraId="0B21ABEF">
            <w:pPr>
              <w:pStyle w:val="75"/>
              <w:jc w:val="center"/>
              <w:rPr>
                <w:rFonts w:cstheme="minorBidi"/>
                <w:kern w:val="2"/>
              </w:rPr>
            </w:pPr>
            <w:r>
              <w:rPr>
                <w:rFonts w:hint="eastAsia" w:cstheme="minorBidi"/>
                <w:kern w:val="2"/>
              </w:rPr>
              <w:t>1</w:t>
            </w:r>
          </w:p>
        </w:tc>
        <w:tc>
          <w:tcPr>
            <w:tcW w:w="1623" w:type="dxa"/>
            <w:vAlign w:val="center"/>
          </w:tcPr>
          <w:p w14:paraId="2BB6D887">
            <w:pPr>
              <w:pStyle w:val="75"/>
              <w:jc w:val="center"/>
              <w:rPr>
                <w:rFonts w:cstheme="minorBidi"/>
                <w:kern w:val="2"/>
              </w:rPr>
            </w:pPr>
          </w:p>
        </w:tc>
      </w:tr>
      <w:tr w14:paraId="72E872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3" w:hRule="atLeast"/>
          <w:jc w:val="center"/>
        </w:trPr>
        <w:tc>
          <w:tcPr>
            <w:tcW w:w="809" w:type="dxa"/>
            <w:vAlign w:val="center"/>
          </w:tcPr>
          <w:p w14:paraId="38E28284">
            <w:pPr>
              <w:pStyle w:val="75"/>
              <w:jc w:val="center"/>
              <w:rPr>
                <w:rFonts w:cstheme="minorBidi"/>
                <w:kern w:val="2"/>
              </w:rPr>
            </w:pPr>
            <w:r>
              <w:rPr>
                <w:rFonts w:hint="eastAsia" w:cstheme="minorBidi"/>
                <w:kern w:val="2"/>
              </w:rPr>
              <w:t>6</w:t>
            </w:r>
          </w:p>
        </w:tc>
        <w:tc>
          <w:tcPr>
            <w:tcW w:w="3950" w:type="dxa"/>
            <w:vAlign w:val="center"/>
          </w:tcPr>
          <w:p w14:paraId="3E87D09E">
            <w:pPr>
              <w:pStyle w:val="75"/>
              <w:jc w:val="center"/>
              <w:rPr>
                <w:rFonts w:cstheme="minorBidi"/>
                <w:kern w:val="2"/>
              </w:rPr>
            </w:pPr>
            <w:r>
              <w:rPr>
                <w:rFonts w:hint="eastAsia" w:cstheme="minorBidi"/>
                <w:kern w:val="2"/>
              </w:rPr>
              <w:t>顶升加节</w:t>
            </w:r>
          </w:p>
        </w:tc>
        <w:tc>
          <w:tcPr>
            <w:tcW w:w="1760" w:type="dxa"/>
            <w:vAlign w:val="center"/>
          </w:tcPr>
          <w:p w14:paraId="76B34938">
            <w:pPr>
              <w:pStyle w:val="75"/>
              <w:jc w:val="center"/>
              <w:rPr>
                <w:rFonts w:cstheme="minorBidi"/>
                <w:kern w:val="2"/>
              </w:rPr>
            </w:pPr>
          </w:p>
        </w:tc>
        <w:tc>
          <w:tcPr>
            <w:tcW w:w="975" w:type="dxa"/>
            <w:vAlign w:val="center"/>
          </w:tcPr>
          <w:p w14:paraId="377AF534">
            <w:pPr>
              <w:pStyle w:val="75"/>
              <w:jc w:val="center"/>
              <w:rPr>
                <w:rFonts w:hint="eastAsia" w:eastAsia="仿宋" w:cstheme="minorBidi"/>
                <w:kern w:val="2"/>
                <w:lang w:eastAsia="zh-CN"/>
              </w:rPr>
            </w:pPr>
            <w:r>
              <w:rPr>
                <w:rFonts w:hint="eastAsia" w:cstheme="minorBidi"/>
                <w:kern w:val="2"/>
                <w:lang w:val="en-US" w:eastAsia="zh-CN"/>
              </w:rPr>
              <w:t>1</w:t>
            </w:r>
          </w:p>
        </w:tc>
        <w:tc>
          <w:tcPr>
            <w:tcW w:w="1623" w:type="dxa"/>
            <w:vAlign w:val="center"/>
          </w:tcPr>
          <w:p w14:paraId="143ED131">
            <w:pPr>
              <w:pStyle w:val="75"/>
              <w:jc w:val="center"/>
              <w:rPr>
                <w:rFonts w:cstheme="minorBidi"/>
                <w:kern w:val="2"/>
              </w:rPr>
            </w:pPr>
          </w:p>
        </w:tc>
      </w:tr>
      <w:tr w14:paraId="180CC0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09" w:type="dxa"/>
            <w:vAlign w:val="center"/>
          </w:tcPr>
          <w:p w14:paraId="0E1A9C66">
            <w:pPr>
              <w:pStyle w:val="75"/>
              <w:jc w:val="center"/>
              <w:rPr>
                <w:rFonts w:cstheme="minorBidi"/>
                <w:kern w:val="2"/>
              </w:rPr>
            </w:pPr>
            <w:r>
              <w:rPr>
                <w:rFonts w:hint="eastAsia" w:cstheme="minorBidi"/>
                <w:kern w:val="2"/>
              </w:rPr>
              <w:t>7</w:t>
            </w:r>
          </w:p>
        </w:tc>
        <w:tc>
          <w:tcPr>
            <w:tcW w:w="3950" w:type="dxa"/>
            <w:vAlign w:val="center"/>
          </w:tcPr>
          <w:p w14:paraId="6E8CF8DF">
            <w:pPr>
              <w:pStyle w:val="75"/>
              <w:jc w:val="center"/>
              <w:rPr>
                <w:rFonts w:cstheme="minorBidi"/>
                <w:kern w:val="2"/>
              </w:rPr>
            </w:pPr>
            <w:r>
              <w:rPr>
                <w:rFonts w:hint="eastAsia" w:cstheme="minorBidi"/>
                <w:kern w:val="2"/>
              </w:rPr>
              <w:t>试吊验收</w:t>
            </w:r>
          </w:p>
        </w:tc>
        <w:tc>
          <w:tcPr>
            <w:tcW w:w="1760" w:type="dxa"/>
            <w:vAlign w:val="center"/>
          </w:tcPr>
          <w:p w14:paraId="680D376D">
            <w:pPr>
              <w:pStyle w:val="75"/>
              <w:jc w:val="center"/>
              <w:rPr>
                <w:rFonts w:cstheme="minorBidi"/>
                <w:kern w:val="2"/>
              </w:rPr>
            </w:pPr>
          </w:p>
        </w:tc>
        <w:tc>
          <w:tcPr>
            <w:tcW w:w="975" w:type="dxa"/>
            <w:vAlign w:val="center"/>
          </w:tcPr>
          <w:p w14:paraId="4F6BAF0F">
            <w:pPr>
              <w:pStyle w:val="75"/>
              <w:jc w:val="center"/>
              <w:rPr>
                <w:rFonts w:cstheme="minorBidi"/>
                <w:kern w:val="2"/>
              </w:rPr>
            </w:pPr>
            <w:r>
              <w:rPr>
                <w:rFonts w:hint="eastAsia" w:cstheme="minorBidi"/>
                <w:kern w:val="2"/>
              </w:rPr>
              <w:t>1</w:t>
            </w:r>
          </w:p>
        </w:tc>
        <w:tc>
          <w:tcPr>
            <w:tcW w:w="1623" w:type="dxa"/>
            <w:vAlign w:val="center"/>
          </w:tcPr>
          <w:p w14:paraId="324E83FC">
            <w:pPr>
              <w:pStyle w:val="75"/>
              <w:jc w:val="center"/>
              <w:rPr>
                <w:rFonts w:cstheme="minorBidi"/>
                <w:kern w:val="2"/>
              </w:rPr>
            </w:pPr>
          </w:p>
        </w:tc>
      </w:tr>
      <w:tr w14:paraId="3C783B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6519" w:type="dxa"/>
            <w:gridSpan w:val="3"/>
            <w:vAlign w:val="center"/>
          </w:tcPr>
          <w:p w14:paraId="37DA750F">
            <w:pPr>
              <w:pStyle w:val="75"/>
              <w:jc w:val="center"/>
              <w:rPr>
                <w:rFonts w:cstheme="minorBidi"/>
                <w:kern w:val="2"/>
              </w:rPr>
            </w:pPr>
            <w:r>
              <w:rPr>
                <w:rFonts w:hint="eastAsia" w:cstheme="minorBidi"/>
                <w:kern w:val="2"/>
              </w:rPr>
              <w:t>合计</w:t>
            </w:r>
          </w:p>
        </w:tc>
        <w:tc>
          <w:tcPr>
            <w:tcW w:w="975" w:type="dxa"/>
            <w:vAlign w:val="center"/>
          </w:tcPr>
          <w:p w14:paraId="0DE45D2F">
            <w:pPr>
              <w:pStyle w:val="75"/>
              <w:jc w:val="center"/>
              <w:rPr>
                <w:rFonts w:hint="eastAsia" w:eastAsia="仿宋" w:cstheme="minorBidi"/>
                <w:kern w:val="2"/>
                <w:lang w:eastAsia="zh-CN"/>
              </w:rPr>
            </w:pPr>
            <w:r>
              <w:rPr>
                <w:rFonts w:hint="eastAsia" w:cstheme="minorBidi"/>
                <w:kern w:val="2"/>
                <w:lang w:val="en-US" w:eastAsia="zh-CN"/>
              </w:rPr>
              <w:t>6</w:t>
            </w:r>
          </w:p>
        </w:tc>
        <w:tc>
          <w:tcPr>
            <w:tcW w:w="1623" w:type="dxa"/>
            <w:vAlign w:val="center"/>
          </w:tcPr>
          <w:p w14:paraId="6594FB71">
            <w:pPr>
              <w:pStyle w:val="75"/>
              <w:jc w:val="center"/>
              <w:rPr>
                <w:rFonts w:cstheme="minorBidi"/>
                <w:kern w:val="2"/>
              </w:rPr>
            </w:pPr>
          </w:p>
        </w:tc>
      </w:tr>
      <w:tr w14:paraId="1EF6D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6519" w:type="dxa"/>
            <w:gridSpan w:val="3"/>
            <w:vAlign w:val="center"/>
          </w:tcPr>
          <w:p w14:paraId="6A672BBB">
            <w:pPr>
              <w:pStyle w:val="75"/>
              <w:jc w:val="center"/>
              <w:rPr>
                <w:rFonts w:cstheme="minorBidi"/>
                <w:kern w:val="2"/>
              </w:rPr>
            </w:pPr>
            <w:r>
              <w:rPr>
                <w:rFonts w:hint="eastAsia" w:cstheme="minorBidi"/>
                <w:kern w:val="2"/>
              </w:rPr>
              <w:t>起重设备暂定</w:t>
            </w:r>
          </w:p>
        </w:tc>
        <w:tc>
          <w:tcPr>
            <w:tcW w:w="975" w:type="dxa"/>
            <w:vAlign w:val="center"/>
          </w:tcPr>
          <w:p w14:paraId="05D7069F">
            <w:pPr>
              <w:pStyle w:val="75"/>
              <w:jc w:val="center"/>
              <w:rPr>
                <w:rFonts w:cstheme="minorBidi"/>
                <w:kern w:val="2"/>
              </w:rPr>
            </w:pPr>
          </w:p>
        </w:tc>
        <w:tc>
          <w:tcPr>
            <w:tcW w:w="1623" w:type="dxa"/>
            <w:vAlign w:val="center"/>
          </w:tcPr>
          <w:p w14:paraId="68D36928">
            <w:pPr>
              <w:pStyle w:val="75"/>
              <w:jc w:val="center"/>
              <w:rPr>
                <w:rFonts w:cstheme="minorBidi"/>
                <w:kern w:val="2"/>
              </w:rPr>
            </w:pPr>
          </w:p>
        </w:tc>
      </w:tr>
    </w:tbl>
    <w:p w14:paraId="3C5D05D9">
      <w:pPr>
        <w:bidi w:val="0"/>
        <w:rPr>
          <w:rFonts w:hint="eastAsia"/>
        </w:rPr>
      </w:pPr>
      <w:r>
        <w:rPr>
          <w:rFonts w:hint="eastAsia"/>
          <w:lang w:eastAsia="zh-CN"/>
        </w:rPr>
        <w:t>汽车吊的选择根据现场实际情况调整但不小于最低要求</w:t>
      </w:r>
      <w:r>
        <w:rPr>
          <w:rFonts w:hint="eastAsia"/>
          <w:lang w:val="en-US" w:eastAsia="zh-CN"/>
        </w:rPr>
        <w:t>80t.</w:t>
      </w:r>
      <w:r>
        <w:rPr>
          <w:rFonts w:hint="eastAsia"/>
        </w:rPr>
        <w:t>如遇天气等其他不可控因素，工期顺延。</w:t>
      </w:r>
    </w:p>
    <w:p w14:paraId="0917495C">
      <w:pPr>
        <w:pStyle w:val="4"/>
        <w:bidi w:val="0"/>
        <w:rPr>
          <w:rFonts w:hint="eastAsia"/>
        </w:rPr>
      </w:pPr>
      <w:bookmarkStart w:id="69" w:name="_Toc27106"/>
      <w:bookmarkStart w:id="70" w:name="_Toc22920"/>
      <w:bookmarkStart w:id="71" w:name="_Toc32359"/>
      <w:bookmarkStart w:id="72" w:name="_Toc6774"/>
      <w:r>
        <w:rPr>
          <w:rFonts w:hint="eastAsia"/>
        </w:rPr>
        <w:t>5.4材料及设备计划</w:t>
      </w:r>
      <w:bookmarkEnd w:id="69"/>
      <w:bookmarkEnd w:id="70"/>
      <w:bookmarkEnd w:id="71"/>
      <w:bookmarkEnd w:id="72"/>
    </w:p>
    <w:p w14:paraId="6423DA79">
      <w:pPr>
        <w:bidi w:val="0"/>
        <w:ind w:firstLine="960" w:firstLineChars="400"/>
        <w:rPr>
          <w:rFonts w:hint="eastAsia"/>
          <w:lang w:eastAsia="zh-CN"/>
        </w:rPr>
      </w:pPr>
      <w:r>
        <w:rPr>
          <w:rFonts w:hint="eastAsia"/>
          <w:lang w:eastAsia="zh-CN"/>
        </w:rPr>
        <w:t>为保证现场设备安拆，材料及设备计划见表5-5:</w:t>
      </w:r>
    </w:p>
    <w:p w14:paraId="0993B4C6">
      <w:pPr>
        <w:bidi w:val="0"/>
        <w:jc w:val="center"/>
        <w:rPr>
          <w:rFonts w:hint="eastAsia"/>
          <w:lang w:eastAsia="zh-CN"/>
        </w:rPr>
      </w:pPr>
      <w:r>
        <w:rPr>
          <w:rFonts w:hint="eastAsia"/>
          <w:lang w:eastAsia="zh-CN"/>
        </w:rPr>
        <w:t>表5-5 材料及设备计划表</w:t>
      </w:r>
    </w:p>
    <w:tbl>
      <w:tblPr>
        <w:tblStyle w:val="35"/>
        <w:tblpPr w:leftFromText="180" w:rightFromText="180" w:vertAnchor="text" w:horzAnchor="margin" w:tblpXSpec="center" w:tblpY="8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723"/>
        <w:gridCol w:w="1400"/>
        <w:gridCol w:w="2939"/>
      </w:tblGrid>
      <w:tr w14:paraId="3227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2B0D08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名称</w:t>
            </w:r>
          </w:p>
        </w:tc>
        <w:tc>
          <w:tcPr>
            <w:tcW w:w="2723" w:type="dxa"/>
            <w:vAlign w:val="center"/>
          </w:tcPr>
          <w:p w14:paraId="3D7DEF6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规格</w:t>
            </w:r>
          </w:p>
        </w:tc>
        <w:tc>
          <w:tcPr>
            <w:tcW w:w="1400" w:type="dxa"/>
            <w:vAlign w:val="center"/>
          </w:tcPr>
          <w:p w14:paraId="630D40B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数量</w:t>
            </w:r>
          </w:p>
        </w:tc>
        <w:tc>
          <w:tcPr>
            <w:tcW w:w="2939" w:type="dxa"/>
            <w:vAlign w:val="center"/>
          </w:tcPr>
          <w:p w14:paraId="47271B7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备注</w:t>
            </w:r>
          </w:p>
        </w:tc>
      </w:tr>
      <w:tr w14:paraId="0241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028CF1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辅助汽车吊</w:t>
            </w:r>
          </w:p>
        </w:tc>
        <w:tc>
          <w:tcPr>
            <w:tcW w:w="2723" w:type="dxa"/>
            <w:vAlign w:val="center"/>
          </w:tcPr>
          <w:p w14:paraId="663B17E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val="en-US" w:eastAsia="zh-CN"/>
                <w14:textFill>
                  <w14:solidFill>
                    <w14:schemeClr w14:val="tx1"/>
                  </w14:solidFill>
                </w14:textFill>
              </w:rPr>
              <w:t>80</w:t>
            </w:r>
            <w:r>
              <w:rPr>
                <w:rFonts w:hint="eastAsia" w:ascii="宋体" w:hAnsi="宋体" w:eastAsia="宋体" w:cs="宋体"/>
                <w:bCs/>
                <w:color w:val="000000" w:themeColor="text1"/>
                <w14:textFill>
                  <w14:solidFill>
                    <w14:schemeClr w14:val="tx1"/>
                  </w14:solidFill>
                </w14:textFill>
              </w:rPr>
              <w:t>t</w:t>
            </w:r>
          </w:p>
        </w:tc>
        <w:tc>
          <w:tcPr>
            <w:tcW w:w="1400" w:type="dxa"/>
            <w:vAlign w:val="center"/>
          </w:tcPr>
          <w:p w14:paraId="15338FD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1台</w:t>
            </w:r>
          </w:p>
        </w:tc>
        <w:tc>
          <w:tcPr>
            <w:tcW w:w="2939" w:type="dxa"/>
            <w:vAlign w:val="center"/>
          </w:tcPr>
          <w:p w14:paraId="4A2E838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lang w:eastAsia="zh-CN"/>
                <w14:textFill>
                  <w14:solidFill>
                    <w14:schemeClr w14:val="tx1"/>
                  </w14:solidFill>
                </w14:textFill>
              </w:rPr>
              <w:t>XGT</w:t>
            </w:r>
            <w:r>
              <w:rPr>
                <w:rFonts w:hint="eastAsia" w:ascii="宋体" w:hAnsi="宋体" w:eastAsia="宋体" w:cs="宋体"/>
                <w:bCs/>
                <w:color w:val="000000" w:themeColor="text1"/>
                <w:lang w:val="en-US" w:eastAsia="zh-CN"/>
                <w14:textFill>
                  <w14:solidFill>
                    <w14:schemeClr w14:val="tx1"/>
                  </w14:solidFill>
                </w14:textFill>
              </w:rPr>
              <w:t>7525-16</w:t>
            </w:r>
            <w:r>
              <w:rPr>
                <w:rFonts w:hint="eastAsia" w:ascii="宋体" w:hAnsi="宋体" w:eastAsia="宋体" w:cs="宋体"/>
                <w:bCs/>
                <w:color w:val="000000" w:themeColor="text1"/>
                <w14:textFill>
                  <w14:solidFill>
                    <w14:schemeClr w14:val="tx1"/>
                  </w14:solidFill>
                </w14:textFill>
              </w:rPr>
              <w:t>塔机安装</w:t>
            </w:r>
          </w:p>
        </w:tc>
      </w:tr>
      <w:tr w14:paraId="301D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235CA3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14815AA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18LB</w:t>
            </w:r>
          </w:p>
        </w:tc>
        <w:tc>
          <w:tcPr>
            <w:tcW w:w="1400" w:type="dxa"/>
            <w:vAlign w:val="center"/>
          </w:tcPr>
          <w:p w14:paraId="6D1D23F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4把</w:t>
            </w:r>
          </w:p>
        </w:tc>
        <w:tc>
          <w:tcPr>
            <w:tcW w:w="2939" w:type="dxa"/>
            <w:vAlign w:val="center"/>
          </w:tcPr>
          <w:p w14:paraId="50F24AF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D2D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DC9E24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大锤</w:t>
            </w:r>
          </w:p>
        </w:tc>
        <w:tc>
          <w:tcPr>
            <w:tcW w:w="2723" w:type="dxa"/>
            <w:vAlign w:val="center"/>
          </w:tcPr>
          <w:p w14:paraId="31693F9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22LB</w:t>
            </w:r>
          </w:p>
        </w:tc>
        <w:tc>
          <w:tcPr>
            <w:tcW w:w="1400" w:type="dxa"/>
            <w:vAlign w:val="center"/>
          </w:tcPr>
          <w:p w14:paraId="2CA3BFB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1C8B427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0041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F51642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八角铁锤</w:t>
            </w:r>
          </w:p>
        </w:tc>
        <w:tc>
          <w:tcPr>
            <w:tcW w:w="2723" w:type="dxa"/>
            <w:vAlign w:val="center"/>
          </w:tcPr>
          <w:p w14:paraId="22B3AC3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4磅</w:t>
            </w:r>
          </w:p>
        </w:tc>
        <w:tc>
          <w:tcPr>
            <w:tcW w:w="1400" w:type="dxa"/>
            <w:vAlign w:val="center"/>
          </w:tcPr>
          <w:p w14:paraId="40C93D1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78ABCE6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4C5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3CF492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14:paraId="1A3B964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w:t>
            </w:r>
          </w:p>
        </w:tc>
        <w:tc>
          <w:tcPr>
            <w:tcW w:w="1400" w:type="dxa"/>
            <w:vAlign w:val="center"/>
          </w:tcPr>
          <w:p w14:paraId="3FDCDC4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3套</w:t>
            </w:r>
          </w:p>
        </w:tc>
        <w:tc>
          <w:tcPr>
            <w:tcW w:w="2939" w:type="dxa"/>
            <w:vAlign w:val="center"/>
          </w:tcPr>
          <w:p w14:paraId="6499CE0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BD4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408014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手拉葫芦</w:t>
            </w:r>
          </w:p>
        </w:tc>
        <w:tc>
          <w:tcPr>
            <w:tcW w:w="2723" w:type="dxa"/>
            <w:vAlign w:val="center"/>
          </w:tcPr>
          <w:p w14:paraId="17FCED1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3T</w:t>
            </w:r>
          </w:p>
        </w:tc>
        <w:tc>
          <w:tcPr>
            <w:tcW w:w="1400" w:type="dxa"/>
            <w:vAlign w:val="center"/>
          </w:tcPr>
          <w:p w14:paraId="73C4673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47BA5A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0001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737EB6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重型套管</w:t>
            </w:r>
          </w:p>
        </w:tc>
        <w:tc>
          <w:tcPr>
            <w:tcW w:w="2723" w:type="dxa"/>
            <w:vAlign w:val="center"/>
          </w:tcPr>
          <w:p w14:paraId="24D8858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460C060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1508D8B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195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6BC6ED7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2B099D3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300mm</w:t>
            </w:r>
          </w:p>
        </w:tc>
        <w:tc>
          <w:tcPr>
            <w:tcW w:w="1400" w:type="dxa"/>
            <w:vAlign w:val="center"/>
          </w:tcPr>
          <w:p w14:paraId="61B7FC0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0934A4E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77D4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12BAA4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活动扳手</w:t>
            </w:r>
          </w:p>
        </w:tc>
        <w:tc>
          <w:tcPr>
            <w:tcW w:w="2723" w:type="dxa"/>
            <w:vAlign w:val="center"/>
          </w:tcPr>
          <w:p w14:paraId="5B8226A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150mm</w:t>
            </w:r>
          </w:p>
        </w:tc>
        <w:tc>
          <w:tcPr>
            <w:tcW w:w="1400" w:type="dxa"/>
            <w:vAlign w:val="center"/>
          </w:tcPr>
          <w:p w14:paraId="19BE792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2把</w:t>
            </w:r>
          </w:p>
        </w:tc>
        <w:tc>
          <w:tcPr>
            <w:tcW w:w="2939" w:type="dxa"/>
            <w:vAlign w:val="center"/>
          </w:tcPr>
          <w:p w14:paraId="1C3CD92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92A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F96281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内六角扳手</w:t>
            </w:r>
          </w:p>
        </w:tc>
        <w:tc>
          <w:tcPr>
            <w:tcW w:w="2723" w:type="dxa"/>
            <w:vAlign w:val="center"/>
          </w:tcPr>
          <w:p w14:paraId="1DFDE44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231940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CD7893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38B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57518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梅花扳手</w:t>
            </w:r>
          </w:p>
        </w:tc>
        <w:tc>
          <w:tcPr>
            <w:tcW w:w="2723" w:type="dxa"/>
            <w:vAlign w:val="center"/>
          </w:tcPr>
          <w:p w14:paraId="257154D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348166D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6F71307">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479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36F359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开口扳手</w:t>
            </w:r>
          </w:p>
        </w:tc>
        <w:tc>
          <w:tcPr>
            <w:tcW w:w="2723" w:type="dxa"/>
            <w:vAlign w:val="center"/>
          </w:tcPr>
          <w:p w14:paraId="2E76006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套装</w:t>
            </w:r>
          </w:p>
        </w:tc>
        <w:tc>
          <w:tcPr>
            <w:tcW w:w="1400" w:type="dxa"/>
            <w:vAlign w:val="center"/>
          </w:tcPr>
          <w:p w14:paraId="5A0B9CB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0D61910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3DA6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C8BFA9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眼冲子</w:t>
            </w:r>
          </w:p>
        </w:tc>
        <w:tc>
          <w:tcPr>
            <w:tcW w:w="2723" w:type="dxa"/>
            <w:vAlign w:val="center"/>
          </w:tcPr>
          <w:p w14:paraId="6F87CB8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7AC1E57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7EAF2E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CC1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2461333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钳工常用工具</w:t>
            </w:r>
          </w:p>
        </w:tc>
        <w:tc>
          <w:tcPr>
            <w:tcW w:w="2723" w:type="dxa"/>
            <w:vAlign w:val="center"/>
          </w:tcPr>
          <w:p w14:paraId="5A60EB2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230909D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305D2B2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9C9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1DD39F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撬棍</w:t>
            </w:r>
          </w:p>
        </w:tc>
        <w:tc>
          <w:tcPr>
            <w:tcW w:w="2723" w:type="dxa"/>
            <w:vAlign w:val="center"/>
          </w:tcPr>
          <w:p w14:paraId="17B79DC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30mm</w:t>
            </w:r>
          </w:p>
        </w:tc>
        <w:tc>
          <w:tcPr>
            <w:tcW w:w="1400" w:type="dxa"/>
            <w:vAlign w:val="center"/>
          </w:tcPr>
          <w:p w14:paraId="244888E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5把</w:t>
            </w:r>
          </w:p>
        </w:tc>
        <w:tc>
          <w:tcPr>
            <w:tcW w:w="2939" w:type="dxa"/>
            <w:vAlign w:val="center"/>
          </w:tcPr>
          <w:p w14:paraId="6A3655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52EA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61C3C2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钢卷尺</w:t>
            </w:r>
          </w:p>
        </w:tc>
        <w:tc>
          <w:tcPr>
            <w:tcW w:w="2723" w:type="dxa"/>
            <w:vAlign w:val="center"/>
          </w:tcPr>
          <w:p w14:paraId="561053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30m</w:t>
            </w:r>
          </w:p>
        </w:tc>
        <w:tc>
          <w:tcPr>
            <w:tcW w:w="1400" w:type="dxa"/>
            <w:vAlign w:val="center"/>
          </w:tcPr>
          <w:p w14:paraId="1B0833BF">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1个</w:t>
            </w:r>
          </w:p>
        </w:tc>
        <w:tc>
          <w:tcPr>
            <w:tcW w:w="2939" w:type="dxa"/>
            <w:vAlign w:val="center"/>
          </w:tcPr>
          <w:p w14:paraId="25EE59D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DB3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1475820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卸扣</w:t>
            </w:r>
          </w:p>
        </w:tc>
        <w:tc>
          <w:tcPr>
            <w:tcW w:w="2723" w:type="dxa"/>
            <w:vAlign w:val="center"/>
          </w:tcPr>
          <w:p w14:paraId="4659E7E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1T、2T、5T、8T</w:t>
            </w:r>
          </w:p>
        </w:tc>
        <w:tc>
          <w:tcPr>
            <w:tcW w:w="1400" w:type="dxa"/>
            <w:vAlign w:val="center"/>
          </w:tcPr>
          <w:p w14:paraId="24CA17E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各4个</w:t>
            </w:r>
          </w:p>
        </w:tc>
        <w:tc>
          <w:tcPr>
            <w:tcW w:w="2939" w:type="dxa"/>
            <w:vAlign w:val="center"/>
          </w:tcPr>
          <w:p w14:paraId="171AE5D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08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6AB402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D03F1CA">
            <w:pPr>
              <w:spacing w:before="62" w:beforeLines="20" w:after="62" w:afterLines="20" w:line="240" w:lineRule="auto"/>
              <w:ind w:firstLine="0" w:firstLineChars="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6×19-24-1700，8m</w:t>
            </w:r>
          </w:p>
        </w:tc>
        <w:tc>
          <w:tcPr>
            <w:tcW w:w="1400" w:type="dxa"/>
            <w:vAlign w:val="center"/>
          </w:tcPr>
          <w:p w14:paraId="3636FA1E">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308B8B9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4ACF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0BB7D1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171FADE7">
            <w:pPr>
              <w:spacing w:before="62" w:beforeLines="20" w:after="62" w:afterLines="20" w:line="240" w:lineRule="auto"/>
              <w:ind w:firstLine="0" w:firstLineChars="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6×19-16-1700，6m</w:t>
            </w:r>
          </w:p>
        </w:tc>
        <w:tc>
          <w:tcPr>
            <w:tcW w:w="1400" w:type="dxa"/>
            <w:vAlign w:val="center"/>
          </w:tcPr>
          <w:p w14:paraId="0DDBBCD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7CB90C8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41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4C897B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吊索钢丝绳</w:t>
            </w:r>
          </w:p>
        </w:tc>
        <w:tc>
          <w:tcPr>
            <w:tcW w:w="2723" w:type="dxa"/>
            <w:vAlign w:val="center"/>
          </w:tcPr>
          <w:p w14:paraId="25A74193">
            <w:pPr>
              <w:spacing w:before="62" w:beforeLines="20" w:after="62" w:afterLines="20" w:line="240" w:lineRule="auto"/>
              <w:ind w:firstLine="0" w:firstLineChars="0"/>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6×19-24-1700，3m</w:t>
            </w:r>
          </w:p>
        </w:tc>
        <w:tc>
          <w:tcPr>
            <w:tcW w:w="1400" w:type="dxa"/>
            <w:vAlign w:val="center"/>
          </w:tcPr>
          <w:p w14:paraId="3D3741FC">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4根</w:t>
            </w:r>
          </w:p>
        </w:tc>
        <w:tc>
          <w:tcPr>
            <w:tcW w:w="2939" w:type="dxa"/>
            <w:vAlign w:val="center"/>
          </w:tcPr>
          <w:p w14:paraId="67686FF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5F3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6416E0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白棕绳</w:t>
            </w:r>
          </w:p>
        </w:tc>
        <w:tc>
          <w:tcPr>
            <w:tcW w:w="2723" w:type="dxa"/>
            <w:vAlign w:val="center"/>
          </w:tcPr>
          <w:p w14:paraId="5E7B40C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φ16mm×50m</w:t>
            </w:r>
          </w:p>
        </w:tc>
        <w:tc>
          <w:tcPr>
            <w:tcW w:w="1400" w:type="dxa"/>
            <w:vAlign w:val="center"/>
          </w:tcPr>
          <w:p w14:paraId="38E8629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1根</w:t>
            </w:r>
          </w:p>
        </w:tc>
        <w:tc>
          <w:tcPr>
            <w:tcW w:w="2939" w:type="dxa"/>
            <w:vAlign w:val="center"/>
          </w:tcPr>
          <w:p w14:paraId="5D0D8C0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2根</w:t>
            </w:r>
          </w:p>
        </w:tc>
      </w:tr>
      <w:tr w14:paraId="63A8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5B4D706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对讲机</w:t>
            </w:r>
          </w:p>
        </w:tc>
        <w:tc>
          <w:tcPr>
            <w:tcW w:w="2723" w:type="dxa"/>
            <w:vAlign w:val="center"/>
          </w:tcPr>
          <w:p w14:paraId="4F5A997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4C8A1F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4部</w:t>
            </w:r>
          </w:p>
        </w:tc>
        <w:tc>
          <w:tcPr>
            <w:tcW w:w="2939" w:type="dxa"/>
            <w:vAlign w:val="center"/>
          </w:tcPr>
          <w:p w14:paraId="78D1575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2ABC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38365E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电工常用工具</w:t>
            </w:r>
          </w:p>
        </w:tc>
        <w:tc>
          <w:tcPr>
            <w:tcW w:w="2723" w:type="dxa"/>
            <w:vAlign w:val="center"/>
          </w:tcPr>
          <w:p w14:paraId="2058DE3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6F76A63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1套</w:t>
            </w:r>
          </w:p>
        </w:tc>
        <w:tc>
          <w:tcPr>
            <w:tcW w:w="2939" w:type="dxa"/>
            <w:vAlign w:val="center"/>
          </w:tcPr>
          <w:p w14:paraId="7497E64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70F0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944108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万用表</w:t>
            </w:r>
          </w:p>
        </w:tc>
        <w:tc>
          <w:tcPr>
            <w:tcW w:w="2723" w:type="dxa"/>
            <w:vAlign w:val="center"/>
          </w:tcPr>
          <w:p w14:paraId="526EE4E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61D401C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AF5EE1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84A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3629B97A">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钳式电流表</w:t>
            </w:r>
          </w:p>
        </w:tc>
        <w:tc>
          <w:tcPr>
            <w:tcW w:w="2723" w:type="dxa"/>
            <w:vAlign w:val="center"/>
          </w:tcPr>
          <w:p w14:paraId="5D0624D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3A07DC5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5562A682">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6C3E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06380273">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绝缘摇表</w:t>
            </w:r>
          </w:p>
        </w:tc>
        <w:tc>
          <w:tcPr>
            <w:tcW w:w="2723" w:type="dxa"/>
            <w:vAlign w:val="center"/>
          </w:tcPr>
          <w:p w14:paraId="1917BBF8">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4B0BAD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1块</w:t>
            </w:r>
          </w:p>
        </w:tc>
        <w:tc>
          <w:tcPr>
            <w:tcW w:w="2939" w:type="dxa"/>
            <w:vAlign w:val="center"/>
          </w:tcPr>
          <w:p w14:paraId="41ED7AF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105B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782DB8FB">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水平仪、经纬仪</w:t>
            </w:r>
          </w:p>
        </w:tc>
        <w:tc>
          <w:tcPr>
            <w:tcW w:w="2723" w:type="dxa"/>
            <w:vAlign w:val="center"/>
          </w:tcPr>
          <w:p w14:paraId="6E34AFE9">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0529F784">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各1架</w:t>
            </w:r>
          </w:p>
        </w:tc>
        <w:tc>
          <w:tcPr>
            <w:tcW w:w="2939" w:type="dxa"/>
            <w:vAlign w:val="center"/>
          </w:tcPr>
          <w:p w14:paraId="23834661">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r w14:paraId="438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0" w:type="dxa"/>
            <w:vAlign w:val="center"/>
          </w:tcPr>
          <w:p w14:paraId="41B68916">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安全带、安全帽</w:t>
            </w:r>
          </w:p>
        </w:tc>
        <w:tc>
          <w:tcPr>
            <w:tcW w:w="2723" w:type="dxa"/>
            <w:vAlign w:val="center"/>
          </w:tcPr>
          <w:p w14:paraId="2A14E065">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c>
          <w:tcPr>
            <w:tcW w:w="1400" w:type="dxa"/>
            <w:vAlign w:val="center"/>
          </w:tcPr>
          <w:p w14:paraId="7EFAB5BD">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每人一套</w:t>
            </w:r>
          </w:p>
        </w:tc>
        <w:tc>
          <w:tcPr>
            <w:tcW w:w="2939" w:type="dxa"/>
            <w:vAlign w:val="center"/>
          </w:tcPr>
          <w:p w14:paraId="09885800">
            <w:pPr>
              <w:spacing w:before="62" w:beforeLines="20" w:after="62" w:afterLines="20" w:line="240" w:lineRule="auto"/>
              <w:ind w:firstLine="0" w:firstLineChars="0"/>
              <w:jc w:val="center"/>
              <w:rPr>
                <w:rFonts w:hint="eastAsia" w:ascii="宋体" w:hAnsi="宋体" w:eastAsia="宋体" w:cs="宋体"/>
                <w:bCs/>
                <w:color w:val="000000" w:themeColor="text1"/>
                <w14:textFill>
                  <w14:solidFill>
                    <w14:schemeClr w14:val="tx1"/>
                  </w14:solidFill>
                </w14:textFill>
              </w:rPr>
            </w:pPr>
          </w:p>
        </w:tc>
      </w:tr>
    </w:tbl>
    <w:p w14:paraId="0D9053A0">
      <w:pPr>
        <w:pStyle w:val="3"/>
        <w:bidi w:val="0"/>
        <w:outlineLvl w:val="9"/>
        <w:rPr>
          <w:rFonts w:hint="eastAsia"/>
          <w:lang w:val="en-US" w:eastAsia="zh-CN"/>
        </w:rPr>
      </w:pPr>
      <w:bookmarkStart w:id="73" w:name="_Toc13301"/>
      <w:bookmarkStart w:id="74" w:name="_Toc16417"/>
    </w:p>
    <w:p w14:paraId="4A066C52">
      <w:pPr>
        <w:pStyle w:val="3"/>
        <w:bidi w:val="0"/>
        <w:outlineLvl w:val="9"/>
        <w:rPr>
          <w:rFonts w:hint="eastAsia"/>
          <w:lang w:val="en-US" w:eastAsia="zh-CN"/>
        </w:rPr>
      </w:pPr>
    </w:p>
    <w:p w14:paraId="02F7FDBD">
      <w:pPr>
        <w:rPr>
          <w:rFonts w:hint="eastAsia"/>
          <w:lang w:val="en-US" w:eastAsia="zh-CN"/>
        </w:rPr>
      </w:pPr>
    </w:p>
    <w:p w14:paraId="0064B24E">
      <w:pPr>
        <w:pStyle w:val="43"/>
        <w:rPr>
          <w:rFonts w:hint="eastAsia"/>
          <w:lang w:val="en-US" w:eastAsia="zh-CN"/>
        </w:rPr>
      </w:pPr>
    </w:p>
    <w:p w14:paraId="7BE6488C">
      <w:pPr>
        <w:pStyle w:val="43"/>
        <w:rPr>
          <w:rFonts w:hint="eastAsia"/>
          <w:lang w:val="en-US" w:eastAsia="zh-CN"/>
        </w:rPr>
      </w:pPr>
    </w:p>
    <w:p w14:paraId="7FC3B4B8">
      <w:pPr>
        <w:pStyle w:val="43"/>
        <w:rPr>
          <w:rFonts w:hint="eastAsia"/>
          <w:lang w:val="en-US" w:eastAsia="zh-CN"/>
        </w:rPr>
      </w:pPr>
    </w:p>
    <w:p w14:paraId="1C1D5C6D">
      <w:pPr>
        <w:pStyle w:val="3"/>
        <w:bidi w:val="0"/>
        <w:outlineLvl w:val="9"/>
        <w:rPr>
          <w:rFonts w:hint="eastAsia"/>
          <w:lang w:val="en-US" w:eastAsia="zh-CN"/>
        </w:rPr>
      </w:pPr>
    </w:p>
    <w:p w14:paraId="5EB94093">
      <w:pPr>
        <w:rPr>
          <w:rFonts w:hint="eastAsia"/>
          <w:lang w:val="en-US" w:eastAsia="zh-CN"/>
        </w:rPr>
      </w:pPr>
    </w:p>
    <w:p w14:paraId="026051FB">
      <w:pPr>
        <w:pStyle w:val="43"/>
        <w:rPr>
          <w:rFonts w:hint="eastAsia"/>
          <w:lang w:val="en-US" w:eastAsia="zh-CN"/>
        </w:rPr>
      </w:pPr>
    </w:p>
    <w:p w14:paraId="5DC21390">
      <w:pPr>
        <w:pStyle w:val="43"/>
        <w:rPr>
          <w:rFonts w:hint="eastAsia"/>
          <w:lang w:val="en-US" w:eastAsia="zh-CN"/>
        </w:rPr>
      </w:pPr>
    </w:p>
    <w:p w14:paraId="28752B38">
      <w:pPr>
        <w:pStyle w:val="43"/>
        <w:rPr>
          <w:rFonts w:hint="eastAsia"/>
          <w:lang w:val="en-US" w:eastAsia="zh-CN"/>
        </w:rPr>
      </w:pPr>
    </w:p>
    <w:p w14:paraId="27B6B98F">
      <w:pPr>
        <w:rPr>
          <w:rFonts w:hint="eastAsia"/>
          <w:lang w:val="en-US" w:eastAsia="zh-CN"/>
        </w:rPr>
      </w:pPr>
    </w:p>
    <w:p w14:paraId="3F232813">
      <w:pPr>
        <w:rPr>
          <w:rFonts w:hint="eastAsia"/>
          <w:lang w:val="en-US" w:eastAsia="zh-CN"/>
        </w:rPr>
      </w:pPr>
    </w:p>
    <w:p w14:paraId="5443C9E1">
      <w:pPr>
        <w:pStyle w:val="3"/>
        <w:bidi w:val="0"/>
        <w:rPr>
          <w:rFonts w:hint="eastAsia"/>
        </w:rPr>
      </w:pPr>
      <w:bookmarkStart w:id="75" w:name="_Toc9696"/>
      <w:bookmarkStart w:id="76" w:name="_Toc30141"/>
      <w:r>
        <w:rPr>
          <w:rFonts w:hint="eastAsia"/>
          <w:lang w:val="en-US" w:eastAsia="zh-CN"/>
        </w:rPr>
        <w:t>6.</w:t>
      </w:r>
      <w:r>
        <w:rPr>
          <w:rFonts w:hint="eastAsia"/>
        </w:rPr>
        <w:t>安装工艺</w:t>
      </w:r>
      <w:bookmarkEnd w:id="73"/>
      <w:bookmarkEnd w:id="74"/>
      <w:bookmarkEnd w:id="75"/>
      <w:bookmarkEnd w:id="76"/>
      <w:bookmarkStart w:id="77" w:name="_Toc28656"/>
      <w:bookmarkStart w:id="78" w:name="_Toc4000"/>
    </w:p>
    <w:p w14:paraId="56148017">
      <w:pPr>
        <w:pStyle w:val="4"/>
        <w:bidi w:val="0"/>
        <w:rPr>
          <w:rFonts w:hint="eastAsia"/>
        </w:rPr>
      </w:pPr>
      <w:bookmarkStart w:id="79" w:name="_Toc21658"/>
      <w:bookmarkStart w:id="80" w:name="_Toc8060"/>
      <w:r>
        <w:rPr>
          <w:rFonts w:hint="eastAsia"/>
        </w:rPr>
        <w:t>6.1安装前的条件</w:t>
      </w:r>
      <w:bookmarkEnd w:id="77"/>
      <w:bookmarkEnd w:id="78"/>
      <w:bookmarkEnd w:id="79"/>
      <w:bookmarkEnd w:id="80"/>
    </w:p>
    <w:p w14:paraId="5707699F">
      <w:pPr>
        <w:bidi w:val="0"/>
        <w:jc w:val="center"/>
        <w:rPr>
          <w:rFonts w:hint="eastAsia"/>
          <w:lang w:eastAsia="zh-CN"/>
        </w:rPr>
      </w:pPr>
      <w:r>
        <w:rPr>
          <w:rFonts w:hint="eastAsia"/>
          <w:lang w:eastAsia="zh-CN"/>
        </w:rPr>
        <w:t>表6</w:t>
      </w:r>
      <w:r>
        <w:rPr>
          <w:rFonts w:hint="eastAsia"/>
          <w:lang w:val="en-US" w:eastAsia="zh-CN"/>
        </w:rPr>
        <w:t>.1</w:t>
      </w:r>
      <w:r>
        <w:rPr>
          <w:rFonts w:hint="eastAsia"/>
          <w:lang w:eastAsia="zh-CN"/>
        </w:rPr>
        <w:t>-1 安装前提表</w:t>
      </w: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6539"/>
      </w:tblGrid>
      <w:tr w14:paraId="14A8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56" w:type="dxa"/>
            <w:vAlign w:val="center"/>
          </w:tcPr>
          <w:p w14:paraId="76FF8BC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序号</w:t>
            </w:r>
          </w:p>
        </w:tc>
        <w:tc>
          <w:tcPr>
            <w:tcW w:w="6604" w:type="dxa"/>
            <w:vAlign w:val="center"/>
          </w:tcPr>
          <w:p w14:paraId="23F0E227">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安装前需具备条件</w:t>
            </w:r>
          </w:p>
        </w:tc>
      </w:tr>
      <w:tr w14:paraId="1308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64F5F06B">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1</w:t>
            </w:r>
          </w:p>
        </w:tc>
        <w:tc>
          <w:tcPr>
            <w:tcW w:w="6604" w:type="dxa"/>
            <w:vAlign w:val="center"/>
          </w:tcPr>
          <w:p w14:paraId="5C489DC2">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基础验收合格并出具验收表</w:t>
            </w:r>
          </w:p>
        </w:tc>
      </w:tr>
      <w:tr w14:paraId="0284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0D8119CF">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2</w:t>
            </w:r>
          </w:p>
        </w:tc>
        <w:tc>
          <w:tcPr>
            <w:tcW w:w="6604" w:type="dxa"/>
            <w:vAlign w:val="center"/>
          </w:tcPr>
          <w:p w14:paraId="754854C5">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配置符合要求的塔机专用配电箱</w:t>
            </w:r>
          </w:p>
        </w:tc>
      </w:tr>
      <w:tr w14:paraId="0D4AA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6FE51C0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3</w:t>
            </w:r>
          </w:p>
        </w:tc>
        <w:tc>
          <w:tcPr>
            <w:tcW w:w="6604" w:type="dxa"/>
            <w:vAlign w:val="center"/>
          </w:tcPr>
          <w:p w14:paraId="1C715CA4">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现场具备汽车吊及运输车辆的行驶条件</w:t>
            </w:r>
          </w:p>
        </w:tc>
      </w:tr>
      <w:tr w14:paraId="5510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6" w:type="dxa"/>
            <w:vAlign w:val="center"/>
          </w:tcPr>
          <w:p w14:paraId="30FB54F8">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4</w:t>
            </w:r>
          </w:p>
        </w:tc>
        <w:tc>
          <w:tcPr>
            <w:tcW w:w="6604" w:type="dxa"/>
            <w:vAlign w:val="center"/>
          </w:tcPr>
          <w:p w14:paraId="1627C749">
            <w:pPr>
              <w:spacing w:after="0" w:afterLines="0" w:line="240" w:lineRule="auto"/>
              <w:ind w:firstLine="0" w:firstLineChars="0"/>
              <w:jc w:val="center"/>
              <w:rPr>
                <w:rFonts w:hint="eastAsia" w:ascii="宋体" w:hAnsi="宋体" w:eastAsia="宋体" w:cs="宋体"/>
                <w:bCs/>
                <w:color w:val="000000" w:themeColor="text1"/>
                <w14:textFill>
                  <w14:solidFill>
                    <w14:schemeClr w14:val="tx1"/>
                  </w14:solidFill>
                </w14:textFill>
              </w:rPr>
            </w:pPr>
            <w:r>
              <w:rPr>
                <w:rFonts w:hint="eastAsia" w:ascii="宋体" w:hAnsi="宋体" w:eastAsia="宋体" w:cs="宋体"/>
                <w:bCs/>
                <w:color w:val="000000" w:themeColor="text1"/>
                <w14:textFill>
                  <w14:solidFill>
                    <w14:schemeClr w14:val="tx1"/>
                  </w14:solidFill>
                </w14:textFill>
              </w:rPr>
              <w:t>现场具备辅助汽车吊支设的场地及塔机拼装场地</w:t>
            </w:r>
          </w:p>
        </w:tc>
      </w:tr>
    </w:tbl>
    <w:p w14:paraId="294F0445">
      <w:pPr>
        <w:pStyle w:val="4"/>
        <w:bidi w:val="0"/>
        <w:rPr>
          <w:rFonts w:hint="eastAsia"/>
        </w:rPr>
      </w:pPr>
      <w:bookmarkStart w:id="81" w:name="_Toc11547"/>
      <w:bookmarkStart w:id="82" w:name="_Toc5212"/>
      <w:bookmarkStart w:id="83" w:name="_Toc2190"/>
      <w:bookmarkStart w:id="84" w:name="_Toc23279"/>
      <w:r>
        <w:rPr>
          <w:rFonts w:hint="eastAsia"/>
        </w:rPr>
        <w:t>6.2安装辅助设备的选择</w:t>
      </w:r>
      <w:bookmarkEnd w:id="81"/>
      <w:bookmarkEnd w:id="82"/>
      <w:bookmarkEnd w:id="83"/>
      <w:bookmarkEnd w:id="84"/>
    </w:p>
    <w:p w14:paraId="6CF38CF3">
      <w:pPr>
        <w:bidi w:val="0"/>
        <w:jc w:val="left"/>
        <w:rPr>
          <w:rFonts w:hint="eastAsia"/>
          <w:lang w:val="en-US" w:eastAsia="zh-CN"/>
        </w:rPr>
      </w:pPr>
      <w:r>
        <w:rPr>
          <w:rFonts w:hint="eastAsia"/>
        </w:rPr>
        <w:t>安装时，现场场地平整后，辅助安装的汽车起重机可行驶并支设于塔吊基础旁，</w:t>
      </w:r>
      <w:r>
        <w:rPr>
          <w:rFonts w:hint="eastAsia"/>
          <w:lang w:val="en-US" w:eastAsia="zh-CN"/>
        </w:rPr>
        <w:t>XGT8040-25拟</w:t>
      </w:r>
      <w:r>
        <w:rPr>
          <w:rFonts w:hint="eastAsia"/>
        </w:rPr>
        <w:t>选用</w:t>
      </w:r>
      <w:r>
        <w:rPr>
          <w:rFonts w:hint="eastAsia"/>
          <w:lang w:val="en-US" w:eastAsia="zh-CN"/>
        </w:rPr>
        <w:t>80t</w:t>
      </w:r>
      <w:r>
        <w:rPr>
          <w:rFonts w:hint="eastAsia"/>
        </w:rPr>
        <w:t>汽车吊，满足塔机的安装。</w:t>
      </w:r>
    </w:p>
    <w:p w14:paraId="06B1026A">
      <w:pPr>
        <w:bidi w:val="0"/>
        <w:jc w:val="center"/>
        <w:rPr>
          <w:rFonts w:hint="eastAsia"/>
          <w:lang w:val="en-US" w:eastAsia="zh-CN"/>
        </w:rPr>
      </w:pPr>
      <w:r>
        <w:rPr>
          <w:rFonts w:hint="eastAsia"/>
          <w:lang w:val="en-US" w:eastAsia="zh-CN"/>
        </w:rPr>
        <w:t>表6.2-1 80t汽车吊额定起重量表（单位：t）</w:t>
      </w:r>
    </w:p>
    <w:p w14:paraId="0A5F8127">
      <w:pPr>
        <w:bidi w:val="0"/>
      </w:pPr>
      <w:bookmarkStart w:id="85" w:name="_Toc14654"/>
      <w:bookmarkStart w:id="86" w:name="_Toc18306"/>
      <w:bookmarkStart w:id="87" w:name="_Toc20066"/>
      <w:r>
        <w:drawing>
          <wp:inline distT="0" distB="0" distL="114300" distR="114300">
            <wp:extent cx="5092700" cy="5030470"/>
            <wp:effectExtent l="0" t="0" r="12700" b="1778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3"/>
                    <a:stretch>
                      <a:fillRect/>
                    </a:stretch>
                  </pic:blipFill>
                  <pic:spPr>
                    <a:xfrm>
                      <a:off x="0" y="0"/>
                      <a:ext cx="5092700" cy="5030470"/>
                    </a:xfrm>
                    <a:prstGeom prst="rect">
                      <a:avLst/>
                    </a:prstGeom>
                    <a:noFill/>
                    <a:ln>
                      <a:noFill/>
                    </a:ln>
                  </pic:spPr>
                </pic:pic>
              </a:graphicData>
            </a:graphic>
          </wp:inline>
        </w:drawing>
      </w:r>
    </w:p>
    <w:p w14:paraId="5C0DCDEA"/>
    <w:p w14:paraId="17E92ECF">
      <w:pPr>
        <w:pStyle w:val="4"/>
        <w:bidi w:val="0"/>
        <w:rPr>
          <w:rFonts w:hint="eastAsia"/>
        </w:rPr>
      </w:pPr>
      <w:bookmarkStart w:id="88" w:name="_Toc9012"/>
      <w:r>
        <w:rPr>
          <w:rFonts w:hint="eastAsia"/>
        </w:rPr>
        <w:t xml:space="preserve">6.3 </w:t>
      </w:r>
      <w:r>
        <w:rPr>
          <w:rFonts w:hint="eastAsia"/>
          <w:lang w:val="en-US" w:eastAsia="zh-CN"/>
        </w:rPr>
        <w:t>XGT8040-25</w:t>
      </w:r>
      <w:r>
        <w:rPr>
          <w:rFonts w:hint="eastAsia"/>
        </w:rPr>
        <w:t>安装工艺流程及技术要求</w:t>
      </w:r>
      <w:bookmarkEnd w:id="85"/>
      <w:bookmarkEnd w:id="86"/>
      <w:bookmarkEnd w:id="87"/>
      <w:bookmarkEnd w:id="88"/>
    </w:p>
    <w:p w14:paraId="1EFE435B">
      <w:pPr>
        <w:numPr>
          <w:ilvl w:val="0"/>
          <w:numId w:val="9"/>
        </w:numPr>
        <w:ind w:left="425" w:leftChars="0" w:hanging="425" w:firstLineChars="0"/>
        <w:rPr>
          <w:rFonts w:hint="eastAsia"/>
          <w:lang w:val="en-US" w:eastAsia="zh-CN"/>
        </w:rPr>
      </w:pPr>
      <w:r>
        <w:rPr>
          <w:rFonts w:hint="eastAsia"/>
          <w:lang w:val="en-US" w:eastAsia="zh-CN"/>
        </w:rPr>
        <w:t>安装加强节；</w:t>
      </w:r>
    </w:p>
    <w:p w14:paraId="50DB9ACB">
      <w:pPr>
        <w:numPr>
          <w:ilvl w:val="0"/>
          <w:numId w:val="9"/>
        </w:numPr>
        <w:ind w:left="425" w:leftChars="0" w:hanging="425" w:firstLineChars="0"/>
        <w:rPr>
          <w:rFonts w:hint="eastAsia"/>
          <w:lang w:val="en-US" w:eastAsia="zh-CN"/>
        </w:rPr>
      </w:pPr>
      <w:r>
        <w:rPr>
          <w:rFonts w:hint="eastAsia"/>
          <w:lang w:val="en-US" w:eastAsia="zh-CN"/>
        </w:rPr>
        <w:t>吊装套架；</w:t>
      </w:r>
    </w:p>
    <w:p w14:paraId="5A1E9B9E">
      <w:pPr>
        <w:numPr>
          <w:ilvl w:val="0"/>
          <w:numId w:val="9"/>
        </w:numPr>
        <w:ind w:left="425" w:leftChars="0" w:hanging="425" w:firstLineChars="0"/>
        <w:rPr>
          <w:rFonts w:hint="eastAsia"/>
          <w:lang w:val="en-US" w:eastAsia="zh-CN"/>
        </w:rPr>
      </w:pPr>
      <w:r>
        <w:rPr>
          <w:rFonts w:hint="eastAsia"/>
          <w:lang w:val="en-US" w:eastAsia="zh-CN"/>
        </w:rPr>
        <w:t>安装标准节；</w:t>
      </w:r>
    </w:p>
    <w:p w14:paraId="459CA79F">
      <w:pPr>
        <w:numPr>
          <w:ilvl w:val="0"/>
          <w:numId w:val="9"/>
        </w:numPr>
        <w:ind w:left="425" w:leftChars="0" w:hanging="425" w:firstLineChars="0"/>
        <w:rPr>
          <w:rFonts w:hint="eastAsia"/>
          <w:lang w:val="en-US" w:eastAsia="zh-CN"/>
        </w:rPr>
      </w:pPr>
      <w:r>
        <w:rPr>
          <w:rFonts w:hint="eastAsia"/>
          <w:lang w:val="en-US" w:eastAsia="zh-CN"/>
        </w:rPr>
        <w:t>安装回转总成；</w:t>
      </w:r>
    </w:p>
    <w:p w14:paraId="6347C62B">
      <w:pPr>
        <w:numPr>
          <w:ilvl w:val="0"/>
          <w:numId w:val="9"/>
        </w:numPr>
        <w:ind w:left="425" w:leftChars="0" w:hanging="425" w:firstLineChars="0"/>
        <w:rPr>
          <w:rFonts w:hint="eastAsia"/>
          <w:lang w:val="en-US" w:eastAsia="zh-CN"/>
        </w:rPr>
      </w:pPr>
      <w:r>
        <w:rPr>
          <w:rFonts w:hint="eastAsia"/>
          <w:lang w:val="en-US" w:eastAsia="zh-CN"/>
        </w:rPr>
        <w:t>安装塔顶；</w:t>
      </w:r>
    </w:p>
    <w:p w14:paraId="5041EDBF">
      <w:pPr>
        <w:numPr>
          <w:ilvl w:val="0"/>
          <w:numId w:val="9"/>
        </w:numPr>
        <w:ind w:left="425" w:leftChars="0" w:hanging="425" w:firstLineChars="0"/>
        <w:rPr>
          <w:rFonts w:hint="eastAsia"/>
          <w:lang w:val="en-US" w:eastAsia="zh-CN"/>
        </w:rPr>
      </w:pPr>
      <w:r>
        <w:rPr>
          <w:rFonts w:hint="eastAsia"/>
          <w:lang w:val="en-US" w:eastAsia="zh-CN"/>
        </w:rPr>
        <w:t>安装起重臂臂根节；</w:t>
      </w:r>
    </w:p>
    <w:p w14:paraId="5D65CD57">
      <w:pPr>
        <w:numPr>
          <w:ilvl w:val="0"/>
          <w:numId w:val="9"/>
        </w:numPr>
        <w:ind w:left="425" w:leftChars="0" w:hanging="425" w:firstLineChars="0"/>
        <w:rPr>
          <w:rFonts w:hint="eastAsia"/>
          <w:lang w:val="en-US" w:eastAsia="zh-CN"/>
        </w:rPr>
      </w:pPr>
      <w:r>
        <w:rPr>
          <w:rFonts w:hint="eastAsia"/>
          <w:lang w:val="en-US" w:eastAsia="zh-CN"/>
        </w:rPr>
        <w:t>安装平衡臂总成；</w:t>
      </w:r>
    </w:p>
    <w:p w14:paraId="71136FE5">
      <w:pPr>
        <w:numPr>
          <w:ilvl w:val="0"/>
          <w:numId w:val="9"/>
        </w:numPr>
        <w:ind w:left="425" w:leftChars="0" w:hanging="425" w:firstLineChars="0"/>
        <w:rPr>
          <w:rFonts w:hint="eastAsia"/>
          <w:lang w:val="en-US" w:eastAsia="zh-CN"/>
        </w:rPr>
      </w:pPr>
      <w:r>
        <w:rPr>
          <w:rFonts w:hint="eastAsia"/>
          <w:lang w:val="en-US" w:eastAsia="zh-CN"/>
        </w:rPr>
        <w:t>吊装重 5.5tx1 的平衡重；</w:t>
      </w:r>
    </w:p>
    <w:p w14:paraId="21A3900A">
      <w:pPr>
        <w:numPr>
          <w:ilvl w:val="0"/>
          <w:numId w:val="9"/>
        </w:numPr>
        <w:ind w:left="425" w:leftChars="0" w:hanging="425" w:firstLineChars="0"/>
        <w:rPr>
          <w:rFonts w:hint="eastAsia"/>
          <w:lang w:val="en-US" w:eastAsia="zh-CN"/>
        </w:rPr>
      </w:pPr>
      <w:r>
        <w:rPr>
          <w:rFonts w:hint="eastAsia"/>
          <w:lang w:val="en-US" w:eastAsia="zh-CN"/>
        </w:rPr>
        <w:t>安装剩余起重臂；</w:t>
      </w:r>
    </w:p>
    <w:p w14:paraId="4B4DFC4E">
      <w:pPr>
        <w:numPr>
          <w:ilvl w:val="0"/>
          <w:numId w:val="9"/>
        </w:numPr>
        <w:ind w:left="425" w:leftChars="0" w:hanging="425" w:firstLineChars="0"/>
        <w:rPr>
          <w:rFonts w:hint="eastAsia"/>
          <w:lang w:val="en-US" w:eastAsia="zh-CN"/>
        </w:rPr>
      </w:pPr>
      <w:r>
        <w:rPr>
          <w:rFonts w:hint="eastAsia"/>
          <w:lang w:val="en-US" w:eastAsia="zh-CN"/>
        </w:rPr>
        <w:t>配装平衡重(余下的配重)</w:t>
      </w:r>
    </w:p>
    <w:p w14:paraId="33C5918C">
      <w:pPr>
        <w:pStyle w:val="4"/>
        <w:tabs>
          <w:tab w:val="left" w:pos="0"/>
        </w:tabs>
      </w:pPr>
      <w:bookmarkStart w:id="89" w:name="_Toc13586"/>
      <w:bookmarkStart w:id="90" w:name="_Toc16443"/>
      <w:bookmarkStart w:id="91" w:name="_Toc4201"/>
      <w:bookmarkStart w:id="92" w:name="_Toc3369"/>
      <w:bookmarkStart w:id="93" w:name="_Toc528139711"/>
      <w:bookmarkStart w:id="94" w:name="_Toc515971582"/>
      <w:bookmarkStart w:id="95" w:name="_Toc118877510"/>
      <w:r>
        <w:rPr>
          <w:rFonts w:hint="eastAsia"/>
          <w:lang w:val="en-US" w:eastAsia="zh-CN"/>
        </w:rPr>
        <w:t>6.3.1</w:t>
      </w:r>
      <w:bookmarkEnd w:id="89"/>
      <w:bookmarkStart w:id="96" w:name="_Toc30387"/>
      <w:bookmarkStart w:id="97" w:name="_Toc6031"/>
      <w:bookmarkStart w:id="98" w:name="_Toc5117"/>
      <w:r>
        <w:rPr>
          <w:rFonts w:hint="eastAsia"/>
        </w:rPr>
        <w:t>塔吊安装前施工准备</w:t>
      </w:r>
      <w:bookmarkEnd w:id="90"/>
      <w:bookmarkEnd w:id="96"/>
      <w:bookmarkEnd w:id="97"/>
    </w:p>
    <w:p w14:paraId="2B1DF36C">
      <w:pPr>
        <w:pStyle w:val="6"/>
        <w:bidi w:val="0"/>
        <w:rPr>
          <w:rFonts w:hint="eastAsia"/>
          <w:lang w:val="en-US" w:eastAsia="zh-CN"/>
        </w:rPr>
      </w:pPr>
      <w:bookmarkStart w:id="99" w:name="_Toc22458"/>
      <w:r>
        <w:rPr>
          <w:rFonts w:hint="eastAsia"/>
          <w:lang w:val="en-US" w:eastAsia="zh-CN"/>
        </w:rPr>
        <w:t>6.3.1.1技术准备</w:t>
      </w:r>
      <w:bookmarkEnd w:id="99"/>
    </w:p>
    <w:p w14:paraId="79DB7E4B">
      <w:pPr>
        <w:bidi w:val="0"/>
        <w:ind w:left="0" w:leftChars="0" w:firstLine="480" w:firstLineChars="200"/>
        <w:rPr>
          <w:rFonts w:hint="eastAsia"/>
        </w:rPr>
      </w:pPr>
      <w:r>
        <w:rPr>
          <w:rFonts w:hint="eastAsia"/>
        </w:rPr>
        <w:t>设备技术资料查验、安装方案、人员及工器具审核及报备工作。</w:t>
      </w:r>
    </w:p>
    <w:p w14:paraId="1FA44906">
      <w:pPr>
        <w:pStyle w:val="6"/>
        <w:bidi w:val="0"/>
        <w:rPr>
          <w:rFonts w:hint="eastAsia" w:ascii="宋体" w:hAnsi="宋体" w:eastAsia="宋体"/>
          <w:lang w:val="en-US" w:eastAsia="zh-CN"/>
        </w:rPr>
      </w:pPr>
      <w:bookmarkStart w:id="100" w:name="_Toc22668"/>
      <w:r>
        <w:rPr>
          <w:rFonts w:hint="eastAsia" w:ascii="宋体" w:hAnsi="宋体" w:eastAsia="宋体"/>
          <w:lang w:val="en-US" w:eastAsia="zh-CN"/>
        </w:rPr>
        <w:t>6.3.1.2组织准备</w:t>
      </w:r>
      <w:bookmarkEnd w:id="100"/>
    </w:p>
    <w:p w14:paraId="6B06269D">
      <w:pPr>
        <w:ind w:firstLine="480"/>
      </w:pPr>
      <w:r>
        <w:rPr>
          <w:rFonts w:hint="eastAsia"/>
        </w:rPr>
        <w:t>（1）施工队伍应有合格的安装资质，且熟悉塔式起重机安装工艺。</w:t>
      </w:r>
    </w:p>
    <w:p w14:paraId="5BE14530">
      <w:pPr>
        <w:ind w:firstLine="480"/>
      </w:pPr>
      <w:r>
        <w:rPr>
          <w:rFonts w:hint="eastAsia"/>
        </w:rPr>
        <w:t>（2）成立安装安全领导小组和安装工作小组，对整个安装过程进行有效监管。</w:t>
      </w:r>
    </w:p>
    <w:p w14:paraId="02BEA420">
      <w:pPr>
        <w:ind w:firstLine="480"/>
      </w:pPr>
      <w:r>
        <w:rPr>
          <w:rFonts w:hint="eastAsia"/>
        </w:rPr>
        <w:t>（3）组织学习安全技术措施，现场进行技术交底，落实每项工作。</w:t>
      </w:r>
    </w:p>
    <w:p w14:paraId="3FF31804">
      <w:pPr>
        <w:ind w:firstLine="480"/>
      </w:pPr>
      <w:r>
        <w:rPr>
          <w:rFonts w:hint="eastAsia"/>
        </w:rPr>
        <w:t>（4）所有进行安装的有关人员，均需持证上岗，并针对本工程经过培训。</w:t>
      </w:r>
    </w:p>
    <w:p w14:paraId="32097EA3">
      <w:pPr>
        <w:pStyle w:val="6"/>
        <w:bidi w:val="0"/>
        <w:rPr>
          <w:rFonts w:hint="eastAsia" w:ascii="宋体" w:hAnsi="宋体" w:eastAsia="宋体"/>
          <w:lang w:val="en-US" w:eastAsia="zh-CN"/>
        </w:rPr>
      </w:pPr>
      <w:bookmarkStart w:id="101" w:name="_Toc17360"/>
      <w:r>
        <w:rPr>
          <w:rFonts w:hint="eastAsia" w:ascii="宋体" w:hAnsi="宋体" w:eastAsia="宋体"/>
          <w:lang w:val="en-US" w:eastAsia="zh-CN"/>
        </w:rPr>
        <w:t>6.3.1.3工索具、起重设备准备</w:t>
      </w:r>
      <w:bookmarkEnd w:id="101"/>
    </w:p>
    <w:p w14:paraId="1AF62C7F">
      <w:pPr>
        <w:ind w:firstLine="480"/>
      </w:pPr>
      <w:r>
        <w:rPr>
          <w:rFonts w:hint="eastAsia"/>
        </w:rPr>
        <w:t>（1）准备好安装人员的安全带，安全绳，防滑鞋，安全帽等。</w:t>
      </w:r>
    </w:p>
    <w:p w14:paraId="74FE5B61">
      <w:pPr>
        <w:ind w:firstLine="480"/>
      </w:pPr>
      <w:r>
        <w:rPr>
          <w:rFonts w:hint="eastAsia"/>
        </w:rPr>
        <w:t>（2）定好吊装主要部件的尺寸，重量，高度，确定起重设备规格，并准备好吊装机具，安装工具（扳手、大锤、钢丝绳、手拉葫芦、氧气乙炔）等。</w:t>
      </w:r>
    </w:p>
    <w:p w14:paraId="3C8F4A7B">
      <w:pPr>
        <w:ind w:firstLine="480"/>
      </w:pPr>
      <w:r>
        <w:rPr>
          <w:rFonts w:hint="eastAsia"/>
        </w:rPr>
        <w:t>（3）所有起重设备应进行试吊，确保设备完好。</w:t>
      </w:r>
    </w:p>
    <w:p w14:paraId="73E731C5">
      <w:pPr>
        <w:ind w:firstLine="480"/>
      </w:pPr>
      <w:r>
        <w:rPr>
          <w:rFonts w:hint="eastAsia"/>
        </w:rPr>
        <w:t>（4）所有手动吊装、焊接、测量等工具，均需经计量检验合格，方可用于本工程。</w:t>
      </w:r>
    </w:p>
    <w:p w14:paraId="73531CDA">
      <w:pPr>
        <w:pStyle w:val="6"/>
        <w:bidi w:val="0"/>
        <w:rPr>
          <w:rFonts w:hint="eastAsia" w:ascii="宋体" w:hAnsi="宋体" w:eastAsia="宋体"/>
          <w:lang w:val="en-US" w:eastAsia="zh-CN"/>
        </w:rPr>
      </w:pPr>
      <w:bookmarkStart w:id="102" w:name="_Toc27786"/>
      <w:r>
        <w:rPr>
          <w:rFonts w:hint="eastAsia" w:ascii="宋体" w:hAnsi="宋体" w:eastAsia="宋体"/>
          <w:lang w:val="en-US" w:eastAsia="zh-CN"/>
        </w:rPr>
        <w:t>6.3.1.4检查准备</w:t>
      </w:r>
      <w:bookmarkEnd w:id="102"/>
    </w:p>
    <w:p w14:paraId="17FB7486">
      <w:pPr>
        <w:ind w:firstLine="480"/>
      </w:pPr>
      <w:r>
        <w:rPr>
          <w:rFonts w:hint="eastAsia"/>
        </w:rPr>
        <w:t>正式施工前，做好主要施工机具和分项工艺的检验工作。根据检验结果，对工艺进行进一步的修改及细化。</w:t>
      </w:r>
    </w:p>
    <w:p w14:paraId="27A8CAB2">
      <w:pPr>
        <w:ind w:firstLine="480"/>
      </w:pPr>
      <w:r>
        <w:rPr>
          <w:rFonts w:hint="eastAsia"/>
        </w:rPr>
        <w:t>（1）设备检查</w:t>
      </w:r>
    </w:p>
    <w:p w14:paraId="3CCDE78E">
      <w:pPr>
        <w:ind w:firstLine="480"/>
      </w:pPr>
      <w:r>
        <w:rPr>
          <w:rFonts w:hint="eastAsia"/>
        </w:rPr>
        <w:t>a塔吊所有钢构件无变形、无裂纹；塔吊所有电机机座是否固定牢靠，传动部位有无变形、裂纹；</w:t>
      </w:r>
    </w:p>
    <w:p w14:paraId="0E3BF5A4">
      <w:pPr>
        <w:ind w:firstLine="480"/>
      </w:pPr>
      <w:r>
        <w:rPr>
          <w:rFonts w:hint="eastAsia"/>
        </w:rPr>
        <w:t>b塔吊所有滑轮部位有无防钢丝绳脱槽装置，滑轮轴有无磨损，滑轮座是否固定牢靠；塔吊所有防护栏杆是否完好，焊接牢靠，无锈蚀；</w:t>
      </w:r>
    </w:p>
    <w:p w14:paraId="42C3B3A6">
      <w:pPr>
        <w:ind w:firstLine="480"/>
      </w:pPr>
      <w:r>
        <w:rPr>
          <w:rFonts w:hint="eastAsia"/>
        </w:rPr>
        <w:t>c塔吊所有柱销孔和销柱体符合要求，无晃动、无严重磨损；</w:t>
      </w:r>
    </w:p>
    <w:p w14:paraId="367A32F7">
      <w:pPr>
        <w:ind w:firstLine="480"/>
      </w:pPr>
      <w:r>
        <w:rPr>
          <w:rFonts w:hint="eastAsia"/>
        </w:rPr>
        <w:t>d塔吊所有柱销上的开口销是否配套，并开口；</w:t>
      </w:r>
    </w:p>
    <w:p w14:paraId="2EC134D4">
      <w:pPr>
        <w:ind w:firstLine="480"/>
      </w:pPr>
      <w:r>
        <w:rPr>
          <w:rFonts w:hint="eastAsia"/>
        </w:rPr>
        <w:t>e检查钢丝绳磨损状况；检查顶升套架围栏支撑连接部位部件是否完好；</w:t>
      </w:r>
    </w:p>
    <w:p w14:paraId="5F74DEDA">
      <w:pPr>
        <w:ind w:firstLine="480"/>
      </w:pPr>
      <w:r>
        <w:rPr>
          <w:rFonts w:hint="eastAsia"/>
        </w:rPr>
        <w:t>f检查顶升套架机构滑动部位及支撑的爪钩等处是否完好；</w:t>
      </w:r>
    </w:p>
    <w:p w14:paraId="55229CBE">
      <w:pPr>
        <w:ind w:firstLine="480"/>
      </w:pPr>
      <w:r>
        <w:rPr>
          <w:rFonts w:hint="eastAsia"/>
        </w:rPr>
        <w:t xml:space="preserve">g检查顶升套架标准节安装推入机构是否完好，各部件无变形； </w:t>
      </w:r>
    </w:p>
    <w:p w14:paraId="01D8DA85">
      <w:pPr>
        <w:ind w:firstLine="480"/>
      </w:pPr>
      <w:r>
        <w:rPr>
          <w:rFonts w:hint="eastAsia"/>
        </w:rPr>
        <w:t>h检查回转支撑机构是否润滑良好，螺栓是否紧固；</w:t>
      </w:r>
    </w:p>
    <w:p w14:paraId="244A637A">
      <w:pPr>
        <w:ind w:firstLine="480"/>
      </w:pPr>
      <w:r>
        <w:rPr>
          <w:rFonts w:hint="eastAsia"/>
        </w:rPr>
        <w:t>i检查电器是否完好无损，电缆线无老化、裸露，各电气绝缘保证良好；</w:t>
      </w:r>
    </w:p>
    <w:p w14:paraId="3078AC21">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173E0B2">
      <w:pPr>
        <w:ind w:firstLine="480"/>
      </w:pPr>
      <w:r>
        <w:rPr>
          <w:rFonts w:hint="eastAsia"/>
        </w:rPr>
        <w:t>k检查刹车部位是否完好，刹车皮是否磨损严重；</w:t>
      </w:r>
    </w:p>
    <w:p w14:paraId="52B18B5A">
      <w:pPr>
        <w:ind w:firstLine="480"/>
      </w:pPr>
      <w:r>
        <w:rPr>
          <w:rFonts w:hint="eastAsia"/>
        </w:rPr>
        <w:t>l查塔吊小车行走轮是否润滑良好，有无严重磨损和裂纹；检查配重、配重吊环是否牢固，完好。</w:t>
      </w:r>
    </w:p>
    <w:p w14:paraId="44E25B15">
      <w:pPr>
        <w:pStyle w:val="5"/>
        <w:tabs>
          <w:tab w:val="left" w:pos="0"/>
        </w:tabs>
        <w:bidi w:val="0"/>
        <w:ind w:left="0" w:leftChars="0" w:firstLine="0" w:firstLineChars="0"/>
        <w:rPr>
          <w:rFonts w:hint="eastAsia"/>
          <w:sz w:val="24"/>
          <w:szCs w:val="24"/>
          <w:lang w:val="en-US" w:eastAsia="zh-CN"/>
        </w:rPr>
      </w:pPr>
      <w:bookmarkStart w:id="103" w:name="_Toc22462"/>
      <w:r>
        <w:rPr>
          <w:rFonts w:hint="eastAsia"/>
          <w:sz w:val="24"/>
          <w:szCs w:val="24"/>
          <w:lang w:val="en-US" w:eastAsia="zh-CN"/>
        </w:rPr>
        <w:t>其他</w:t>
      </w:r>
      <w:bookmarkEnd w:id="103"/>
    </w:p>
    <w:p w14:paraId="60DD22EB">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14:paraId="2A8988A8">
      <w:pPr>
        <w:ind w:firstLine="480"/>
      </w:pPr>
      <w:r>
        <w:rPr>
          <w:rFonts w:hint="eastAsia"/>
        </w:rPr>
        <w:t>（2）划分安全警戒区域，指定监护人员，非工作人员不得进入警戒区。</w:t>
      </w:r>
    </w:p>
    <w:p w14:paraId="4A4625E7">
      <w:pPr>
        <w:ind w:firstLine="480"/>
      </w:pPr>
      <w:r>
        <w:rPr>
          <w:rFonts w:hint="eastAsia"/>
        </w:rPr>
        <w:t>（3）每台塔式起重机设立专用配电箱，符合临时用电《施工现场临时用电安全技术规范》（JGJ46-2005）相关要求。</w:t>
      </w:r>
    </w:p>
    <w:p w14:paraId="3D619AEA">
      <w:pPr>
        <w:pStyle w:val="4"/>
        <w:tabs>
          <w:tab w:val="left" w:pos="0"/>
        </w:tabs>
        <w:rPr>
          <w:rFonts w:hint="eastAsia"/>
          <w:lang w:val="en-US" w:eastAsia="zh-CN"/>
        </w:rPr>
      </w:pPr>
      <w:bookmarkStart w:id="104" w:name="_Toc5776"/>
      <w:bookmarkStart w:id="105" w:name="_Toc11323"/>
      <w:bookmarkStart w:id="106" w:name="_Toc14121"/>
      <w:r>
        <w:rPr>
          <w:rFonts w:hint="eastAsia"/>
          <w:lang w:val="en-US" w:eastAsia="zh-CN"/>
        </w:rPr>
        <w:t>6.3.2塔吊安装具体步骤</w:t>
      </w:r>
      <w:bookmarkEnd w:id="104"/>
      <w:bookmarkEnd w:id="105"/>
      <w:bookmarkEnd w:id="106"/>
    </w:p>
    <w:p w14:paraId="09A4DA26">
      <w:pPr>
        <w:pStyle w:val="5"/>
        <w:numPr>
          <w:ilvl w:val="0"/>
          <w:numId w:val="10"/>
        </w:numPr>
        <w:bidi w:val="0"/>
        <w:ind w:left="0" w:leftChars="0" w:firstLine="403" w:firstLineChars="0"/>
        <w:rPr>
          <w:rFonts w:hint="eastAsia" w:ascii="方正仿宋_GB18030" w:hAnsi="方正仿宋_GB18030" w:eastAsia="方正仿宋_GB18030" w:cs="方正仿宋_GB18030"/>
          <w:lang w:val="en-US" w:eastAsia="zh-CN"/>
        </w:rPr>
      </w:pPr>
      <w:r>
        <w:rPr>
          <w:rFonts w:hint="eastAsia" w:ascii="方正仿宋_GB18030" w:hAnsi="方正仿宋_GB18030" w:eastAsia="方正仿宋_GB18030" w:cs="方正仿宋_GB18030"/>
          <w:lang w:val="en-US" w:eastAsia="zh-CN"/>
        </w:rPr>
        <w:t>安装加强节施工</w:t>
      </w:r>
    </w:p>
    <w:p w14:paraId="46D737B6">
      <w:pPr>
        <w:pStyle w:val="305"/>
        <w:bidi w:val="0"/>
        <w:outlineLvl w:val="9"/>
        <w:rPr>
          <w:rFonts w:hint="eastAsia"/>
          <w:b w:val="0"/>
          <w:bCs w:val="0"/>
          <w:lang w:val="en-US" w:eastAsia="zh-CN"/>
        </w:rPr>
      </w:pPr>
      <w:r>
        <w:rPr>
          <w:rFonts w:hint="eastAsia"/>
          <w:b w:val="0"/>
          <w:bCs w:val="0"/>
          <w:lang w:val="en-US" w:eastAsia="zh-CN"/>
        </w:rPr>
        <w:t>（1）加强节组装</w:t>
      </w:r>
    </w:p>
    <w:p w14:paraId="2E74B248">
      <w:pPr>
        <w:pStyle w:val="305"/>
        <w:bidi w:val="0"/>
        <w:outlineLvl w:val="9"/>
        <w:rPr>
          <w:rFonts w:hint="eastAsia"/>
          <w:lang w:val="en-US" w:eastAsia="zh-CN"/>
        </w:rPr>
      </w:pPr>
      <w:r>
        <w:rPr>
          <w:rFonts w:hint="eastAsia"/>
          <w:lang w:val="en-US" w:eastAsia="zh-CN"/>
        </w:rPr>
        <w:t xml:space="preserve">  </w:t>
      </w:r>
      <w:r>
        <w:rPr>
          <w:rFonts w:hint="eastAsia"/>
          <w:b w:val="0"/>
          <w:bCs w:val="0"/>
          <w:lang w:val="en-US" w:eastAsia="zh-CN"/>
        </w:rPr>
        <w:t xml:space="preserve">   塔机塔身节为片式结构，由主弦杆、“K”形片、斜连杆、平台、爬梯等组成，相互之 间采用专用的销轴连接。在塔身节地面拼装时，塔身节之间连接用的方形接头须在地面上安装在主弦杆上，然后在拼装 K 形片</w:t>
      </w:r>
    </w:p>
    <w:p w14:paraId="504671F5">
      <w:pPr>
        <w:pStyle w:val="305"/>
        <w:bidi w:val="0"/>
        <w:outlineLvl w:val="9"/>
        <w:rPr>
          <w:rFonts w:hint="default"/>
          <w:b w:val="0"/>
          <w:bCs w:val="0"/>
          <w:lang w:val="en-US" w:eastAsia="zh-CN"/>
        </w:rPr>
      </w:pPr>
      <w:r>
        <w:rPr>
          <w:rFonts w:hint="eastAsia"/>
          <w:b w:val="0"/>
          <w:bCs w:val="0"/>
          <w:lang w:val="en-US" w:eastAsia="zh-CN"/>
        </w:rPr>
        <w:t>（2）加强节吊装</w:t>
      </w:r>
    </w:p>
    <w:p w14:paraId="1F7D10BD">
      <w:pPr>
        <w:pStyle w:val="305"/>
        <w:bidi w:val="0"/>
        <w:outlineLvl w:val="9"/>
        <w:rPr>
          <w:rFonts w:hint="eastAsia"/>
          <w:b w:val="0"/>
          <w:bCs w:val="0"/>
          <w:lang w:val="en-US" w:eastAsia="zh-CN"/>
        </w:rPr>
      </w:pPr>
      <w:r>
        <w:rPr>
          <w:rFonts w:hint="eastAsia"/>
          <w:b w:val="0"/>
          <w:bCs w:val="0"/>
          <w:lang w:val="en-US" w:eastAsia="zh-CN"/>
        </w:rPr>
        <w:t>加强节吊装采用四点吊，加强节以顶部四个销轴孔作为吊装孔，采用4根24mm  6×19S+FC 1770Mpa的钢丝绳配套GB/T 25854-6-DW5卸扣进行吊装。</w:t>
      </w:r>
    </w:p>
    <w:p w14:paraId="134455BC">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装孔连接，并在加强节立杆上栓好2根溜绳。启动吊机，将加强节缓慢提升，用溜绳控制其摆动。起吊加强节至塔吊固定支腿上方，吊机缓慢落钩，直至加强节底部销轴孔与预埋固定支腿轴孔对齐，作业人员插入与预埋固定支腿的连接销轴，完成加强节与固定支腿的连接，并在销轴端部插入开口销固定。加强节吊装示意如下图所示</w:t>
      </w:r>
    </w:p>
    <w:p w14:paraId="614F1F90">
      <w:pPr>
        <w:pStyle w:val="305"/>
        <w:bidi w:val="0"/>
        <w:jc w:val="center"/>
        <w:outlineLvl w:val="9"/>
        <w:rPr>
          <w:rFonts w:hint="eastAsia"/>
          <w:b w:val="0"/>
          <w:bCs w:val="0"/>
          <w:lang w:val="en-US" w:eastAsia="zh-CN"/>
        </w:rPr>
      </w:pPr>
      <w:r>
        <w:drawing>
          <wp:inline distT="0" distB="0" distL="114300" distR="114300">
            <wp:extent cx="2284095" cy="2139315"/>
            <wp:effectExtent l="0" t="0" r="1905" b="1333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4"/>
                    <a:stretch>
                      <a:fillRect/>
                    </a:stretch>
                  </pic:blipFill>
                  <pic:spPr>
                    <a:xfrm>
                      <a:off x="0" y="0"/>
                      <a:ext cx="2284095" cy="2139315"/>
                    </a:xfrm>
                    <a:prstGeom prst="rect">
                      <a:avLst/>
                    </a:prstGeom>
                    <a:noFill/>
                    <a:ln>
                      <a:noFill/>
                    </a:ln>
                  </pic:spPr>
                </pic:pic>
              </a:graphicData>
            </a:graphic>
          </wp:inline>
        </w:drawing>
      </w:r>
    </w:p>
    <w:p w14:paraId="3FD42567">
      <w:pPr>
        <w:pStyle w:val="305"/>
        <w:bidi w:val="0"/>
        <w:jc w:val="center"/>
        <w:outlineLvl w:val="9"/>
        <w:rPr>
          <w:rFonts w:hint="eastAsia"/>
          <w:b w:val="0"/>
          <w:bCs w:val="0"/>
          <w:sz w:val="22"/>
          <w:szCs w:val="40"/>
          <w:lang w:val="en-US" w:eastAsia="zh-CN"/>
        </w:rPr>
      </w:pPr>
      <w:r>
        <w:rPr>
          <w:rFonts w:hint="eastAsia"/>
          <w:b w:val="0"/>
          <w:bCs w:val="0"/>
          <w:sz w:val="22"/>
          <w:szCs w:val="40"/>
          <w:lang w:val="en-US" w:eastAsia="zh-CN"/>
        </w:rPr>
        <w:t>图6.3</w:t>
      </w:r>
      <w:r>
        <w:rPr>
          <w:rFonts w:hint="eastAsia"/>
          <w:b w:val="0"/>
          <w:bCs w:val="0"/>
          <w:sz w:val="22"/>
          <w:szCs w:val="40"/>
          <w:lang w:val="en-US" w:eastAsia="zh-CN"/>
        </w:rPr>
        <w:noBreakHyphen/>
      </w:r>
      <w:r>
        <w:rPr>
          <w:rFonts w:hint="eastAsia"/>
          <w:b w:val="0"/>
          <w:bCs w:val="0"/>
          <w:sz w:val="22"/>
          <w:szCs w:val="40"/>
          <w:lang w:val="en-US" w:eastAsia="zh-CN"/>
        </w:rPr>
        <w:t>1塔机加强节吊装立面示意图</w:t>
      </w:r>
    </w:p>
    <w:p w14:paraId="390D15F2">
      <w:pPr>
        <w:pStyle w:val="305"/>
        <w:bidi w:val="0"/>
        <w:outlineLvl w:val="9"/>
        <w:rPr>
          <w:rFonts w:hint="eastAsia"/>
          <w:b w:val="0"/>
          <w:bCs w:val="0"/>
          <w:lang w:val="en-US" w:eastAsia="zh-CN"/>
        </w:rPr>
      </w:pPr>
      <w:r>
        <w:rPr>
          <w:rFonts w:hint="eastAsia"/>
          <w:b w:val="0"/>
          <w:bCs w:val="0"/>
          <w:lang w:val="en-US" w:eastAsia="zh-CN"/>
        </w:rPr>
        <w:t>作业人员通过加强节爬梯爬至加强节顶部，系挂好安全带，站立在加强节横杆上，吊机放松吊钩，作业人员解除卸扣与加强节的连接，完成加强节（S69JT）的安装。采用同样步骤完成两节加强节安装。</w:t>
      </w:r>
    </w:p>
    <w:p w14:paraId="2B1FE2F2">
      <w:pPr>
        <w:pStyle w:val="305"/>
        <w:bidi w:val="0"/>
        <w:outlineLvl w:val="9"/>
        <w:rPr>
          <w:rFonts w:hint="eastAsia"/>
          <w:b w:val="0"/>
          <w:bCs w:val="0"/>
          <w:lang w:val="en-US" w:eastAsia="zh-CN"/>
        </w:rPr>
      </w:pPr>
      <w:r>
        <w:rPr>
          <w:rFonts w:hint="eastAsia"/>
          <w:b w:val="0"/>
          <w:bCs w:val="0"/>
          <w:lang w:val="en-US" w:eastAsia="zh-CN"/>
        </w:rPr>
        <w:t>塔吊加强节安装时设置警戒区，起吊安排专人负责指挥，专人操作，严禁无关人员进入起重作业范围内。</w:t>
      </w:r>
    </w:p>
    <w:p w14:paraId="4A87F354">
      <w:pPr>
        <w:pStyle w:val="5"/>
        <w:numPr>
          <w:ilvl w:val="0"/>
          <w:numId w:val="10"/>
        </w:numPr>
        <w:bidi w:val="0"/>
        <w:ind w:left="0" w:leftChars="0" w:firstLine="403" w:firstLineChars="0"/>
        <w:rPr>
          <w:rFonts w:hint="eastAsia" w:ascii="方正仿宋_GB18030" w:hAnsi="方正仿宋_GB18030" w:eastAsia="方正仿宋_GB18030" w:cs="方正仿宋_GB18030"/>
          <w:lang w:val="en-US" w:eastAsia="zh-CN"/>
        </w:rPr>
      </w:pPr>
      <w:bookmarkStart w:id="107" w:name="_Toc16295"/>
      <w:r>
        <w:rPr>
          <w:rFonts w:hint="eastAsia" w:ascii="方正仿宋_GB18030" w:hAnsi="方正仿宋_GB18030" w:eastAsia="方正仿宋_GB18030" w:cs="方正仿宋_GB18030"/>
          <w:lang w:val="en-US" w:eastAsia="zh-CN"/>
        </w:rPr>
        <w:t>安装爬升架</w:t>
      </w:r>
      <w:bookmarkEnd w:id="107"/>
    </w:p>
    <w:p w14:paraId="0E2502BC">
      <w:pPr>
        <w:pStyle w:val="305"/>
        <w:numPr>
          <w:ilvl w:val="0"/>
          <w:numId w:val="11"/>
        </w:numPr>
        <w:bidi w:val="0"/>
        <w:ind w:left="425" w:leftChars="0" w:hanging="425" w:firstLineChars="0"/>
        <w:outlineLvl w:val="9"/>
        <w:rPr>
          <w:rFonts w:hint="default"/>
          <w:b w:val="0"/>
          <w:bCs w:val="0"/>
          <w:lang w:val="en-US" w:eastAsia="zh-CN"/>
        </w:rPr>
      </w:pPr>
      <w:bookmarkStart w:id="108" w:name="_Toc23393"/>
      <w:r>
        <w:rPr>
          <w:rFonts w:hint="eastAsia"/>
          <w:b w:val="0"/>
          <w:bCs w:val="0"/>
          <w:lang w:val="en-US" w:eastAsia="zh-CN"/>
        </w:rPr>
        <w:t>结构简述</w:t>
      </w:r>
    </w:p>
    <w:p w14:paraId="013EBED9">
      <w:pPr>
        <w:pStyle w:val="305"/>
        <w:bidi w:val="0"/>
        <w:outlineLvl w:val="9"/>
        <w:rPr>
          <w:rFonts w:hint="eastAsia"/>
          <w:b w:val="0"/>
          <w:bCs w:val="0"/>
          <w:lang w:val="en-US" w:eastAsia="zh-CN"/>
        </w:rPr>
      </w:pPr>
      <w:r>
        <w:rPr>
          <w:rFonts w:hint="eastAsia"/>
          <w:b w:val="0"/>
          <w:bCs w:val="0"/>
          <w:lang w:val="en-US" w:eastAsia="zh-CN"/>
        </w:rPr>
        <w:t xml:space="preserve">套架由主结构、平台、爬梯及液压顶升系统等组成，塔机的顶升运动主要靠此部件完成。 </w:t>
      </w:r>
    </w:p>
    <w:p w14:paraId="47823218">
      <w:pPr>
        <w:pStyle w:val="305"/>
        <w:bidi w:val="0"/>
        <w:outlineLvl w:val="9"/>
        <w:rPr>
          <w:rFonts w:hint="eastAsia"/>
          <w:b w:val="0"/>
          <w:bCs w:val="0"/>
          <w:lang w:val="en-US" w:eastAsia="zh-CN"/>
        </w:rPr>
      </w:pPr>
      <w:r>
        <w:rPr>
          <w:rFonts w:hint="eastAsia"/>
          <w:b w:val="0"/>
          <w:bCs w:val="0"/>
          <w:lang w:val="en-US" w:eastAsia="zh-CN"/>
        </w:rPr>
        <w:t>顶升油缸安装在套架后侧的横梁上(即预装平衡臂的一侧)，液压泵站放在液压缸一侧的平台上，套架内侧有 16 个滚轮，顶升时滚轮支于塔身主弦杆外侧，起导向支承作用。为了便于顶升安装和安全需要，在顶升挂板上设有防脱装置。在套架上部、中部及下部位置设有平台及栏杆，顶升时，工作人员站在平台上，操纵液压系统，完成顶升、引入标准 节和打入连接销轴的工作。</w:t>
      </w:r>
    </w:p>
    <w:p w14:paraId="6F868569">
      <w:pPr>
        <w:pStyle w:val="305"/>
        <w:numPr>
          <w:ilvl w:val="0"/>
          <w:numId w:val="11"/>
        </w:numPr>
        <w:bidi w:val="0"/>
        <w:ind w:left="425" w:leftChars="0" w:hanging="425" w:firstLineChars="0"/>
        <w:outlineLvl w:val="9"/>
        <w:rPr>
          <w:rFonts w:hint="default"/>
          <w:b w:val="0"/>
          <w:bCs w:val="0"/>
          <w:lang w:val="en-US" w:eastAsia="zh-CN"/>
        </w:rPr>
      </w:pPr>
      <w:r>
        <w:rPr>
          <w:rFonts w:hint="eastAsia"/>
          <w:b w:val="0"/>
          <w:bCs w:val="0"/>
          <w:lang w:val="en-US" w:eastAsia="zh-CN"/>
        </w:rPr>
        <w:t>安装套架平台</w:t>
      </w:r>
    </w:p>
    <w:p w14:paraId="06CEF726">
      <w:pPr>
        <w:pStyle w:val="305"/>
        <w:bidi w:val="0"/>
        <w:outlineLvl w:val="9"/>
        <w:rPr>
          <w:rFonts w:hint="default"/>
          <w:b w:val="0"/>
          <w:bCs w:val="0"/>
          <w:lang w:val="en-US" w:eastAsia="zh-CN"/>
        </w:rPr>
      </w:pPr>
      <w:r>
        <w:rPr>
          <w:rFonts w:hint="default"/>
          <w:b w:val="0"/>
          <w:bCs w:val="0"/>
          <w:lang w:val="en-US" w:eastAsia="zh-CN"/>
        </w:rPr>
        <w:t>套架平台共分上、下两层，具体</w:t>
      </w:r>
      <w:r>
        <w:rPr>
          <w:rFonts w:hint="eastAsia"/>
          <w:b w:val="0"/>
          <w:bCs w:val="0"/>
          <w:lang w:val="en-US" w:eastAsia="zh-CN"/>
        </w:rPr>
        <w:t>安装</w:t>
      </w:r>
      <w:r>
        <w:rPr>
          <w:rFonts w:hint="default"/>
          <w:b w:val="0"/>
          <w:bCs w:val="0"/>
          <w:lang w:val="en-US" w:eastAsia="zh-CN"/>
        </w:rPr>
        <w:t>位置如图所示：</w:t>
      </w:r>
    </w:p>
    <w:p w14:paraId="314BFF32">
      <w:pPr>
        <w:pStyle w:val="305"/>
        <w:bidi w:val="0"/>
        <w:outlineLvl w:val="9"/>
        <w:rPr>
          <w:rFonts w:hint="default"/>
          <w:b w:val="0"/>
          <w:bCs w:val="0"/>
          <w:lang w:val="en-US" w:eastAsia="zh-CN"/>
        </w:rPr>
      </w:pPr>
      <w:r>
        <w:rPr>
          <w:rFonts w:hint="eastAsia"/>
          <w:b w:val="0"/>
          <w:bCs w:val="0"/>
          <w:lang w:val="en-US" w:eastAsia="zh-CN"/>
        </w:rPr>
        <w:t>安装</w:t>
      </w:r>
      <w:r>
        <w:rPr>
          <w:rFonts w:hint="default"/>
          <w:b w:val="0"/>
          <w:bCs w:val="0"/>
          <w:lang w:val="en-US" w:eastAsia="zh-CN"/>
        </w:rPr>
        <w:t>顺序如下：a) 下层左、右平台;b) 下层后平台;c) 下层前平台;d) 上层左平台;e) 上层右平台;f) 上层后平台。</w:t>
      </w:r>
    </w:p>
    <w:p w14:paraId="05354724">
      <w:pPr>
        <w:pStyle w:val="305"/>
        <w:bidi w:val="0"/>
        <w:jc w:val="center"/>
        <w:outlineLvl w:val="9"/>
        <w:rPr>
          <w:rFonts w:hint="default"/>
          <w:b w:val="0"/>
          <w:bCs w:val="0"/>
          <w:lang w:val="en-US" w:eastAsia="zh-CN"/>
        </w:rPr>
      </w:pPr>
      <w:r>
        <w:rPr>
          <w:rFonts w:hint="default"/>
          <w:b w:val="0"/>
          <w:bCs w:val="0"/>
          <w:lang w:val="en-US" w:eastAsia="zh-CN"/>
        </w:rPr>
        <w:drawing>
          <wp:inline distT="0" distB="0" distL="0" distR="0">
            <wp:extent cx="2520315" cy="2004695"/>
            <wp:effectExtent l="0" t="0" r="13335" b="1460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20315" cy="2004695"/>
                    </a:xfrm>
                    <a:prstGeom prst="rect">
                      <a:avLst/>
                    </a:prstGeom>
                    <a:noFill/>
                    <a:ln>
                      <a:noFill/>
                    </a:ln>
                  </pic:spPr>
                </pic:pic>
              </a:graphicData>
            </a:graphic>
          </wp:inline>
        </w:drawing>
      </w:r>
      <w:r>
        <w:rPr>
          <w:rFonts w:hint="default"/>
          <w:b w:val="0"/>
          <w:bCs w:val="0"/>
          <w:lang w:val="en-US" w:eastAsia="zh-CN"/>
        </w:rPr>
        <w:t xml:space="preserve"> </w:t>
      </w:r>
      <w:r>
        <w:rPr>
          <w:rFonts w:hint="eastAsia"/>
          <w:b w:val="0"/>
          <w:bCs w:val="0"/>
          <w:lang w:val="en-US" w:eastAsia="zh-CN"/>
        </w:rPr>
        <w:t xml:space="preserve">             </w:t>
      </w:r>
      <w:r>
        <w:rPr>
          <w:rFonts w:hint="default"/>
          <w:b w:val="0"/>
          <w:bCs w:val="0"/>
          <w:lang w:val="en-US" w:eastAsia="zh-CN"/>
        </w:rPr>
        <w:drawing>
          <wp:inline distT="0" distB="0" distL="0" distR="0">
            <wp:extent cx="2042160" cy="2242185"/>
            <wp:effectExtent l="0" t="0" r="15240" b="571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42160" cy="2242185"/>
                    </a:xfrm>
                    <a:prstGeom prst="rect">
                      <a:avLst/>
                    </a:prstGeom>
                    <a:noFill/>
                    <a:ln>
                      <a:noFill/>
                    </a:ln>
                  </pic:spPr>
                </pic:pic>
              </a:graphicData>
            </a:graphic>
          </wp:inline>
        </w:drawing>
      </w:r>
    </w:p>
    <w:p w14:paraId="123C330C">
      <w:pPr>
        <w:pStyle w:val="305"/>
        <w:bidi w:val="0"/>
        <w:jc w:val="center"/>
        <w:outlineLvl w:val="9"/>
        <w:rPr>
          <w:rFonts w:hint="default"/>
          <w:b w:val="0"/>
          <w:bCs w:val="0"/>
          <w:lang w:val="en-US" w:eastAsia="zh-CN"/>
        </w:rPr>
      </w:pPr>
      <w:r>
        <w:rPr>
          <w:rFonts w:hint="default"/>
          <w:b w:val="0"/>
          <w:bCs w:val="0"/>
          <w:lang w:val="en-US" w:eastAsia="zh-CN"/>
        </w:rPr>
        <w:t>图</w:t>
      </w:r>
      <w:r>
        <w:rPr>
          <w:rFonts w:hint="eastAsia"/>
          <w:b w:val="0"/>
          <w:bCs w:val="0"/>
          <w:lang w:val="en-US" w:eastAsia="zh-CN"/>
        </w:rPr>
        <w:t>6.3-2</w:t>
      </w:r>
      <w:r>
        <w:rPr>
          <w:rFonts w:hint="default"/>
          <w:b w:val="0"/>
          <w:bCs w:val="0"/>
          <w:lang w:val="en-US" w:eastAsia="zh-CN"/>
        </w:rPr>
        <w:t>套架平台示意图</w:t>
      </w:r>
    </w:p>
    <w:p w14:paraId="4847A528">
      <w:pPr>
        <w:pStyle w:val="305"/>
        <w:bidi w:val="0"/>
        <w:outlineLvl w:val="9"/>
        <w:rPr>
          <w:rFonts w:hint="default"/>
          <w:b w:val="0"/>
          <w:bCs w:val="0"/>
          <w:lang w:val="en-US" w:eastAsia="zh-CN"/>
        </w:rPr>
      </w:pPr>
      <w:r>
        <w:rPr>
          <w:rFonts w:hint="default"/>
          <w:b w:val="0"/>
          <w:bCs w:val="0"/>
          <w:lang w:val="en-US" w:eastAsia="zh-CN"/>
        </w:rPr>
        <w:t>注：1 下前后、上后平台 2 下左右平台 3 上左右平台 445678 栏杆</w:t>
      </w:r>
    </w:p>
    <w:p w14:paraId="2C80891F">
      <w:pPr>
        <w:pStyle w:val="305"/>
        <w:bidi w:val="0"/>
        <w:outlineLvl w:val="9"/>
        <w:rPr>
          <w:rFonts w:hint="default"/>
          <w:b w:val="0"/>
          <w:bCs w:val="0"/>
          <w:lang w:val="en-US" w:eastAsia="zh-CN"/>
        </w:rPr>
      </w:pPr>
      <w:r>
        <w:rPr>
          <w:rFonts w:hint="default"/>
          <w:b w:val="0"/>
          <w:bCs w:val="0"/>
          <w:lang w:val="en-US" w:eastAsia="zh-CN"/>
        </w:rPr>
        <w:t>在地面上将平台支撑杆用φ25×70 普通销轴装在平台上、并用弹簧销φ3 固定，装上平台栏杆。吊起平台使平台上</w:t>
      </w:r>
      <w:r>
        <w:rPr>
          <w:rFonts w:hint="eastAsia"/>
          <w:b w:val="0"/>
          <w:bCs w:val="0"/>
          <w:lang w:val="en-US" w:eastAsia="zh-CN"/>
        </w:rPr>
        <w:t>安装</w:t>
      </w:r>
      <w:r>
        <w:rPr>
          <w:rFonts w:hint="default"/>
          <w:b w:val="0"/>
          <w:bCs w:val="0"/>
          <w:lang w:val="en-US" w:eastAsia="zh-CN"/>
        </w:rPr>
        <w:t>孔对准套架上平台</w:t>
      </w:r>
      <w:r>
        <w:rPr>
          <w:rFonts w:hint="eastAsia"/>
          <w:b w:val="0"/>
          <w:bCs w:val="0"/>
          <w:lang w:val="en-US" w:eastAsia="zh-CN"/>
        </w:rPr>
        <w:t>安装</w:t>
      </w:r>
      <w:r>
        <w:rPr>
          <w:rFonts w:hint="default"/>
          <w:b w:val="0"/>
          <w:bCs w:val="0"/>
          <w:lang w:val="en-US" w:eastAsia="zh-CN"/>
        </w:rPr>
        <w:t>耳板，并用φ25×70 销轴和弹簧销φ3 固定。旋转平台支撑杆使之与套架上</w:t>
      </w:r>
      <w:r>
        <w:rPr>
          <w:rFonts w:hint="eastAsia"/>
          <w:b w:val="0"/>
          <w:bCs w:val="0"/>
          <w:lang w:val="en-US" w:eastAsia="zh-CN"/>
        </w:rPr>
        <w:t>安装</w:t>
      </w:r>
      <w:r>
        <w:rPr>
          <w:rFonts w:hint="default"/>
          <w:b w:val="0"/>
          <w:bCs w:val="0"/>
          <w:lang w:val="en-US" w:eastAsia="zh-CN"/>
        </w:rPr>
        <w:t>孔对正，并用φ25×70 销轴和弹簧销φ3固定。</w:t>
      </w:r>
    </w:p>
    <w:p w14:paraId="5CB10E88">
      <w:pPr>
        <w:pStyle w:val="305"/>
        <w:bidi w:val="0"/>
        <w:jc w:val="center"/>
        <w:outlineLvl w:val="9"/>
        <w:rPr>
          <w:rFonts w:hint="default"/>
          <w:b w:val="0"/>
          <w:bCs w:val="0"/>
          <w:lang w:val="en-US" w:eastAsia="zh-CN"/>
        </w:rPr>
      </w:pPr>
      <w:r>
        <w:rPr>
          <w:rFonts w:hint="default"/>
          <w:b w:val="0"/>
          <w:bCs w:val="0"/>
          <w:lang w:val="en-US" w:eastAsia="zh-CN"/>
        </w:rPr>
        <w:drawing>
          <wp:inline distT="0" distB="0" distL="0" distR="0">
            <wp:extent cx="1910080" cy="1630680"/>
            <wp:effectExtent l="0" t="0" r="13970" b="762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910080" cy="1630680"/>
                    </a:xfrm>
                    <a:prstGeom prst="rect">
                      <a:avLst/>
                    </a:prstGeom>
                    <a:noFill/>
                    <a:ln>
                      <a:noFill/>
                    </a:ln>
                  </pic:spPr>
                </pic:pic>
              </a:graphicData>
            </a:graphic>
          </wp:inline>
        </w:drawing>
      </w:r>
      <w:r>
        <w:rPr>
          <w:rFonts w:hint="default"/>
          <w:b w:val="0"/>
          <w:bCs w:val="0"/>
          <w:lang w:val="en-US" w:eastAsia="zh-CN"/>
        </w:rPr>
        <w:drawing>
          <wp:inline distT="0" distB="0" distL="0" distR="0">
            <wp:extent cx="2152650" cy="1672590"/>
            <wp:effectExtent l="0" t="0" r="0" b="38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52650" cy="1672590"/>
                    </a:xfrm>
                    <a:prstGeom prst="rect">
                      <a:avLst/>
                    </a:prstGeom>
                    <a:noFill/>
                    <a:ln>
                      <a:noFill/>
                    </a:ln>
                  </pic:spPr>
                </pic:pic>
              </a:graphicData>
            </a:graphic>
          </wp:inline>
        </w:drawing>
      </w:r>
    </w:p>
    <w:p w14:paraId="66BF9D84">
      <w:pPr>
        <w:pStyle w:val="305"/>
        <w:bidi w:val="0"/>
        <w:jc w:val="center"/>
        <w:outlineLvl w:val="9"/>
        <w:rPr>
          <w:rFonts w:hint="default"/>
          <w:b w:val="0"/>
          <w:bCs w:val="0"/>
          <w:lang w:val="en-US" w:eastAsia="zh-CN"/>
        </w:rPr>
      </w:pPr>
      <w:r>
        <w:rPr>
          <w:rFonts w:hint="default"/>
          <w:b w:val="0"/>
          <w:bCs w:val="0"/>
          <w:lang w:val="en-US" w:eastAsia="zh-CN"/>
        </w:rPr>
        <w:t>图</w:t>
      </w:r>
      <w:r>
        <w:rPr>
          <w:rFonts w:hint="eastAsia"/>
          <w:b w:val="0"/>
          <w:bCs w:val="0"/>
          <w:lang w:val="en-US" w:eastAsia="zh-CN"/>
        </w:rPr>
        <w:t>6.3-3</w:t>
      </w:r>
      <w:r>
        <w:rPr>
          <w:rFonts w:hint="default"/>
          <w:b w:val="0"/>
          <w:bCs w:val="0"/>
          <w:lang w:val="en-US" w:eastAsia="zh-CN"/>
        </w:rPr>
        <w:t xml:space="preserve"> 平台</w:t>
      </w:r>
      <w:r>
        <w:rPr>
          <w:rFonts w:hint="eastAsia"/>
          <w:b w:val="0"/>
          <w:bCs w:val="0"/>
          <w:lang w:val="en-US" w:eastAsia="zh-CN"/>
        </w:rPr>
        <w:t>安装</w:t>
      </w:r>
      <w:r>
        <w:rPr>
          <w:rFonts w:hint="default"/>
          <w:b w:val="0"/>
          <w:bCs w:val="0"/>
          <w:lang w:val="en-US" w:eastAsia="zh-CN"/>
        </w:rPr>
        <w:t>示意图</w:t>
      </w:r>
    </w:p>
    <w:p w14:paraId="3552CCD2">
      <w:pPr>
        <w:pStyle w:val="305"/>
        <w:bidi w:val="0"/>
        <w:outlineLvl w:val="9"/>
        <w:rPr>
          <w:rFonts w:hint="default"/>
          <w:b w:val="0"/>
          <w:bCs w:val="0"/>
          <w:lang w:val="en-US" w:eastAsia="zh-CN"/>
        </w:rPr>
      </w:pPr>
      <w:r>
        <w:rPr>
          <w:rFonts w:hint="default"/>
          <w:b w:val="0"/>
          <w:bCs w:val="0"/>
          <w:lang w:val="en-US" w:eastAsia="zh-CN"/>
        </w:rPr>
        <w:t>在</w:t>
      </w:r>
      <w:r>
        <w:rPr>
          <w:rFonts w:hint="eastAsia"/>
          <w:b w:val="0"/>
          <w:bCs w:val="0"/>
          <w:lang w:val="en-US" w:eastAsia="zh-CN"/>
        </w:rPr>
        <w:t>安装</w:t>
      </w:r>
      <w:r>
        <w:rPr>
          <w:rFonts w:hint="default"/>
          <w:b w:val="0"/>
          <w:bCs w:val="0"/>
          <w:lang w:val="en-US" w:eastAsia="zh-CN"/>
        </w:rPr>
        <w:t>前、后平台时要注意下层后平台应</w:t>
      </w:r>
      <w:r>
        <w:rPr>
          <w:rFonts w:hint="eastAsia"/>
          <w:b w:val="0"/>
          <w:bCs w:val="0"/>
          <w:lang w:val="en-US" w:eastAsia="zh-CN"/>
        </w:rPr>
        <w:t>安装</w:t>
      </w:r>
      <w:r>
        <w:rPr>
          <w:rFonts w:hint="default"/>
          <w:b w:val="0"/>
          <w:bCs w:val="0"/>
          <w:lang w:val="en-US" w:eastAsia="zh-CN"/>
        </w:rPr>
        <w:t>顶升油缸一侧，下层前后台与上层后平台规格相同，可以互换使用。下层左、右平台通用， 上层左、右平台通用，待平台</w:t>
      </w:r>
      <w:r>
        <w:rPr>
          <w:rFonts w:hint="eastAsia"/>
          <w:b w:val="0"/>
          <w:bCs w:val="0"/>
          <w:lang w:val="en-US" w:eastAsia="zh-CN"/>
        </w:rPr>
        <w:t>安装</w:t>
      </w:r>
      <w:r>
        <w:rPr>
          <w:rFonts w:hint="default"/>
          <w:b w:val="0"/>
          <w:bCs w:val="0"/>
          <w:lang w:val="en-US" w:eastAsia="zh-CN"/>
        </w:rPr>
        <w:t>好后，再</w:t>
      </w:r>
      <w:r>
        <w:rPr>
          <w:rFonts w:hint="eastAsia"/>
          <w:b w:val="0"/>
          <w:bCs w:val="0"/>
          <w:lang w:val="en-US" w:eastAsia="zh-CN"/>
        </w:rPr>
        <w:t>安装</w:t>
      </w:r>
      <w:r>
        <w:rPr>
          <w:rFonts w:hint="default"/>
          <w:b w:val="0"/>
          <w:bCs w:val="0"/>
          <w:lang w:val="en-US" w:eastAsia="zh-CN"/>
        </w:rPr>
        <w:t>栏杆。并用栏杆夹板和 M14×70 螺栓固定。</w:t>
      </w:r>
    </w:p>
    <w:p w14:paraId="5C796ADF">
      <w:pPr>
        <w:pStyle w:val="305"/>
        <w:numPr>
          <w:ilvl w:val="0"/>
          <w:numId w:val="11"/>
        </w:numPr>
        <w:bidi w:val="0"/>
        <w:ind w:left="425" w:leftChars="0" w:hanging="425" w:firstLineChars="0"/>
        <w:outlineLvl w:val="9"/>
        <w:rPr>
          <w:rFonts w:hint="default"/>
          <w:b w:val="0"/>
          <w:bCs w:val="0"/>
          <w:lang w:val="en-US" w:eastAsia="zh-CN"/>
        </w:rPr>
      </w:pPr>
      <w:r>
        <w:rPr>
          <w:rFonts w:hint="eastAsia"/>
          <w:b w:val="0"/>
          <w:bCs w:val="0"/>
          <w:lang w:val="en-US" w:eastAsia="zh-CN"/>
        </w:rPr>
        <w:t>安装</w:t>
      </w:r>
      <w:r>
        <w:rPr>
          <w:rFonts w:hint="default"/>
          <w:b w:val="0"/>
          <w:bCs w:val="0"/>
          <w:lang w:val="en-US" w:eastAsia="zh-CN"/>
        </w:rPr>
        <w:t>套架爬梯</w:t>
      </w:r>
    </w:p>
    <w:p w14:paraId="2AC605E6">
      <w:pPr>
        <w:pStyle w:val="305"/>
        <w:bidi w:val="0"/>
        <w:outlineLvl w:val="9"/>
        <w:rPr>
          <w:rFonts w:hint="default"/>
          <w:b w:val="0"/>
          <w:bCs w:val="0"/>
          <w:lang w:val="en-US" w:eastAsia="zh-CN"/>
        </w:rPr>
      </w:pPr>
      <w:r>
        <w:rPr>
          <w:rFonts w:hint="default"/>
          <w:b w:val="0"/>
          <w:bCs w:val="0"/>
          <w:lang w:val="en-US" w:eastAsia="zh-CN"/>
        </w:rPr>
        <w:t>将套架爬梯立于下层平台上，用梯子联接件按所示位置</w:t>
      </w:r>
      <w:r>
        <w:rPr>
          <w:rFonts w:hint="eastAsia"/>
          <w:b w:val="0"/>
          <w:bCs w:val="0"/>
          <w:lang w:val="en-US" w:eastAsia="zh-CN"/>
        </w:rPr>
        <w:t>安装</w:t>
      </w:r>
      <w:r>
        <w:rPr>
          <w:rFonts w:hint="default"/>
          <w:b w:val="0"/>
          <w:bCs w:val="0"/>
          <w:lang w:val="en-US" w:eastAsia="zh-CN"/>
        </w:rPr>
        <w:t>在套架上。具体</w:t>
      </w:r>
      <w:r>
        <w:rPr>
          <w:rFonts w:hint="eastAsia"/>
          <w:b w:val="0"/>
          <w:bCs w:val="0"/>
          <w:lang w:val="en-US" w:eastAsia="zh-CN"/>
        </w:rPr>
        <w:t>安装</w:t>
      </w:r>
      <w:r>
        <w:rPr>
          <w:rFonts w:hint="default"/>
          <w:b w:val="0"/>
          <w:bCs w:val="0"/>
          <w:lang w:val="en-US" w:eastAsia="zh-CN"/>
        </w:rPr>
        <w:t>方法如图所示：</w:t>
      </w:r>
    </w:p>
    <w:p w14:paraId="26CC8CFF">
      <w:pPr>
        <w:pStyle w:val="305"/>
        <w:bidi w:val="0"/>
        <w:jc w:val="center"/>
        <w:outlineLvl w:val="9"/>
        <w:rPr>
          <w:rFonts w:hint="default"/>
          <w:b w:val="0"/>
          <w:bCs w:val="0"/>
          <w:lang w:val="en-US" w:eastAsia="zh-CN"/>
        </w:rPr>
      </w:pPr>
      <w:r>
        <w:rPr>
          <w:rFonts w:hint="default"/>
          <w:b w:val="0"/>
          <w:bCs w:val="0"/>
          <w:lang w:val="en-US" w:eastAsia="zh-CN"/>
        </w:rPr>
        <w:drawing>
          <wp:inline distT="0" distB="0" distL="0" distR="0">
            <wp:extent cx="2172970" cy="1891665"/>
            <wp:effectExtent l="0" t="0" r="17780" b="1333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72970" cy="1891665"/>
                    </a:xfrm>
                    <a:prstGeom prst="rect">
                      <a:avLst/>
                    </a:prstGeom>
                    <a:noFill/>
                    <a:ln>
                      <a:noFill/>
                    </a:ln>
                  </pic:spPr>
                </pic:pic>
              </a:graphicData>
            </a:graphic>
          </wp:inline>
        </w:drawing>
      </w:r>
    </w:p>
    <w:p w14:paraId="4F536188">
      <w:pPr>
        <w:pStyle w:val="305"/>
        <w:bidi w:val="0"/>
        <w:jc w:val="center"/>
        <w:outlineLvl w:val="9"/>
        <w:rPr>
          <w:rFonts w:hint="default"/>
          <w:b w:val="0"/>
          <w:bCs w:val="0"/>
          <w:lang w:val="en-US" w:eastAsia="zh-CN"/>
        </w:rPr>
      </w:pPr>
      <w:r>
        <w:rPr>
          <w:rFonts w:hint="default"/>
          <w:b w:val="0"/>
          <w:bCs w:val="0"/>
          <w:lang w:val="en-US" w:eastAsia="zh-CN"/>
        </w:rPr>
        <w:t>图</w:t>
      </w:r>
      <w:r>
        <w:rPr>
          <w:rFonts w:hint="eastAsia"/>
          <w:b w:val="0"/>
          <w:bCs w:val="0"/>
          <w:lang w:val="en-US" w:eastAsia="zh-CN"/>
        </w:rPr>
        <w:t>6.3-4</w:t>
      </w:r>
      <w:r>
        <w:rPr>
          <w:rFonts w:hint="default"/>
          <w:b w:val="0"/>
          <w:bCs w:val="0"/>
          <w:lang w:val="en-US" w:eastAsia="zh-CN"/>
        </w:rPr>
        <w:t>套架爬梯</w:t>
      </w:r>
      <w:r>
        <w:rPr>
          <w:rFonts w:hint="eastAsia"/>
          <w:b w:val="0"/>
          <w:bCs w:val="0"/>
          <w:lang w:val="en-US" w:eastAsia="zh-CN"/>
        </w:rPr>
        <w:t>安装</w:t>
      </w:r>
      <w:r>
        <w:rPr>
          <w:rFonts w:hint="default"/>
          <w:b w:val="0"/>
          <w:bCs w:val="0"/>
          <w:lang w:val="en-US" w:eastAsia="zh-CN"/>
        </w:rPr>
        <w:t>示意图</w:t>
      </w:r>
    </w:p>
    <w:p w14:paraId="739C01CC">
      <w:pPr>
        <w:pStyle w:val="305"/>
        <w:numPr>
          <w:ilvl w:val="0"/>
          <w:numId w:val="10"/>
        </w:numPr>
        <w:bidi w:val="0"/>
        <w:spacing w:line="360" w:lineRule="auto"/>
        <w:ind w:left="0" w:leftChars="0" w:firstLine="403" w:firstLineChars="0"/>
        <w:rPr>
          <w:rFonts w:hint="default"/>
          <w:lang w:val="en-US" w:eastAsia="zh-CN"/>
        </w:rPr>
      </w:pPr>
      <w:bookmarkStart w:id="109" w:name="_Toc17911"/>
      <w:r>
        <w:rPr>
          <w:rFonts w:hint="eastAsia"/>
          <w:lang w:val="en-US" w:eastAsia="zh-CN"/>
        </w:rPr>
        <w:t>安装顶升顶升油缸</w:t>
      </w:r>
      <w:bookmarkEnd w:id="109"/>
    </w:p>
    <w:p w14:paraId="754FC307">
      <w:pPr>
        <w:pStyle w:val="305"/>
        <w:bidi w:val="0"/>
        <w:outlineLvl w:val="9"/>
        <w:rPr>
          <w:rFonts w:hint="default"/>
          <w:b w:val="0"/>
          <w:bCs w:val="0"/>
          <w:lang w:val="en-US" w:eastAsia="zh-CN"/>
        </w:rPr>
      </w:pPr>
      <w:r>
        <w:rPr>
          <w:rFonts w:hint="default"/>
          <w:b w:val="0"/>
          <w:bCs w:val="0"/>
          <w:lang w:val="en-US" w:eastAsia="zh-CN"/>
        </w:rPr>
        <w:t>将顶升油缸吊至</w:t>
      </w:r>
      <w:r>
        <w:rPr>
          <w:rFonts w:hint="eastAsia"/>
          <w:b w:val="0"/>
          <w:bCs w:val="0"/>
          <w:lang w:val="en-US" w:eastAsia="zh-CN"/>
        </w:rPr>
        <w:t>安装</w:t>
      </w:r>
      <w:r>
        <w:rPr>
          <w:rFonts w:hint="default"/>
          <w:b w:val="0"/>
          <w:bCs w:val="0"/>
          <w:lang w:val="en-US" w:eastAsia="zh-CN"/>
        </w:rPr>
        <w:t>位置，用φ80×190（ 200）带肩锥头销轴和φ10×100 开口销固定，开口销充分打开，然后让油缸处于自然垂直状态。</w:t>
      </w:r>
    </w:p>
    <w:p w14:paraId="76DF5559">
      <w:pPr>
        <w:pStyle w:val="305"/>
        <w:numPr>
          <w:ilvl w:val="0"/>
          <w:numId w:val="10"/>
        </w:numPr>
        <w:bidi w:val="0"/>
        <w:spacing w:line="360" w:lineRule="auto"/>
        <w:ind w:left="0" w:leftChars="0" w:firstLine="403" w:firstLineChars="0"/>
        <w:rPr>
          <w:rFonts w:hint="default"/>
          <w:lang w:val="en-US" w:eastAsia="zh-CN"/>
        </w:rPr>
      </w:pPr>
      <w:bookmarkStart w:id="110" w:name="_Toc23364"/>
      <w:r>
        <w:rPr>
          <w:rFonts w:hint="eastAsia"/>
          <w:lang w:val="en-US" w:eastAsia="zh-CN"/>
        </w:rPr>
        <w:t>套架吊装</w:t>
      </w:r>
      <w:bookmarkEnd w:id="110"/>
    </w:p>
    <w:p w14:paraId="1099CC38">
      <w:pPr>
        <w:pStyle w:val="305"/>
        <w:bidi w:val="0"/>
        <w:outlineLvl w:val="9"/>
        <w:rPr>
          <w:rFonts w:hint="eastAsia"/>
          <w:b w:val="0"/>
          <w:bCs w:val="0"/>
          <w:lang w:val="en-US" w:eastAsia="zh-CN"/>
        </w:rPr>
      </w:pPr>
      <w:r>
        <w:rPr>
          <w:rFonts w:hint="eastAsia"/>
          <w:b w:val="0"/>
          <w:bCs w:val="0"/>
          <w:lang w:val="en-US" w:eastAsia="zh-CN"/>
        </w:rPr>
        <w:t>采用吊机配合人工在地面上将套架架体、平台、顶升横梁、油缸及液压站等拼装成整体，套架吊装采用四点吊，以套架顶部四个销轴孔作为吊装孔，采用4根30mm  6×19S+FC 1770Mpa的钢丝绳配套GB/T 25854-6-DW10卸扣进行吊装。</w:t>
      </w:r>
    </w:p>
    <w:p w14:paraId="6B5E7441">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装孔连接，并在套架立杆上栓好2根溜绳。启动吊机，将套架缓慢提升，用溜绳控制其摆动。起吊套架至加强节上方，吊机缓慢落钩，将套架套入加强节，作业人员通过爬梯爬至加强节对应的套架爬爪处，将安全带系挂在加强节横杆上，将爬爪放在加强节踏步上，并通过安全销固定。套架吊装示意如下图所示。</w:t>
      </w:r>
    </w:p>
    <w:p w14:paraId="7BC41F4A">
      <w:pPr>
        <w:pStyle w:val="305"/>
        <w:bidi w:val="0"/>
        <w:jc w:val="center"/>
        <w:outlineLvl w:val="9"/>
        <w:rPr>
          <w:rFonts w:hint="eastAsia"/>
          <w:b w:val="0"/>
          <w:bCs w:val="0"/>
          <w:lang w:val="en-US" w:eastAsia="zh-CN"/>
        </w:rPr>
      </w:pPr>
      <w:r>
        <w:drawing>
          <wp:inline distT="0" distB="0" distL="114300" distR="114300">
            <wp:extent cx="2794635" cy="2581910"/>
            <wp:effectExtent l="0" t="0" r="571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2794635" cy="2581910"/>
                    </a:xfrm>
                    <a:prstGeom prst="rect">
                      <a:avLst/>
                    </a:prstGeom>
                    <a:noFill/>
                    <a:ln>
                      <a:noFill/>
                    </a:ln>
                  </pic:spPr>
                </pic:pic>
              </a:graphicData>
            </a:graphic>
          </wp:inline>
        </w:drawing>
      </w:r>
    </w:p>
    <w:p w14:paraId="24F7D470">
      <w:pPr>
        <w:pStyle w:val="305"/>
        <w:bidi w:val="0"/>
        <w:jc w:val="center"/>
        <w:outlineLvl w:val="9"/>
        <w:rPr>
          <w:rFonts w:hint="eastAsia"/>
          <w:b w:val="0"/>
          <w:bCs w:val="0"/>
          <w:lang w:val="en-US" w:eastAsia="zh-CN"/>
        </w:rPr>
      </w:pPr>
      <w:r>
        <w:rPr>
          <w:rFonts w:hint="eastAsia"/>
          <w:b w:val="0"/>
          <w:bCs w:val="0"/>
          <w:lang w:val="en-US" w:eastAsia="zh-CN"/>
        </w:rPr>
        <w:t>图 6.3-5套架吊装立面示意图</w:t>
      </w:r>
    </w:p>
    <w:p w14:paraId="0A5FEBA0">
      <w:pPr>
        <w:pStyle w:val="305"/>
        <w:bidi w:val="0"/>
        <w:outlineLvl w:val="9"/>
        <w:rPr>
          <w:rFonts w:hint="eastAsia"/>
          <w:b w:val="0"/>
          <w:bCs w:val="0"/>
          <w:lang w:val="en-US" w:eastAsia="zh-CN"/>
        </w:rPr>
      </w:pPr>
      <w:r>
        <w:rPr>
          <w:rFonts w:hint="eastAsia"/>
          <w:b w:val="0"/>
          <w:bCs w:val="0"/>
          <w:lang w:val="en-US" w:eastAsia="zh-CN"/>
        </w:rPr>
        <w:t>作业人员通过爬梯爬至套架顶部，将安全带系挂在套架顶部的横杆上，站立在套架顶部的平台上，吊机放松吊钩，作业人员解除卸扣与套架的连接。</w:t>
      </w:r>
    </w:p>
    <w:p w14:paraId="67A3B991">
      <w:pPr>
        <w:pStyle w:val="305"/>
        <w:bidi w:val="0"/>
        <w:outlineLvl w:val="9"/>
        <w:rPr>
          <w:rFonts w:hint="eastAsia"/>
          <w:b w:val="0"/>
          <w:bCs w:val="0"/>
          <w:lang w:val="en-US" w:eastAsia="zh-CN"/>
        </w:rPr>
      </w:pPr>
      <w:r>
        <w:rPr>
          <w:rFonts w:hint="eastAsia"/>
          <w:b w:val="0"/>
          <w:bCs w:val="0"/>
          <w:lang w:val="en-US" w:eastAsia="zh-CN"/>
        </w:rPr>
        <w:t>塔吊套架安装时设置警戒区，起吊安排专人负责指挥，专人操作，严禁无关人员进入起重作业范围内。</w:t>
      </w:r>
    </w:p>
    <w:p w14:paraId="6DB7A424">
      <w:pPr>
        <w:pStyle w:val="305"/>
        <w:numPr>
          <w:ilvl w:val="0"/>
          <w:numId w:val="10"/>
        </w:numPr>
        <w:bidi w:val="0"/>
        <w:spacing w:line="360" w:lineRule="auto"/>
        <w:ind w:left="0" w:leftChars="0" w:firstLine="403" w:firstLineChars="0"/>
        <w:rPr>
          <w:rFonts w:hint="default"/>
          <w:lang w:val="en-US" w:eastAsia="zh-CN"/>
        </w:rPr>
      </w:pPr>
      <w:bookmarkStart w:id="111" w:name="_Toc31663"/>
      <w:r>
        <w:rPr>
          <w:rFonts w:hint="eastAsia"/>
          <w:lang w:val="en-US" w:eastAsia="zh-CN"/>
        </w:rPr>
        <w:t>安装标准节</w:t>
      </w:r>
      <w:bookmarkEnd w:id="111"/>
    </w:p>
    <w:p w14:paraId="7D590115">
      <w:pPr>
        <w:pStyle w:val="305"/>
        <w:bidi w:val="0"/>
        <w:outlineLvl w:val="9"/>
        <w:rPr>
          <w:rFonts w:hint="eastAsia"/>
          <w:b w:val="0"/>
          <w:bCs w:val="0"/>
          <w:lang w:val="en-US" w:eastAsia="zh-CN"/>
        </w:rPr>
      </w:pPr>
      <w:r>
        <w:rPr>
          <w:rFonts w:hint="eastAsia"/>
          <w:b w:val="0"/>
          <w:bCs w:val="0"/>
          <w:lang w:val="en-US" w:eastAsia="zh-CN"/>
        </w:rPr>
        <w:t>采用吊机配合人工在地面上将标准节平台，爬梯等拼装成整体，标准节吊装采用四点吊，以特殊节顶部四个销轴孔作为吊装孔，采用4根24mm  6×19S+FC 1770Mpa的钢丝绳配套GB/T 25854-6-DW5卸扣进行吊装。</w:t>
      </w:r>
    </w:p>
    <w:p w14:paraId="5FB394A6">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装孔连接，并在特殊节立杆上栓好2根溜绳。启动吊机，将特殊节缓慢提升，用溜绳控制其摆动。起吊标准节至加强节上方，吊机缓慢落钩，直至标准节底部销轴孔与加强节销轴孔对齐，插入标准节和加强节上端的连接销轴，完成标准节和加强节的连接，并在销轴端部插入开口销固定。</w:t>
      </w:r>
    </w:p>
    <w:p w14:paraId="6D574D1B">
      <w:pPr>
        <w:pStyle w:val="305"/>
        <w:bidi w:val="0"/>
        <w:jc w:val="center"/>
        <w:outlineLvl w:val="9"/>
        <w:rPr>
          <w:rFonts w:hint="eastAsia"/>
          <w:b w:val="0"/>
          <w:bCs w:val="0"/>
          <w:lang w:val="en-US" w:eastAsia="zh-CN"/>
        </w:rPr>
      </w:pPr>
      <w:r>
        <w:drawing>
          <wp:inline distT="0" distB="0" distL="114300" distR="114300">
            <wp:extent cx="2827020" cy="2454910"/>
            <wp:effectExtent l="0" t="0" r="1143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1"/>
                    <a:stretch>
                      <a:fillRect/>
                    </a:stretch>
                  </pic:blipFill>
                  <pic:spPr>
                    <a:xfrm>
                      <a:off x="0" y="0"/>
                      <a:ext cx="2827020" cy="2454910"/>
                    </a:xfrm>
                    <a:prstGeom prst="rect">
                      <a:avLst/>
                    </a:prstGeom>
                    <a:noFill/>
                    <a:ln>
                      <a:noFill/>
                    </a:ln>
                  </pic:spPr>
                </pic:pic>
              </a:graphicData>
            </a:graphic>
          </wp:inline>
        </w:drawing>
      </w:r>
    </w:p>
    <w:p w14:paraId="0A19EC05">
      <w:pPr>
        <w:pStyle w:val="305"/>
        <w:bidi w:val="0"/>
        <w:jc w:val="center"/>
        <w:outlineLvl w:val="9"/>
        <w:rPr>
          <w:rFonts w:hint="eastAsia"/>
          <w:b w:val="0"/>
          <w:bCs w:val="0"/>
          <w:lang w:val="en-US" w:eastAsia="zh-CN"/>
        </w:rPr>
      </w:pPr>
      <w:r>
        <w:rPr>
          <w:rFonts w:hint="eastAsia"/>
          <w:b w:val="0"/>
          <w:bCs w:val="0"/>
          <w:lang w:val="en-US" w:eastAsia="zh-CN"/>
        </w:rPr>
        <w:t>图6.3-6塔吊标准节吊装立面示意图</w:t>
      </w:r>
    </w:p>
    <w:p w14:paraId="41D364F3">
      <w:pPr>
        <w:pStyle w:val="305"/>
        <w:numPr>
          <w:ilvl w:val="0"/>
          <w:numId w:val="10"/>
        </w:numPr>
        <w:bidi w:val="0"/>
        <w:spacing w:line="360" w:lineRule="auto"/>
        <w:ind w:left="0" w:leftChars="0" w:firstLine="403" w:firstLineChars="0"/>
        <w:rPr>
          <w:rFonts w:hint="default"/>
          <w:lang w:val="en-US" w:eastAsia="zh-CN"/>
        </w:rPr>
      </w:pPr>
      <w:bookmarkStart w:id="112" w:name="_Toc19432"/>
      <w:r>
        <w:rPr>
          <w:rFonts w:hint="eastAsia"/>
          <w:lang w:val="en-US" w:eastAsia="zh-CN"/>
        </w:rPr>
        <w:t>安装特殊节</w:t>
      </w:r>
      <w:bookmarkEnd w:id="112"/>
    </w:p>
    <w:p w14:paraId="5EE815D5">
      <w:pPr>
        <w:pStyle w:val="305"/>
        <w:bidi w:val="0"/>
        <w:outlineLvl w:val="9"/>
        <w:rPr>
          <w:rFonts w:hint="eastAsia"/>
          <w:b w:val="0"/>
          <w:bCs w:val="0"/>
          <w:lang w:val="en-US" w:eastAsia="zh-CN"/>
        </w:rPr>
      </w:pPr>
      <w:r>
        <w:rPr>
          <w:rFonts w:hint="eastAsia"/>
          <w:b w:val="0"/>
          <w:bCs w:val="0"/>
          <w:lang w:val="en-US" w:eastAsia="zh-CN"/>
        </w:rPr>
        <w:t>采用吊机配合人工在地面上将特殊节结构、特殊节平台、引进衡量等拼装成特殊节总成，特殊节吊装采用四点吊，以特殊节顶部四个销轴孔作为吊装孔，采用4根24mm  6×19S+FC 1770Mpa的钢丝绳配套GB/T 25854-6-DW5卸扣进行吊装。</w:t>
      </w:r>
    </w:p>
    <w:p w14:paraId="7AEEC28E">
      <w:pPr>
        <w:pStyle w:val="305"/>
        <w:bidi w:val="0"/>
        <w:outlineLvl w:val="9"/>
        <w:rPr>
          <w:rFonts w:hint="eastAsia"/>
          <w:b w:val="0"/>
          <w:bCs w:val="0"/>
          <w:lang w:val="en-US" w:eastAsia="zh-CN"/>
        </w:rPr>
      </w:pPr>
      <w:r>
        <w:rPr>
          <w:rFonts w:hint="eastAsia"/>
          <w:b w:val="0"/>
          <w:bCs w:val="0"/>
          <w:lang w:val="en-US" w:eastAsia="zh-CN"/>
        </w:rPr>
        <w:t>（1）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套架顶部的横杆上，站立在标准节顶部的平台上，插入标准节与特殊节的连接销轴，完成特殊节与标准节的连接。</w:t>
      </w:r>
    </w:p>
    <w:p w14:paraId="606DFE9E">
      <w:pPr>
        <w:pStyle w:val="305"/>
        <w:bidi w:val="0"/>
        <w:outlineLvl w:val="9"/>
        <w:rPr>
          <w:rFonts w:hint="eastAsia"/>
          <w:b w:val="0"/>
          <w:bCs w:val="0"/>
          <w:lang w:val="en-US" w:eastAsia="zh-CN"/>
        </w:rPr>
      </w:pPr>
      <w:r>
        <w:rPr>
          <w:rFonts w:hint="eastAsia"/>
          <w:b w:val="0"/>
          <w:bCs w:val="0"/>
          <w:lang w:val="en-US" w:eastAsia="zh-CN"/>
        </w:rPr>
        <w:t>（3）操作顶升系统，将油缸伸长，使顶升横梁销轴落入到最上面一个塔身节的踏步圆弧槽内，再将套架顶升至与特殊节连接耳板接触，用 4 根φ80(φ80×215/260)销轴将套架与下支座连接牢固。特殊节的安装示意图如下</w:t>
      </w:r>
    </w:p>
    <w:p w14:paraId="4097E863">
      <w:pPr>
        <w:pStyle w:val="305"/>
        <w:bidi w:val="0"/>
        <w:jc w:val="center"/>
        <w:outlineLvl w:val="9"/>
        <w:rPr>
          <w:rFonts w:hint="default"/>
          <w:b w:val="0"/>
          <w:bCs w:val="0"/>
          <w:lang w:val="en-US" w:eastAsia="zh-CN"/>
        </w:rPr>
      </w:pPr>
      <w:r>
        <w:drawing>
          <wp:inline distT="0" distB="0" distL="114300" distR="114300">
            <wp:extent cx="2466975" cy="2191385"/>
            <wp:effectExtent l="0" t="0" r="9525" b="1841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2"/>
                    <a:stretch>
                      <a:fillRect/>
                    </a:stretch>
                  </pic:blipFill>
                  <pic:spPr>
                    <a:xfrm>
                      <a:off x="0" y="0"/>
                      <a:ext cx="2466975" cy="2191385"/>
                    </a:xfrm>
                    <a:prstGeom prst="rect">
                      <a:avLst/>
                    </a:prstGeom>
                    <a:noFill/>
                    <a:ln>
                      <a:noFill/>
                    </a:ln>
                  </pic:spPr>
                </pic:pic>
              </a:graphicData>
            </a:graphic>
          </wp:inline>
        </w:drawing>
      </w:r>
    </w:p>
    <w:p w14:paraId="472A1FFA">
      <w:pPr>
        <w:pStyle w:val="305"/>
        <w:bidi w:val="0"/>
        <w:jc w:val="center"/>
        <w:outlineLvl w:val="9"/>
        <w:rPr>
          <w:rFonts w:hint="eastAsia"/>
          <w:b w:val="0"/>
          <w:bCs w:val="0"/>
          <w:lang w:val="en-US" w:eastAsia="zh-CN"/>
        </w:rPr>
      </w:pPr>
      <w:r>
        <w:rPr>
          <w:rFonts w:hint="eastAsia"/>
          <w:b w:val="0"/>
          <w:bCs w:val="0"/>
          <w:lang w:val="en-US" w:eastAsia="zh-CN"/>
        </w:rPr>
        <w:t>图6.3-7塔吊特殊节吊装立面示意图</w:t>
      </w:r>
    </w:p>
    <w:p w14:paraId="18E3D9C4">
      <w:pPr>
        <w:pStyle w:val="305"/>
        <w:bidi w:val="0"/>
        <w:outlineLvl w:val="9"/>
        <w:rPr>
          <w:rFonts w:hint="eastAsia"/>
          <w:b w:val="0"/>
          <w:bCs w:val="0"/>
          <w:lang w:val="en-US" w:eastAsia="zh-CN"/>
        </w:rPr>
      </w:pPr>
    </w:p>
    <w:p w14:paraId="063AADF4">
      <w:pPr>
        <w:pStyle w:val="305"/>
        <w:numPr>
          <w:ilvl w:val="0"/>
          <w:numId w:val="10"/>
        </w:numPr>
        <w:bidi w:val="0"/>
        <w:spacing w:line="360" w:lineRule="auto"/>
        <w:ind w:left="0" w:leftChars="0" w:firstLine="403" w:firstLineChars="0"/>
        <w:rPr>
          <w:rFonts w:hint="eastAsia"/>
          <w:lang w:val="en-US" w:eastAsia="zh-CN"/>
        </w:rPr>
      </w:pPr>
      <w:bookmarkStart w:id="113" w:name="_Toc3968"/>
      <w:r>
        <w:rPr>
          <w:rFonts w:hint="eastAsia"/>
          <w:lang w:val="en-US" w:eastAsia="zh-CN"/>
        </w:rPr>
        <w:t>安装回转总成</w:t>
      </w:r>
      <w:bookmarkEnd w:id="113"/>
    </w:p>
    <w:p w14:paraId="5727BE03">
      <w:pPr>
        <w:pStyle w:val="305"/>
        <w:bidi w:val="0"/>
        <w:outlineLvl w:val="9"/>
        <w:rPr>
          <w:rFonts w:hint="eastAsia"/>
          <w:b w:val="0"/>
          <w:bCs w:val="0"/>
          <w:lang w:val="en-US" w:eastAsia="zh-CN"/>
        </w:rPr>
      </w:pPr>
      <w:r>
        <w:rPr>
          <w:rFonts w:hint="eastAsia"/>
          <w:b w:val="0"/>
          <w:bCs w:val="0"/>
          <w:lang w:val="en-US" w:eastAsia="zh-CN"/>
        </w:rPr>
        <w:t>采用吊机配合人工在地面上将回转支座、回转限位器、司机室和维修平台等拼装成回转总成，回转总成吊装采用四点吊，以回转总成顶部四个销轴孔作为吊装孔，采用4根30mm  6×19S+FC 1770Mpa的钢丝绳配套GB/T 25854-6-DW10卸扣进行吊装。</w:t>
      </w:r>
    </w:p>
    <w:p w14:paraId="314BF1CC">
      <w:pPr>
        <w:pStyle w:val="305"/>
        <w:bidi w:val="0"/>
        <w:outlineLvl w:val="9"/>
        <w:rPr>
          <w:rFonts w:hint="eastAsia"/>
          <w:b w:val="0"/>
          <w:bCs w:val="0"/>
          <w:lang w:val="en-US" w:eastAsia="zh-CN"/>
        </w:rPr>
      </w:pPr>
      <w:r>
        <w:rPr>
          <w:rFonts w:hint="eastAsia"/>
          <w:b w:val="0"/>
          <w:bCs w:val="0"/>
          <w:lang w:val="en-US" w:eastAsia="zh-CN"/>
        </w:rPr>
        <w:t>（1）检查回转支承上 10.9 级 M30 的高强螺栓的预紧力矩是否达 1300N·m，且防松螺母的预紧力矩稍大于或等于 1300N·m。</w:t>
      </w:r>
    </w:p>
    <w:p w14:paraId="03715CE3">
      <w:pPr>
        <w:pStyle w:val="305"/>
        <w:bidi w:val="0"/>
        <w:outlineLvl w:val="9"/>
        <w:rPr>
          <w:rFonts w:hint="default"/>
          <w:b w:val="0"/>
          <w:bCs w:val="0"/>
          <w:lang w:val="en-US" w:eastAsia="zh-CN"/>
        </w:rPr>
      </w:pPr>
      <w:r>
        <w:rPr>
          <w:rFonts w:hint="eastAsia"/>
          <w:b w:val="0"/>
          <w:bCs w:val="0"/>
          <w:lang w:val="en-US" w:eastAsia="zh-CN"/>
        </w:rPr>
        <w:t>（2）作业人员在地面上先将钢丝绳一端挂在吊机吊钩，另一端与卸扣连接，卸扣与吊装孔连接，并在回转总成上栓好2根溜绳。启动吊机，将回转总成缓慢提升，用溜绳控制其摆动。起吊回转总成至标准节上方，吊机缓慢落钩，直至回转总成下支座销轴孔与标准节销轴孔对齐，将安全带系挂在特殊节顶部的横杆上，站立在特殊节顶部的平台上，插入特殊节与回转总成下支座的连接销轴，完成回转总成与特殊节的连接。回转总成的安装示意图如下</w:t>
      </w:r>
    </w:p>
    <w:p w14:paraId="5F574E46">
      <w:pPr>
        <w:pStyle w:val="305"/>
        <w:bidi w:val="0"/>
        <w:jc w:val="center"/>
        <w:outlineLvl w:val="9"/>
        <w:rPr>
          <w:rFonts w:hint="eastAsia"/>
          <w:b w:val="0"/>
          <w:bCs w:val="0"/>
          <w:lang w:val="en-US" w:eastAsia="zh-CN"/>
        </w:rPr>
      </w:pPr>
      <w:r>
        <w:drawing>
          <wp:inline distT="0" distB="0" distL="114300" distR="114300">
            <wp:extent cx="2933700" cy="2971165"/>
            <wp:effectExtent l="0" t="0" r="0" b="63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3"/>
                    <a:stretch>
                      <a:fillRect/>
                    </a:stretch>
                  </pic:blipFill>
                  <pic:spPr>
                    <a:xfrm>
                      <a:off x="0" y="0"/>
                      <a:ext cx="2933700" cy="2971165"/>
                    </a:xfrm>
                    <a:prstGeom prst="rect">
                      <a:avLst/>
                    </a:prstGeom>
                    <a:noFill/>
                    <a:ln>
                      <a:noFill/>
                    </a:ln>
                  </pic:spPr>
                </pic:pic>
              </a:graphicData>
            </a:graphic>
          </wp:inline>
        </w:drawing>
      </w:r>
    </w:p>
    <w:p w14:paraId="6C6A86F4">
      <w:pPr>
        <w:pStyle w:val="305"/>
        <w:bidi w:val="0"/>
        <w:jc w:val="center"/>
        <w:outlineLvl w:val="9"/>
        <w:rPr>
          <w:rFonts w:hint="eastAsia"/>
          <w:b w:val="0"/>
          <w:bCs w:val="0"/>
          <w:lang w:val="en-US" w:eastAsia="zh-CN"/>
        </w:rPr>
      </w:pPr>
      <w:r>
        <w:rPr>
          <w:rFonts w:hint="eastAsia"/>
          <w:b w:val="0"/>
          <w:bCs w:val="0"/>
          <w:lang w:val="en-US" w:eastAsia="zh-CN"/>
        </w:rPr>
        <w:t>图6.3-8塔吊回转总成吊装立面示意图</w:t>
      </w:r>
    </w:p>
    <w:p w14:paraId="3CEB7D1E">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作业人员通过爬梯爬至回转总成顶部，将安全带系挂在回转总成顶部的横杆上，站立在回转总成顶部，吊机放松吊钩，作业人员解除卸扣与回转总成的连接。</w:t>
      </w:r>
    </w:p>
    <w:p w14:paraId="641CABA8">
      <w:pPr>
        <w:pStyle w:val="305"/>
        <w:bidi w:val="0"/>
        <w:outlineLvl w:val="9"/>
        <w:rPr>
          <w:rFonts w:hint="eastAsia"/>
          <w:b w:val="0"/>
          <w:bCs w:val="0"/>
          <w:lang w:val="en-US" w:eastAsia="zh-CN"/>
        </w:rPr>
      </w:pPr>
      <w:r>
        <w:rPr>
          <w:rFonts w:hint="eastAsia"/>
          <w:b w:val="0"/>
          <w:bCs w:val="0"/>
          <w:lang w:val="en-US" w:eastAsia="zh-CN"/>
        </w:rPr>
        <w:t>塔吊回转总成安装时设置警戒区，起吊安排专人负责指挥，专人操作，严禁无关人员进入起重作业范围内。</w:t>
      </w:r>
    </w:p>
    <w:p w14:paraId="6B672453">
      <w:pPr>
        <w:pStyle w:val="305"/>
        <w:numPr>
          <w:ilvl w:val="0"/>
          <w:numId w:val="10"/>
        </w:numPr>
        <w:bidi w:val="0"/>
        <w:spacing w:line="360" w:lineRule="auto"/>
        <w:ind w:left="0" w:leftChars="0" w:firstLine="403" w:firstLineChars="0"/>
        <w:rPr>
          <w:rFonts w:hint="eastAsia"/>
          <w:lang w:val="en-US" w:eastAsia="zh-CN"/>
        </w:rPr>
      </w:pPr>
      <w:bookmarkStart w:id="114" w:name="_Toc3557"/>
      <w:r>
        <w:rPr>
          <w:rFonts w:hint="eastAsia"/>
          <w:lang w:val="en-US" w:eastAsia="zh-CN"/>
        </w:rPr>
        <w:t>安装第1块平衡重</w:t>
      </w:r>
      <w:bookmarkEnd w:id="114"/>
    </w:p>
    <w:p w14:paraId="2175933D">
      <w:pPr>
        <w:pStyle w:val="305"/>
        <w:bidi w:val="0"/>
        <w:outlineLvl w:val="9"/>
        <w:rPr>
          <w:rFonts w:hint="eastAsia"/>
          <w:b w:val="0"/>
          <w:bCs w:val="0"/>
          <w:lang w:val="en-US" w:eastAsia="zh-CN"/>
        </w:rPr>
      </w:pPr>
      <w:r>
        <w:rPr>
          <w:rFonts w:hint="eastAsia"/>
          <w:b w:val="0"/>
          <w:bCs w:val="0"/>
          <w:lang w:val="en-US" w:eastAsia="zh-CN"/>
        </w:rPr>
        <w:t>平衡重吊装采用两点吊，采用2根24mm  6×19S+FC 1770Mpa的钢丝绳配套GB/T 25854-6-DW5卸扣与平衡重吊耳进行连接吊装。</w:t>
      </w:r>
    </w:p>
    <w:p w14:paraId="4F60D464">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另一端与卸扣连接，卸扣与吊耳通过销轴连接，并在平衡重栓好2根溜绳。启动吊机，将一块4.75t配重块缓慢提升，用溜绳控制其摆动。从平衡臂第三节端部开口处平稳起吊，装入平衡臂第三节，位置靠近起升机构旁边，用配重销紧固在平衡臂第三节上，即完成平衡臂安装。平衡重安装后，作业人员解除卸扣与平衡重吊耳的连接。平衡重吊装示意如下图所示。</w:t>
      </w:r>
    </w:p>
    <w:p w14:paraId="3CB59B93">
      <w:pPr>
        <w:pStyle w:val="305"/>
        <w:bidi w:val="0"/>
        <w:jc w:val="center"/>
        <w:outlineLvl w:val="9"/>
        <w:rPr>
          <w:rFonts w:hint="eastAsia"/>
          <w:b w:val="0"/>
          <w:bCs w:val="0"/>
          <w:lang w:val="en-US" w:eastAsia="zh-CN"/>
        </w:rPr>
      </w:pPr>
      <w:r>
        <w:drawing>
          <wp:inline distT="0" distB="0" distL="114300" distR="114300">
            <wp:extent cx="3590925" cy="3676650"/>
            <wp:effectExtent l="0" t="0" r="9525"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34"/>
                    <a:stretch>
                      <a:fillRect/>
                    </a:stretch>
                  </pic:blipFill>
                  <pic:spPr>
                    <a:xfrm>
                      <a:off x="0" y="0"/>
                      <a:ext cx="3590925" cy="3676650"/>
                    </a:xfrm>
                    <a:prstGeom prst="rect">
                      <a:avLst/>
                    </a:prstGeom>
                    <a:noFill/>
                    <a:ln>
                      <a:noFill/>
                    </a:ln>
                  </pic:spPr>
                </pic:pic>
              </a:graphicData>
            </a:graphic>
          </wp:inline>
        </w:drawing>
      </w:r>
    </w:p>
    <w:p w14:paraId="181F6C79">
      <w:pPr>
        <w:pStyle w:val="305"/>
        <w:bidi w:val="0"/>
        <w:jc w:val="center"/>
        <w:outlineLvl w:val="9"/>
        <w:rPr>
          <w:rFonts w:hint="eastAsia"/>
          <w:b w:val="0"/>
          <w:bCs w:val="0"/>
          <w:lang w:val="en-US" w:eastAsia="zh-CN"/>
        </w:rPr>
      </w:pPr>
      <w:r>
        <w:rPr>
          <w:rFonts w:hint="eastAsia"/>
          <w:b w:val="0"/>
          <w:bCs w:val="0"/>
          <w:lang w:val="en-US" w:eastAsia="zh-CN"/>
        </w:rPr>
        <w:t>图6.3-9平衡重安装示意图</w:t>
      </w:r>
    </w:p>
    <w:p w14:paraId="15F3CC3D">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塔吊平衡重安装时设置警戒区，起吊安排专人负责指挥，专人操作，严禁无关人员进入起重作业范围内。</w:t>
      </w:r>
    </w:p>
    <w:p w14:paraId="3EA10893">
      <w:pPr>
        <w:pStyle w:val="305"/>
        <w:numPr>
          <w:ilvl w:val="0"/>
          <w:numId w:val="10"/>
        </w:numPr>
        <w:bidi w:val="0"/>
        <w:spacing w:line="360" w:lineRule="auto"/>
        <w:ind w:left="0" w:leftChars="0" w:firstLine="403" w:firstLineChars="0"/>
        <w:rPr>
          <w:rFonts w:hint="default"/>
          <w:lang w:val="en-US" w:eastAsia="zh-CN"/>
        </w:rPr>
      </w:pPr>
      <w:bookmarkStart w:id="115" w:name="_Toc17754"/>
      <w:r>
        <w:rPr>
          <w:rFonts w:hint="eastAsia"/>
          <w:lang w:val="en-US" w:eastAsia="zh-CN"/>
        </w:rPr>
        <w:t>安装平衡臂臂节1，2节</w:t>
      </w:r>
      <w:bookmarkEnd w:id="115"/>
    </w:p>
    <w:p w14:paraId="1F561341">
      <w:pPr>
        <w:pStyle w:val="305"/>
        <w:bidi w:val="0"/>
        <w:outlineLvl w:val="9"/>
        <w:rPr>
          <w:rFonts w:hint="eastAsia"/>
          <w:b w:val="0"/>
          <w:bCs w:val="0"/>
          <w:lang w:val="en-US" w:eastAsia="zh-CN"/>
        </w:rPr>
      </w:pPr>
      <w:r>
        <w:rPr>
          <w:rFonts w:hint="eastAsia"/>
          <w:b w:val="0"/>
          <w:bCs w:val="0"/>
          <w:lang w:val="en-US" w:eastAsia="zh-CN"/>
        </w:rPr>
        <w:t>（1）采用吊机配合人工在地面上将平衡臂臂节1,2分别组装好（含走台及栏杆）</w:t>
      </w:r>
    </w:p>
    <w:p w14:paraId="23BFB754">
      <w:pPr>
        <w:pStyle w:val="305"/>
        <w:bidi w:val="0"/>
        <w:outlineLvl w:val="9"/>
        <w:rPr>
          <w:rFonts w:hint="eastAsia"/>
          <w:b w:val="0"/>
          <w:bCs w:val="0"/>
          <w:lang w:val="en-US" w:eastAsia="zh-CN"/>
        </w:rPr>
      </w:pPr>
      <w:r>
        <w:rPr>
          <w:rFonts w:hint="eastAsia"/>
          <w:b w:val="0"/>
          <w:bCs w:val="0"/>
          <w:lang w:val="en-US" w:eastAsia="zh-CN"/>
        </w:rPr>
        <w:t>起重臂臂根节吊装采用四点吊，以平衡臂臂节上弦杆吊耳作为吊装孔，采用4根30mm  6×19S+FC 1770Mpa的钢丝绳配套GB/T 25854-6-DW10卸扣进行吊装。</w:t>
      </w:r>
    </w:p>
    <w:p w14:paraId="02E2018F">
      <w:pPr>
        <w:pStyle w:val="305"/>
        <w:bidi w:val="0"/>
        <w:outlineLvl w:val="9"/>
        <w:rPr>
          <w:rFonts w:hint="eastAsia"/>
          <w:b w:val="0"/>
          <w:bCs w:val="0"/>
          <w:lang w:val="en-US" w:eastAsia="zh-CN"/>
        </w:rPr>
      </w:pPr>
      <w:r>
        <w:rPr>
          <w:rFonts w:hint="eastAsia"/>
          <w:b w:val="0"/>
          <w:bCs w:val="0"/>
          <w:lang w:val="en-US" w:eastAsia="zh-CN"/>
        </w:rPr>
        <w:t>（2）作业人员在地面上先将钢丝绳一端挂在吊机吊钩，另一端与卸扣连接，卸扣与吊装孔连接，并在平衡臂臂节1上栓好2根溜绳。启动吊机，将平衡臂臂节1缓慢提升，用溜绳控制其摆动。起吊平衡臂臂节1至回转总成上方，吊机缓慢落钩，直至平衡臂臂节1销轴孔与回转总成销轴孔对齐，作业人员通过爬梯爬至回转总成平台上，将安全带系挂在回转总成平台栏杆的横杆上，插入回转总成和平衡臂臂节1的连接销轴，完成平衡臂臂节1与回转总成的连接，并在销轴端部插入开口销固定。采用相同方法安装平衡臂臂节2。安装示意图如下：</w:t>
      </w:r>
    </w:p>
    <w:p w14:paraId="1DE77D14">
      <w:pPr>
        <w:pStyle w:val="305"/>
        <w:bidi w:val="0"/>
        <w:jc w:val="center"/>
        <w:outlineLvl w:val="9"/>
      </w:pPr>
      <w:r>
        <w:drawing>
          <wp:inline distT="0" distB="0" distL="114300" distR="114300">
            <wp:extent cx="2060575" cy="1847850"/>
            <wp:effectExtent l="0" t="0" r="15875"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35"/>
                    <a:stretch>
                      <a:fillRect/>
                    </a:stretch>
                  </pic:blipFill>
                  <pic:spPr>
                    <a:xfrm>
                      <a:off x="0" y="0"/>
                      <a:ext cx="2060575" cy="1847850"/>
                    </a:xfrm>
                    <a:prstGeom prst="rect">
                      <a:avLst/>
                    </a:prstGeom>
                    <a:noFill/>
                    <a:ln>
                      <a:noFill/>
                    </a:ln>
                  </pic:spPr>
                </pic:pic>
              </a:graphicData>
            </a:graphic>
          </wp:inline>
        </w:drawing>
      </w:r>
      <w:r>
        <w:drawing>
          <wp:inline distT="0" distB="0" distL="114300" distR="114300">
            <wp:extent cx="1741805" cy="1847215"/>
            <wp:effectExtent l="0" t="0" r="10795" b="63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36"/>
                    <a:srcRect t="2021" r="54646"/>
                    <a:stretch>
                      <a:fillRect/>
                    </a:stretch>
                  </pic:blipFill>
                  <pic:spPr>
                    <a:xfrm>
                      <a:off x="0" y="0"/>
                      <a:ext cx="1741805" cy="1847215"/>
                    </a:xfrm>
                    <a:prstGeom prst="rect">
                      <a:avLst/>
                    </a:prstGeom>
                    <a:noFill/>
                    <a:ln>
                      <a:noFill/>
                    </a:ln>
                  </pic:spPr>
                </pic:pic>
              </a:graphicData>
            </a:graphic>
          </wp:inline>
        </w:drawing>
      </w:r>
    </w:p>
    <w:p w14:paraId="384E9E4E">
      <w:pPr>
        <w:pStyle w:val="305"/>
        <w:bidi w:val="0"/>
        <w:jc w:val="center"/>
        <w:outlineLvl w:val="9"/>
        <w:rPr>
          <w:rFonts w:hint="eastAsia"/>
          <w:b w:val="0"/>
          <w:bCs w:val="0"/>
          <w:lang w:val="en-US" w:eastAsia="zh-CN"/>
        </w:rPr>
      </w:pPr>
      <w:r>
        <w:rPr>
          <w:rFonts w:hint="eastAsia"/>
          <w:b w:val="0"/>
          <w:bCs w:val="0"/>
          <w:lang w:val="en-US" w:eastAsia="zh-CN"/>
        </w:rPr>
        <w:t>图 6.3-10塔吊平衡臂臂节1,2安装示意图</w:t>
      </w:r>
    </w:p>
    <w:p w14:paraId="6000F3DC">
      <w:pPr>
        <w:pStyle w:val="305"/>
        <w:bidi w:val="0"/>
        <w:outlineLvl w:val="9"/>
        <w:rPr>
          <w:rFonts w:hint="eastAsia"/>
          <w:b w:val="0"/>
          <w:bCs w:val="0"/>
          <w:lang w:val="en-US" w:eastAsia="zh-CN"/>
        </w:rPr>
      </w:pPr>
      <w:r>
        <w:rPr>
          <w:rFonts w:hint="eastAsia"/>
          <w:b w:val="0"/>
          <w:bCs w:val="0"/>
          <w:lang w:val="en-US" w:eastAsia="zh-CN"/>
        </w:rPr>
        <w:t>（3）作业人员通过爬梯爬至回转总成，将安全带交替系挂在平衡臂臂节护栏，沿走道走行至平衡臂臂节吊点位置，吊机放松吊钩，作业人员解除钢丝绳与平衡臂臂节吊点的连接。</w:t>
      </w:r>
    </w:p>
    <w:p w14:paraId="08032373">
      <w:pPr>
        <w:pStyle w:val="305"/>
        <w:bidi w:val="0"/>
        <w:outlineLvl w:val="9"/>
        <w:rPr>
          <w:rFonts w:hint="eastAsia"/>
          <w:b w:val="0"/>
          <w:bCs w:val="0"/>
          <w:lang w:val="en-US" w:eastAsia="zh-CN"/>
        </w:rPr>
      </w:pPr>
      <w:r>
        <w:rPr>
          <w:rFonts w:hint="eastAsia"/>
          <w:b w:val="0"/>
          <w:bCs w:val="0"/>
          <w:lang w:val="en-US" w:eastAsia="zh-CN"/>
        </w:rPr>
        <w:t>（4）平衡臂臂节安装时设置警戒区，起吊安排专人负责指挥，专人操作，严禁无关人员进入起重作业范围内。</w:t>
      </w:r>
    </w:p>
    <w:p w14:paraId="628A919E">
      <w:pPr>
        <w:pStyle w:val="305"/>
        <w:numPr>
          <w:ilvl w:val="0"/>
          <w:numId w:val="10"/>
        </w:numPr>
        <w:bidi w:val="0"/>
        <w:spacing w:line="360" w:lineRule="auto"/>
        <w:ind w:left="0" w:leftChars="0" w:firstLine="403" w:firstLineChars="0"/>
        <w:rPr>
          <w:rFonts w:hint="eastAsia"/>
          <w:lang w:val="en-US" w:eastAsia="zh-CN"/>
        </w:rPr>
      </w:pPr>
      <w:bookmarkStart w:id="116" w:name="_Toc7288"/>
      <w:r>
        <w:rPr>
          <w:rFonts w:hint="eastAsia"/>
          <w:lang w:val="en-US" w:eastAsia="zh-CN"/>
        </w:rPr>
        <w:t>安装起重臂臂节1</w:t>
      </w:r>
      <w:bookmarkEnd w:id="116"/>
    </w:p>
    <w:p w14:paraId="63EFDA39">
      <w:pPr>
        <w:pStyle w:val="305"/>
        <w:bidi w:val="0"/>
        <w:outlineLvl w:val="9"/>
        <w:rPr>
          <w:rFonts w:hint="eastAsia"/>
          <w:b w:val="0"/>
          <w:bCs w:val="0"/>
          <w:lang w:val="en-US" w:eastAsia="zh-CN"/>
        </w:rPr>
      </w:pPr>
      <w:r>
        <w:rPr>
          <w:rFonts w:hint="eastAsia"/>
          <w:b w:val="0"/>
          <w:bCs w:val="0"/>
          <w:lang w:val="en-US" w:eastAsia="zh-CN"/>
        </w:rPr>
        <w:t>（1）采用吊机配合人工在地面上组装起重臂，护栏、平台等在平地上拼装成整体。起重臂吊装采用四点吊，采用起重臂上4个吊耳进行吊装，吊装采用4根30mm  6×19S+FC 1770Mpa的钢丝绳配套GB/T 25854-6-DW10卸扣进行吊装。</w:t>
      </w:r>
    </w:p>
    <w:p w14:paraId="4DE4623E">
      <w:pPr>
        <w:pStyle w:val="305"/>
        <w:bidi w:val="0"/>
        <w:outlineLvl w:val="9"/>
        <w:rPr>
          <w:rFonts w:hint="eastAsia"/>
          <w:b w:val="0"/>
          <w:bCs w:val="0"/>
          <w:lang w:val="en-US" w:eastAsia="zh-CN"/>
        </w:rPr>
      </w:pPr>
      <w:r>
        <w:rPr>
          <w:rFonts w:hint="eastAsia"/>
          <w:b w:val="0"/>
          <w:bCs w:val="0"/>
          <w:lang w:val="en-US" w:eastAsia="zh-CN"/>
        </w:rPr>
        <w:t>（2）作业人员在地面上先将钢丝绳一端挂在吊机吊钩，另一端与卸扣连接，卸扣与吊耳连接，并在起重臂臂节1杆件上栓好2根溜绳。启动吊机，将起重臂臂节1缓慢提升，用溜绳控制其摆动。起吊起重臂臂节1至回转总成上方，吊机缓慢落钩，直至起重臂臂节1塔身侧端部销轴孔与平衡臂销轴孔对齐，作业人员通过爬梯爬至回转总成平台上，将安全带系挂在平衡臂弦杆，将起重臂臂节1与平衡臂连接处插入销轴、销杆以及开口销。作业人员回到回转总成内部，安装示意图如下。</w:t>
      </w:r>
    </w:p>
    <w:p w14:paraId="14874321">
      <w:pPr>
        <w:pStyle w:val="305"/>
        <w:bidi w:val="0"/>
        <w:jc w:val="center"/>
        <w:outlineLvl w:val="9"/>
        <w:rPr>
          <w:rFonts w:hint="eastAsia"/>
          <w:b w:val="0"/>
          <w:bCs w:val="0"/>
          <w:lang w:val="en-US" w:eastAsia="zh-CN"/>
        </w:rPr>
      </w:pPr>
      <w:r>
        <w:drawing>
          <wp:inline distT="0" distB="0" distL="114300" distR="114300">
            <wp:extent cx="4076700" cy="3333750"/>
            <wp:effectExtent l="0" t="0" r="0" b="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37"/>
                    <a:stretch>
                      <a:fillRect/>
                    </a:stretch>
                  </pic:blipFill>
                  <pic:spPr>
                    <a:xfrm>
                      <a:off x="0" y="0"/>
                      <a:ext cx="4076700" cy="3333750"/>
                    </a:xfrm>
                    <a:prstGeom prst="rect">
                      <a:avLst/>
                    </a:prstGeom>
                    <a:noFill/>
                    <a:ln>
                      <a:noFill/>
                    </a:ln>
                  </pic:spPr>
                </pic:pic>
              </a:graphicData>
            </a:graphic>
          </wp:inline>
        </w:drawing>
      </w:r>
    </w:p>
    <w:p w14:paraId="2B77F107">
      <w:pPr>
        <w:pStyle w:val="305"/>
        <w:bidi w:val="0"/>
        <w:jc w:val="center"/>
        <w:outlineLvl w:val="9"/>
        <w:rPr>
          <w:rFonts w:hint="eastAsia"/>
          <w:b w:val="0"/>
          <w:bCs w:val="0"/>
          <w:lang w:val="en-US" w:eastAsia="zh-CN"/>
        </w:rPr>
      </w:pPr>
      <w:r>
        <w:rPr>
          <w:rFonts w:hint="eastAsia"/>
          <w:b w:val="0"/>
          <w:bCs w:val="0"/>
          <w:lang w:val="en-US" w:eastAsia="zh-CN"/>
        </w:rPr>
        <w:t>图 6.3-11 塔吊起重臂臂节1吊装立面示意图</w:t>
      </w:r>
    </w:p>
    <w:p w14:paraId="25B162DB">
      <w:pPr>
        <w:pStyle w:val="305"/>
        <w:bidi w:val="0"/>
        <w:outlineLvl w:val="9"/>
        <w:rPr>
          <w:rFonts w:hint="eastAsia"/>
          <w:b w:val="0"/>
          <w:bCs w:val="0"/>
          <w:lang w:val="en-US" w:eastAsia="zh-CN"/>
        </w:rPr>
      </w:pPr>
      <w:r>
        <w:rPr>
          <w:rFonts w:hint="eastAsia"/>
          <w:b w:val="0"/>
          <w:bCs w:val="0"/>
          <w:lang w:val="en-US" w:eastAsia="zh-CN"/>
        </w:rPr>
        <w:t>（3）作业人员将安全带系挂在起重臂栏杆上，沿起重臂走行至起重臂吊点位置，吊机放松吊钩，作业人员解除钢丝绳与起重臂吊点的连接。</w:t>
      </w:r>
    </w:p>
    <w:p w14:paraId="21BE28F8">
      <w:pPr>
        <w:pStyle w:val="305"/>
        <w:bidi w:val="0"/>
        <w:outlineLvl w:val="9"/>
        <w:rPr>
          <w:rFonts w:hint="eastAsia"/>
          <w:b w:val="0"/>
          <w:bCs w:val="0"/>
          <w:lang w:val="en-US" w:eastAsia="zh-CN"/>
        </w:rPr>
      </w:pPr>
      <w:r>
        <w:rPr>
          <w:rFonts w:hint="eastAsia"/>
          <w:b w:val="0"/>
          <w:bCs w:val="0"/>
          <w:lang w:val="en-US" w:eastAsia="zh-CN"/>
        </w:rPr>
        <w:t>塔吊起重臂安装时设置警戒区，起吊安排专人负责指挥，专人操作，严禁无关人员进入起重作业范围内。</w:t>
      </w:r>
    </w:p>
    <w:p w14:paraId="417EB108">
      <w:pPr>
        <w:pStyle w:val="305"/>
        <w:numPr>
          <w:ilvl w:val="0"/>
          <w:numId w:val="10"/>
        </w:numPr>
        <w:bidi w:val="0"/>
        <w:spacing w:line="360" w:lineRule="auto"/>
        <w:ind w:left="0" w:leftChars="0" w:firstLine="403" w:firstLineChars="0"/>
        <w:rPr>
          <w:rFonts w:hint="default"/>
          <w:lang w:val="en-US" w:eastAsia="zh-CN"/>
        </w:rPr>
      </w:pPr>
      <w:bookmarkStart w:id="117" w:name="_Toc7771"/>
      <w:r>
        <w:rPr>
          <w:rFonts w:hint="eastAsia"/>
          <w:lang w:val="en-US" w:eastAsia="zh-CN"/>
        </w:rPr>
        <w:t>安装平衡臂臂节3</w:t>
      </w:r>
      <w:bookmarkEnd w:id="117"/>
    </w:p>
    <w:p w14:paraId="25DDCCFE">
      <w:pPr>
        <w:pStyle w:val="305"/>
        <w:bidi w:val="0"/>
        <w:outlineLvl w:val="9"/>
        <w:rPr>
          <w:rFonts w:hint="default"/>
          <w:b w:val="0"/>
          <w:bCs w:val="0"/>
          <w:lang w:val="en-US" w:eastAsia="zh-CN"/>
        </w:rPr>
      </w:pPr>
      <w:r>
        <w:rPr>
          <w:rFonts w:hint="eastAsia"/>
          <w:b w:val="0"/>
          <w:bCs w:val="0"/>
          <w:lang w:val="en-US" w:eastAsia="zh-CN"/>
        </w:rPr>
        <w:t>（1）采用吊机配合人工在地面上将平衡臂臂节3组装好（含走台及栏杆），臂节吊装采用四点吊，以平衡臂臂节吊耳作为吊装孔，采用4根30mm  6×19S+FC 1770Mpa的钢丝绳配套GB/T 25854-6-DW10卸扣进行吊装。</w:t>
      </w:r>
    </w:p>
    <w:p w14:paraId="4E65C005">
      <w:pPr>
        <w:pStyle w:val="305"/>
        <w:bidi w:val="0"/>
        <w:outlineLvl w:val="9"/>
        <w:rPr>
          <w:rFonts w:hint="eastAsia"/>
          <w:b w:val="0"/>
          <w:bCs w:val="0"/>
          <w:lang w:val="en-US" w:eastAsia="zh-CN"/>
        </w:rPr>
      </w:pPr>
      <w:r>
        <w:rPr>
          <w:rFonts w:hint="eastAsia"/>
          <w:b w:val="0"/>
          <w:bCs w:val="0"/>
          <w:lang w:val="en-US" w:eastAsia="zh-CN"/>
        </w:rPr>
        <w:t>（2）吊机提升平衡臂臂节3，起吊至臂节二下弦位置，吊机缓慢落钩，直至平衡臂臂节3塔身侧端部销轴孔与平衡臂臂节二销轴孔对齐，作业人员通过臂节一走道走至连接处，插入销轴、销杆以及开口销。然后将安装在平衡臂臂节二的短拉杆和平衡臂上的长拉杆对接好后，插入销轴及开口销，采用吊机将平衡臂缓慢放下，直到拉杆绷紧，平衡臂保持水平。</w:t>
      </w:r>
    </w:p>
    <w:p w14:paraId="69D4675C">
      <w:pPr>
        <w:pStyle w:val="305"/>
        <w:bidi w:val="0"/>
        <w:outlineLvl w:val="9"/>
        <w:rPr>
          <w:rFonts w:hint="eastAsia"/>
          <w:b w:val="0"/>
          <w:bCs w:val="0"/>
          <w:lang w:val="en-US" w:eastAsia="zh-CN"/>
        </w:rPr>
      </w:pPr>
      <w:r>
        <w:rPr>
          <w:rFonts w:hint="eastAsia"/>
          <w:b w:val="0"/>
          <w:bCs w:val="0"/>
          <w:lang w:val="en-US" w:eastAsia="zh-CN"/>
        </w:rPr>
        <w:t>（3）平衡臂臂节3完成吊装后将起升机构单独吊至臂节三起升机构安装座位置，插入连接销轴及开口销，完成起升机构安装。平衡臂吊装示意图如下</w:t>
      </w:r>
    </w:p>
    <w:p w14:paraId="48AC9028">
      <w:pPr>
        <w:pStyle w:val="305"/>
        <w:bidi w:val="0"/>
        <w:outlineLvl w:val="9"/>
        <w:rPr>
          <w:rFonts w:hint="eastAsia"/>
          <w:b w:val="0"/>
          <w:bCs w:val="0"/>
          <w:lang w:val="en-US" w:eastAsia="zh-CN"/>
        </w:rPr>
      </w:pPr>
    </w:p>
    <w:p w14:paraId="2576807E">
      <w:pPr>
        <w:pStyle w:val="305"/>
        <w:bidi w:val="0"/>
        <w:jc w:val="center"/>
        <w:outlineLvl w:val="9"/>
        <w:rPr>
          <w:rFonts w:hint="eastAsia"/>
          <w:b w:val="0"/>
          <w:bCs w:val="0"/>
          <w:lang w:val="en-US" w:eastAsia="zh-CN"/>
        </w:rPr>
      </w:pPr>
      <w:r>
        <w:drawing>
          <wp:inline distT="0" distB="0" distL="114300" distR="114300">
            <wp:extent cx="3733800" cy="3762375"/>
            <wp:effectExtent l="0" t="0" r="0" b="952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38"/>
                    <a:stretch>
                      <a:fillRect/>
                    </a:stretch>
                  </pic:blipFill>
                  <pic:spPr>
                    <a:xfrm>
                      <a:off x="0" y="0"/>
                      <a:ext cx="3733800" cy="3762375"/>
                    </a:xfrm>
                    <a:prstGeom prst="rect">
                      <a:avLst/>
                    </a:prstGeom>
                    <a:noFill/>
                    <a:ln>
                      <a:noFill/>
                    </a:ln>
                  </pic:spPr>
                </pic:pic>
              </a:graphicData>
            </a:graphic>
          </wp:inline>
        </w:drawing>
      </w:r>
    </w:p>
    <w:p w14:paraId="366659F8">
      <w:pPr>
        <w:pStyle w:val="305"/>
        <w:bidi w:val="0"/>
        <w:jc w:val="center"/>
        <w:outlineLvl w:val="9"/>
        <w:rPr>
          <w:rFonts w:hint="eastAsia"/>
          <w:b w:val="0"/>
          <w:bCs w:val="0"/>
          <w:lang w:val="en-US" w:eastAsia="zh-CN"/>
        </w:rPr>
      </w:pPr>
      <w:r>
        <w:rPr>
          <w:rFonts w:hint="eastAsia"/>
          <w:b w:val="0"/>
          <w:bCs w:val="0"/>
          <w:lang w:val="en-US" w:eastAsia="zh-CN"/>
        </w:rPr>
        <w:t>图 6.3-12塔吊平衡臂吊装立面面示意图</w:t>
      </w:r>
    </w:p>
    <w:p w14:paraId="18D462F4">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（4）作业人员将安全带系挂在平衡臂栏杆上，沿平衡臂栏杆走行至平衡臂吊点位置，吊机放松吊钩，作业人员解除钢丝绳与平衡臂吊点的连接。</w:t>
      </w:r>
    </w:p>
    <w:p w14:paraId="53EFB1E0">
      <w:pPr>
        <w:pStyle w:val="305"/>
        <w:bidi w:val="0"/>
        <w:outlineLvl w:val="9"/>
        <w:rPr>
          <w:rFonts w:hint="eastAsia"/>
          <w:b w:val="0"/>
          <w:bCs w:val="0"/>
          <w:lang w:val="en-US" w:eastAsia="zh-CN"/>
        </w:rPr>
      </w:pPr>
      <w:r>
        <w:rPr>
          <w:rFonts w:hint="eastAsia"/>
          <w:b w:val="0"/>
          <w:bCs w:val="0"/>
          <w:lang w:val="en-US" w:eastAsia="zh-CN"/>
        </w:rPr>
        <w:t>塔吊平衡臂安装时设置警戒区，起吊安排专人负责指挥，专人操作，严禁无关人员进入起重作业范围内。</w:t>
      </w:r>
    </w:p>
    <w:p w14:paraId="63BD3EDB">
      <w:pPr>
        <w:pStyle w:val="305"/>
        <w:numPr>
          <w:ilvl w:val="0"/>
          <w:numId w:val="10"/>
        </w:numPr>
        <w:bidi w:val="0"/>
        <w:spacing w:line="360" w:lineRule="auto"/>
        <w:ind w:left="0" w:leftChars="0" w:firstLine="403" w:firstLineChars="0"/>
        <w:rPr>
          <w:rFonts w:hint="eastAsia"/>
          <w:lang w:val="en-US" w:eastAsia="zh-CN"/>
        </w:rPr>
      </w:pPr>
      <w:bookmarkStart w:id="118" w:name="_Toc17390"/>
      <w:r>
        <w:rPr>
          <w:rFonts w:hint="eastAsia"/>
          <w:lang w:val="en-US" w:eastAsia="zh-CN"/>
        </w:rPr>
        <w:t>安装剩余起重臂</w:t>
      </w:r>
      <w:bookmarkEnd w:id="118"/>
    </w:p>
    <w:p w14:paraId="252AB3C3">
      <w:pPr>
        <w:pStyle w:val="305"/>
        <w:bidi w:val="0"/>
        <w:outlineLvl w:val="9"/>
        <w:rPr>
          <w:rFonts w:hint="default"/>
          <w:b w:val="0"/>
          <w:bCs w:val="0"/>
          <w:lang w:val="en-GB" w:eastAsia="zh-CN"/>
        </w:rPr>
      </w:pPr>
      <w:r>
        <w:rPr>
          <w:rFonts w:hint="eastAsia"/>
          <w:b w:val="0"/>
          <w:bCs w:val="0"/>
          <w:lang w:val="en-US" w:eastAsia="zh-CN"/>
        </w:rPr>
        <w:t>（1）起重臂的安装采用分节吊装的方式。用4根6m长直径28mm和4个额定载荷10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583DE3A8">
      <w:pPr>
        <w:pStyle w:val="305"/>
        <w:bidi w:val="0"/>
        <w:outlineLvl w:val="9"/>
        <w:rPr>
          <w:rFonts w:hint="eastAsia"/>
          <w:b w:val="0"/>
          <w:bCs w:val="0"/>
          <w:lang w:val="en-US" w:eastAsia="zh-CN"/>
        </w:rPr>
      </w:pPr>
      <w:r>
        <w:rPr>
          <w:rFonts w:hint="eastAsia"/>
          <w:b w:val="0"/>
          <w:bCs w:val="0"/>
          <w:lang w:val="en-US" w:eastAsia="zh-CN"/>
        </w:rPr>
        <w:t>（2）各个起重臂节的在空中拼装方式都相同。如下图所示。</w:t>
      </w:r>
    </w:p>
    <w:p w14:paraId="4574C6BC">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4633595" cy="1441450"/>
            <wp:effectExtent l="0" t="0" r="14605" b="6350"/>
            <wp:docPr id="134" name="图片 134" descr="172086125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1720861252508"/>
                    <pic:cNvPicPr>
                      <a:picLocks noChangeAspect="1"/>
                    </pic:cNvPicPr>
                  </pic:nvPicPr>
                  <pic:blipFill>
                    <a:blip r:embed="rId39"/>
                    <a:srcRect t="60230"/>
                    <a:stretch>
                      <a:fillRect/>
                    </a:stretch>
                  </pic:blipFill>
                  <pic:spPr>
                    <a:xfrm>
                      <a:off x="0" y="0"/>
                      <a:ext cx="4633595" cy="1441450"/>
                    </a:xfrm>
                    <a:prstGeom prst="rect">
                      <a:avLst/>
                    </a:prstGeom>
                  </pic:spPr>
                </pic:pic>
              </a:graphicData>
            </a:graphic>
          </wp:inline>
        </w:drawing>
      </w:r>
    </w:p>
    <w:p w14:paraId="52FD69D1">
      <w:pPr>
        <w:pStyle w:val="305"/>
        <w:bidi w:val="0"/>
        <w:jc w:val="center"/>
        <w:outlineLvl w:val="9"/>
        <w:rPr>
          <w:rFonts w:hint="default"/>
          <w:b w:val="0"/>
          <w:bCs w:val="0"/>
          <w:lang w:val="en-US" w:eastAsia="zh-CN"/>
        </w:rPr>
      </w:pPr>
      <w:r>
        <w:rPr>
          <w:rFonts w:hint="eastAsia"/>
          <w:b w:val="0"/>
          <w:bCs w:val="0"/>
          <w:lang w:val="en-US" w:eastAsia="zh-CN"/>
        </w:rPr>
        <w:t>图6.3-13起重臂组合图</w:t>
      </w:r>
    </w:p>
    <w:p w14:paraId="567F5555">
      <w:pPr>
        <w:pStyle w:val="305"/>
        <w:bidi w:val="0"/>
        <w:ind w:left="0" w:leftChars="0" w:firstLine="0" w:firstLineChars="0"/>
        <w:outlineLvl w:val="9"/>
      </w:pPr>
      <w:r>
        <w:drawing>
          <wp:inline distT="0" distB="0" distL="114300" distR="114300">
            <wp:extent cx="6832600" cy="2630805"/>
            <wp:effectExtent l="0" t="0" r="6350" b="17145"/>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40"/>
                    <a:stretch>
                      <a:fillRect/>
                    </a:stretch>
                  </pic:blipFill>
                  <pic:spPr>
                    <a:xfrm>
                      <a:off x="0" y="0"/>
                      <a:ext cx="6832600" cy="2630805"/>
                    </a:xfrm>
                    <a:prstGeom prst="rect">
                      <a:avLst/>
                    </a:prstGeom>
                    <a:noFill/>
                    <a:ln>
                      <a:noFill/>
                    </a:ln>
                  </pic:spPr>
                </pic:pic>
              </a:graphicData>
            </a:graphic>
          </wp:inline>
        </w:drawing>
      </w:r>
    </w:p>
    <w:p w14:paraId="7D2ED6CC">
      <w:pPr>
        <w:pStyle w:val="305"/>
        <w:bidi w:val="0"/>
        <w:ind w:left="0" w:leftChars="0" w:firstLine="0" w:firstLineChars="0"/>
        <w:outlineLvl w:val="9"/>
        <w:rPr>
          <w:rFonts w:hint="eastAsia"/>
          <w:lang w:val="en-US" w:eastAsia="zh-CN"/>
        </w:rPr>
      </w:pPr>
      <w:r>
        <w:drawing>
          <wp:inline distT="0" distB="0" distL="114300" distR="114300">
            <wp:extent cx="7005955" cy="1818640"/>
            <wp:effectExtent l="0" t="0" r="4445" b="1016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41"/>
                    <a:stretch>
                      <a:fillRect/>
                    </a:stretch>
                  </pic:blipFill>
                  <pic:spPr>
                    <a:xfrm>
                      <a:off x="0" y="0"/>
                      <a:ext cx="7005955" cy="1818640"/>
                    </a:xfrm>
                    <a:prstGeom prst="rect">
                      <a:avLst/>
                    </a:prstGeom>
                    <a:noFill/>
                    <a:ln>
                      <a:noFill/>
                    </a:ln>
                  </pic:spPr>
                </pic:pic>
              </a:graphicData>
            </a:graphic>
          </wp:inline>
        </w:drawing>
      </w:r>
    </w:p>
    <w:p w14:paraId="55473C18">
      <w:pPr>
        <w:pStyle w:val="305"/>
        <w:bidi w:val="0"/>
        <w:jc w:val="center"/>
        <w:outlineLvl w:val="9"/>
        <w:rPr>
          <w:rFonts w:hint="eastAsia"/>
          <w:b w:val="0"/>
          <w:bCs w:val="0"/>
          <w:lang w:val="en-US" w:eastAsia="zh-CN"/>
        </w:rPr>
      </w:pPr>
      <w:r>
        <w:rPr>
          <w:rFonts w:hint="eastAsia"/>
          <w:b w:val="0"/>
          <w:bCs w:val="0"/>
          <w:lang w:val="en-US" w:eastAsia="zh-CN"/>
        </w:rPr>
        <w:t>图6.3-14 其余起重臂臂节吊装立面示意图</w:t>
      </w:r>
    </w:p>
    <w:p w14:paraId="26BD906D">
      <w:pPr>
        <w:pStyle w:val="305"/>
        <w:bidi w:val="0"/>
        <w:ind w:left="0" w:leftChars="0" w:firstLine="560" w:firstLineChars="200"/>
        <w:outlineLvl w:val="9"/>
        <w:rPr>
          <w:rFonts w:hint="eastAsia"/>
          <w:b w:val="0"/>
          <w:bCs w:val="0"/>
          <w:lang w:val="en-US" w:eastAsia="zh-CN"/>
        </w:rPr>
      </w:pPr>
      <w:r>
        <w:rPr>
          <w:rFonts w:hint="eastAsia"/>
          <w:b w:val="0"/>
          <w:bCs w:val="0"/>
          <w:lang w:val="en-US" w:eastAsia="zh-CN"/>
        </w:rPr>
        <w:t>（3）塔吊起重臂总成安装时设置警戒区，起吊安排专人负责指挥，专人操作，严禁无关人员进入起重作业范围内。</w:t>
      </w:r>
    </w:p>
    <w:p w14:paraId="499B5347">
      <w:pPr>
        <w:pStyle w:val="305"/>
        <w:numPr>
          <w:ilvl w:val="0"/>
          <w:numId w:val="10"/>
        </w:numPr>
        <w:bidi w:val="0"/>
        <w:spacing w:line="360" w:lineRule="auto"/>
        <w:ind w:left="0" w:leftChars="0" w:firstLine="403" w:firstLineChars="0"/>
        <w:rPr>
          <w:rFonts w:hint="eastAsia"/>
          <w:sz w:val="30"/>
          <w:szCs w:val="30"/>
          <w:lang w:val="en-US" w:eastAsia="zh-CN"/>
        </w:rPr>
      </w:pPr>
      <w:bookmarkStart w:id="119" w:name="_Toc20142"/>
      <w:r>
        <w:rPr>
          <w:rFonts w:hint="eastAsia"/>
          <w:sz w:val="30"/>
          <w:szCs w:val="30"/>
          <w:lang w:val="en-US" w:eastAsia="zh-CN"/>
        </w:rPr>
        <w:t>安装剩余平衡重</w:t>
      </w:r>
      <w:bookmarkEnd w:id="119"/>
    </w:p>
    <w:p w14:paraId="2C886BFA">
      <w:pPr>
        <w:pStyle w:val="305"/>
        <w:bidi w:val="0"/>
        <w:outlineLvl w:val="9"/>
        <w:rPr>
          <w:rFonts w:hint="eastAsia"/>
          <w:b w:val="0"/>
          <w:bCs w:val="0"/>
          <w:lang w:val="en-US" w:eastAsia="zh-CN"/>
        </w:rPr>
      </w:pPr>
      <w:r>
        <w:rPr>
          <w:rFonts w:hint="eastAsia"/>
          <w:b w:val="0"/>
          <w:bCs w:val="0"/>
          <w:lang w:val="en-US" w:eastAsia="zh-CN"/>
        </w:rPr>
        <w:t>剩余平衡重吊装方法同安装第1块平衡重一样。吊装完成后检查并确认相邻平衡重块的整个表面是否贴紧。</w:t>
      </w:r>
    </w:p>
    <w:p w14:paraId="372604D5">
      <w:pPr>
        <w:pStyle w:val="305"/>
        <w:bidi w:val="0"/>
        <w:jc w:val="center"/>
        <w:outlineLvl w:val="9"/>
        <w:rPr>
          <w:rFonts w:hint="eastAsia"/>
          <w:b w:val="0"/>
          <w:bCs w:val="0"/>
          <w:lang w:val="en-US" w:eastAsia="zh-CN"/>
        </w:rPr>
      </w:pPr>
      <w:r>
        <w:rPr>
          <w:rFonts w:hint="eastAsia"/>
          <w:b w:val="0"/>
          <w:bCs w:val="0"/>
          <w:lang w:val="en-US" w:eastAsia="zh-CN"/>
        </w:rPr>
        <w:t>表6.3-2平衡重组合表</w:t>
      </w:r>
    </w:p>
    <w:p w14:paraId="1AE389ED">
      <w:pPr>
        <w:pStyle w:val="305"/>
        <w:bidi w:val="0"/>
        <w:outlineLvl w:val="9"/>
        <w:rPr>
          <w:rFonts w:hint="default"/>
          <w:b w:val="0"/>
          <w:bCs w:val="0"/>
          <w:lang w:val="en-US" w:eastAsia="zh-CN"/>
        </w:rPr>
      </w:pPr>
      <w:r>
        <w:rPr>
          <w:rFonts w:hint="default"/>
          <w:b w:val="0"/>
          <w:bCs w:val="0"/>
          <w:lang w:val="en-US" w:eastAsia="zh-CN"/>
        </w:rPr>
        <w:drawing>
          <wp:inline distT="0" distB="0" distL="114300" distR="114300">
            <wp:extent cx="6172200" cy="2769870"/>
            <wp:effectExtent l="0" t="0" r="0" b="11430"/>
            <wp:docPr id="146" name="图片 146" descr="17208635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1720863520829"/>
                    <pic:cNvPicPr>
                      <a:picLocks noChangeAspect="1"/>
                    </pic:cNvPicPr>
                  </pic:nvPicPr>
                  <pic:blipFill>
                    <a:blip r:embed="rId42"/>
                    <a:srcRect b="17915"/>
                    <a:stretch>
                      <a:fillRect/>
                    </a:stretch>
                  </pic:blipFill>
                  <pic:spPr>
                    <a:xfrm>
                      <a:off x="0" y="0"/>
                      <a:ext cx="6172200" cy="2769870"/>
                    </a:xfrm>
                    <a:prstGeom prst="rect">
                      <a:avLst/>
                    </a:prstGeom>
                  </pic:spPr>
                </pic:pic>
              </a:graphicData>
            </a:graphic>
          </wp:inline>
        </w:drawing>
      </w:r>
    </w:p>
    <w:p w14:paraId="1269A850">
      <w:pPr>
        <w:pStyle w:val="305"/>
        <w:bidi w:val="0"/>
        <w:outlineLvl w:val="9"/>
        <w:rPr>
          <w:rFonts w:hint="eastAsia"/>
          <w:b w:val="0"/>
          <w:bCs w:val="0"/>
          <w:lang w:val="en-US" w:eastAsia="zh-CN"/>
        </w:rPr>
      </w:pPr>
      <w:r>
        <w:rPr>
          <w:rFonts w:hint="eastAsia"/>
          <w:b w:val="0"/>
          <w:bCs w:val="0"/>
          <w:lang w:val="en-US" w:eastAsia="zh-CN"/>
        </w:rPr>
        <w:t>按从起升机构侧向塔身侧依次吊装平衡重。</w:t>
      </w:r>
    </w:p>
    <w:p w14:paraId="5E140C14">
      <w:pPr>
        <w:pStyle w:val="305"/>
        <w:bidi w:val="0"/>
        <w:outlineLvl w:val="9"/>
        <w:rPr>
          <w:rFonts w:hint="eastAsia"/>
          <w:b w:val="0"/>
          <w:bCs w:val="0"/>
          <w:lang w:val="en-US" w:eastAsia="zh-CN"/>
        </w:rPr>
      </w:pPr>
      <w:r>
        <w:rPr>
          <w:rFonts w:hint="eastAsia"/>
          <w:b w:val="0"/>
          <w:bCs w:val="0"/>
          <w:lang w:val="en-US" w:eastAsia="zh-CN"/>
        </w:rPr>
        <w:t>作业人员在地面上先将钢丝绳一端挂在吊机吊钩上，另一端与卸扣连接，启动吊机，将卸扣缓慢提升至平衡重上方时，缓慢放松吊钩，作业人员通过平衡臂走道走行至平衡臂尾部，将安全带系挂在平衡臂横杆上，将配重吊起放置于平衡臂的配重槽上时，穿入平衡重销孔轴，然后平稳地将平衡重落于配重槽内。解除吊装钢丝绳。</w:t>
      </w:r>
    </w:p>
    <w:p w14:paraId="00F8F693">
      <w:pPr>
        <w:pStyle w:val="305"/>
        <w:bidi w:val="0"/>
        <w:outlineLvl w:val="9"/>
        <w:rPr>
          <w:rFonts w:hint="eastAsia"/>
          <w:b w:val="0"/>
          <w:bCs w:val="0"/>
          <w:lang w:val="en-US" w:eastAsia="zh-CN"/>
        </w:rPr>
      </w:pPr>
      <w:r>
        <w:rPr>
          <w:rFonts w:hint="eastAsia"/>
          <w:b w:val="0"/>
          <w:bCs w:val="0"/>
          <w:lang w:val="en-US" w:eastAsia="zh-CN"/>
        </w:rPr>
        <w:t>塔吊平衡重安装时设置警戒区，起吊安排专人负责指挥，专人操作，严禁无关人员进入起重作业范围内。</w:t>
      </w:r>
    </w:p>
    <w:p w14:paraId="0A054C61">
      <w:pPr>
        <w:pStyle w:val="305"/>
        <w:bidi w:val="0"/>
        <w:jc w:val="center"/>
        <w:outlineLvl w:val="9"/>
        <w:rPr>
          <w:rFonts w:hint="eastAsia"/>
          <w:b w:val="0"/>
          <w:bCs w:val="0"/>
          <w:lang w:val="en-US" w:eastAsia="zh-CN"/>
        </w:rPr>
      </w:pPr>
      <w:r>
        <w:drawing>
          <wp:inline distT="0" distB="0" distL="114300" distR="114300">
            <wp:extent cx="4210050" cy="2352675"/>
            <wp:effectExtent l="0" t="0" r="0" b="9525"/>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43"/>
                    <a:stretch>
                      <a:fillRect/>
                    </a:stretch>
                  </pic:blipFill>
                  <pic:spPr>
                    <a:xfrm>
                      <a:off x="0" y="0"/>
                      <a:ext cx="4210050" cy="2352675"/>
                    </a:xfrm>
                    <a:prstGeom prst="rect">
                      <a:avLst/>
                    </a:prstGeom>
                    <a:noFill/>
                    <a:ln>
                      <a:noFill/>
                    </a:ln>
                  </pic:spPr>
                </pic:pic>
              </a:graphicData>
            </a:graphic>
          </wp:inline>
        </w:drawing>
      </w:r>
    </w:p>
    <w:p w14:paraId="3A13FB6E">
      <w:pPr>
        <w:pStyle w:val="305"/>
        <w:bidi w:val="0"/>
        <w:jc w:val="center"/>
        <w:outlineLvl w:val="9"/>
        <w:rPr>
          <w:rFonts w:hint="eastAsia"/>
          <w:b w:val="0"/>
          <w:bCs w:val="0"/>
          <w:lang w:val="en-US" w:eastAsia="zh-CN"/>
        </w:rPr>
      </w:pPr>
      <w:r>
        <w:rPr>
          <w:rFonts w:hint="eastAsia"/>
          <w:b w:val="0"/>
          <w:bCs w:val="0"/>
          <w:lang w:val="en-US" w:eastAsia="zh-CN"/>
        </w:rPr>
        <w:t>图6.3-15剩余平衡重吊装立面示意图</w:t>
      </w:r>
    </w:p>
    <w:p w14:paraId="6A62E2C8">
      <w:pPr>
        <w:pStyle w:val="5"/>
        <w:numPr>
          <w:ilvl w:val="0"/>
          <w:numId w:val="10"/>
        </w:numPr>
        <w:bidi w:val="0"/>
        <w:rPr>
          <w:rFonts w:hint="eastAsia"/>
          <w:lang w:val="en-US" w:eastAsia="zh-CN"/>
        </w:rPr>
      </w:pPr>
      <w:bookmarkStart w:id="120" w:name="_Toc1143"/>
      <w:r>
        <w:rPr>
          <w:rFonts w:hint="eastAsia"/>
          <w:lang w:val="en-US" w:eastAsia="zh-CN"/>
        </w:rPr>
        <w:t>穿绕钢丝绳</w:t>
      </w:r>
      <w:bookmarkEnd w:id="120"/>
    </w:p>
    <w:p w14:paraId="060016AD">
      <w:pPr>
        <w:pStyle w:val="5"/>
        <w:numPr>
          <w:ilvl w:val="0"/>
          <w:numId w:val="12"/>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穿绕变幅钢丝绳</w:t>
      </w:r>
    </w:p>
    <w:p w14:paraId="47B8FDE3">
      <w:pPr>
        <w:pStyle w:val="305"/>
        <w:bidi w:val="0"/>
        <w:outlineLvl w:val="9"/>
        <w:rPr>
          <w:rFonts w:hint="eastAsia"/>
          <w:b w:val="0"/>
          <w:bCs w:val="0"/>
          <w:lang w:val="en-US" w:eastAsia="zh-CN"/>
        </w:rPr>
      </w:pPr>
      <w:r>
        <w:rPr>
          <w:rFonts w:hint="eastAsia"/>
          <w:b w:val="0"/>
          <w:bCs w:val="0"/>
          <w:lang w:val="en-US" w:eastAsia="zh-CN"/>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2FA38EA7">
      <w:pPr>
        <w:pStyle w:val="305"/>
        <w:bidi w:val="0"/>
        <w:outlineLvl w:val="9"/>
        <w:rPr>
          <w:rFonts w:hint="eastAsia"/>
          <w:b w:val="0"/>
          <w:bCs w:val="0"/>
          <w:lang w:val="en-US" w:eastAsia="zh-CN"/>
        </w:rPr>
      </w:pPr>
      <w:r>
        <w:rPr>
          <w:rFonts w:hint="eastAsia"/>
          <w:b w:val="0"/>
          <w:bCs w:val="0"/>
          <w:lang w:val="en-US" w:eastAsia="zh-CN"/>
        </w:rPr>
        <w:t>（2）启动变幅卷扬机收紧后变幅钢丝绳，并将后变幅钢丝绳缓慢卷绕至变幅卷筒上。</w:t>
      </w:r>
    </w:p>
    <w:p w14:paraId="2ED426D6">
      <w:pPr>
        <w:pStyle w:val="305"/>
        <w:bidi w:val="0"/>
        <w:outlineLvl w:val="9"/>
        <w:rPr>
          <w:rFonts w:hint="eastAsia"/>
          <w:b w:val="0"/>
          <w:bCs w:val="0"/>
          <w:lang w:val="en-US" w:eastAsia="zh-CN"/>
        </w:rPr>
      </w:pPr>
      <w:r>
        <w:rPr>
          <w:rFonts w:hint="eastAsia"/>
          <w:b w:val="0"/>
          <w:bCs w:val="0"/>
          <w:lang w:val="en-US" w:eastAsia="zh-CN"/>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2126A71E">
      <w:pPr>
        <w:pStyle w:val="305"/>
        <w:bidi w:val="0"/>
        <w:outlineLvl w:val="9"/>
        <w:rPr>
          <w:rFonts w:hint="eastAsia"/>
          <w:b w:val="0"/>
          <w:bCs w:val="0"/>
          <w:lang w:val="en-US" w:eastAsia="zh-CN"/>
        </w:rPr>
      </w:pPr>
      <w:r>
        <w:rPr>
          <w:rFonts w:hint="eastAsia"/>
          <w:b w:val="0"/>
          <w:bCs w:val="0"/>
          <w:lang w:val="en-US" w:eastAsia="zh-CN"/>
        </w:rPr>
        <w:t>变幅钢丝绳绕绳总体示意如下图所示。</w:t>
      </w:r>
    </w:p>
    <w:p w14:paraId="4C0FAD59">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754370" cy="2414905"/>
            <wp:effectExtent l="0" t="0" r="17780" b="4445"/>
            <wp:docPr id="100" name="图片 100" descr="171965511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719655117005"/>
                    <pic:cNvPicPr>
                      <a:picLocks noChangeAspect="1"/>
                    </pic:cNvPicPr>
                  </pic:nvPicPr>
                  <pic:blipFill>
                    <a:blip r:embed="rId44"/>
                    <a:stretch>
                      <a:fillRect/>
                    </a:stretch>
                  </pic:blipFill>
                  <pic:spPr>
                    <a:xfrm>
                      <a:off x="0" y="0"/>
                      <a:ext cx="5754370" cy="2414905"/>
                    </a:xfrm>
                    <a:prstGeom prst="rect">
                      <a:avLst/>
                    </a:prstGeom>
                  </pic:spPr>
                </pic:pic>
              </a:graphicData>
            </a:graphic>
          </wp:inline>
        </w:drawing>
      </w:r>
    </w:p>
    <w:p w14:paraId="29466534">
      <w:pPr>
        <w:pStyle w:val="305"/>
        <w:bidi w:val="0"/>
        <w:jc w:val="center"/>
        <w:outlineLvl w:val="9"/>
        <w:rPr>
          <w:rFonts w:hint="eastAsia"/>
          <w:b w:val="0"/>
          <w:bCs w:val="0"/>
          <w:lang w:val="en-US" w:eastAsia="zh-CN"/>
        </w:rPr>
      </w:pPr>
      <w:r>
        <w:rPr>
          <w:rFonts w:hint="eastAsia"/>
          <w:b w:val="0"/>
          <w:bCs w:val="0"/>
          <w:lang w:val="en-US" w:eastAsia="zh-CN"/>
        </w:rPr>
        <w:t>图6.3-16后变幅钢丝绳穿绕示意图</w:t>
      </w:r>
    </w:p>
    <w:p w14:paraId="1AE82F0D">
      <w:pPr>
        <w:pStyle w:val="6"/>
        <w:numPr>
          <w:ilvl w:val="0"/>
          <w:numId w:val="12"/>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穿绕起升钢丝绳</w:t>
      </w:r>
    </w:p>
    <w:p w14:paraId="71D5582D">
      <w:pPr>
        <w:pStyle w:val="305"/>
        <w:bidi w:val="0"/>
        <w:outlineLvl w:val="9"/>
        <w:rPr>
          <w:rFonts w:hint="eastAsia"/>
          <w:b w:val="0"/>
          <w:bCs w:val="0"/>
          <w:lang w:val="en-US" w:eastAsia="zh-CN"/>
        </w:rPr>
      </w:pPr>
      <w:r>
        <w:rPr>
          <w:rFonts w:hint="eastAsia"/>
          <w:b w:val="0"/>
          <w:bCs w:val="0"/>
          <w:lang w:val="en-US" w:eastAsia="zh-CN"/>
        </w:rPr>
        <w:t>（1）从起升机构卷筒上端放出起升钢丝绳，作业人员将安全带系挂在平衡臂栏杆上，沿着平衡臂走道牵引起升钢丝绳依次穿过平衡臂臂根节上拖绳轮，再穿过起重量限制器滑轮以及上支座滑轮，最后将钢丝绳与小车连接。</w:t>
      </w:r>
    </w:p>
    <w:p w14:paraId="24729742">
      <w:pPr>
        <w:pStyle w:val="305"/>
        <w:bidi w:val="0"/>
        <w:outlineLvl w:val="9"/>
        <w:rPr>
          <w:rFonts w:hint="eastAsia"/>
          <w:b w:val="0"/>
          <w:bCs w:val="0"/>
          <w:lang w:val="en-US" w:eastAsia="zh-CN"/>
        </w:rPr>
      </w:pPr>
      <w:r>
        <w:rPr>
          <w:rFonts w:hint="eastAsia"/>
          <w:b w:val="0"/>
          <w:bCs w:val="0"/>
          <w:lang w:val="en-US" w:eastAsia="zh-CN"/>
        </w:rPr>
        <w:t>（2）作业人员将安全带系挂在起重臂臂根节上，将钢丝绳牵引至小车处与引绳一端连接，牵引引绳使起升钢丝绳穿绕小车和吊钩，解除起升钢丝绳和引绳的连接，将钢丝绳牵引至起重臂臂头防扭装置上，用楔块和绳夹将钢丝绳固定在钢丝绳防扭器上。安装完成后检查防扭器是否旋转自如。</w:t>
      </w:r>
    </w:p>
    <w:p w14:paraId="1F561CEA">
      <w:pPr>
        <w:pStyle w:val="305"/>
        <w:bidi w:val="0"/>
        <w:jc w:val="center"/>
        <w:outlineLvl w:val="9"/>
        <w:rPr>
          <w:rFonts w:hint="eastAsia"/>
          <w:b w:val="0"/>
          <w:bCs w:val="0"/>
          <w:lang w:val="en-US" w:eastAsia="zh-CN"/>
        </w:rPr>
      </w:pPr>
      <w:r>
        <w:rPr>
          <w:rFonts w:hint="eastAsia"/>
          <w:b w:val="0"/>
          <w:bCs w:val="0"/>
          <w:lang w:val="en-US" w:eastAsia="zh-CN"/>
        </w:rPr>
        <w:fldChar w:fldCharType="begin"/>
      </w:r>
      <w:r>
        <w:rPr>
          <w:rFonts w:hint="eastAsia"/>
          <w:b w:val="0"/>
          <w:bCs w:val="0"/>
          <w:lang w:val="en-US" w:eastAsia="zh-CN"/>
        </w:rPr>
        <w:instrText xml:space="preserve"> INCLUDEPICTURE  "C:\\..\\..\\Documents and Settings\\Administrator\\Application Data\\Tencent\\Users\\387702944\\QQ\\WinTemp\\RichOle\\AA23OU`FZ$TB@LU4JI]$CUG.png" \* MERGEFORMATINET </w:instrText>
      </w:r>
      <w:r>
        <w:rPr>
          <w:rFonts w:hint="eastAsia"/>
          <w:b w:val="0"/>
          <w:bCs w:val="0"/>
          <w:lang w:val="en-US" w:eastAsia="zh-CN"/>
        </w:rPr>
        <w:fldChar w:fldCharType="separate"/>
      </w:r>
      <w:r>
        <w:rPr>
          <w:rFonts w:hint="eastAsia"/>
          <w:b w:val="0"/>
          <w:bCs w:val="0"/>
          <w:lang w:val="en-US" w:eastAsia="zh-CN"/>
        </w:rPr>
        <w:drawing>
          <wp:inline distT="0" distB="0" distL="114300" distR="114300">
            <wp:extent cx="4065270" cy="2254250"/>
            <wp:effectExtent l="0" t="0" r="11430" b="6350"/>
            <wp:docPr id="101"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descr="IMG_256"/>
                    <pic:cNvPicPr>
                      <a:picLocks noChangeAspect="1"/>
                    </pic:cNvPicPr>
                  </pic:nvPicPr>
                  <pic:blipFill>
                    <a:blip r:embed="rId45" r:link="rId46"/>
                    <a:stretch>
                      <a:fillRect/>
                    </a:stretch>
                  </pic:blipFill>
                  <pic:spPr>
                    <a:xfrm>
                      <a:off x="0" y="0"/>
                      <a:ext cx="4065270" cy="2254250"/>
                    </a:xfrm>
                    <a:prstGeom prst="rect">
                      <a:avLst/>
                    </a:prstGeom>
                    <a:noFill/>
                    <a:ln>
                      <a:noFill/>
                    </a:ln>
                  </pic:spPr>
                </pic:pic>
              </a:graphicData>
            </a:graphic>
          </wp:inline>
        </w:drawing>
      </w:r>
      <w:r>
        <w:rPr>
          <w:rFonts w:hint="eastAsia"/>
          <w:b w:val="0"/>
          <w:bCs w:val="0"/>
          <w:lang w:val="en-US" w:eastAsia="zh-CN"/>
        </w:rPr>
        <w:fldChar w:fldCharType="end"/>
      </w:r>
    </w:p>
    <w:p w14:paraId="2F6A1477">
      <w:pPr>
        <w:pStyle w:val="305"/>
        <w:bidi w:val="0"/>
        <w:jc w:val="center"/>
        <w:outlineLvl w:val="9"/>
        <w:rPr>
          <w:rFonts w:hint="eastAsia"/>
          <w:b w:val="0"/>
          <w:bCs w:val="0"/>
          <w:lang w:val="en-US" w:eastAsia="zh-CN"/>
        </w:rPr>
      </w:pPr>
      <w:r>
        <w:rPr>
          <w:rFonts w:hint="eastAsia"/>
          <w:b w:val="0"/>
          <w:bCs w:val="0"/>
          <w:lang w:val="en-US" w:eastAsia="zh-CN"/>
        </w:rPr>
        <w:t>图6.3-17起升钢丝绳穿绕总体示意图</w:t>
      </w:r>
    </w:p>
    <w:p w14:paraId="40CDDFF2">
      <w:pPr>
        <w:pStyle w:val="305"/>
        <w:bidi w:val="0"/>
        <w:outlineLvl w:val="9"/>
        <w:rPr>
          <w:rFonts w:hint="eastAsia"/>
          <w:b w:val="0"/>
          <w:bCs w:val="0"/>
          <w:lang w:val="en-US" w:eastAsia="zh-CN"/>
        </w:rPr>
      </w:pPr>
      <w:r>
        <w:rPr>
          <w:rFonts w:hint="eastAsia"/>
          <w:b w:val="0"/>
          <w:bCs w:val="0"/>
          <w:lang w:val="en-US" w:eastAsia="zh-CN"/>
        </w:rPr>
        <w:t>新装钢丝绳存在旋转内应力，在正式投入前需要结合塔机臂端防扭装置释放应力</w:t>
      </w:r>
    </w:p>
    <w:p w14:paraId="111B5F19">
      <w:pPr>
        <w:pStyle w:val="305"/>
        <w:bidi w:val="0"/>
        <w:outlineLvl w:val="9"/>
        <w:rPr>
          <w:rFonts w:hint="eastAsia"/>
          <w:b w:val="0"/>
          <w:bCs w:val="0"/>
          <w:lang w:val="en-US" w:eastAsia="zh-CN"/>
        </w:rPr>
      </w:pPr>
      <w:r>
        <w:rPr>
          <w:rFonts w:hint="eastAsia"/>
          <w:b w:val="0"/>
          <w:bCs w:val="0"/>
          <w:lang w:val="en-US" w:eastAsia="zh-CN"/>
        </w:rPr>
        <w:tab/>
      </w:r>
      <w:r>
        <w:rPr>
          <w:rFonts w:hint="eastAsia"/>
          <w:b w:val="0"/>
          <w:bCs w:val="0"/>
          <w:lang w:val="en-US" w:eastAsia="zh-CN"/>
        </w:rPr>
        <w:t>（4）图示吊钩倍率为四倍率，在四倍率基础上拿掉吊钩上滑轮销轴，吊钩滑轮由四倍率变成两倍率，并拿掉吊钩上的所有配重块。</w:t>
      </w:r>
    </w:p>
    <w:p w14:paraId="1C55D11B">
      <w:pPr>
        <w:pStyle w:val="305"/>
        <w:bidi w:val="0"/>
        <w:outlineLvl w:val="9"/>
        <w:rPr>
          <w:rFonts w:hint="eastAsia"/>
          <w:b w:val="0"/>
          <w:bCs w:val="0"/>
          <w:lang w:val="en-US" w:eastAsia="zh-CN"/>
        </w:rPr>
      </w:pPr>
      <w:r>
        <w:rPr>
          <w:rFonts w:hint="eastAsia"/>
          <w:b w:val="0"/>
          <w:bCs w:val="0"/>
          <w:lang w:val="en-US" w:eastAsia="zh-CN"/>
        </w:rPr>
        <w:t>注意：在使用四倍率或者两倍率时，不用的配重块必须安装！</w:t>
      </w:r>
    </w:p>
    <w:p w14:paraId="3D9C45D9">
      <w:pPr>
        <w:pStyle w:val="5"/>
        <w:numPr>
          <w:ilvl w:val="0"/>
          <w:numId w:val="10"/>
        </w:numPr>
        <w:bidi w:val="0"/>
        <w:rPr>
          <w:rFonts w:hint="eastAsia"/>
          <w:lang w:val="en-US" w:eastAsia="zh-CN"/>
        </w:rPr>
      </w:pPr>
      <w:r>
        <w:rPr>
          <w:rFonts w:hint="eastAsia"/>
          <w:lang w:val="en-US" w:eastAsia="zh-CN"/>
        </w:rPr>
        <w:t>电气系统安装及试运转</w:t>
      </w:r>
    </w:p>
    <w:p w14:paraId="1A461A7F">
      <w:pPr>
        <w:pStyle w:val="305"/>
        <w:bidi w:val="0"/>
        <w:outlineLvl w:val="9"/>
        <w:rPr>
          <w:rFonts w:hint="eastAsia"/>
          <w:b w:val="0"/>
          <w:bCs w:val="0"/>
          <w:lang w:val="en-US" w:eastAsia="zh-CN"/>
        </w:rPr>
      </w:pPr>
      <w:r>
        <w:rPr>
          <w:rFonts w:hint="eastAsia"/>
          <w:b w:val="0"/>
          <w:bCs w:val="0"/>
          <w:lang w:val="en-US" w:eastAsia="zh-CN"/>
        </w:rPr>
        <w:t>（1）起重臂安装完成后，按照说明书的要求，进行驾配箱、主控柜、重量限制器、力矩限制器、起升限位器、回转限位器、变幅限位器、行走限位器等的安装。</w:t>
      </w:r>
    </w:p>
    <w:p w14:paraId="653A51D5">
      <w:pPr>
        <w:pStyle w:val="305"/>
        <w:bidi w:val="0"/>
        <w:outlineLvl w:val="9"/>
        <w:rPr>
          <w:rFonts w:hint="eastAsia"/>
          <w:b w:val="0"/>
          <w:bCs w:val="0"/>
          <w:lang w:val="en-US" w:eastAsia="zh-CN"/>
        </w:rPr>
      </w:pPr>
      <w:r>
        <w:rPr>
          <w:rFonts w:hint="eastAsia"/>
          <w:b w:val="0"/>
          <w:bCs w:val="0"/>
          <w:lang w:val="en-US" w:eastAsia="zh-CN"/>
        </w:rPr>
        <w:t>（2）在塔头顶部安装风速仪，平衡臂尾部、塔顶部最高点以及起重臂前端部各安装一个警示灯。</w:t>
      </w:r>
    </w:p>
    <w:p w14:paraId="2785D1DA">
      <w:pPr>
        <w:pStyle w:val="305"/>
        <w:bidi w:val="0"/>
        <w:outlineLvl w:val="9"/>
        <w:rPr>
          <w:rFonts w:hint="eastAsia"/>
          <w:b w:val="0"/>
          <w:bCs w:val="0"/>
          <w:lang w:val="en-US" w:eastAsia="zh-CN"/>
        </w:rPr>
      </w:pPr>
      <w:r>
        <w:rPr>
          <w:rFonts w:hint="eastAsia"/>
          <w:b w:val="0"/>
          <w:bCs w:val="0"/>
          <w:lang w:val="en-US" w:eastAsia="zh-CN"/>
        </w:rPr>
        <w:t>（3）在风速不大于3m/s且空载状态下，检查塔身轴线的垂直度，允许偏差为 4/1000。</w:t>
      </w:r>
    </w:p>
    <w:p w14:paraId="79837E65">
      <w:pPr>
        <w:pStyle w:val="305"/>
        <w:bidi w:val="0"/>
        <w:outlineLvl w:val="9"/>
        <w:rPr>
          <w:rFonts w:hint="eastAsia"/>
          <w:b w:val="0"/>
          <w:bCs w:val="0"/>
          <w:lang w:val="en-US" w:eastAsia="zh-CN"/>
        </w:rPr>
      </w:pPr>
      <w:r>
        <w:rPr>
          <w:rFonts w:hint="eastAsia"/>
          <w:b w:val="0"/>
          <w:bCs w:val="0"/>
          <w:lang w:val="en-US" w:eastAsia="zh-CN"/>
        </w:rPr>
        <w:t>（4）侧向垂直度在使用高度、空载状态，臂架相当于塔身0°和90°时分别沿臂架方向测量，标尺贴靠在塔身结构中心的最低处和最高处，用全站仪读出两处的偏位值。</w:t>
      </w:r>
    </w:p>
    <w:p w14:paraId="636CC4D3">
      <w:pPr>
        <w:pStyle w:val="305"/>
        <w:bidi w:val="0"/>
        <w:outlineLvl w:val="9"/>
        <w:rPr>
          <w:rFonts w:hint="eastAsia"/>
          <w:b w:val="0"/>
          <w:bCs w:val="0"/>
          <w:lang w:val="en-US" w:eastAsia="zh-CN"/>
        </w:rPr>
      </w:pPr>
      <w:r>
        <w:rPr>
          <w:rFonts w:hint="eastAsia"/>
          <w:b w:val="0"/>
          <w:bCs w:val="0"/>
          <w:lang w:val="en-US" w:eastAsia="zh-CN"/>
        </w:rPr>
        <w:t>（5）塔吊接通电源，试运转各机构，检查各机构运转是否正常，同时检查各钢丝绳是否处于正常工作状态，是否与各机构有干扰。</w:t>
      </w:r>
    </w:p>
    <w:p w14:paraId="25377B67">
      <w:pPr>
        <w:pStyle w:val="6"/>
        <w:numPr>
          <w:ilvl w:val="0"/>
          <w:numId w:val="13"/>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操作系统的调试</w:t>
      </w:r>
    </w:p>
    <w:p w14:paraId="3AF70903">
      <w:pPr>
        <w:pStyle w:val="305"/>
        <w:bidi w:val="0"/>
        <w:outlineLvl w:val="9"/>
        <w:rPr>
          <w:rFonts w:hint="eastAsia"/>
          <w:b w:val="0"/>
          <w:bCs w:val="0"/>
          <w:lang w:val="en-US" w:eastAsia="zh-CN"/>
        </w:rPr>
      </w:pPr>
      <w:r>
        <w:rPr>
          <w:rFonts w:hint="eastAsia"/>
          <w:b w:val="0"/>
          <w:bCs w:val="0"/>
          <w:lang w:val="en-US" w:eastAsia="zh-CN"/>
        </w:rPr>
        <w:t>①电源检查：</w:t>
      </w:r>
    </w:p>
    <w:p w14:paraId="6095DE1A">
      <w:pPr>
        <w:pStyle w:val="305"/>
        <w:bidi w:val="0"/>
        <w:outlineLvl w:val="9"/>
        <w:rPr>
          <w:rFonts w:hint="eastAsia"/>
          <w:b w:val="0"/>
          <w:bCs w:val="0"/>
          <w:lang w:val="en-US" w:eastAsia="zh-CN"/>
        </w:rPr>
      </w:pPr>
      <w:r>
        <w:rPr>
          <w:rFonts w:hint="eastAsia"/>
          <w:b w:val="0"/>
          <w:bCs w:val="0"/>
          <w:lang w:val="en-US" w:eastAsia="zh-CN"/>
        </w:rPr>
        <w:t>连通电源，检查三相电源的相序是否正确，电压是否满足要求（380V±5%）。</w:t>
      </w:r>
    </w:p>
    <w:p w14:paraId="756762AC">
      <w:pPr>
        <w:pStyle w:val="305"/>
        <w:bidi w:val="0"/>
        <w:outlineLvl w:val="9"/>
        <w:rPr>
          <w:rFonts w:hint="eastAsia"/>
          <w:b w:val="0"/>
          <w:bCs w:val="0"/>
          <w:lang w:val="en-US" w:eastAsia="zh-CN"/>
        </w:rPr>
      </w:pPr>
      <w:r>
        <w:rPr>
          <w:rFonts w:hint="eastAsia"/>
          <w:b w:val="0"/>
          <w:bCs w:val="0"/>
          <w:lang w:val="en-US" w:eastAsia="zh-CN"/>
        </w:rPr>
        <w:t>②操作系统逻辑关系检查：</w:t>
      </w:r>
    </w:p>
    <w:p w14:paraId="45515BD7">
      <w:pPr>
        <w:pStyle w:val="305"/>
        <w:bidi w:val="0"/>
        <w:outlineLvl w:val="9"/>
        <w:rPr>
          <w:rFonts w:hint="eastAsia"/>
          <w:b w:val="0"/>
          <w:bCs w:val="0"/>
          <w:lang w:val="en-US" w:eastAsia="zh-CN"/>
        </w:rPr>
      </w:pPr>
      <w:r>
        <w:rPr>
          <w:rFonts w:hint="eastAsia"/>
          <w:b w:val="0"/>
          <w:bCs w:val="0"/>
          <w:lang w:val="en-US" w:eastAsia="zh-CN"/>
        </w:rPr>
        <w:t>操作起升手柄，观察吊钩起升运转情况，当起升手柄向内拉时，吊钩应向上运动；当起升手柄向外推时，吊钩应向下运动，否则应调整起升电机电源的相序。</w:t>
      </w:r>
    </w:p>
    <w:p w14:paraId="3D7F09D1">
      <w:pPr>
        <w:pStyle w:val="305"/>
        <w:bidi w:val="0"/>
        <w:outlineLvl w:val="9"/>
        <w:rPr>
          <w:rFonts w:hint="eastAsia"/>
          <w:b w:val="0"/>
          <w:bCs w:val="0"/>
          <w:lang w:val="en-US" w:eastAsia="zh-CN"/>
        </w:rPr>
      </w:pPr>
      <w:r>
        <w:rPr>
          <w:rFonts w:hint="eastAsia"/>
          <w:b w:val="0"/>
          <w:bCs w:val="0"/>
          <w:lang w:val="en-US" w:eastAsia="zh-CN"/>
        </w:rPr>
        <w:t>操作回转手柄，当回转手柄向左推时，起重臂应向左转；当回转手柄向右推时，起重臂应向右转，否则应调整回转电机电源的相序。</w:t>
      </w:r>
    </w:p>
    <w:p w14:paraId="62993629">
      <w:pPr>
        <w:pStyle w:val="305"/>
        <w:bidi w:val="0"/>
        <w:outlineLvl w:val="9"/>
        <w:rPr>
          <w:rFonts w:hint="eastAsia"/>
          <w:b w:val="0"/>
          <w:bCs w:val="0"/>
          <w:lang w:val="en-US" w:eastAsia="zh-CN"/>
        </w:rPr>
      </w:pPr>
      <w:r>
        <w:rPr>
          <w:rFonts w:hint="eastAsia"/>
          <w:b w:val="0"/>
          <w:bCs w:val="0"/>
          <w:lang w:val="en-US" w:eastAsia="zh-CN"/>
        </w:rPr>
        <w:t>操作变幅手柄，当变幅手柄向内拉时，变幅小车应该向内行走；当变幅手柄向外推时，变幅小车应该向外行走，否则应调整变幅小车电机电源的相序。</w:t>
      </w:r>
    </w:p>
    <w:p w14:paraId="43769280">
      <w:pPr>
        <w:pStyle w:val="6"/>
        <w:numPr>
          <w:ilvl w:val="0"/>
          <w:numId w:val="13"/>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安全保护装置调试</w:t>
      </w:r>
    </w:p>
    <w:p w14:paraId="16363156">
      <w:pPr>
        <w:pStyle w:val="305"/>
        <w:bidi w:val="0"/>
        <w:outlineLvl w:val="9"/>
        <w:rPr>
          <w:rFonts w:hint="eastAsia"/>
          <w:b w:val="0"/>
          <w:bCs w:val="0"/>
          <w:lang w:val="en-US" w:eastAsia="zh-CN"/>
        </w:rPr>
      </w:pPr>
      <w:r>
        <w:rPr>
          <w:rFonts w:hint="eastAsia"/>
          <w:b w:val="0"/>
          <w:bCs w:val="0"/>
          <w:lang w:val="en-US" w:eastAsia="zh-CN"/>
        </w:rPr>
        <w:t>塔机安全保护装置主要包括：行程限位器和载荷限制器。</w:t>
      </w:r>
    </w:p>
    <w:p w14:paraId="5F1F9E59">
      <w:pPr>
        <w:pStyle w:val="305"/>
        <w:bidi w:val="0"/>
        <w:outlineLvl w:val="9"/>
        <w:rPr>
          <w:rFonts w:hint="eastAsia"/>
          <w:b w:val="0"/>
          <w:bCs w:val="0"/>
          <w:lang w:val="en-US" w:eastAsia="zh-CN"/>
        </w:rPr>
      </w:pPr>
      <w:r>
        <w:rPr>
          <w:rFonts w:hint="eastAsia"/>
          <w:b w:val="0"/>
          <w:bCs w:val="0"/>
          <w:lang w:val="en-US" w:eastAsia="zh-CN"/>
        </w:rPr>
        <w:t>行程限位器有：起升高度限位器、回转限位器、变幅限位器。</w:t>
      </w:r>
    </w:p>
    <w:p w14:paraId="0B7B0238">
      <w:pPr>
        <w:pStyle w:val="305"/>
        <w:bidi w:val="0"/>
        <w:outlineLvl w:val="9"/>
        <w:rPr>
          <w:rFonts w:hint="eastAsia"/>
          <w:b w:val="0"/>
          <w:bCs w:val="0"/>
          <w:lang w:val="en-US" w:eastAsia="zh-CN"/>
        </w:rPr>
      </w:pPr>
      <w:r>
        <w:rPr>
          <w:rFonts w:hint="eastAsia"/>
          <w:b w:val="0"/>
          <w:bCs w:val="0"/>
          <w:lang w:val="en-US" w:eastAsia="zh-CN"/>
        </w:rPr>
        <w:t>载荷限制器有：起重力矩限制器、起重量限制器，此外安全保护装置还包括风速仪、 小车断绳保护装置、小车防坠落装置、钢丝绳防脱装置。</w:t>
      </w:r>
    </w:p>
    <w:p w14:paraId="4053542B">
      <w:pPr>
        <w:pStyle w:val="305"/>
        <w:bidi w:val="0"/>
        <w:outlineLvl w:val="9"/>
        <w:rPr>
          <w:rFonts w:hint="eastAsia"/>
          <w:b w:val="0"/>
          <w:bCs w:val="0"/>
          <w:lang w:val="en-US" w:eastAsia="zh-CN"/>
        </w:rPr>
      </w:pPr>
      <w:r>
        <w:rPr>
          <w:rFonts w:hint="eastAsia"/>
          <w:b w:val="0"/>
          <w:bCs w:val="0"/>
          <w:lang w:val="en-US" w:eastAsia="zh-CN"/>
        </w:rPr>
        <w:t>多功能限位器</w:t>
      </w:r>
    </w:p>
    <w:p w14:paraId="258DFA3C">
      <w:pPr>
        <w:pStyle w:val="305"/>
        <w:bidi w:val="0"/>
        <w:outlineLvl w:val="9"/>
        <w:rPr>
          <w:rFonts w:hint="eastAsia"/>
          <w:b w:val="0"/>
          <w:bCs w:val="0"/>
          <w:lang w:val="en-US" w:eastAsia="zh-CN"/>
        </w:rPr>
      </w:pPr>
      <w:r>
        <w:rPr>
          <w:rFonts w:hint="eastAsia"/>
          <w:b w:val="0"/>
          <w:bCs w:val="0"/>
          <w:lang w:val="en-US" w:eastAsia="zh-CN"/>
        </w:rPr>
        <w:t xml:space="preserve">本塔机的起升高度限位器、变幅限位器、回转限位器分别为 </w:t>
      </w:r>
      <w:r>
        <w:rPr>
          <w:rFonts w:hint="default"/>
          <w:b w:val="0"/>
          <w:bCs w:val="0"/>
          <w:lang w:val="en-US" w:eastAsia="zh-CN"/>
        </w:rPr>
        <w:t>DXZ-4/7</w:t>
      </w:r>
      <w:r>
        <w:rPr>
          <w:rFonts w:hint="eastAsia"/>
          <w:b w:val="0"/>
          <w:bCs w:val="0"/>
          <w:lang w:val="en-US" w:eastAsia="zh-CN"/>
        </w:rPr>
        <w:t>（</w:t>
      </w:r>
      <w:r>
        <w:rPr>
          <w:rFonts w:hint="default"/>
          <w:b w:val="0"/>
          <w:bCs w:val="0"/>
          <w:lang w:val="en-US" w:eastAsia="zh-CN"/>
        </w:rPr>
        <w:t>i=1: 274</w:t>
      </w:r>
      <w:r>
        <w:rPr>
          <w:rFonts w:hint="eastAsia"/>
          <w:b w:val="0"/>
          <w:bCs w:val="0"/>
          <w:lang w:val="en-US" w:eastAsia="zh-CN"/>
        </w:rPr>
        <w:t xml:space="preserve">）、 </w:t>
      </w:r>
    </w:p>
    <w:p w14:paraId="39D41E8A">
      <w:pPr>
        <w:pStyle w:val="305"/>
        <w:bidi w:val="0"/>
        <w:outlineLvl w:val="9"/>
        <w:rPr>
          <w:rFonts w:hint="default"/>
          <w:b w:val="0"/>
          <w:bCs w:val="0"/>
          <w:lang w:val="en-US" w:eastAsia="zh-CN"/>
        </w:rPr>
      </w:pPr>
      <w:r>
        <w:rPr>
          <w:rFonts w:hint="default"/>
          <w:b w:val="0"/>
          <w:bCs w:val="0"/>
          <w:lang w:val="en-US" w:eastAsia="zh-CN"/>
        </w:rPr>
        <w:t>DXZ-4/8</w:t>
      </w:r>
      <w:r>
        <w:rPr>
          <w:rFonts w:hint="eastAsia"/>
          <w:b w:val="0"/>
          <w:bCs w:val="0"/>
          <w:lang w:val="en-US" w:eastAsia="zh-CN"/>
        </w:rPr>
        <w:t>（</w:t>
      </w:r>
      <w:r>
        <w:rPr>
          <w:rFonts w:hint="default"/>
          <w:b w:val="0"/>
          <w:bCs w:val="0"/>
          <w:lang w:val="en-US" w:eastAsia="zh-CN"/>
        </w:rPr>
        <w:t>i=1: 78</w:t>
      </w:r>
      <w:r>
        <w:rPr>
          <w:rFonts w:hint="eastAsia"/>
          <w:b w:val="0"/>
          <w:bCs w:val="0"/>
          <w:lang w:val="en-US" w:eastAsia="zh-CN"/>
        </w:rPr>
        <w:t>）、</w:t>
      </w:r>
      <w:r>
        <w:rPr>
          <w:rFonts w:hint="default"/>
          <w:b w:val="0"/>
          <w:bCs w:val="0"/>
          <w:lang w:val="en-US" w:eastAsia="zh-CN"/>
        </w:rPr>
        <w:t>DXZ-4</w:t>
      </w:r>
      <w:r>
        <w:rPr>
          <w:rFonts w:hint="eastAsia"/>
          <w:b w:val="0"/>
          <w:bCs w:val="0"/>
          <w:lang w:val="en-US" w:eastAsia="zh-CN"/>
        </w:rPr>
        <w:t>（</w:t>
      </w:r>
      <w:r>
        <w:rPr>
          <w:rFonts w:hint="default"/>
          <w:b w:val="0"/>
          <w:bCs w:val="0"/>
          <w:lang w:val="en-US" w:eastAsia="zh-CN"/>
        </w:rPr>
        <w:t>i=1: 60</w:t>
      </w:r>
      <w:r>
        <w:rPr>
          <w:rFonts w:hint="eastAsia"/>
          <w:b w:val="0"/>
          <w:bCs w:val="0"/>
          <w:lang w:val="en-US" w:eastAsia="zh-CN"/>
        </w:rPr>
        <w:t>）三个多功能行程限位器。如图4.4.13.2.1-1。</w:t>
      </w:r>
    </w:p>
    <w:p w14:paraId="7BF95BE4">
      <w:pPr>
        <w:pStyle w:val="305"/>
        <w:bidi w:val="0"/>
        <w:jc w:val="center"/>
        <w:outlineLvl w:val="9"/>
        <w:rPr>
          <w:rFonts w:hint="default"/>
          <w:b w:val="0"/>
          <w:bCs w:val="0"/>
          <w:lang w:val="en-US" w:eastAsia="zh-CN"/>
        </w:rPr>
      </w:pPr>
      <w:r>
        <w:rPr>
          <w:rFonts w:hint="eastAsia"/>
          <w:b w:val="0"/>
          <w:bCs w:val="0"/>
          <w:lang w:val="en-US" w:eastAsia="zh-CN"/>
        </w:rPr>
        <w:drawing>
          <wp:inline distT="0" distB="0" distL="114300" distR="114300">
            <wp:extent cx="4473575" cy="1757045"/>
            <wp:effectExtent l="0" t="0" r="3175" b="14605"/>
            <wp:docPr id="102" name="图片 102" descr="164264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42640083(1)"/>
                    <pic:cNvPicPr>
                      <a:picLocks noChangeAspect="1"/>
                    </pic:cNvPicPr>
                  </pic:nvPicPr>
                  <pic:blipFill>
                    <a:blip r:embed="rId47"/>
                    <a:stretch>
                      <a:fillRect/>
                    </a:stretch>
                  </pic:blipFill>
                  <pic:spPr>
                    <a:xfrm>
                      <a:off x="0" y="0"/>
                      <a:ext cx="4473575" cy="1757045"/>
                    </a:xfrm>
                    <a:prstGeom prst="rect">
                      <a:avLst/>
                    </a:prstGeom>
                  </pic:spPr>
                </pic:pic>
              </a:graphicData>
            </a:graphic>
          </wp:inline>
        </w:drawing>
      </w:r>
    </w:p>
    <w:p w14:paraId="03DFC7C2">
      <w:pPr>
        <w:pStyle w:val="305"/>
        <w:bidi w:val="0"/>
        <w:jc w:val="center"/>
        <w:outlineLvl w:val="9"/>
        <w:rPr>
          <w:rFonts w:hint="eastAsia"/>
          <w:b w:val="0"/>
          <w:bCs w:val="0"/>
          <w:lang w:val="en-US" w:eastAsia="zh-CN"/>
        </w:rPr>
      </w:pPr>
      <w:r>
        <w:rPr>
          <w:rFonts w:hint="eastAsia"/>
          <w:b w:val="0"/>
          <w:bCs w:val="0"/>
          <w:lang w:val="en-US" w:eastAsia="zh-CN"/>
        </w:rPr>
        <w:t>图 6.3-18多功能行程限位器结构图</w:t>
      </w:r>
    </w:p>
    <w:p w14:paraId="6C43E690">
      <w:pPr>
        <w:pStyle w:val="305"/>
        <w:bidi w:val="0"/>
        <w:outlineLvl w:val="9"/>
        <w:rPr>
          <w:rFonts w:hint="eastAsia"/>
          <w:b w:val="0"/>
          <w:bCs w:val="0"/>
          <w:lang w:val="en-US" w:eastAsia="zh-CN"/>
        </w:rPr>
      </w:pPr>
      <w:r>
        <w:rPr>
          <w:rFonts w:hint="eastAsia"/>
          <w:b w:val="0"/>
          <w:bCs w:val="0"/>
          <w:lang w:val="en-US" w:eastAsia="zh-CN"/>
        </w:rPr>
        <w:t>1）调整程序</w:t>
      </w:r>
    </w:p>
    <w:p w14:paraId="6028E03C">
      <w:pPr>
        <w:pStyle w:val="305"/>
        <w:bidi w:val="0"/>
        <w:outlineLvl w:val="9"/>
        <w:rPr>
          <w:rFonts w:hint="eastAsia"/>
          <w:b w:val="0"/>
          <w:bCs w:val="0"/>
          <w:lang w:val="en-US" w:eastAsia="zh-CN"/>
        </w:rPr>
      </w:pPr>
      <w:r>
        <w:rPr>
          <w:rFonts w:hint="eastAsia"/>
          <w:b w:val="0"/>
          <w:bCs w:val="0"/>
          <w:lang w:val="en-US" w:eastAsia="zh-CN"/>
        </w:rPr>
        <w:t xml:space="preserve">（1） 拆开上罩壳，检查并拧紧 2 个 M3×55 螺钉； </w:t>
      </w:r>
    </w:p>
    <w:p w14:paraId="63424664">
      <w:pPr>
        <w:pStyle w:val="305"/>
        <w:bidi w:val="0"/>
        <w:outlineLvl w:val="9"/>
        <w:rPr>
          <w:rFonts w:hint="eastAsia"/>
          <w:b w:val="0"/>
          <w:bCs w:val="0"/>
          <w:lang w:val="en-US" w:eastAsia="zh-CN"/>
        </w:rPr>
      </w:pPr>
      <w:r>
        <w:rPr>
          <w:rFonts w:hint="eastAsia"/>
          <w:b w:val="0"/>
          <w:bCs w:val="0"/>
          <w:lang w:val="en-US" w:eastAsia="zh-CN"/>
        </w:rPr>
        <w:t xml:space="preserve">（2）松开 M5 螺母； </w:t>
      </w:r>
    </w:p>
    <w:p w14:paraId="358D34D5">
      <w:pPr>
        <w:pStyle w:val="305"/>
        <w:bidi w:val="0"/>
        <w:outlineLvl w:val="9"/>
        <w:rPr>
          <w:rFonts w:hint="eastAsia"/>
          <w:b w:val="0"/>
          <w:bCs w:val="0"/>
          <w:lang w:val="en-US" w:eastAsia="zh-CN"/>
        </w:rPr>
      </w:pPr>
      <w:r>
        <w:rPr>
          <w:rFonts w:hint="eastAsia"/>
          <w:b w:val="0"/>
          <w:bCs w:val="0"/>
          <w:lang w:val="en-US" w:eastAsia="zh-CN"/>
        </w:rPr>
        <w:t xml:space="preserve">（3）根据需要将被控机构开至指定位置（空载状态），这时控制该机构动作时相对应的微动开关瞬时切换。即：调整对应的调整轴（Z）使记忆凸轮（T）压下微动开关（WK）触点； </w:t>
      </w:r>
    </w:p>
    <w:p w14:paraId="05566251">
      <w:pPr>
        <w:pStyle w:val="305"/>
        <w:bidi w:val="0"/>
        <w:outlineLvl w:val="9"/>
        <w:rPr>
          <w:rFonts w:hint="eastAsia"/>
          <w:b w:val="0"/>
          <w:bCs w:val="0"/>
          <w:lang w:val="en-US" w:eastAsia="zh-CN"/>
        </w:rPr>
      </w:pPr>
      <w:r>
        <w:rPr>
          <w:rFonts w:hint="eastAsia"/>
          <w:b w:val="0"/>
          <w:bCs w:val="0"/>
          <w:lang w:val="en-US" w:eastAsia="zh-CN"/>
        </w:rPr>
        <w:t xml:space="preserve">（4） 拧紧 M5 螺母（螺母一定要拧紧，否则将产生记忆紊乱）； </w:t>
      </w:r>
    </w:p>
    <w:p w14:paraId="7868B27B">
      <w:pPr>
        <w:pStyle w:val="305"/>
        <w:bidi w:val="0"/>
        <w:outlineLvl w:val="9"/>
        <w:rPr>
          <w:rFonts w:hint="eastAsia"/>
          <w:b w:val="0"/>
          <w:bCs w:val="0"/>
          <w:lang w:val="en-US" w:eastAsia="zh-CN"/>
        </w:rPr>
      </w:pPr>
      <w:r>
        <w:rPr>
          <w:rFonts w:hint="eastAsia"/>
          <w:b w:val="0"/>
          <w:bCs w:val="0"/>
          <w:lang w:val="en-US" w:eastAsia="zh-CN"/>
        </w:rPr>
        <w:t xml:space="preserve">（5） 机构反复空载运行数次，验证记忆位置是否正确（有误时重复上述调整）； </w:t>
      </w:r>
    </w:p>
    <w:p w14:paraId="03322960">
      <w:pPr>
        <w:pStyle w:val="305"/>
        <w:bidi w:val="0"/>
        <w:outlineLvl w:val="9"/>
        <w:rPr>
          <w:rFonts w:hint="eastAsia"/>
          <w:b w:val="0"/>
          <w:bCs w:val="0"/>
          <w:lang w:val="en-US" w:eastAsia="zh-CN"/>
        </w:rPr>
      </w:pPr>
      <w:r>
        <w:rPr>
          <w:rFonts w:hint="eastAsia"/>
          <w:b w:val="0"/>
          <w:bCs w:val="0"/>
          <w:lang w:val="en-US" w:eastAsia="zh-CN"/>
        </w:rPr>
        <w:t xml:space="preserve">（6） 确认位置符合要求，紧固 M5 螺母，装上罩壳； </w:t>
      </w:r>
    </w:p>
    <w:p w14:paraId="3B483A87">
      <w:pPr>
        <w:pStyle w:val="305"/>
        <w:bidi w:val="0"/>
        <w:outlineLvl w:val="9"/>
        <w:rPr>
          <w:rFonts w:hint="eastAsia"/>
          <w:b w:val="0"/>
          <w:bCs w:val="0"/>
          <w:lang w:val="en-US" w:eastAsia="zh-CN"/>
        </w:rPr>
      </w:pPr>
      <w:r>
        <w:rPr>
          <w:rFonts w:hint="eastAsia"/>
          <w:b w:val="0"/>
          <w:bCs w:val="0"/>
          <w:lang w:val="en-US" w:eastAsia="zh-CN"/>
        </w:rPr>
        <w:t>（7） 机构正常工作后，应经常核对记忆控制位置是否变动，以便及时修正。</w:t>
      </w:r>
    </w:p>
    <w:p w14:paraId="214DFEC5">
      <w:pPr>
        <w:pStyle w:val="305"/>
        <w:bidi w:val="0"/>
        <w:outlineLvl w:val="9"/>
        <w:rPr>
          <w:rFonts w:hint="eastAsia"/>
          <w:b w:val="0"/>
          <w:bCs w:val="0"/>
          <w:lang w:val="en-US" w:eastAsia="zh-CN"/>
        </w:rPr>
      </w:pPr>
      <w:r>
        <w:rPr>
          <w:rFonts w:hint="eastAsia"/>
          <w:b w:val="0"/>
          <w:bCs w:val="0"/>
          <w:lang w:val="en-US" w:eastAsia="zh-CN"/>
        </w:rPr>
        <w:t xml:space="preserve"> 2）起升高度限位器的调整方法</w:t>
      </w:r>
    </w:p>
    <w:p w14:paraId="41B0A538">
      <w:pPr>
        <w:pStyle w:val="305"/>
        <w:bidi w:val="0"/>
        <w:outlineLvl w:val="9"/>
        <w:rPr>
          <w:rFonts w:hint="eastAsia"/>
          <w:b w:val="0"/>
          <w:bCs w:val="0"/>
          <w:lang w:val="en-US" w:eastAsia="zh-CN"/>
        </w:rPr>
      </w:pPr>
      <w:r>
        <w:rPr>
          <w:rFonts w:hint="eastAsia"/>
          <w:b w:val="0"/>
          <w:bCs w:val="0"/>
          <w:lang w:val="en-US" w:eastAsia="zh-CN"/>
        </w:rPr>
        <w:t>（1）调整在空载下进行，用手指分别压下微动开关（1WK、2WK），确认限制提升或下降的微动开关是否正确；</w:t>
      </w:r>
    </w:p>
    <w:p w14:paraId="5EFDC403">
      <w:pPr>
        <w:pStyle w:val="305"/>
        <w:bidi w:val="0"/>
        <w:outlineLvl w:val="9"/>
        <w:rPr>
          <w:rFonts w:hint="eastAsia"/>
          <w:b w:val="0"/>
          <w:bCs w:val="0"/>
          <w:lang w:val="en-US" w:eastAsia="zh-CN"/>
        </w:rPr>
      </w:pPr>
      <w:r>
        <w:rPr>
          <w:rFonts w:hint="eastAsia"/>
          <w:b w:val="0"/>
          <w:bCs w:val="0"/>
          <w:lang w:val="en-US" w:eastAsia="zh-CN"/>
        </w:rPr>
        <w:t xml:space="preserve">（2）提升极限限位时，使载重小车与吊钩滑轮的最小距离不小于 3 米时，调动（1Z）轴，使凸轮（1T）动作并压下微动开关（1WK）换接。拧紧 M5 螺母； </w:t>
      </w:r>
    </w:p>
    <w:p w14:paraId="1FE6428D">
      <w:pPr>
        <w:pStyle w:val="305"/>
        <w:bidi w:val="0"/>
        <w:outlineLvl w:val="9"/>
        <w:rPr>
          <w:rFonts w:hint="eastAsia"/>
          <w:b w:val="0"/>
          <w:bCs w:val="0"/>
          <w:lang w:val="en-US" w:eastAsia="zh-CN"/>
        </w:rPr>
      </w:pPr>
      <w:r>
        <w:rPr>
          <w:rFonts w:hint="eastAsia"/>
          <w:b w:val="0"/>
          <w:bCs w:val="0"/>
          <w:lang w:val="en-US" w:eastAsia="zh-CN"/>
        </w:rPr>
        <w:t xml:space="preserve">（3） 用户根据需要可通过 2WK 以防止操作失误，使下降时吊钩再接触地面前（确保卷筒上不少于 3 圈钢丝绳），能终止下降运动，其调整方法同 4.4.13.2.1 条（2Z-2T-2WK）； </w:t>
      </w:r>
    </w:p>
    <w:p w14:paraId="4F87B37A">
      <w:pPr>
        <w:pStyle w:val="305"/>
        <w:bidi w:val="0"/>
        <w:outlineLvl w:val="9"/>
        <w:rPr>
          <w:rFonts w:hint="eastAsia"/>
          <w:b w:val="0"/>
          <w:bCs w:val="0"/>
          <w:lang w:val="en-US" w:eastAsia="zh-CN"/>
        </w:rPr>
      </w:pPr>
      <w:r>
        <w:rPr>
          <w:rFonts w:hint="eastAsia"/>
          <w:b w:val="0"/>
          <w:bCs w:val="0"/>
          <w:lang w:val="en-US" w:eastAsia="zh-CN"/>
        </w:rPr>
        <w:t>（4）更换钢丝绳后必须重新调整高度限位器，特别是提升极限限位器的调整。</w:t>
      </w:r>
    </w:p>
    <w:p w14:paraId="2DC22741">
      <w:pPr>
        <w:pStyle w:val="305"/>
        <w:bidi w:val="0"/>
        <w:outlineLvl w:val="9"/>
        <w:rPr>
          <w:rFonts w:hint="eastAsia"/>
          <w:b w:val="0"/>
          <w:bCs w:val="0"/>
          <w:lang w:val="en-US" w:eastAsia="zh-CN"/>
        </w:rPr>
      </w:pPr>
      <w:r>
        <w:rPr>
          <w:rFonts w:hint="eastAsia"/>
          <w:b w:val="0"/>
          <w:bCs w:val="0"/>
          <w:lang w:val="en-US" w:eastAsia="zh-CN"/>
        </w:rPr>
        <w:t>3） 回转限位器调整方法</w:t>
      </w:r>
    </w:p>
    <w:p w14:paraId="2E3DB443">
      <w:pPr>
        <w:pStyle w:val="305"/>
        <w:bidi w:val="0"/>
        <w:outlineLvl w:val="9"/>
        <w:rPr>
          <w:rFonts w:hint="eastAsia"/>
          <w:b w:val="0"/>
          <w:bCs w:val="0"/>
          <w:lang w:val="en-US" w:eastAsia="zh-CN"/>
        </w:rPr>
      </w:pPr>
      <w:r>
        <w:rPr>
          <w:rFonts w:hint="eastAsia"/>
          <w:b w:val="0"/>
          <w:bCs w:val="0"/>
          <w:lang w:val="en-US" w:eastAsia="zh-CN"/>
        </w:rPr>
        <w:t xml:space="preserve">（1）在电缆处于自由状态时调整回转限位器； </w:t>
      </w:r>
    </w:p>
    <w:p w14:paraId="6FA487A3">
      <w:pPr>
        <w:pStyle w:val="305"/>
        <w:bidi w:val="0"/>
        <w:outlineLvl w:val="9"/>
        <w:rPr>
          <w:rFonts w:hint="eastAsia"/>
          <w:b w:val="0"/>
          <w:bCs w:val="0"/>
          <w:lang w:val="en-US" w:eastAsia="zh-CN"/>
        </w:rPr>
      </w:pPr>
      <w:r>
        <w:rPr>
          <w:rFonts w:hint="eastAsia"/>
          <w:b w:val="0"/>
          <w:bCs w:val="0"/>
          <w:lang w:val="en-US" w:eastAsia="zh-CN"/>
        </w:rPr>
        <w:t xml:space="preserve">（2）调整在空载下进行，用手指逐个压下微动开关（WK）确认控制左右方向的微动开关（WK）是否正确； </w:t>
      </w:r>
    </w:p>
    <w:p w14:paraId="155052DB">
      <w:pPr>
        <w:pStyle w:val="305"/>
        <w:bidi w:val="0"/>
        <w:outlineLvl w:val="9"/>
        <w:rPr>
          <w:rFonts w:hint="eastAsia"/>
          <w:b w:val="0"/>
          <w:bCs w:val="0"/>
          <w:lang w:val="en-US" w:eastAsia="zh-CN"/>
        </w:rPr>
      </w:pPr>
      <w:r>
        <w:rPr>
          <w:rFonts w:hint="eastAsia"/>
          <w:b w:val="0"/>
          <w:bCs w:val="0"/>
          <w:lang w:val="en-US" w:eastAsia="zh-CN"/>
        </w:rPr>
        <w:t xml:space="preserve">（3）向左回转 540°（1.5 圈）按 4.4.13.2.1 条程序，调动调整轴（4Z），使凸轮（4T）动作至微动开关（4WK）瞬时换接，然后拧紧 M5 螺母； </w:t>
      </w:r>
    </w:p>
    <w:p w14:paraId="14C9A0DC">
      <w:pPr>
        <w:pStyle w:val="305"/>
        <w:bidi w:val="0"/>
        <w:outlineLvl w:val="9"/>
        <w:rPr>
          <w:rFonts w:hint="eastAsia"/>
          <w:b w:val="0"/>
          <w:bCs w:val="0"/>
          <w:lang w:val="en-US" w:eastAsia="zh-CN"/>
        </w:rPr>
      </w:pPr>
      <w:r>
        <w:rPr>
          <w:rFonts w:hint="eastAsia"/>
          <w:b w:val="0"/>
          <w:bCs w:val="0"/>
          <w:lang w:val="en-US" w:eastAsia="zh-CN"/>
        </w:rPr>
        <w:t xml:space="preserve">（4） 向右回转 1080°（3 圈）按 4.4.13.2.1 条程序，调动调整轴（1Z），使凸轮（1T）动作至微动开关（1WK）瞬时换接，并拧紧 M5 螺母； </w:t>
      </w:r>
    </w:p>
    <w:p w14:paraId="56AAAFE5">
      <w:pPr>
        <w:pStyle w:val="305"/>
        <w:bidi w:val="0"/>
        <w:outlineLvl w:val="9"/>
        <w:rPr>
          <w:rFonts w:hint="eastAsia"/>
          <w:b w:val="0"/>
          <w:bCs w:val="0"/>
          <w:lang w:val="en-US" w:eastAsia="zh-CN"/>
        </w:rPr>
      </w:pPr>
      <w:r>
        <w:rPr>
          <w:rFonts w:hint="eastAsia"/>
          <w:b w:val="0"/>
          <w:bCs w:val="0"/>
          <w:lang w:val="en-US" w:eastAsia="zh-CN"/>
        </w:rPr>
        <w:t xml:space="preserve">（5） 验证左右回转动作。 </w:t>
      </w:r>
    </w:p>
    <w:p w14:paraId="0CC1672C">
      <w:pPr>
        <w:pStyle w:val="305"/>
        <w:bidi w:val="0"/>
        <w:outlineLvl w:val="9"/>
        <w:rPr>
          <w:rFonts w:hint="eastAsia"/>
          <w:b w:val="0"/>
          <w:bCs w:val="0"/>
          <w:lang w:val="en-US" w:eastAsia="zh-CN"/>
        </w:rPr>
      </w:pPr>
      <w:r>
        <w:rPr>
          <w:rFonts w:hint="eastAsia"/>
          <w:b w:val="0"/>
          <w:bCs w:val="0"/>
          <w:lang w:val="en-US" w:eastAsia="zh-CN"/>
        </w:rPr>
        <w:t xml:space="preserve">4）幅度限位器的调整方法（调整程序同4.4.13.2.1 条） </w:t>
      </w:r>
    </w:p>
    <w:p w14:paraId="42D3735B">
      <w:pPr>
        <w:pStyle w:val="305"/>
        <w:bidi w:val="0"/>
        <w:outlineLvl w:val="9"/>
        <w:rPr>
          <w:rFonts w:hint="eastAsia"/>
          <w:b w:val="0"/>
          <w:bCs w:val="0"/>
          <w:lang w:val="en-US" w:eastAsia="zh-CN"/>
        </w:rPr>
      </w:pPr>
      <w:r>
        <w:rPr>
          <w:rFonts w:hint="eastAsia"/>
          <w:b w:val="0"/>
          <w:bCs w:val="0"/>
          <w:lang w:val="en-US" w:eastAsia="zh-CN"/>
        </w:rPr>
        <w:t xml:space="preserve">（1） 向外变幅及减速和起重臂臂头极限限位：将载重小车开到距离起重臂臂头缓冲器1.5m 处，调整轴（2Z）使记忆凸轮（2T）转至将微动开关（2WK）动作换接。（调整时应同时使凸轮（3T）与（2T）重叠，以避免在制动前发生减速干扰），并拧紧 M5 螺母，再将载重小车开至起重臂臂尖缓冲器 500mm 处按程序调整轴（1Z）使（1T）转至将微动开关（1WK）动作，拧紧 M5 螺母； </w:t>
      </w:r>
    </w:p>
    <w:p w14:paraId="7CE162A6">
      <w:pPr>
        <w:pStyle w:val="305"/>
        <w:bidi w:val="0"/>
        <w:outlineLvl w:val="9"/>
        <w:rPr>
          <w:rFonts w:hint="eastAsia"/>
          <w:b w:val="0"/>
          <w:bCs w:val="0"/>
          <w:lang w:val="en-US" w:eastAsia="zh-CN"/>
        </w:rPr>
      </w:pPr>
      <w:r>
        <w:rPr>
          <w:rFonts w:hint="eastAsia"/>
          <w:b w:val="0"/>
          <w:bCs w:val="0"/>
          <w:lang w:val="en-US" w:eastAsia="zh-CN"/>
        </w:rPr>
        <w:t xml:space="preserve">（2） 向内变幅及减速和起重臂臂根限位：调整方法同“（1）”，分别距起重臂臂根缓冲器 1.5m 和 500mm 处进行（3Z-3T-3WK，4Z-4T-4WK）减速和起重臂臂根限位和调整。 </w:t>
      </w:r>
    </w:p>
    <w:p w14:paraId="1D7E44F0">
      <w:pPr>
        <w:pStyle w:val="305"/>
        <w:bidi w:val="0"/>
        <w:outlineLvl w:val="9"/>
        <w:rPr>
          <w:rFonts w:hint="eastAsia"/>
          <w:b w:val="0"/>
          <w:bCs w:val="0"/>
          <w:lang w:val="en-US" w:eastAsia="zh-CN"/>
        </w:rPr>
      </w:pPr>
      <w:r>
        <w:rPr>
          <w:rFonts w:hint="eastAsia"/>
          <w:b w:val="0"/>
          <w:bCs w:val="0"/>
          <w:lang w:val="en-US" w:eastAsia="zh-CN"/>
        </w:rPr>
        <w:t xml:space="preserve">（3） 验证和修正。 </w:t>
      </w:r>
    </w:p>
    <w:p w14:paraId="71FDC081">
      <w:pPr>
        <w:pStyle w:val="305"/>
        <w:bidi w:val="0"/>
        <w:outlineLvl w:val="9"/>
        <w:rPr>
          <w:rFonts w:hint="eastAsia"/>
          <w:b w:val="0"/>
          <w:bCs w:val="0"/>
          <w:lang w:val="en-US" w:eastAsia="zh-CN"/>
        </w:rPr>
      </w:pPr>
      <w:r>
        <w:rPr>
          <w:rFonts w:hint="eastAsia"/>
          <w:b w:val="0"/>
          <w:bCs w:val="0"/>
          <w:lang w:val="en-US" w:eastAsia="zh-CN"/>
        </w:rPr>
        <w:t>力矩限制器</w:t>
      </w:r>
    </w:p>
    <w:p w14:paraId="39B7B2B6">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828030" cy="1584325"/>
            <wp:effectExtent l="0" t="0" r="1270" b="15875"/>
            <wp:docPr id="103" name="图片 103" descr="1642649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642649879(1)"/>
                    <pic:cNvPicPr>
                      <a:picLocks noChangeAspect="1"/>
                    </pic:cNvPicPr>
                  </pic:nvPicPr>
                  <pic:blipFill>
                    <a:blip r:embed="rId48"/>
                    <a:stretch>
                      <a:fillRect/>
                    </a:stretch>
                  </pic:blipFill>
                  <pic:spPr>
                    <a:xfrm>
                      <a:off x="0" y="0"/>
                      <a:ext cx="5828030" cy="1584325"/>
                    </a:xfrm>
                    <a:prstGeom prst="rect">
                      <a:avLst/>
                    </a:prstGeom>
                  </pic:spPr>
                </pic:pic>
              </a:graphicData>
            </a:graphic>
          </wp:inline>
        </w:drawing>
      </w:r>
    </w:p>
    <w:p w14:paraId="68B69B55">
      <w:pPr>
        <w:pStyle w:val="305"/>
        <w:bidi w:val="0"/>
        <w:jc w:val="center"/>
        <w:outlineLvl w:val="9"/>
        <w:rPr>
          <w:rFonts w:hint="eastAsia"/>
          <w:b w:val="0"/>
          <w:bCs w:val="0"/>
          <w:lang w:val="en-US" w:eastAsia="zh-CN"/>
        </w:rPr>
      </w:pPr>
      <w:r>
        <w:rPr>
          <w:rFonts w:hint="eastAsia"/>
          <w:b w:val="0"/>
          <w:bCs w:val="0"/>
          <w:lang w:val="en-US" w:eastAsia="zh-CN"/>
        </w:rPr>
        <w:t>图6.3-19力矩限制器结构示意图</w:t>
      </w:r>
    </w:p>
    <w:p w14:paraId="4B630925">
      <w:pPr>
        <w:pStyle w:val="305"/>
        <w:bidi w:val="0"/>
        <w:outlineLvl w:val="9"/>
        <w:rPr>
          <w:rFonts w:hint="eastAsia"/>
          <w:b w:val="0"/>
          <w:bCs w:val="0"/>
          <w:lang w:val="en-US" w:eastAsia="zh-CN"/>
        </w:rPr>
      </w:pPr>
      <w:r>
        <w:rPr>
          <w:rFonts w:hint="eastAsia"/>
          <w:b w:val="0"/>
          <w:bCs w:val="0"/>
          <w:lang w:val="en-US" w:eastAsia="zh-CN"/>
        </w:rPr>
        <w:t>1） 力矩限制器的调整</w:t>
      </w:r>
    </w:p>
    <w:p w14:paraId="1BE6EEBA">
      <w:pPr>
        <w:pStyle w:val="305"/>
        <w:bidi w:val="0"/>
        <w:outlineLvl w:val="9"/>
        <w:rPr>
          <w:rFonts w:hint="eastAsia"/>
          <w:b w:val="0"/>
          <w:bCs w:val="0"/>
          <w:lang w:val="en-US" w:eastAsia="zh-CN"/>
        </w:rPr>
      </w:pPr>
      <w:r>
        <w:rPr>
          <w:rFonts w:hint="eastAsia"/>
          <w:b w:val="0"/>
          <w:bCs w:val="0"/>
          <w:lang w:val="en-US" w:eastAsia="zh-CN"/>
        </w:rPr>
        <w:t>警告：调整力矩限制器之前，必须首先确认本塔机的额定力矩之后，再查找对应的数据进行调试。</w:t>
      </w:r>
    </w:p>
    <w:p w14:paraId="410EF7ED">
      <w:pPr>
        <w:pStyle w:val="305"/>
        <w:bidi w:val="0"/>
        <w:outlineLvl w:val="9"/>
        <w:rPr>
          <w:rFonts w:hint="eastAsia"/>
          <w:b w:val="0"/>
          <w:bCs w:val="0"/>
          <w:lang w:val="en-US" w:eastAsia="zh-CN"/>
        </w:rPr>
      </w:pPr>
      <w:r>
        <w:rPr>
          <w:rFonts w:hint="eastAsia"/>
          <w:b w:val="0"/>
          <w:bCs w:val="0"/>
          <w:lang w:val="en-US" w:eastAsia="zh-CN"/>
        </w:rPr>
        <w:t xml:space="preserve">（1）调整定幅变码力矩限制器 </w:t>
      </w:r>
      <w:r>
        <w:rPr>
          <w:rFonts w:hint="default"/>
          <w:b w:val="0"/>
          <w:bCs w:val="0"/>
          <w:lang w:val="en-US" w:eastAsia="zh-CN"/>
        </w:rPr>
        <w:t xml:space="preserve">CLK1 </w:t>
      </w:r>
    </w:p>
    <w:p w14:paraId="0E63F606">
      <w:pPr>
        <w:pStyle w:val="305"/>
        <w:bidi w:val="0"/>
        <w:outlineLvl w:val="9"/>
        <w:rPr>
          <w:rFonts w:hint="eastAsia"/>
          <w:b w:val="0"/>
          <w:bCs w:val="0"/>
          <w:lang w:val="en-US" w:eastAsia="zh-CN"/>
        </w:rPr>
      </w:pPr>
      <w:r>
        <w:rPr>
          <w:rFonts w:hint="eastAsia"/>
          <w:b w:val="0"/>
          <w:bCs w:val="0"/>
          <w:lang w:val="en-US" w:eastAsia="zh-CN"/>
        </w:rPr>
        <w:t xml:space="preserve">各参数见表 </w:t>
      </w:r>
      <w:r>
        <w:rPr>
          <w:rFonts w:hint="default"/>
          <w:b w:val="0"/>
          <w:bCs w:val="0"/>
          <w:lang w:val="en-US" w:eastAsia="zh-CN"/>
        </w:rPr>
        <w:t>4</w:t>
      </w:r>
      <w:r>
        <w:rPr>
          <w:rFonts w:hint="eastAsia"/>
          <w:b w:val="0"/>
          <w:bCs w:val="0"/>
          <w:lang w:val="en-US" w:eastAsia="zh-CN"/>
        </w:rPr>
        <w:t xml:space="preserve">.5.2－1，重复 </w:t>
      </w:r>
      <w:r>
        <w:rPr>
          <w:rFonts w:hint="default"/>
          <w:b w:val="0"/>
          <w:bCs w:val="0"/>
          <w:lang w:val="en-US" w:eastAsia="zh-CN"/>
        </w:rPr>
        <w:t xml:space="preserve">3 </w:t>
      </w:r>
      <w:r>
        <w:rPr>
          <w:rFonts w:hint="eastAsia"/>
          <w:b w:val="0"/>
          <w:bCs w:val="0"/>
          <w:lang w:val="en-US" w:eastAsia="zh-CN"/>
        </w:rPr>
        <w:t>次，均应满足要求。</w:t>
      </w:r>
    </w:p>
    <w:p w14:paraId="3D1F770A">
      <w:pPr>
        <w:pStyle w:val="305"/>
        <w:bidi w:val="0"/>
        <w:outlineLvl w:val="9"/>
        <w:rPr>
          <w:rFonts w:hint="eastAsia"/>
          <w:b w:val="0"/>
          <w:bCs w:val="0"/>
          <w:lang w:val="en-US" w:eastAsia="zh-CN"/>
        </w:rPr>
      </w:pPr>
      <w:r>
        <w:rPr>
          <w:rFonts w:hint="eastAsia"/>
          <w:b w:val="0"/>
          <w:bCs w:val="0"/>
          <w:lang w:val="en-US" w:eastAsia="zh-CN"/>
        </w:rPr>
        <w:t xml:space="preserve">在最大工作幅度 </w:t>
      </w:r>
      <w:r>
        <w:rPr>
          <w:rFonts w:hint="default"/>
          <w:b w:val="0"/>
          <w:bCs w:val="0"/>
          <w:lang w:val="en-US" w:eastAsia="zh-CN"/>
        </w:rPr>
        <w:t xml:space="preserve">Ro </w:t>
      </w:r>
      <w:r>
        <w:rPr>
          <w:rFonts w:hint="eastAsia"/>
          <w:b w:val="0"/>
          <w:bCs w:val="0"/>
          <w:lang w:val="en-US" w:eastAsia="zh-CN"/>
        </w:rPr>
        <w:t xml:space="preserve">处以正常工作速度起升额定起重量 </w:t>
      </w:r>
      <w:r>
        <w:rPr>
          <w:rFonts w:hint="default"/>
          <w:b w:val="0"/>
          <w:bCs w:val="0"/>
          <w:lang w:val="en-US" w:eastAsia="zh-CN"/>
        </w:rPr>
        <w:t>Qo</w:t>
      </w:r>
      <w:r>
        <w:rPr>
          <w:rFonts w:hint="eastAsia"/>
          <w:b w:val="0"/>
          <w:bCs w:val="0"/>
          <w:lang w:val="en-US" w:eastAsia="zh-CN"/>
        </w:rPr>
        <w:t xml:space="preserve">，力矩限制器不应动作，能够正常起升。载荷落地，加至 </w:t>
      </w:r>
      <w:r>
        <w:rPr>
          <w:rFonts w:hint="default"/>
          <w:b w:val="0"/>
          <w:bCs w:val="0"/>
          <w:lang w:val="en-US" w:eastAsia="zh-CN"/>
        </w:rPr>
        <w:t xml:space="preserve">1.1Qo </w:t>
      </w:r>
      <w:r>
        <w:rPr>
          <w:rFonts w:hint="eastAsia"/>
          <w:b w:val="0"/>
          <w:bCs w:val="0"/>
          <w:lang w:val="en-US" w:eastAsia="zh-CN"/>
        </w:rPr>
        <w:t>后以最慢速度起升，力矩限制器应动作，载荷不能起升，并输出报警信号。</w:t>
      </w:r>
    </w:p>
    <w:p w14:paraId="1369FA5E">
      <w:pPr>
        <w:pStyle w:val="305"/>
        <w:bidi w:val="0"/>
        <w:outlineLvl w:val="9"/>
        <w:rPr>
          <w:rFonts w:hint="eastAsia"/>
          <w:b w:val="0"/>
          <w:bCs w:val="0"/>
          <w:lang w:val="en-US" w:eastAsia="zh-CN"/>
        </w:rPr>
      </w:pPr>
      <w:r>
        <w:rPr>
          <w:rFonts w:hint="eastAsia"/>
          <w:b w:val="0"/>
          <w:bCs w:val="0"/>
          <w:lang w:val="en-US" w:eastAsia="zh-CN"/>
        </w:rPr>
        <w:t xml:space="preserve">在 </w:t>
      </w:r>
      <w:r>
        <w:rPr>
          <w:rFonts w:hint="default"/>
          <w:b w:val="0"/>
          <w:bCs w:val="0"/>
          <w:lang w:val="en-US" w:eastAsia="zh-CN"/>
        </w:rPr>
        <w:t xml:space="preserve">0.7 </w:t>
      </w:r>
      <w:r>
        <w:rPr>
          <w:rFonts w:hint="eastAsia"/>
          <w:b w:val="0"/>
          <w:bCs w:val="0"/>
          <w:lang w:val="en-US" w:eastAsia="zh-CN"/>
        </w:rPr>
        <w:t>倍最大额定起重量（</w:t>
      </w:r>
      <w:r>
        <w:rPr>
          <w:rFonts w:hint="default"/>
          <w:b w:val="0"/>
          <w:bCs w:val="0"/>
          <w:lang w:val="en-US" w:eastAsia="zh-CN"/>
        </w:rPr>
        <w:t>0.7Qm</w:t>
      </w:r>
      <w:r>
        <w:rPr>
          <w:rFonts w:hint="eastAsia"/>
          <w:b w:val="0"/>
          <w:bCs w:val="0"/>
          <w:lang w:val="en-US" w:eastAsia="zh-CN"/>
        </w:rPr>
        <w:t>）相应允许的工作幅度（</w:t>
      </w:r>
      <w:r>
        <w:rPr>
          <w:rFonts w:hint="default"/>
          <w:b w:val="0"/>
          <w:bCs w:val="0"/>
          <w:lang w:val="en-US" w:eastAsia="zh-CN"/>
        </w:rPr>
        <w:t>R0.7</w:t>
      </w:r>
      <w:r>
        <w:rPr>
          <w:rFonts w:hint="eastAsia"/>
          <w:b w:val="0"/>
          <w:bCs w:val="0"/>
          <w:lang w:val="en-US" w:eastAsia="zh-CN"/>
        </w:rPr>
        <w:t xml:space="preserve">）处，以正常工作速度起升 </w:t>
      </w:r>
      <w:r>
        <w:rPr>
          <w:rFonts w:hint="default"/>
          <w:b w:val="0"/>
          <w:bCs w:val="0"/>
          <w:lang w:val="en-US" w:eastAsia="zh-CN"/>
        </w:rPr>
        <w:t xml:space="preserve">0.7 </w:t>
      </w:r>
      <w:r>
        <w:rPr>
          <w:rFonts w:hint="eastAsia"/>
          <w:b w:val="0"/>
          <w:bCs w:val="0"/>
          <w:lang w:val="en-US" w:eastAsia="zh-CN"/>
        </w:rPr>
        <w:t>倍最大额定起重量（</w:t>
      </w:r>
      <w:r>
        <w:rPr>
          <w:rFonts w:hint="default"/>
          <w:b w:val="0"/>
          <w:bCs w:val="0"/>
          <w:lang w:val="en-US" w:eastAsia="zh-CN"/>
        </w:rPr>
        <w:t>0.7Qm</w:t>
      </w:r>
      <w:r>
        <w:rPr>
          <w:rFonts w:hint="eastAsia"/>
          <w:b w:val="0"/>
          <w:bCs w:val="0"/>
          <w:lang w:val="en-US" w:eastAsia="zh-CN"/>
        </w:rPr>
        <w:t xml:space="preserve">），力矩限制器不应动作，能够正常起升。载荷落地，加至 </w:t>
      </w:r>
      <w:r>
        <w:rPr>
          <w:rFonts w:hint="default"/>
          <w:b w:val="0"/>
          <w:bCs w:val="0"/>
          <w:lang w:val="en-US" w:eastAsia="zh-CN"/>
        </w:rPr>
        <w:t xml:space="preserve">0.77 Qm </w:t>
      </w:r>
      <w:r>
        <w:rPr>
          <w:rFonts w:hint="eastAsia"/>
          <w:b w:val="0"/>
          <w:bCs w:val="0"/>
          <w:lang w:val="en-US" w:eastAsia="zh-CN"/>
        </w:rPr>
        <w:t>后以最慢速度起升，力矩限制器应动作，载荷不能起升，并输出报警信号。</w:t>
      </w:r>
    </w:p>
    <w:p w14:paraId="64307A71">
      <w:pPr>
        <w:pStyle w:val="305"/>
        <w:bidi w:val="0"/>
        <w:jc w:val="center"/>
        <w:outlineLvl w:val="9"/>
        <w:rPr>
          <w:rFonts w:hint="eastAsia"/>
          <w:b w:val="0"/>
          <w:bCs w:val="0"/>
          <w:lang w:val="en-US" w:eastAsia="zh-CN"/>
        </w:rPr>
      </w:pPr>
      <w:r>
        <w:rPr>
          <w:rFonts w:hint="eastAsia"/>
          <w:b w:val="0"/>
          <w:bCs w:val="0"/>
          <w:lang w:val="en-US" w:eastAsia="zh-CN"/>
        </w:rPr>
        <w:t>表6.3-3力矩限制器定幅变码调试的载荷及幅度表</w:t>
      </w:r>
    </w:p>
    <w:p w14:paraId="797AE7FE">
      <w:pPr>
        <w:pStyle w:val="305"/>
        <w:bidi w:val="0"/>
        <w:jc w:val="center"/>
        <w:outlineLvl w:val="9"/>
        <w:rPr>
          <w:rFonts w:hint="default"/>
          <w:b w:val="0"/>
          <w:bCs w:val="0"/>
          <w:lang w:val="en-US" w:eastAsia="zh-CN"/>
        </w:rPr>
      </w:pPr>
      <w:r>
        <w:rPr>
          <w:rFonts w:hint="default"/>
          <w:b w:val="0"/>
          <w:bCs w:val="0"/>
          <w:lang w:val="en-US" w:eastAsia="zh-CN"/>
        </w:rPr>
        <w:drawing>
          <wp:inline distT="0" distB="0" distL="114300" distR="114300">
            <wp:extent cx="5324475" cy="2600325"/>
            <wp:effectExtent l="0" t="0" r="9525" b="9525"/>
            <wp:docPr id="104" name="图片 104" descr="1642650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42650497(1)"/>
                    <pic:cNvPicPr>
                      <a:picLocks noChangeAspect="1"/>
                    </pic:cNvPicPr>
                  </pic:nvPicPr>
                  <pic:blipFill>
                    <a:blip r:embed="rId49"/>
                    <a:stretch>
                      <a:fillRect/>
                    </a:stretch>
                  </pic:blipFill>
                  <pic:spPr>
                    <a:xfrm>
                      <a:off x="0" y="0"/>
                      <a:ext cx="5324475" cy="2600325"/>
                    </a:xfrm>
                    <a:prstGeom prst="rect">
                      <a:avLst/>
                    </a:prstGeom>
                  </pic:spPr>
                </pic:pic>
              </a:graphicData>
            </a:graphic>
          </wp:inline>
        </w:drawing>
      </w:r>
    </w:p>
    <w:p w14:paraId="3182F6F5">
      <w:pPr>
        <w:pStyle w:val="305"/>
        <w:bidi w:val="0"/>
        <w:outlineLvl w:val="9"/>
        <w:rPr>
          <w:rFonts w:hint="eastAsia"/>
          <w:b w:val="0"/>
          <w:bCs w:val="0"/>
          <w:lang w:val="en-US" w:eastAsia="zh-CN"/>
        </w:rPr>
      </w:pPr>
      <w:r>
        <w:rPr>
          <w:rFonts w:hint="eastAsia"/>
          <w:b w:val="0"/>
          <w:bCs w:val="0"/>
          <w:lang w:val="en-US" w:eastAsia="zh-CN"/>
        </w:rPr>
        <w:t xml:space="preserve">（2）调整定码变幅力矩限制器 </w:t>
      </w:r>
      <w:r>
        <w:rPr>
          <w:rFonts w:hint="default"/>
          <w:b w:val="0"/>
          <w:bCs w:val="0"/>
          <w:lang w:val="en-US" w:eastAsia="zh-CN"/>
        </w:rPr>
        <w:t xml:space="preserve">CLK2 </w:t>
      </w:r>
      <w:r>
        <w:rPr>
          <w:rFonts w:hint="eastAsia"/>
          <w:b w:val="0"/>
          <w:bCs w:val="0"/>
          <w:lang w:val="en-US" w:eastAsia="zh-CN"/>
        </w:rPr>
        <w:t xml:space="preserve">和定码变幅 </w:t>
      </w:r>
      <w:r>
        <w:rPr>
          <w:rFonts w:hint="default"/>
          <w:b w:val="0"/>
          <w:bCs w:val="0"/>
          <w:lang w:val="en-US" w:eastAsia="zh-CN"/>
        </w:rPr>
        <w:t>80%</w:t>
      </w:r>
      <w:r>
        <w:rPr>
          <w:rFonts w:hint="eastAsia"/>
          <w:b w:val="0"/>
          <w:bCs w:val="0"/>
          <w:lang w:val="en-US" w:eastAsia="zh-CN"/>
        </w:rPr>
        <w:t xml:space="preserve">力矩限制器 </w:t>
      </w:r>
      <w:r>
        <w:rPr>
          <w:rFonts w:hint="default"/>
          <w:b w:val="0"/>
          <w:bCs w:val="0"/>
          <w:lang w:val="en-US" w:eastAsia="zh-CN"/>
        </w:rPr>
        <w:t>CLK3</w:t>
      </w:r>
      <w:r>
        <w:rPr>
          <w:rFonts w:hint="eastAsia"/>
          <w:b w:val="0"/>
          <w:bCs w:val="0"/>
          <w:lang w:val="en-US" w:eastAsia="zh-CN"/>
        </w:rPr>
        <w:t>：</w:t>
      </w:r>
    </w:p>
    <w:p w14:paraId="49CB8F69">
      <w:pPr>
        <w:pStyle w:val="305"/>
        <w:bidi w:val="0"/>
        <w:outlineLvl w:val="9"/>
        <w:rPr>
          <w:rFonts w:hint="eastAsia"/>
          <w:b w:val="0"/>
          <w:bCs w:val="0"/>
          <w:lang w:val="en-US" w:eastAsia="zh-CN"/>
        </w:rPr>
      </w:pPr>
      <w:r>
        <w:rPr>
          <w:rFonts w:hint="eastAsia"/>
          <w:b w:val="0"/>
          <w:bCs w:val="0"/>
          <w:lang w:val="en-US" w:eastAsia="zh-CN"/>
        </w:rPr>
        <w:t xml:space="preserve">各参数见表 </w:t>
      </w:r>
      <w:r>
        <w:rPr>
          <w:rFonts w:hint="default"/>
          <w:b w:val="0"/>
          <w:bCs w:val="0"/>
          <w:lang w:val="en-US" w:eastAsia="zh-CN"/>
        </w:rPr>
        <w:t>4.</w:t>
      </w:r>
      <w:r>
        <w:rPr>
          <w:rFonts w:hint="eastAsia"/>
          <w:b w:val="0"/>
          <w:bCs w:val="0"/>
          <w:lang w:val="en-US" w:eastAsia="zh-CN"/>
        </w:rPr>
        <w:t>5.</w:t>
      </w:r>
      <w:r>
        <w:rPr>
          <w:rFonts w:hint="default"/>
          <w:b w:val="0"/>
          <w:bCs w:val="0"/>
          <w:lang w:val="en-US" w:eastAsia="zh-CN"/>
        </w:rPr>
        <w:t>2</w:t>
      </w:r>
      <w:r>
        <w:rPr>
          <w:rFonts w:hint="eastAsia"/>
          <w:b w:val="0"/>
          <w:bCs w:val="0"/>
          <w:lang w:val="en-US" w:eastAsia="zh-CN"/>
        </w:rPr>
        <w:t>－</w:t>
      </w:r>
      <w:r>
        <w:rPr>
          <w:rFonts w:hint="default"/>
          <w:b w:val="0"/>
          <w:bCs w:val="0"/>
          <w:lang w:val="en-US" w:eastAsia="zh-CN"/>
        </w:rPr>
        <w:t>2</w:t>
      </w: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次，均应满足要求。</w:t>
      </w:r>
    </w:p>
    <w:p w14:paraId="130462D6">
      <w:pPr>
        <w:pStyle w:val="305"/>
        <w:bidi w:val="0"/>
        <w:outlineLvl w:val="9"/>
        <w:rPr>
          <w:rFonts w:hint="eastAsia"/>
          <w:b w:val="0"/>
          <w:bCs w:val="0"/>
          <w:lang w:val="en-US" w:eastAsia="zh-CN"/>
        </w:rPr>
      </w:pPr>
      <w:r>
        <w:rPr>
          <w:rFonts w:hint="eastAsia"/>
          <w:b w:val="0"/>
          <w:bCs w:val="0"/>
          <w:lang w:val="en-US" w:eastAsia="zh-CN"/>
        </w:rPr>
        <w:t>空载测定对应最大额定起重量（</w:t>
      </w:r>
      <w:r>
        <w:rPr>
          <w:rFonts w:hint="default"/>
          <w:b w:val="0"/>
          <w:bCs w:val="0"/>
          <w:lang w:val="en-US" w:eastAsia="zh-CN"/>
        </w:rPr>
        <w:t>Qm</w:t>
      </w:r>
      <w:r>
        <w:rPr>
          <w:rFonts w:hint="eastAsia"/>
          <w:b w:val="0"/>
          <w:bCs w:val="0"/>
          <w:lang w:val="en-US" w:eastAsia="zh-CN"/>
        </w:rPr>
        <w:t xml:space="preserve">）的最大工作幅度 </w:t>
      </w:r>
      <w:r>
        <w:rPr>
          <w:rFonts w:hint="default"/>
          <w:b w:val="0"/>
          <w:bCs w:val="0"/>
          <w:lang w:val="en-US" w:eastAsia="zh-CN"/>
        </w:rPr>
        <w:t>Rm</w:t>
      </w:r>
      <w:r>
        <w:rPr>
          <w:rFonts w:hint="eastAsia"/>
          <w:b w:val="0"/>
          <w:bCs w:val="0"/>
          <w:lang w:val="en-US" w:eastAsia="zh-CN"/>
        </w:rPr>
        <w:t>、</w:t>
      </w:r>
      <w:r>
        <w:rPr>
          <w:rFonts w:hint="default"/>
          <w:b w:val="0"/>
          <w:bCs w:val="0"/>
          <w:lang w:val="en-US" w:eastAsia="zh-CN"/>
        </w:rPr>
        <w:t xml:space="preserve">0.8Rm </w:t>
      </w:r>
      <w:r>
        <w:rPr>
          <w:rFonts w:hint="eastAsia"/>
          <w:b w:val="0"/>
          <w:bCs w:val="0"/>
          <w:lang w:val="en-US" w:eastAsia="zh-CN"/>
        </w:rPr>
        <w:t xml:space="preserve">及 </w:t>
      </w:r>
      <w:r>
        <w:rPr>
          <w:rFonts w:hint="default"/>
          <w:b w:val="0"/>
          <w:bCs w:val="0"/>
          <w:lang w:val="en-US" w:eastAsia="zh-CN"/>
        </w:rPr>
        <w:t xml:space="preserve">1.1Rm </w:t>
      </w:r>
      <w:r>
        <w:rPr>
          <w:rFonts w:hint="eastAsia"/>
          <w:b w:val="0"/>
          <w:bCs w:val="0"/>
          <w:lang w:val="en-US" w:eastAsia="zh-CN"/>
        </w:rPr>
        <w:t>值，并在地面标记。在小幅度处起升最大额定起重量（</w:t>
      </w:r>
      <w:r>
        <w:rPr>
          <w:rFonts w:hint="default"/>
          <w:b w:val="0"/>
          <w:bCs w:val="0"/>
          <w:lang w:val="en-US" w:eastAsia="zh-CN"/>
        </w:rPr>
        <w:t>Qm</w:t>
      </w:r>
      <w:r>
        <w:rPr>
          <w:rFonts w:hint="eastAsia"/>
          <w:b w:val="0"/>
          <w:bCs w:val="0"/>
          <w:lang w:val="en-US" w:eastAsia="zh-CN"/>
        </w:rPr>
        <w:t xml:space="preserve">）离地 </w:t>
      </w:r>
      <w:r>
        <w:rPr>
          <w:rFonts w:hint="default"/>
          <w:b w:val="0"/>
          <w:bCs w:val="0"/>
          <w:lang w:val="en-US" w:eastAsia="zh-CN"/>
        </w:rPr>
        <w:t xml:space="preserve">1m </w:t>
      </w:r>
      <w:r>
        <w:rPr>
          <w:rFonts w:hint="eastAsia"/>
          <w:b w:val="0"/>
          <w:bCs w:val="0"/>
          <w:lang w:val="en-US" w:eastAsia="zh-CN"/>
        </w:rPr>
        <w:t xml:space="preserve">左右，慢速变幅至 </w:t>
      </w:r>
      <w:r>
        <w:rPr>
          <w:rFonts w:hint="default"/>
          <w:b w:val="0"/>
          <w:bCs w:val="0"/>
          <w:lang w:val="en-US" w:eastAsia="zh-CN"/>
        </w:rPr>
        <w:t>Rm</w:t>
      </w:r>
      <w:r>
        <w:rPr>
          <w:rFonts w:hint="eastAsia"/>
          <w:b w:val="0"/>
          <w:bCs w:val="0"/>
          <w:lang w:val="en-US" w:eastAsia="zh-CN"/>
        </w:rPr>
        <w:t>～</w:t>
      </w:r>
      <w:r>
        <w:rPr>
          <w:rFonts w:hint="default"/>
          <w:b w:val="0"/>
          <w:bCs w:val="0"/>
          <w:lang w:val="en-US" w:eastAsia="zh-CN"/>
        </w:rPr>
        <w:t>1.1Rm</w:t>
      </w:r>
      <w:r>
        <w:rPr>
          <w:rFonts w:hint="eastAsia"/>
          <w:b w:val="0"/>
          <w:bCs w:val="0"/>
          <w:lang w:val="en-US" w:eastAsia="zh-CN"/>
        </w:rPr>
        <w:t xml:space="preserve">间时，力矩限制器应动作，切断外变幅和起升回路电源，并输出报警信号。退回，重新从小幅度开始，以正常速度向外变幅，在到达 </w:t>
      </w:r>
      <w:r>
        <w:rPr>
          <w:rFonts w:hint="default"/>
          <w:b w:val="0"/>
          <w:bCs w:val="0"/>
          <w:lang w:val="en-US" w:eastAsia="zh-CN"/>
        </w:rPr>
        <w:t xml:space="preserve">0.8Rm </w:t>
      </w:r>
      <w:r>
        <w:rPr>
          <w:rFonts w:hint="eastAsia"/>
          <w:b w:val="0"/>
          <w:bCs w:val="0"/>
          <w:lang w:val="en-US" w:eastAsia="zh-CN"/>
        </w:rPr>
        <w:t>时应能自动转为低速往外变幅，在到达</w:t>
      </w:r>
      <w:r>
        <w:rPr>
          <w:rFonts w:hint="default"/>
          <w:b w:val="0"/>
          <w:bCs w:val="0"/>
          <w:lang w:val="en-US" w:eastAsia="zh-CN"/>
        </w:rPr>
        <w:t>Rm</w:t>
      </w:r>
      <w:r>
        <w:rPr>
          <w:rFonts w:hint="eastAsia"/>
          <w:b w:val="0"/>
          <w:bCs w:val="0"/>
          <w:lang w:val="en-US" w:eastAsia="zh-CN"/>
        </w:rPr>
        <w:t>～</w:t>
      </w:r>
      <w:r>
        <w:rPr>
          <w:rFonts w:hint="default"/>
          <w:b w:val="0"/>
          <w:bCs w:val="0"/>
          <w:lang w:val="en-US" w:eastAsia="zh-CN"/>
        </w:rPr>
        <w:t xml:space="preserve">1.1Rm </w:t>
      </w:r>
      <w:r>
        <w:rPr>
          <w:rFonts w:hint="eastAsia"/>
          <w:b w:val="0"/>
          <w:bCs w:val="0"/>
          <w:lang w:val="en-US" w:eastAsia="zh-CN"/>
        </w:rPr>
        <w:t>间时，力矩限制器应动作，切断外变幅和起升回路电源，并输出报警信号。</w:t>
      </w:r>
    </w:p>
    <w:p w14:paraId="2235881F">
      <w:pPr>
        <w:pStyle w:val="305"/>
        <w:bidi w:val="0"/>
        <w:outlineLvl w:val="9"/>
        <w:rPr>
          <w:rFonts w:hint="eastAsia"/>
          <w:b w:val="0"/>
          <w:bCs w:val="0"/>
          <w:lang w:val="en-US" w:eastAsia="zh-CN"/>
        </w:rPr>
      </w:pPr>
      <w:r>
        <w:rPr>
          <w:rFonts w:hint="eastAsia"/>
          <w:b w:val="0"/>
          <w:bCs w:val="0"/>
          <w:lang w:val="en-US" w:eastAsia="zh-CN"/>
        </w:rPr>
        <w:t xml:space="preserve">空载测定对应 </w:t>
      </w:r>
      <w:r>
        <w:rPr>
          <w:rFonts w:hint="default"/>
          <w:b w:val="0"/>
          <w:bCs w:val="0"/>
          <w:lang w:val="en-US" w:eastAsia="zh-CN"/>
        </w:rPr>
        <w:t xml:space="preserve">0.5 </w:t>
      </w:r>
      <w:r>
        <w:rPr>
          <w:rFonts w:hint="eastAsia"/>
          <w:b w:val="0"/>
          <w:bCs w:val="0"/>
          <w:lang w:val="en-US" w:eastAsia="zh-CN"/>
        </w:rPr>
        <w:t>倍最大额定起重量（</w:t>
      </w:r>
      <w:r>
        <w:rPr>
          <w:rFonts w:hint="default"/>
          <w:b w:val="0"/>
          <w:bCs w:val="0"/>
          <w:lang w:val="en-US" w:eastAsia="zh-CN"/>
        </w:rPr>
        <w:t>0.5Qm</w:t>
      </w:r>
      <w:r>
        <w:rPr>
          <w:rFonts w:hint="eastAsia"/>
          <w:b w:val="0"/>
          <w:bCs w:val="0"/>
          <w:lang w:val="en-US" w:eastAsia="zh-CN"/>
        </w:rPr>
        <w:t xml:space="preserve">）的最大工作幅度 </w:t>
      </w:r>
      <w:r>
        <w:rPr>
          <w:rFonts w:hint="default"/>
          <w:b w:val="0"/>
          <w:bCs w:val="0"/>
          <w:lang w:val="en-US" w:eastAsia="zh-CN"/>
        </w:rPr>
        <w:t>R0.5</w:t>
      </w:r>
      <w:r>
        <w:rPr>
          <w:rFonts w:hint="eastAsia"/>
          <w:b w:val="0"/>
          <w:bCs w:val="0"/>
          <w:lang w:val="en-US" w:eastAsia="zh-CN"/>
        </w:rPr>
        <w:t>，</w:t>
      </w:r>
      <w:r>
        <w:rPr>
          <w:rFonts w:hint="default"/>
          <w:b w:val="0"/>
          <w:bCs w:val="0"/>
          <w:lang w:val="en-US" w:eastAsia="zh-CN"/>
        </w:rPr>
        <w:t xml:space="preserve">0.8R0.5 </w:t>
      </w:r>
      <w:r>
        <w:rPr>
          <w:rFonts w:hint="eastAsia"/>
          <w:b w:val="0"/>
          <w:bCs w:val="0"/>
          <w:lang w:val="en-US" w:eastAsia="zh-CN"/>
        </w:rPr>
        <w:t xml:space="preserve">及 </w:t>
      </w:r>
      <w:r>
        <w:rPr>
          <w:rFonts w:hint="default"/>
          <w:b w:val="0"/>
          <w:bCs w:val="0"/>
          <w:lang w:val="en-US" w:eastAsia="zh-CN"/>
        </w:rPr>
        <w:t>1.1R0.5</w:t>
      </w:r>
      <w:r>
        <w:rPr>
          <w:rFonts w:hint="eastAsia"/>
          <w:b w:val="0"/>
          <w:bCs w:val="0"/>
          <w:lang w:val="en-US" w:eastAsia="zh-CN"/>
        </w:rPr>
        <w:t xml:space="preserve">值，并在地面标记。在小幅度处起升 </w:t>
      </w:r>
      <w:r>
        <w:rPr>
          <w:rFonts w:hint="default"/>
          <w:b w:val="0"/>
          <w:bCs w:val="0"/>
          <w:lang w:val="en-US" w:eastAsia="zh-CN"/>
        </w:rPr>
        <w:t xml:space="preserve">0.5 </w:t>
      </w:r>
      <w:r>
        <w:rPr>
          <w:rFonts w:hint="eastAsia"/>
          <w:b w:val="0"/>
          <w:bCs w:val="0"/>
          <w:lang w:val="en-US" w:eastAsia="zh-CN"/>
        </w:rPr>
        <w:t>倍最大额定起重量（</w:t>
      </w:r>
      <w:r>
        <w:rPr>
          <w:rFonts w:hint="default"/>
          <w:b w:val="0"/>
          <w:bCs w:val="0"/>
          <w:lang w:val="en-US" w:eastAsia="zh-CN"/>
        </w:rPr>
        <w:t>0.5Qm</w:t>
      </w:r>
      <w:r>
        <w:rPr>
          <w:rFonts w:hint="eastAsia"/>
          <w:b w:val="0"/>
          <w:bCs w:val="0"/>
          <w:lang w:val="en-US" w:eastAsia="zh-CN"/>
        </w:rPr>
        <w:t xml:space="preserve">）离地 </w:t>
      </w:r>
      <w:r>
        <w:rPr>
          <w:rFonts w:hint="default"/>
          <w:b w:val="0"/>
          <w:bCs w:val="0"/>
          <w:lang w:val="en-US" w:eastAsia="zh-CN"/>
        </w:rPr>
        <w:t xml:space="preserve">1m </w:t>
      </w:r>
      <w:r>
        <w:rPr>
          <w:rFonts w:hint="eastAsia"/>
          <w:b w:val="0"/>
          <w:bCs w:val="0"/>
          <w:lang w:val="en-US" w:eastAsia="zh-CN"/>
        </w:rPr>
        <w:t xml:space="preserve">左右，慢速变幅至 </w:t>
      </w:r>
      <w:r>
        <w:rPr>
          <w:rFonts w:hint="default"/>
          <w:b w:val="0"/>
          <w:bCs w:val="0"/>
          <w:lang w:val="en-US" w:eastAsia="zh-CN"/>
        </w:rPr>
        <w:t>R0.5</w:t>
      </w:r>
      <w:r>
        <w:rPr>
          <w:rFonts w:hint="eastAsia"/>
          <w:b w:val="0"/>
          <w:bCs w:val="0"/>
          <w:lang w:val="en-US" w:eastAsia="zh-CN"/>
        </w:rPr>
        <w:t>～</w:t>
      </w:r>
      <w:r>
        <w:rPr>
          <w:rFonts w:hint="default"/>
          <w:b w:val="0"/>
          <w:bCs w:val="0"/>
          <w:lang w:val="en-US" w:eastAsia="zh-CN"/>
        </w:rPr>
        <w:t xml:space="preserve">1.1R0.5 </w:t>
      </w:r>
      <w:r>
        <w:rPr>
          <w:rFonts w:hint="eastAsia"/>
          <w:b w:val="0"/>
          <w:bCs w:val="0"/>
          <w:lang w:val="en-US" w:eastAsia="zh-CN"/>
        </w:rPr>
        <w:t xml:space="preserve">间时，力矩限制器应动作，切断外变幅和起升回路电源，并输出报警信号。退回，重新从小幅度开始，以正常速度向外变幅，在到达 </w:t>
      </w:r>
      <w:r>
        <w:rPr>
          <w:rFonts w:hint="default"/>
          <w:b w:val="0"/>
          <w:bCs w:val="0"/>
          <w:lang w:val="en-US" w:eastAsia="zh-CN"/>
        </w:rPr>
        <w:t xml:space="preserve">0.8R0.5 </w:t>
      </w:r>
      <w:r>
        <w:rPr>
          <w:rFonts w:hint="eastAsia"/>
          <w:b w:val="0"/>
          <w:bCs w:val="0"/>
          <w:lang w:val="en-US" w:eastAsia="zh-CN"/>
        </w:rPr>
        <w:t xml:space="preserve">时应能自动转为低速往外变幅，在到达 </w:t>
      </w:r>
      <w:r>
        <w:rPr>
          <w:rFonts w:hint="default"/>
          <w:b w:val="0"/>
          <w:bCs w:val="0"/>
          <w:lang w:val="en-US" w:eastAsia="zh-CN"/>
        </w:rPr>
        <w:t>R0.5</w:t>
      </w:r>
      <w:r>
        <w:rPr>
          <w:rFonts w:hint="eastAsia"/>
          <w:b w:val="0"/>
          <w:bCs w:val="0"/>
          <w:lang w:val="en-US" w:eastAsia="zh-CN"/>
        </w:rPr>
        <w:t>～</w:t>
      </w:r>
      <w:r>
        <w:rPr>
          <w:rFonts w:hint="default"/>
          <w:b w:val="0"/>
          <w:bCs w:val="0"/>
          <w:lang w:val="en-US" w:eastAsia="zh-CN"/>
        </w:rPr>
        <w:t xml:space="preserve">1.1R0.5 </w:t>
      </w:r>
      <w:r>
        <w:rPr>
          <w:rFonts w:hint="eastAsia"/>
          <w:b w:val="0"/>
          <w:bCs w:val="0"/>
          <w:lang w:val="en-US" w:eastAsia="zh-CN"/>
        </w:rPr>
        <w:t>间时，力矩限制器应动作，切断外变幅和起升回路电源，并输出报警信号。</w:t>
      </w:r>
    </w:p>
    <w:p w14:paraId="5FBF70EF">
      <w:pPr>
        <w:pStyle w:val="305"/>
        <w:bidi w:val="0"/>
        <w:jc w:val="center"/>
        <w:outlineLvl w:val="9"/>
        <w:rPr>
          <w:rFonts w:hint="eastAsia"/>
          <w:b w:val="0"/>
          <w:bCs w:val="0"/>
          <w:lang w:val="en-US" w:eastAsia="zh-CN"/>
        </w:rPr>
      </w:pPr>
      <w:r>
        <w:rPr>
          <w:rFonts w:hint="eastAsia"/>
          <w:b w:val="0"/>
          <w:bCs w:val="0"/>
          <w:lang w:val="en-US" w:eastAsia="zh-CN"/>
        </w:rPr>
        <w:t>表6.3-4力矩限制器定码变幅调试的载荷及幅度表</w:t>
      </w:r>
    </w:p>
    <w:p w14:paraId="5D6FD129">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828665" cy="2179320"/>
            <wp:effectExtent l="0" t="0" r="635" b="11430"/>
            <wp:docPr id="105" name="图片 105" descr="1642650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642650710(1)"/>
                    <pic:cNvPicPr>
                      <a:picLocks noChangeAspect="1"/>
                    </pic:cNvPicPr>
                  </pic:nvPicPr>
                  <pic:blipFill>
                    <a:blip r:embed="rId50"/>
                    <a:stretch>
                      <a:fillRect/>
                    </a:stretch>
                  </pic:blipFill>
                  <pic:spPr>
                    <a:xfrm>
                      <a:off x="0" y="0"/>
                      <a:ext cx="5828665" cy="2179320"/>
                    </a:xfrm>
                    <a:prstGeom prst="rect">
                      <a:avLst/>
                    </a:prstGeom>
                  </pic:spPr>
                </pic:pic>
              </a:graphicData>
            </a:graphic>
          </wp:inline>
        </w:drawing>
      </w:r>
    </w:p>
    <w:p w14:paraId="35FBBB74">
      <w:pPr>
        <w:pStyle w:val="305"/>
        <w:bidi w:val="0"/>
        <w:outlineLvl w:val="9"/>
        <w:rPr>
          <w:rFonts w:hint="eastAsia"/>
          <w:b w:val="0"/>
          <w:bCs w:val="0"/>
          <w:lang w:val="en-US" w:eastAsia="zh-CN"/>
        </w:rPr>
      </w:pPr>
      <w:r>
        <w:rPr>
          <w:rFonts w:hint="eastAsia"/>
          <w:b w:val="0"/>
          <w:bCs w:val="0"/>
          <w:lang w:val="en-US" w:eastAsia="zh-CN"/>
        </w:rPr>
        <w:t xml:space="preserve"> 起重量限制器</w:t>
      </w:r>
    </w:p>
    <w:p w14:paraId="6E634B8E">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3810000" cy="3410585"/>
            <wp:effectExtent l="0" t="0" r="0" b="18415"/>
            <wp:docPr id="106" name="图片 106" descr="1642650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42650840(1)"/>
                    <pic:cNvPicPr>
                      <a:picLocks noChangeAspect="1"/>
                    </pic:cNvPicPr>
                  </pic:nvPicPr>
                  <pic:blipFill>
                    <a:blip r:embed="rId51"/>
                    <a:stretch>
                      <a:fillRect/>
                    </a:stretch>
                  </pic:blipFill>
                  <pic:spPr>
                    <a:xfrm>
                      <a:off x="0" y="0"/>
                      <a:ext cx="3810000" cy="3410585"/>
                    </a:xfrm>
                    <a:prstGeom prst="rect">
                      <a:avLst/>
                    </a:prstGeom>
                  </pic:spPr>
                </pic:pic>
              </a:graphicData>
            </a:graphic>
          </wp:inline>
        </w:drawing>
      </w:r>
    </w:p>
    <w:p w14:paraId="6A6153C6">
      <w:pPr>
        <w:pStyle w:val="305"/>
        <w:bidi w:val="0"/>
        <w:jc w:val="center"/>
        <w:outlineLvl w:val="9"/>
        <w:rPr>
          <w:rFonts w:hint="eastAsia"/>
          <w:b w:val="0"/>
          <w:bCs w:val="0"/>
          <w:lang w:val="en-US" w:eastAsia="zh-CN"/>
        </w:rPr>
      </w:pPr>
      <w:r>
        <w:rPr>
          <w:rFonts w:hint="eastAsia"/>
          <w:b w:val="0"/>
          <w:bCs w:val="0"/>
          <w:lang w:val="en-US" w:eastAsia="zh-CN"/>
        </w:rPr>
        <w:t>图6.3-20起重量限制器图</w:t>
      </w:r>
    </w:p>
    <w:p w14:paraId="1F91BCDC">
      <w:pPr>
        <w:pStyle w:val="305"/>
        <w:bidi w:val="0"/>
        <w:outlineLvl w:val="9"/>
        <w:rPr>
          <w:rFonts w:hint="eastAsia"/>
          <w:b w:val="0"/>
          <w:bCs w:val="0"/>
          <w:lang w:val="en-US" w:eastAsia="zh-CN"/>
        </w:rPr>
      </w:pPr>
      <w:r>
        <w:rPr>
          <w:rFonts w:hint="eastAsia"/>
          <w:b w:val="0"/>
          <w:bCs w:val="0"/>
          <w:lang w:val="en-US" w:eastAsia="zh-CN"/>
        </w:rPr>
        <w:t>1） 起重量限制器的调整</w:t>
      </w:r>
    </w:p>
    <w:p w14:paraId="6A82AEBA">
      <w:pPr>
        <w:pStyle w:val="305"/>
        <w:bidi w:val="0"/>
        <w:outlineLvl w:val="9"/>
        <w:rPr>
          <w:rFonts w:hint="eastAsia"/>
          <w:b w:val="0"/>
          <w:bCs w:val="0"/>
          <w:lang w:val="en-US" w:eastAsia="zh-CN"/>
        </w:rPr>
      </w:pPr>
      <w:r>
        <w:rPr>
          <w:rFonts w:hint="eastAsia"/>
          <w:b w:val="0"/>
          <w:bCs w:val="0"/>
          <w:lang w:val="en-US" w:eastAsia="zh-CN"/>
        </w:rPr>
        <w:t>警告：调整起重量限制器之前，必须首先确认本塔机的额定吊重量后，再查找对应的数据进行调试</w:t>
      </w:r>
    </w:p>
    <w:p w14:paraId="0005DEC0">
      <w:pPr>
        <w:pStyle w:val="305"/>
        <w:bidi w:val="0"/>
        <w:outlineLvl w:val="9"/>
        <w:rPr>
          <w:rFonts w:hint="eastAsia"/>
          <w:b w:val="0"/>
          <w:bCs w:val="0"/>
          <w:lang w:val="en-US" w:eastAsia="zh-CN"/>
        </w:rPr>
      </w:pPr>
      <w:r>
        <w:rPr>
          <w:rFonts w:hint="eastAsia"/>
          <w:b w:val="0"/>
          <w:bCs w:val="0"/>
          <w:lang w:val="en-US" w:eastAsia="zh-CN"/>
        </w:rPr>
        <w:t xml:space="preserve">（1）调整 </w:t>
      </w:r>
      <w:r>
        <w:rPr>
          <w:rFonts w:hint="default"/>
          <w:b w:val="0"/>
          <w:bCs w:val="0"/>
          <w:lang w:val="en-US" w:eastAsia="zh-CN"/>
        </w:rPr>
        <w:t>35%</w:t>
      </w:r>
      <w:r>
        <w:rPr>
          <w:rFonts w:hint="eastAsia"/>
          <w:b w:val="0"/>
          <w:bCs w:val="0"/>
          <w:lang w:val="en-US" w:eastAsia="zh-CN"/>
        </w:rPr>
        <w:t xml:space="preserve">重量高速限制器 </w:t>
      </w:r>
      <w:r>
        <w:rPr>
          <w:rFonts w:hint="default"/>
          <w:b w:val="0"/>
          <w:bCs w:val="0"/>
          <w:lang w:val="en-US" w:eastAsia="zh-CN"/>
        </w:rPr>
        <w:t>SWQ</w:t>
      </w:r>
      <w:r>
        <w:rPr>
          <w:rFonts w:hint="eastAsia"/>
          <w:b w:val="0"/>
          <w:bCs w:val="0"/>
          <w:lang w:val="en-US" w:eastAsia="zh-CN"/>
        </w:rPr>
        <w:t xml:space="preserve">： </w:t>
      </w:r>
    </w:p>
    <w:p w14:paraId="5CB5902B">
      <w:pPr>
        <w:pStyle w:val="305"/>
        <w:bidi w:val="0"/>
        <w:outlineLvl w:val="9"/>
        <w:rPr>
          <w:rFonts w:hint="eastAsia"/>
          <w:b w:val="0"/>
          <w:bCs w:val="0"/>
          <w:lang w:val="en-US" w:eastAsia="zh-CN"/>
        </w:rPr>
      </w:pPr>
      <w:r>
        <w:rPr>
          <w:rFonts w:hint="eastAsia"/>
          <w:b w:val="0"/>
          <w:bCs w:val="0"/>
          <w:lang w:val="en-US" w:eastAsia="zh-CN"/>
        </w:rPr>
        <w:t xml:space="preserve">先以低速起吊载荷 </w:t>
      </w:r>
      <w:r>
        <w:rPr>
          <w:rFonts w:hint="default"/>
          <w:b w:val="0"/>
          <w:bCs w:val="0"/>
          <w:lang w:val="en-US" w:eastAsia="zh-CN"/>
        </w:rPr>
        <w:t>V1</w:t>
      </w:r>
      <w:r>
        <w:rPr>
          <w:rFonts w:hint="eastAsia"/>
          <w:b w:val="0"/>
          <w:bCs w:val="0"/>
          <w:lang w:val="en-US" w:eastAsia="zh-CN"/>
        </w:rPr>
        <w:t>，然后再以高速起升。调整螺栓</w:t>
      </w:r>
      <w:r>
        <w:rPr>
          <w:rFonts w:hint="default"/>
          <w:b w:val="0"/>
          <w:bCs w:val="0"/>
          <w:lang w:val="en-US" w:eastAsia="zh-CN"/>
        </w:rPr>
        <w:t>(1)</w:t>
      </w:r>
      <w:r>
        <w:rPr>
          <w:rFonts w:hint="eastAsia"/>
          <w:b w:val="0"/>
          <w:bCs w:val="0"/>
          <w:lang w:val="en-US" w:eastAsia="zh-CN"/>
        </w:rPr>
        <w:t>直至其头部接触到微动开关</w:t>
      </w:r>
      <w:r>
        <w:rPr>
          <w:rFonts w:hint="default"/>
          <w:b w:val="0"/>
          <w:bCs w:val="0"/>
          <w:lang w:val="en-US" w:eastAsia="zh-CN"/>
        </w:rPr>
        <w:t>(2)</w:t>
      </w: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，以低速起吊新增重载荷 </w:t>
      </w:r>
      <w:r>
        <w:rPr>
          <w:rFonts w:hint="default"/>
          <w:b w:val="0"/>
          <w:bCs w:val="0"/>
          <w:lang w:val="en-US" w:eastAsia="zh-CN"/>
        </w:rPr>
        <w:t>W1</w:t>
      </w:r>
      <w:r>
        <w:rPr>
          <w:rFonts w:hint="eastAsia"/>
          <w:b w:val="0"/>
          <w:bCs w:val="0"/>
          <w:lang w:val="en-US" w:eastAsia="zh-CN"/>
        </w:rPr>
        <w:t xml:space="preserve">，然后试换速高速起升，此时不应有高速 </w:t>
      </w:r>
      <w:r>
        <w:rPr>
          <w:rFonts w:hint="default"/>
          <w:b w:val="0"/>
          <w:bCs w:val="0"/>
          <w:lang w:val="en-US" w:eastAsia="zh-CN"/>
        </w:rPr>
        <w:t xml:space="preserve">5 </w:t>
      </w:r>
      <w:r>
        <w:rPr>
          <w:rFonts w:hint="eastAsia"/>
          <w:b w:val="0"/>
          <w:bCs w:val="0"/>
          <w:lang w:val="en-US" w:eastAsia="zh-CN"/>
        </w:rPr>
        <w:t>档。如果得到高速，应重新调整。</w:t>
      </w:r>
    </w:p>
    <w:p w14:paraId="6D55D136">
      <w:pPr>
        <w:pStyle w:val="305"/>
        <w:bidi w:val="0"/>
        <w:outlineLvl w:val="9"/>
        <w:rPr>
          <w:rFonts w:hint="eastAsia"/>
          <w:b w:val="0"/>
          <w:bCs w:val="0"/>
          <w:lang w:val="en-US" w:eastAsia="zh-CN"/>
        </w:rPr>
      </w:pP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，以低速起吊新增重载荷 </w:t>
      </w:r>
      <w:r>
        <w:rPr>
          <w:rFonts w:hint="default"/>
          <w:b w:val="0"/>
          <w:bCs w:val="0"/>
          <w:lang w:val="en-US" w:eastAsia="zh-CN"/>
        </w:rPr>
        <w:t>W1</w:t>
      </w:r>
      <w:r>
        <w:rPr>
          <w:rFonts w:hint="eastAsia"/>
          <w:b w:val="0"/>
          <w:bCs w:val="0"/>
          <w:lang w:val="en-US" w:eastAsia="zh-CN"/>
        </w:rPr>
        <w:t xml:space="preserve">，然后试换速高速起升，此时不应有高速 </w:t>
      </w:r>
      <w:r>
        <w:rPr>
          <w:rFonts w:hint="default"/>
          <w:b w:val="0"/>
          <w:bCs w:val="0"/>
          <w:lang w:val="en-US" w:eastAsia="zh-CN"/>
        </w:rPr>
        <w:t xml:space="preserve">5 </w:t>
      </w:r>
      <w:r>
        <w:rPr>
          <w:rFonts w:hint="eastAsia"/>
          <w:b w:val="0"/>
          <w:bCs w:val="0"/>
          <w:lang w:val="en-US" w:eastAsia="zh-CN"/>
        </w:rPr>
        <w:t>档。如果得到高速，应重新调整。</w:t>
      </w:r>
    </w:p>
    <w:p w14:paraId="4408D19F">
      <w:pPr>
        <w:pStyle w:val="305"/>
        <w:bidi w:val="0"/>
        <w:outlineLvl w:val="9"/>
        <w:rPr>
          <w:rFonts w:hint="eastAsia"/>
          <w:b w:val="0"/>
          <w:bCs w:val="0"/>
          <w:lang w:val="en-US" w:eastAsia="zh-CN"/>
        </w:rPr>
      </w:pP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次，均应满足以上要求。</w:t>
      </w:r>
    </w:p>
    <w:p w14:paraId="1D71AB2E">
      <w:pPr>
        <w:pStyle w:val="305"/>
        <w:bidi w:val="0"/>
        <w:outlineLvl w:val="9"/>
        <w:rPr>
          <w:rFonts w:hint="eastAsia"/>
          <w:b w:val="0"/>
          <w:bCs w:val="0"/>
          <w:lang w:val="en-US" w:eastAsia="zh-CN"/>
        </w:rPr>
      </w:pPr>
      <w:r>
        <w:rPr>
          <w:rFonts w:hint="eastAsia"/>
          <w:b w:val="0"/>
          <w:bCs w:val="0"/>
          <w:lang w:val="en-US" w:eastAsia="zh-CN"/>
        </w:rPr>
        <w:t xml:space="preserve">（2）调整 </w:t>
      </w:r>
      <w:r>
        <w:rPr>
          <w:rFonts w:hint="default"/>
          <w:b w:val="0"/>
          <w:bCs w:val="0"/>
          <w:lang w:val="en-US" w:eastAsia="zh-CN"/>
        </w:rPr>
        <w:t>75%</w:t>
      </w:r>
      <w:r>
        <w:rPr>
          <w:rFonts w:hint="eastAsia"/>
          <w:b w:val="0"/>
          <w:bCs w:val="0"/>
          <w:lang w:val="en-US" w:eastAsia="zh-CN"/>
        </w:rPr>
        <w:t xml:space="preserve">重量高速限制器 </w:t>
      </w:r>
      <w:r>
        <w:rPr>
          <w:rFonts w:hint="default"/>
          <w:b w:val="0"/>
          <w:bCs w:val="0"/>
          <w:lang w:val="en-US" w:eastAsia="zh-CN"/>
        </w:rPr>
        <w:t>SWH</w:t>
      </w:r>
      <w:r>
        <w:rPr>
          <w:rFonts w:hint="eastAsia"/>
          <w:b w:val="0"/>
          <w:bCs w:val="0"/>
          <w:lang w:val="en-US" w:eastAsia="zh-CN"/>
        </w:rPr>
        <w:t>：</w:t>
      </w:r>
    </w:p>
    <w:p w14:paraId="75B7E70D">
      <w:pPr>
        <w:pStyle w:val="305"/>
        <w:bidi w:val="0"/>
        <w:outlineLvl w:val="9"/>
        <w:rPr>
          <w:rFonts w:hint="eastAsia"/>
          <w:b w:val="0"/>
          <w:bCs w:val="0"/>
          <w:lang w:val="en-US" w:eastAsia="zh-CN"/>
        </w:rPr>
      </w:pPr>
      <w:r>
        <w:rPr>
          <w:rFonts w:hint="eastAsia"/>
          <w:b w:val="0"/>
          <w:bCs w:val="0"/>
          <w:lang w:val="en-US" w:eastAsia="zh-CN"/>
        </w:rPr>
        <w:t xml:space="preserve">先以低速起吊载荷 </w:t>
      </w:r>
      <w:r>
        <w:rPr>
          <w:rFonts w:hint="default"/>
          <w:b w:val="0"/>
          <w:bCs w:val="0"/>
          <w:lang w:val="en-US" w:eastAsia="zh-CN"/>
        </w:rPr>
        <w:t>V2</w:t>
      </w:r>
      <w:r>
        <w:rPr>
          <w:rFonts w:hint="eastAsia"/>
          <w:b w:val="0"/>
          <w:bCs w:val="0"/>
          <w:lang w:val="en-US" w:eastAsia="zh-CN"/>
        </w:rPr>
        <w:t>，然后再以高速起升。调整螺栓</w:t>
      </w:r>
      <w:r>
        <w:rPr>
          <w:rFonts w:hint="default"/>
          <w:b w:val="0"/>
          <w:bCs w:val="0"/>
          <w:lang w:val="en-US" w:eastAsia="zh-CN"/>
        </w:rPr>
        <w:t>(3)</w:t>
      </w:r>
      <w:r>
        <w:rPr>
          <w:rFonts w:hint="eastAsia"/>
          <w:b w:val="0"/>
          <w:bCs w:val="0"/>
          <w:lang w:val="en-US" w:eastAsia="zh-CN"/>
        </w:rPr>
        <w:t>直至其头部接触到微动开关</w:t>
      </w:r>
      <w:r>
        <w:rPr>
          <w:rFonts w:hint="default"/>
          <w:b w:val="0"/>
          <w:bCs w:val="0"/>
          <w:lang w:val="en-US" w:eastAsia="zh-CN"/>
        </w:rPr>
        <w:t>(4)</w:t>
      </w:r>
      <w:r>
        <w:rPr>
          <w:rFonts w:hint="eastAsia"/>
          <w:b w:val="0"/>
          <w:bCs w:val="0"/>
          <w:lang w:val="en-US" w:eastAsia="zh-CN"/>
        </w:rPr>
        <w:t xml:space="preserve">。 </w:t>
      </w:r>
    </w:p>
    <w:p w14:paraId="3829E2E5">
      <w:pPr>
        <w:pStyle w:val="305"/>
        <w:bidi w:val="0"/>
        <w:outlineLvl w:val="9"/>
        <w:rPr>
          <w:rFonts w:hint="eastAsia"/>
          <w:b w:val="0"/>
          <w:bCs w:val="0"/>
          <w:lang w:val="en-US" w:eastAsia="zh-CN"/>
        </w:rPr>
      </w:pP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，以低速起吊新增重载荷 </w:t>
      </w:r>
      <w:r>
        <w:rPr>
          <w:rFonts w:hint="default"/>
          <w:b w:val="0"/>
          <w:bCs w:val="0"/>
          <w:lang w:val="en-US" w:eastAsia="zh-CN"/>
        </w:rPr>
        <w:t>W2</w:t>
      </w:r>
      <w:r>
        <w:rPr>
          <w:rFonts w:hint="eastAsia"/>
          <w:b w:val="0"/>
          <w:bCs w:val="0"/>
          <w:lang w:val="en-US" w:eastAsia="zh-CN"/>
        </w:rPr>
        <w:t xml:space="preserve">，然后试换速高速起升，此时不应有高速 </w:t>
      </w:r>
      <w:r>
        <w:rPr>
          <w:rFonts w:hint="default"/>
          <w:b w:val="0"/>
          <w:bCs w:val="0"/>
          <w:lang w:val="en-US" w:eastAsia="zh-CN"/>
        </w:rPr>
        <w:t xml:space="preserve">4 </w:t>
      </w:r>
      <w:r>
        <w:rPr>
          <w:rFonts w:hint="eastAsia"/>
          <w:b w:val="0"/>
          <w:bCs w:val="0"/>
          <w:lang w:val="en-US" w:eastAsia="zh-CN"/>
        </w:rPr>
        <w:t xml:space="preserve">档。如果得到高速，应重新调整。 </w:t>
      </w:r>
    </w:p>
    <w:p w14:paraId="75F1BB1F">
      <w:pPr>
        <w:pStyle w:val="305"/>
        <w:bidi w:val="0"/>
        <w:outlineLvl w:val="9"/>
        <w:rPr>
          <w:rFonts w:hint="eastAsia"/>
          <w:b w:val="0"/>
          <w:bCs w:val="0"/>
          <w:lang w:val="en-US" w:eastAsia="zh-CN"/>
        </w:rPr>
      </w:pP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次，均应满足以上要求。</w:t>
      </w:r>
    </w:p>
    <w:p w14:paraId="388E6844">
      <w:pPr>
        <w:pStyle w:val="305"/>
        <w:bidi w:val="0"/>
        <w:outlineLvl w:val="9"/>
        <w:rPr>
          <w:rFonts w:hint="eastAsia"/>
          <w:b w:val="0"/>
          <w:bCs w:val="0"/>
          <w:lang w:val="en-US" w:eastAsia="zh-CN"/>
        </w:rPr>
      </w:pPr>
      <w:r>
        <w:rPr>
          <w:rFonts w:hint="eastAsia"/>
          <w:b w:val="0"/>
          <w:bCs w:val="0"/>
          <w:lang w:val="en-US" w:eastAsia="zh-CN"/>
        </w:rPr>
        <w:t xml:space="preserve">（3）调整最大起重量限制器 </w:t>
      </w:r>
      <w:r>
        <w:rPr>
          <w:rFonts w:hint="default"/>
          <w:b w:val="0"/>
          <w:bCs w:val="0"/>
          <w:lang w:val="en-US" w:eastAsia="zh-CN"/>
        </w:rPr>
        <w:t>SWL</w:t>
      </w:r>
      <w:r>
        <w:rPr>
          <w:rFonts w:hint="eastAsia"/>
          <w:b w:val="0"/>
          <w:bCs w:val="0"/>
          <w:lang w:val="en-US" w:eastAsia="zh-CN"/>
        </w:rPr>
        <w:t xml:space="preserve">： </w:t>
      </w:r>
    </w:p>
    <w:p w14:paraId="4C186D21">
      <w:pPr>
        <w:pStyle w:val="305"/>
        <w:bidi w:val="0"/>
        <w:outlineLvl w:val="9"/>
        <w:rPr>
          <w:rFonts w:hint="eastAsia"/>
          <w:b w:val="0"/>
          <w:bCs w:val="0"/>
          <w:lang w:val="en-US" w:eastAsia="zh-CN"/>
        </w:rPr>
      </w:pPr>
      <w:r>
        <w:rPr>
          <w:rFonts w:hint="eastAsia"/>
          <w:b w:val="0"/>
          <w:bCs w:val="0"/>
          <w:lang w:val="en-US" w:eastAsia="zh-CN"/>
        </w:rPr>
        <w:t xml:space="preserve">以低速起吊载荷 </w:t>
      </w:r>
      <w:r>
        <w:rPr>
          <w:rFonts w:hint="default"/>
          <w:b w:val="0"/>
          <w:bCs w:val="0"/>
          <w:lang w:val="en-US" w:eastAsia="zh-CN"/>
        </w:rPr>
        <w:t>X</w:t>
      </w:r>
      <w:r>
        <w:rPr>
          <w:rFonts w:hint="eastAsia"/>
          <w:b w:val="0"/>
          <w:bCs w:val="0"/>
          <w:lang w:val="en-US" w:eastAsia="zh-CN"/>
        </w:rPr>
        <w:t>，调整螺栓</w:t>
      </w:r>
      <w:r>
        <w:rPr>
          <w:rFonts w:hint="default"/>
          <w:b w:val="0"/>
          <w:bCs w:val="0"/>
          <w:lang w:val="en-US" w:eastAsia="zh-CN"/>
        </w:rPr>
        <w:t>(5)</w:t>
      </w:r>
      <w:r>
        <w:rPr>
          <w:rFonts w:hint="eastAsia"/>
          <w:b w:val="0"/>
          <w:bCs w:val="0"/>
          <w:lang w:val="en-US" w:eastAsia="zh-CN"/>
        </w:rPr>
        <w:t>直至其头部接触到微动开关</w:t>
      </w:r>
      <w:r>
        <w:rPr>
          <w:rFonts w:hint="default"/>
          <w:b w:val="0"/>
          <w:bCs w:val="0"/>
          <w:lang w:val="en-US" w:eastAsia="zh-CN"/>
        </w:rPr>
        <w:t>(6)</w:t>
      </w:r>
      <w:r>
        <w:rPr>
          <w:rFonts w:hint="eastAsia"/>
          <w:b w:val="0"/>
          <w:bCs w:val="0"/>
          <w:lang w:val="en-US" w:eastAsia="zh-CN"/>
        </w:rPr>
        <w:t xml:space="preserve">为止。 </w:t>
      </w:r>
    </w:p>
    <w:p w14:paraId="160AEF37">
      <w:pPr>
        <w:pStyle w:val="305"/>
        <w:bidi w:val="0"/>
        <w:outlineLvl w:val="9"/>
        <w:rPr>
          <w:rFonts w:hint="eastAsia"/>
          <w:b w:val="0"/>
          <w:bCs w:val="0"/>
          <w:lang w:val="en-US" w:eastAsia="zh-CN"/>
        </w:rPr>
      </w:pPr>
      <w:r>
        <w:rPr>
          <w:rFonts w:hint="eastAsia"/>
          <w:b w:val="0"/>
          <w:bCs w:val="0"/>
          <w:lang w:val="en-US" w:eastAsia="zh-CN"/>
        </w:rPr>
        <w:t xml:space="preserve">降下载荷，增重 </w:t>
      </w:r>
      <w:r>
        <w:rPr>
          <w:rFonts w:hint="default"/>
          <w:b w:val="0"/>
          <w:bCs w:val="0"/>
          <w:lang w:val="en-US" w:eastAsia="zh-CN"/>
        </w:rPr>
        <w:t>10%</w:t>
      </w:r>
      <w:r>
        <w:rPr>
          <w:rFonts w:hint="eastAsia"/>
          <w:b w:val="0"/>
          <w:bCs w:val="0"/>
          <w:lang w:val="en-US" w:eastAsia="zh-CN"/>
        </w:rPr>
        <w:t xml:space="preserve">，试以低速起吊该载荷 </w:t>
      </w:r>
      <w:r>
        <w:rPr>
          <w:rFonts w:hint="default"/>
          <w:b w:val="0"/>
          <w:bCs w:val="0"/>
          <w:lang w:val="en-US" w:eastAsia="zh-CN"/>
        </w:rPr>
        <w:t>Y</w:t>
      </w:r>
      <w:r>
        <w:rPr>
          <w:rFonts w:hint="eastAsia"/>
          <w:b w:val="0"/>
          <w:bCs w:val="0"/>
          <w:lang w:val="en-US" w:eastAsia="zh-CN"/>
        </w:rPr>
        <w:t xml:space="preserve">，如果载荷被吊起，则应重新调整。 </w:t>
      </w:r>
    </w:p>
    <w:p w14:paraId="30ABB932">
      <w:pPr>
        <w:pStyle w:val="305"/>
        <w:bidi w:val="0"/>
        <w:outlineLvl w:val="9"/>
        <w:rPr>
          <w:rFonts w:hint="eastAsia"/>
          <w:b w:val="0"/>
          <w:bCs w:val="0"/>
          <w:lang w:val="en-US" w:eastAsia="zh-CN"/>
        </w:rPr>
      </w:pPr>
      <w:r>
        <w:rPr>
          <w:rFonts w:hint="eastAsia"/>
          <w:b w:val="0"/>
          <w:bCs w:val="0"/>
          <w:lang w:val="en-US" w:eastAsia="zh-CN"/>
        </w:rPr>
        <w:t xml:space="preserve">重复 </w:t>
      </w:r>
      <w:r>
        <w:rPr>
          <w:rFonts w:hint="default"/>
          <w:b w:val="0"/>
          <w:bCs w:val="0"/>
          <w:lang w:val="en-US" w:eastAsia="zh-CN"/>
        </w:rPr>
        <w:t xml:space="preserve">3 </w:t>
      </w:r>
      <w:r>
        <w:rPr>
          <w:rFonts w:hint="eastAsia"/>
          <w:b w:val="0"/>
          <w:bCs w:val="0"/>
          <w:lang w:val="en-US" w:eastAsia="zh-CN"/>
        </w:rPr>
        <w:t xml:space="preserve">次，均应满足以上要求。 </w:t>
      </w:r>
    </w:p>
    <w:p w14:paraId="5BEABE1E">
      <w:pPr>
        <w:pStyle w:val="305"/>
        <w:bidi w:val="0"/>
        <w:outlineLvl w:val="9"/>
        <w:rPr>
          <w:rFonts w:hint="eastAsia"/>
          <w:b w:val="0"/>
          <w:bCs w:val="0"/>
          <w:lang w:val="en-US" w:eastAsia="zh-CN"/>
        </w:rPr>
      </w:pPr>
      <w:r>
        <w:rPr>
          <w:rFonts w:hint="eastAsia"/>
          <w:b w:val="0"/>
          <w:bCs w:val="0"/>
          <w:lang w:val="en-US" w:eastAsia="zh-CN"/>
        </w:rPr>
        <w:t xml:space="preserve">对于不同的载荷值 </w:t>
      </w:r>
      <w:r>
        <w:rPr>
          <w:rFonts w:hint="default"/>
          <w:b w:val="0"/>
          <w:bCs w:val="0"/>
          <w:lang w:val="en-US" w:eastAsia="zh-CN"/>
        </w:rPr>
        <w:t>V</w:t>
      </w:r>
      <w:r>
        <w:rPr>
          <w:rFonts w:hint="eastAsia"/>
          <w:b w:val="0"/>
          <w:bCs w:val="0"/>
          <w:lang w:val="en-US" w:eastAsia="zh-CN"/>
        </w:rPr>
        <w:t>、</w:t>
      </w:r>
      <w:r>
        <w:rPr>
          <w:rFonts w:hint="default"/>
          <w:b w:val="0"/>
          <w:bCs w:val="0"/>
          <w:lang w:val="en-US" w:eastAsia="zh-CN"/>
        </w:rPr>
        <w:t>W</w:t>
      </w:r>
      <w:r>
        <w:rPr>
          <w:rFonts w:hint="eastAsia"/>
          <w:b w:val="0"/>
          <w:bCs w:val="0"/>
          <w:lang w:val="en-US" w:eastAsia="zh-CN"/>
        </w:rPr>
        <w:t>、</w:t>
      </w:r>
      <w:r>
        <w:rPr>
          <w:rFonts w:hint="default"/>
          <w:b w:val="0"/>
          <w:bCs w:val="0"/>
          <w:lang w:val="en-US" w:eastAsia="zh-CN"/>
        </w:rPr>
        <w:t>X</w:t>
      </w:r>
      <w:r>
        <w:rPr>
          <w:rFonts w:hint="eastAsia"/>
          <w:b w:val="0"/>
          <w:bCs w:val="0"/>
          <w:lang w:val="en-US" w:eastAsia="zh-CN"/>
        </w:rPr>
        <w:t>、</w:t>
      </w:r>
      <w:r>
        <w:rPr>
          <w:rFonts w:hint="default"/>
          <w:b w:val="0"/>
          <w:bCs w:val="0"/>
          <w:lang w:val="en-US" w:eastAsia="zh-CN"/>
        </w:rPr>
        <w:t>Y</w:t>
      </w:r>
      <w:r>
        <w:rPr>
          <w:rFonts w:hint="eastAsia"/>
          <w:b w:val="0"/>
          <w:bCs w:val="0"/>
          <w:lang w:val="en-US" w:eastAsia="zh-CN"/>
        </w:rPr>
        <w:t>，参见表 6.3-5。</w:t>
      </w:r>
    </w:p>
    <w:p w14:paraId="4B3E044D">
      <w:pPr>
        <w:pStyle w:val="305"/>
        <w:bidi w:val="0"/>
        <w:jc w:val="center"/>
        <w:outlineLvl w:val="9"/>
        <w:rPr>
          <w:rFonts w:hint="eastAsia"/>
          <w:b w:val="0"/>
          <w:bCs w:val="0"/>
          <w:lang w:val="en-US" w:eastAsia="zh-CN"/>
        </w:rPr>
      </w:pPr>
      <w:r>
        <w:rPr>
          <w:rFonts w:hint="eastAsia"/>
          <w:b w:val="0"/>
          <w:bCs w:val="0"/>
          <w:lang w:val="en-US" w:eastAsia="zh-CN"/>
        </w:rPr>
        <w:t>表6.3-5起重量限制器调试参数表</w:t>
      </w:r>
    </w:p>
    <w:p w14:paraId="5EEB6A49">
      <w:pPr>
        <w:pStyle w:val="305"/>
        <w:bidi w:val="0"/>
        <w:outlineLvl w:val="9"/>
        <w:rPr>
          <w:rFonts w:hint="eastAsia"/>
          <w:b w:val="0"/>
          <w:bCs w:val="0"/>
          <w:lang w:val="en-US" w:eastAsia="zh-CN"/>
        </w:rPr>
      </w:pPr>
      <w:r>
        <w:rPr>
          <w:rFonts w:hint="eastAsia"/>
          <w:b w:val="0"/>
          <w:bCs w:val="0"/>
          <w:lang w:val="en-US" w:eastAsia="zh-CN"/>
        </w:rPr>
        <w:drawing>
          <wp:inline distT="0" distB="0" distL="114300" distR="114300">
            <wp:extent cx="5826760" cy="2796540"/>
            <wp:effectExtent l="0" t="0" r="2540" b="3810"/>
            <wp:docPr id="107" name="图片 107" descr="1642651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42651273(1)"/>
                    <pic:cNvPicPr>
                      <a:picLocks noChangeAspect="1"/>
                    </pic:cNvPicPr>
                  </pic:nvPicPr>
                  <pic:blipFill>
                    <a:blip r:embed="rId52"/>
                    <a:stretch>
                      <a:fillRect/>
                    </a:stretch>
                  </pic:blipFill>
                  <pic:spPr>
                    <a:xfrm>
                      <a:off x="0" y="0"/>
                      <a:ext cx="5826760" cy="2796540"/>
                    </a:xfrm>
                    <a:prstGeom prst="rect">
                      <a:avLst/>
                    </a:prstGeom>
                  </pic:spPr>
                </pic:pic>
              </a:graphicData>
            </a:graphic>
          </wp:inline>
        </w:drawing>
      </w:r>
    </w:p>
    <w:p w14:paraId="135BEA72">
      <w:pPr>
        <w:numPr>
          <w:ilvl w:val="3"/>
          <w:numId w:val="0"/>
        </w:numPr>
        <w:tabs>
          <w:tab w:val="left" w:pos="0"/>
        </w:tabs>
        <w:bidi w:val="0"/>
        <w:spacing w:line="360" w:lineRule="auto"/>
        <w:ind w:leftChars="0" w:firstLine="560" w:firstLineChars="20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 xml:space="preserve">小车断绳保护装置 </w:t>
      </w:r>
    </w:p>
    <w:p w14:paraId="46176C3A">
      <w:pPr>
        <w:pStyle w:val="305"/>
        <w:bidi w:val="0"/>
        <w:outlineLvl w:val="9"/>
        <w:rPr>
          <w:rFonts w:hint="eastAsia"/>
          <w:b w:val="0"/>
          <w:bCs w:val="0"/>
          <w:lang w:val="en-US" w:eastAsia="zh-CN"/>
        </w:rPr>
      </w:pPr>
      <w:r>
        <w:rPr>
          <w:rFonts w:hint="eastAsia"/>
          <w:b w:val="0"/>
          <w:bCs w:val="0"/>
          <w:lang w:val="en-US" w:eastAsia="zh-CN"/>
        </w:rPr>
        <w:t xml:space="preserve">该塔机小车上安装了安全锤，作为双向小车变幅断绳保护装置，检验安全锤是否能自由摆动。 </w:t>
      </w:r>
    </w:p>
    <w:p w14:paraId="60AC865B">
      <w:pPr>
        <w:numPr>
          <w:ilvl w:val="3"/>
          <w:numId w:val="0"/>
        </w:numPr>
        <w:tabs>
          <w:tab w:val="left" w:pos="0"/>
        </w:tabs>
        <w:bidi w:val="0"/>
        <w:spacing w:line="360" w:lineRule="auto"/>
        <w:ind w:leftChars="0" w:firstLine="560" w:firstLineChars="20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 xml:space="preserve">小车防坠落装置 </w:t>
      </w:r>
    </w:p>
    <w:p w14:paraId="74A10B82">
      <w:pPr>
        <w:pStyle w:val="305"/>
        <w:bidi w:val="0"/>
        <w:outlineLvl w:val="9"/>
        <w:rPr>
          <w:rFonts w:hint="eastAsia"/>
          <w:b w:val="0"/>
          <w:bCs w:val="0"/>
          <w:lang w:val="en-US" w:eastAsia="zh-CN"/>
        </w:rPr>
      </w:pPr>
      <w:r>
        <w:rPr>
          <w:rFonts w:hint="eastAsia"/>
          <w:b w:val="0"/>
          <w:bCs w:val="0"/>
          <w:lang w:val="en-US" w:eastAsia="zh-CN"/>
        </w:rPr>
        <w:t xml:space="preserve">该塔机设置小车防坠落装置，即使车轮失效小车也不脱离臂架坠落，目测观察防坠装置是否存在，连接是否有效。 </w:t>
      </w:r>
    </w:p>
    <w:p w14:paraId="47171BFA">
      <w:pPr>
        <w:numPr>
          <w:ilvl w:val="3"/>
          <w:numId w:val="0"/>
        </w:numPr>
        <w:tabs>
          <w:tab w:val="left" w:pos="0"/>
        </w:tabs>
        <w:bidi w:val="0"/>
        <w:spacing w:line="360" w:lineRule="auto"/>
        <w:ind w:leftChars="0" w:firstLine="560" w:firstLineChars="20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 xml:space="preserve">钢丝绳防脱装置 </w:t>
      </w:r>
    </w:p>
    <w:p w14:paraId="5B7D9752">
      <w:pPr>
        <w:pStyle w:val="305"/>
        <w:bidi w:val="0"/>
        <w:outlineLvl w:val="9"/>
        <w:rPr>
          <w:rFonts w:hint="eastAsia"/>
          <w:b w:val="0"/>
          <w:bCs w:val="0"/>
          <w:lang w:val="en-US" w:eastAsia="zh-CN"/>
        </w:rPr>
      </w:pPr>
      <w:r>
        <w:rPr>
          <w:rFonts w:hint="eastAsia"/>
          <w:b w:val="0"/>
          <w:bCs w:val="0"/>
          <w:lang w:val="en-US" w:eastAsia="zh-CN"/>
        </w:rPr>
        <w:t>该塔机的滑轮、起升卷筒均设有钢丝绳防脱装置，该装置表面与滑轮或卷筒侧板外缘间的间隙不超过钢丝绳直径的 20% ,该装置可能与钢丝绳接触的表面没有棱角，目测检验防脱是否有效。</w:t>
      </w:r>
    </w:p>
    <w:p w14:paraId="7DD64F37">
      <w:pPr>
        <w:pStyle w:val="305"/>
        <w:numPr>
          <w:ilvl w:val="0"/>
          <w:numId w:val="0"/>
        </w:numPr>
        <w:bidi w:val="0"/>
        <w:spacing w:line="360" w:lineRule="auto"/>
        <w:ind w:left="425" w:leftChars="0" w:hanging="425" w:firstLineChars="0"/>
        <w:outlineLvl w:val="1"/>
        <w:rPr>
          <w:rFonts w:hint="eastAsia"/>
          <w:sz w:val="30"/>
          <w:szCs w:val="30"/>
          <w:lang w:val="en-US" w:eastAsia="zh-CN"/>
        </w:rPr>
      </w:pPr>
      <w:bookmarkStart w:id="121" w:name="_Toc23619"/>
      <w:bookmarkStart w:id="122" w:name="_Toc7809"/>
      <w:r>
        <w:rPr>
          <w:rFonts w:hint="default" w:ascii="仿宋_GB2312" w:hAnsi="仿宋_GB2312" w:eastAsia="仿宋_GB2312" w:cs="黑体"/>
          <w:b/>
          <w:bCs/>
          <w:color w:val="000000"/>
          <w:kern w:val="2"/>
          <w:sz w:val="30"/>
          <w:szCs w:val="30"/>
          <w:lang w:val="en-US" w:eastAsia="zh-CN" w:bidi="ar-SA"/>
        </w:rPr>
        <w:t>6.3.</w:t>
      </w:r>
      <w:r>
        <w:rPr>
          <w:rFonts w:hint="eastAsia" w:cs="黑体"/>
          <w:b/>
          <w:bCs/>
          <w:color w:val="000000"/>
          <w:kern w:val="2"/>
          <w:sz w:val="30"/>
          <w:szCs w:val="30"/>
          <w:lang w:val="en-US" w:eastAsia="zh-CN" w:bidi="ar-SA"/>
        </w:rPr>
        <w:t>3</w:t>
      </w:r>
      <w:r>
        <w:rPr>
          <w:rFonts w:hint="eastAsia"/>
          <w:sz w:val="30"/>
          <w:szCs w:val="30"/>
          <w:lang w:val="en-US" w:eastAsia="zh-CN"/>
        </w:rPr>
        <w:t>塔吊顶升加节</w:t>
      </w:r>
      <w:bookmarkEnd w:id="121"/>
      <w:bookmarkEnd w:id="122"/>
    </w:p>
    <w:p w14:paraId="174D8B37">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顶升前准备工作</w:t>
      </w:r>
    </w:p>
    <w:p w14:paraId="47AD4B0C">
      <w:pPr>
        <w:pStyle w:val="305"/>
        <w:bidi w:val="0"/>
        <w:outlineLvl w:val="9"/>
        <w:rPr>
          <w:rFonts w:hint="eastAsia"/>
          <w:b w:val="0"/>
          <w:bCs w:val="0"/>
          <w:lang w:val="en-US" w:eastAsia="zh-CN"/>
        </w:rPr>
      </w:pPr>
      <w:r>
        <w:rPr>
          <w:rFonts w:hint="eastAsia"/>
          <w:b w:val="0"/>
          <w:bCs w:val="0"/>
          <w:lang w:val="en-US" w:eastAsia="zh-CN"/>
        </w:rPr>
        <w:t>（1）在地面上，将液压泵站注满液压油后，吊至套架下平台适当位置并接通泵站与油缸连接的油管。</w:t>
      </w:r>
    </w:p>
    <w:p w14:paraId="640E1A6C">
      <w:pPr>
        <w:pStyle w:val="305"/>
        <w:bidi w:val="0"/>
        <w:outlineLvl w:val="9"/>
        <w:rPr>
          <w:rFonts w:hint="eastAsia"/>
          <w:b w:val="0"/>
          <w:bCs w:val="0"/>
          <w:lang w:val="en-US" w:eastAsia="zh-CN"/>
        </w:rPr>
      </w:pPr>
      <w:r>
        <w:rPr>
          <w:rFonts w:hint="eastAsia"/>
          <w:b w:val="0"/>
          <w:bCs w:val="0"/>
          <w:lang w:val="en-US" w:eastAsia="zh-CN"/>
        </w:rPr>
        <w:t>（2）清理各个塔身节，并在塔身节连接销轴孔内涂抹黄油，将待安装标准节组装好后放置在起重臂下方排成一排</w:t>
      </w:r>
    </w:p>
    <w:p w14:paraId="0B076189">
      <w:pPr>
        <w:pStyle w:val="305"/>
        <w:bidi w:val="0"/>
        <w:outlineLvl w:val="9"/>
        <w:rPr>
          <w:rFonts w:hint="eastAsia"/>
          <w:b w:val="0"/>
          <w:bCs w:val="0"/>
          <w:lang w:val="en-US" w:eastAsia="zh-CN"/>
        </w:rPr>
      </w:pPr>
      <w:r>
        <w:rPr>
          <w:rFonts w:hint="eastAsia"/>
          <w:b w:val="0"/>
          <w:bCs w:val="0"/>
          <w:lang w:val="en-US" w:eastAsia="zh-CN"/>
        </w:rPr>
        <w:t>（3）放松电缆长度使其略大于总的顶升高度，并紧固好电缆。</w:t>
      </w:r>
    </w:p>
    <w:p w14:paraId="41BFBC21">
      <w:pPr>
        <w:pStyle w:val="305"/>
        <w:bidi w:val="0"/>
        <w:outlineLvl w:val="9"/>
        <w:rPr>
          <w:rFonts w:hint="eastAsia"/>
          <w:b w:val="0"/>
          <w:bCs w:val="0"/>
          <w:lang w:val="en-US" w:eastAsia="zh-CN"/>
        </w:rPr>
      </w:pPr>
      <w:r>
        <w:rPr>
          <w:rFonts w:hint="eastAsia"/>
          <w:b w:val="0"/>
          <w:bCs w:val="0"/>
          <w:lang w:val="en-US" w:eastAsia="zh-CN"/>
        </w:rPr>
        <w:t>（4）将起重臂旋转至套架前方，平衡臂处于套架的后方。</w:t>
      </w:r>
    </w:p>
    <w:p w14:paraId="4F8787C7">
      <w:pPr>
        <w:pStyle w:val="305"/>
        <w:bidi w:val="0"/>
        <w:outlineLvl w:val="9"/>
        <w:rPr>
          <w:rFonts w:hint="eastAsia"/>
          <w:b w:val="0"/>
          <w:bCs w:val="0"/>
          <w:lang w:val="en-US" w:eastAsia="zh-CN"/>
        </w:rPr>
      </w:pPr>
      <w:r>
        <w:rPr>
          <w:rFonts w:hint="eastAsia"/>
          <w:b w:val="0"/>
          <w:bCs w:val="0"/>
          <w:lang w:val="en-US" w:eastAsia="zh-CN"/>
        </w:rPr>
        <w:t>（5）检查、调试并确认顶升机构工作正确、可靠，保证套架能按塔机爬升规定的程序上升、下降、可靠停止；运行过程中应平稳，无爬行、振动现象。</w:t>
      </w:r>
    </w:p>
    <w:p w14:paraId="2007B546">
      <w:pPr>
        <w:pStyle w:val="305"/>
        <w:bidi w:val="0"/>
        <w:outlineLvl w:val="9"/>
        <w:rPr>
          <w:rFonts w:hint="eastAsia"/>
          <w:b w:val="0"/>
          <w:bCs w:val="0"/>
          <w:lang w:val="en-US" w:eastAsia="zh-CN"/>
        </w:rPr>
      </w:pPr>
      <w:r>
        <w:rPr>
          <w:rFonts w:hint="eastAsia"/>
          <w:b w:val="0"/>
          <w:bCs w:val="0"/>
          <w:lang w:val="en-US" w:eastAsia="zh-CN"/>
        </w:rPr>
        <w:t>（6）检查套架支承系统，确保各部分运动灵活，承重可靠。</w:t>
      </w:r>
    </w:p>
    <w:p w14:paraId="477C6B2D">
      <w:pPr>
        <w:pStyle w:val="305"/>
        <w:bidi w:val="0"/>
        <w:outlineLvl w:val="9"/>
        <w:rPr>
          <w:rFonts w:hint="eastAsia"/>
          <w:b w:val="0"/>
          <w:bCs w:val="0"/>
          <w:lang w:val="en-US" w:eastAsia="zh-CN"/>
        </w:rPr>
      </w:pPr>
      <w:r>
        <w:rPr>
          <w:rFonts w:hint="eastAsia"/>
          <w:b w:val="0"/>
          <w:bCs w:val="0"/>
          <w:lang w:val="en-US" w:eastAsia="zh-CN"/>
        </w:rPr>
        <w:t>（7）液压顶升机构应保证安全，溢流阀的调整压力不得大于系统额定工作压力的110%</w:t>
      </w:r>
    </w:p>
    <w:p w14:paraId="2C398403">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顶升规则</w:t>
      </w:r>
    </w:p>
    <w:p w14:paraId="38D544EB">
      <w:pPr>
        <w:pStyle w:val="305"/>
        <w:bidi w:val="0"/>
        <w:outlineLvl w:val="9"/>
        <w:rPr>
          <w:rFonts w:hint="eastAsia"/>
          <w:b w:val="0"/>
          <w:bCs w:val="0"/>
          <w:lang w:val="en-US" w:eastAsia="zh-CN"/>
        </w:rPr>
      </w:pPr>
      <w:r>
        <w:rPr>
          <w:rFonts w:hint="eastAsia"/>
          <w:b w:val="0"/>
          <w:bCs w:val="0"/>
          <w:lang w:val="en-US" w:eastAsia="zh-CN"/>
        </w:rPr>
        <w:t>（1）顶升前塔机旋转部分必须进行配平。</w:t>
      </w:r>
    </w:p>
    <w:p w14:paraId="76A011F6">
      <w:pPr>
        <w:pStyle w:val="305"/>
        <w:bidi w:val="0"/>
        <w:outlineLvl w:val="9"/>
        <w:rPr>
          <w:rFonts w:hint="eastAsia"/>
          <w:b w:val="0"/>
          <w:bCs w:val="0"/>
          <w:lang w:val="en-US" w:eastAsia="zh-CN"/>
        </w:rPr>
      </w:pPr>
      <w:r>
        <w:rPr>
          <w:rFonts w:hint="eastAsia"/>
          <w:b w:val="0"/>
          <w:bCs w:val="0"/>
          <w:lang w:val="en-US" w:eastAsia="zh-CN"/>
        </w:rPr>
        <w:t>（2）塔机最高处风速大于 12m/s 时，不得进行顶升作业。</w:t>
      </w:r>
    </w:p>
    <w:p w14:paraId="52AFE019">
      <w:pPr>
        <w:pStyle w:val="305"/>
        <w:bidi w:val="0"/>
        <w:outlineLvl w:val="9"/>
        <w:rPr>
          <w:rFonts w:hint="eastAsia"/>
          <w:b w:val="0"/>
          <w:bCs w:val="0"/>
          <w:lang w:val="en-US" w:eastAsia="zh-CN"/>
        </w:rPr>
      </w:pPr>
      <w:r>
        <w:rPr>
          <w:rFonts w:hint="eastAsia"/>
          <w:b w:val="0"/>
          <w:bCs w:val="0"/>
          <w:lang w:val="en-US" w:eastAsia="zh-CN"/>
        </w:rPr>
        <w:t>（3）严禁在顶升系统正在顶起或已顶起时进行吊重（上升或下降）。</w:t>
      </w:r>
    </w:p>
    <w:p w14:paraId="6878F031">
      <w:pPr>
        <w:pStyle w:val="305"/>
        <w:bidi w:val="0"/>
        <w:outlineLvl w:val="9"/>
        <w:rPr>
          <w:rFonts w:hint="eastAsia"/>
          <w:b w:val="0"/>
          <w:bCs w:val="0"/>
          <w:lang w:val="en-US" w:eastAsia="zh-CN"/>
        </w:rPr>
      </w:pPr>
      <w:r>
        <w:rPr>
          <w:rFonts w:hint="eastAsia"/>
          <w:b w:val="0"/>
          <w:bCs w:val="0"/>
          <w:lang w:val="en-US" w:eastAsia="zh-CN"/>
        </w:rPr>
        <w:t>（4）严禁在顶升系统正在顶起或已顶起时进行小车移动。</w:t>
      </w:r>
    </w:p>
    <w:p w14:paraId="72871315">
      <w:pPr>
        <w:pStyle w:val="305"/>
        <w:bidi w:val="0"/>
        <w:outlineLvl w:val="9"/>
        <w:rPr>
          <w:rFonts w:hint="eastAsia"/>
          <w:b w:val="0"/>
          <w:bCs w:val="0"/>
          <w:lang w:val="en-US" w:eastAsia="zh-CN"/>
        </w:rPr>
      </w:pPr>
      <w:r>
        <w:rPr>
          <w:rFonts w:hint="eastAsia"/>
          <w:b w:val="0"/>
          <w:bCs w:val="0"/>
          <w:lang w:val="en-US" w:eastAsia="zh-CN"/>
        </w:rPr>
        <w:t>（5）顶升过程中必须保证起重臂与引入标准节方向一致，并利用回转机构制动器将起重臂制动住，载重小车必须停在顶升配平位置。</w:t>
      </w:r>
    </w:p>
    <w:p w14:paraId="00D18BD1">
      <w:pPr>
        <w:pStyle w:val="305"/>
        <w:bidi w:val="0"/>
        <w:outlineLvl w:val="9"/>
        <w:rPr>
          <w:rFonts w:hint="eastAsia"/>
          <w:b w:val="0"/>
          <w:bCs w:val="0"/>
          <w:lang w:val="en-US" w:eastAsia="zh-CN"/>
        </w:rPr>
      </w:pPr>
      <w:r>
        <w:rPr>
          <w:rFonts w:hint="eastAsia"/>
          <w:b w:val="0"/>
          <w:bCs w:val="0"/>
          <w:lang w:val="en-US" w:eastAsia="zh-CN"/>
        </w:rPr>
        <w:t>（6）塔身与下支座安装用临时销轴其直径比标准销轴φ60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14:paraId="210FFF7D">
      <w:pPr>
        <w:pStyle w:val="305"/>
        <w:bidi w:val="0"/>
        <w:outlineLvl w:val="9"/>
        <w:rPr>
          <w:rFonts w:hint="eastAsia"/>
          <w:b w:val="0"/>
          <w:bCs w:val="0"/>
          <w:lang w:val="en-US" w:eastAsia="zh-CN"/>
        </w:rPr>
      </w:pPr>
      <w:r>
        <w:rPr>
          <w:rFonts w:hint="eastAsia"/>
          <w:b w:val="0"/>
          <w:bCs w:val="0"/>
          <w:lang w:val="en-US" w:eastAsia="zh-CN"/>
        </w:rPr>
        <w:t>（7）若要连续加高几节标准节，则每加完一节后，塔机起吊下一节标准节前，塔身各主弦杆和下支座必须有 4 根φ60 销轴连接，唯有在这种情况下，允许用 4 根φ60 销轴。</w:t>
      </w:r>
    </w:p>
    <w:p w14:paraId="2EBDB3C2">
      <w:pPr>
        <w:pStyle w:val="305"/>
        <w:bidi w:val="0"/>
        <w:outlineLvl w:val="9"/>
        <w:rPr>
          <w:rFonts w:hint="eastAsia"/>
          <w:b w:val="0"/>
          <w:bCs w:val="0"/>
          <w:lang w:val="en-US" w:eastAsia="zh-CN"/>
        </w:rPr>
      </w:pPr>
      <w:r>
        <w:rPr>
          <w:rFonts w:hint="eastAsia"/>
          <w:b w:val="0"/>
          <w:bCs w:val="0"/>
          <w:lang w:val="en-US" w:eastAsia="zh-CN"/>
        </w:rPr>
        <w:t>（8）所加标准节上的踏步，必须与已有标准节对正。</w:t>
      </w:r>
    </w:p>
    <w:p w14:paraId="2FB5BCC7">
      <w:pPr>
        <w:pStyle w:val="305"/>
        <w:bidi w:val="0"/>
        <w:outlineLvl w:val="9"/>
        <w:rPr>
          <w:rFonts w:hint="eastAsia"/>
          <w:b w:val="0"/>
          <w:bCs w:val="0"/>
          <w:lang w:val="en-US" w:eastAsia="zh-CN"/>
        </w:rPr>
      </w:pPr>
      <w:r>
        <w:rPr>
          <w:rFonts w:hint="eastAsia"/>
          <w:b w:val="0"/>
          <w:bCs w:val="0"/>
          <w:lang w:val="en-US" w:eastAsia="zh-CN"/>
        </w:rPr>
        <w:t>（9）在下支座与塔身没有用 8 根φ60 销轴连接好之前，严禁回转、变幅和吊装作业。</w:t>
      </w:r>
    </w:p>
    <w:p w14:paraId="2642E1BA">
      <w:pPr>
        <w:pStyle w:val="305"/>
        <w:bidi w:val="0"/>
        <w:outlineLvl w:val="9"/>
        <w:rPr>
          <w:rFonts w:hint="eastAsia"/>
          <w:b w:val="0"/>
          <w:bCs w:val="0"/>
          <w:lang w:val="en-US" w:eastAsia="zh-CN"/>
        </w:rPr>
      </w:pPr>
      <w:r>
        <w:rPr>
          <w:rFonts w:hint="eastAsia"/>
          <w:b w:val="0"/>
          <w:bCs w:val="0"/>
          <w:lang w:val="en-US" w:eastAsia="zh-CN"/>
        </w:rPr>
        <w:t>（10）在顶升过程中，若液压顶升系统出现异常， 应立即停止顶升，收回油缸，将下支座落在塔身顶部，并用 8 根φ60 销轴将下支座与塔身连接牢靠后， 再排除液压系统的故障。</w:t>
      </w:r>
    </w:p>
    <w:p w14:paraId="792A1396">
      <w:pPr>
        <w:pStyle w:val="305"/>
        <w:bidi w:val="0"/>
        <w:outlineLvl w:val="9"/>
        <w:rPr>
          <w:rFonts w:hint="eastAsia"/>
          <w:b w:val="0"/>
          <w:bCs w:val="0"/>
          <w:lang w:val="en-US" w:eastAsia="zh-CN"/>
        </w:rPr>
      </w:pPr>
      <w:r>
        <w:rPr>
          <w:rFonts w:hint="eastAsia"/>
          <w:b w:val="0"/>
          <w:bCs w:val="0"/>
          <w:lang w:val="en-US" w:eastAsia="zh-CN"/>
        </w:rPr>
        <w:t>（11）顶升结束后，所有标准节之间均是用 8 根φ60 的标准销轴连接，最顶部标准节与下支座之间是用 8 根φ60 销轴连接。</w:t>
      </w:r>
    </w:p>
    <w:p w14:paraId="7D9BC17C">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顶升时的配平</w:t>
      </w:r>
    </w:p>
    <w:p w14:paraId="33D9DE49">
      <w:pPr>
        <w:pStyle w:val="305"/>
        <w:bidi w:val="0"/>
        <w:jc w:val="center"/>
        <w:outlineLvl w:val="9"/>
        <w:rPr>
          <w:rFonts w:hint="eastAsia"/>
          <w:b w:val="0"/>
          <w:bCs w:val="0"/>
          <w:lang w:val="en-US" w:eastAsia="zh-CN"/>
        </w:rPr>
      </w:pPr>
      <w:r>
        <w:rPr>
          <w:rFonts w:hint="eastAsia"/>
          <w:b w:val="0"/>
          <w:bCs w:val="0"/>
          <w:lang w:val="en-US" w:eastAsia="zh-CN"/>
        </w:rPr>
        <w:fldChar w:fldCharType="begin"/>
      </w:r>
      <w:r>
        <w:rPr>
          <w:rFonts w:hint="eastAsia"/>
          <w:b w:val="0"/>
          <w:bCs w:val="0"/>
          <w:lang w:val="en-US" w:eastAsia="zh-CN"/>
        </w:rPr>
        <w:instrText xml:space="preserve"> INCLUDEPICTURE  "C:\\..\\..\\Documents and Settings\\Administrator\\Application Data\\Tencent\\Users\\387702944\\QQ\\WinTemp\\RichOle\\KTL3DXG(LVYMR]VG({E0]_5.png" \* MERGEFORMATINET </w:instrText>
      </w:r>
      <w:r>
        <w:rPr>
          <w:rFonts w:hint="eastAsia"/>
          <w:b w:val="0"/>
          <w:bCs w:val="0"/>
          <w:lang w:val="en-US" w:eastAsia="zh-CN"/>
        </w:rPr>
        <w:fldChar w:fldCharType="separate"/>
      </w:r>
      <w:r>
        <w:rPr>
          <w:rFonts w:hint="eastAsia"/>
          <w:b w:val="0"/>
          <w:bCs w:val="0"/>
          <w:lang w:val="en-US" w:eastAsia="zh-CN"/>
        </w:rPr>
        <w:drawing>
          <wp:inline distT="0" distB="0" distL="114300" distR="114300">
            <wp:extent cx="3581400" cy="2316480"/>
            <wp:effectExtent l="0" t="0" r="0" b="7620"/>
            <wp:docPr id="1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descr="IMG_256"/>
                    <pic:cNvPicPr>
                      <a:picLocks noChangeAspect="1"/>
                    </pic:cNvPicPr>
                  </pic:nvPicPr>
                  <pic:blipFill>
                    <a:blip r:embed="rId53" r:link="rId54"/>
                    <a:stretch>
                      <a:fillRect/>
                    </a:stretch>
                  </pic:blipFill>
                  <pic:spPr>
                    <a:xfrm>
                      <a:off x="0" y="0"/>
                      <a:ext cx="3581400" cy="2316480"/>
                    </a:xfrm>
                    <a:prstGeom prst="rect">
                      <a:avLst/>
                    </a:prstGeom>
                    <a:noFill/>
                    <a:ln>
                      <a:noFill/>
                    </a:ln>
                  </pic:spPr>
                </pic:pic>
              </a:graphicData>
            </a:graphic>
          </wp:inline>
        </w:drawing>
      </w:r>
      <w:r>
        <w:rPr>
          <w:rFonts w:hint="eastAsia"/>
          <w:b w:val="0"/>
          <w:bCs w:val="0"/>
          <w:lang w:val="en-US" w:eastAsia="zh-CN"/>
        </w:rPr>
        <w:fldChar w:fldCharType="end"/>
      </w:r>
    </w:p>
    <w:p w14:paraId="7079B10A">
      <w:pPr>
        <w:pStyle w:val="305"/>
        <w:bidi w:val="0"/>
        <w:jc w:val="center"/>
        <w:outlineLvl w:val="9"/>
        <w:rPr>
          <w:rFonts w:hint="eastAsia"/>
          <w:b w:val="0"/>
          <w:bCs w:val="0"/>
          <w:lang w:val="en-US" w:eastAsia="zh-CN"/>
        </w:rPr>
      </w:pPr>
      <w:r>
        <w:rPr>
          <w:rFonts w:hint="eastAsia"/>
          <w:b w:val="0"/>
          <w:bCs w:val="0"/>
          <w:lang w:val="en-US" w:eastAsia="zh-CN"/>
        </w:rPr>
        <w:t>图6.3-21起升钢丝绳穿绕示意图</w:t>
      </w:r>
    </w:p>
    <w:p w14:paraId="61A59579">
      <w:pPr>
        <w:pStyle w:val="305"/>
        <w:bidi w:val="0"/>
        <w:outlineLvl w:val="9"/>
        <w:rPr>
          <w:rFonts w:hint="eastAsia"/>
          <w:b w:val="0"/>
          <w:bCs w:val="0"/>
          <w:lang w:val="en-US" w:eastAsia="zh-CN"/>
        </w:rPr>
      </w:pPr>
      <w:r>
        <w:rPr>
          <w:rFonts w:hint="eastAsia"/>
          <w:b w:val="0"/>
          <w:bCs w:val="0"/>
          <w:lang w:val="en-US" w:eastAsia="zh-CN"/>
        </w:rPr>
        <w:t>（1）塔机配平前，必须先吊一节标准节放在下支座的引进横梁上（标准节的平台、平台栏杆和爬梯要固定好），钢丝绳挂在标准节的对角吊耳上，再将载重小车吊一节标准节运行到配平参考位置见表，然后安装下支座 4 个支腿与标准节连接的 8 个销轴。</w:t>
      </w:r>
    </w:p>
    <w:p w14:paraId="4E7D8039">
      <w:pPr>
        <w:pStyle w:val="305"/>
        <w:bidi w:val="0"/>
        <w:outlineLvl w:val="9"/>
        <w:rPr>
          <w:rFonts w:hint="eastAsia"/>
          <w:b w:val="0"/>
          <w:bCs w:val="0"/>
          <w:lang w:val="en-US" w:eastAsia="zh-CN"/>
        </w:rPr>
      </w:pPr>
      <w:r>
        <w:rPr>
          <w:rFonts w:hint="eastAsia"/>
          <w:b w:val="0"/>
          <w:bCs w:val="0"/>
          <w:lang w:val="en-US" w:eastAsia="zh-CN"/>
        </w:rPr>
        <w:t>（2）将液压顶升系统操纵杆推至“顶升”方向，使套架顶升至下支座支腿刚刚脱离塔身的主弦杆的位置。</w:t>
      </w:r>
    </w:p>
    <w:p w14:paraId="65A4200D">
      <w:pPr>
        <w:pStyle w:val="305"/>
        <w:bidi w:val="0"/>
        <w:outlineLvl w:val="9"/>
        <w:rPr>
          <w:rFonts w:hint="eastAsia"/>
          <w:b w:val="0"/>
          <w:bCs w:val="0"/>
          <w:lang w:val="en-US" w:eastAsia="zh-CN"/>
        </w:rPr>
      </w:pPr>
      <w:r>
        <w:rPr>
          <w:rFonts w:hint="eastAsia"/>
          <w:b w:val="0"/>
          <w:bCs w:val="0"/>
          <w:lang w:val="en-US" w:eastAsia="zh-CN"/>
        </w:rPr>
        <w:t>（3）通过检验下支座支腿与塔身主弦杆是否在一条垂直线上，并观察套架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0661A664">
      <w:pPr>
        <w:pStyle w:val="305"/>
        <w:bidi w:val="0"/>
        <w:jc w:val="center"/>
        <w:outlineLvl w:val="9"/>
        <w:rPr>
          <w:rFonts w:hint="default"/>
          <w:b w:val="0"/>
          <w:bCs w:val="0"/>
          <w:lang w:val="en-US" w:eastAsia="zh-CN"/>
        </w:rPr>
      </w:pPr>
      <w:r>
        <w:rPr>
          <w:rFonts w:hint="eastAsia"/>
          <w:b w:val="0"/>
          <w:bCs w:val="0"/>
          <w:lang w:val="en-US" w:eastAsia="zh-CN"/>
        </w:rPr>
        <w:t>表4.2-4不同臂长理论顶升配平位置表</w:t>
      </w:r>
    </w:p>
    <w:p w14:paraId="3FACDD41">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5269230" cy="1631950"/>
            <wp:effectExtent l="0" t="0" r="7620" b="6350"/>
            <wp:docPr id="151" name="图片 151" descr="172086352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720863520829"/>
                    <pic:cNvPicPr>
                      <a:picLocks noChangeAspect="1"/>
                    </pic:cNvPicPr>
                  </pic:nvPicPr>
                  <pic:blipFill>
                    <a:blip r:embed="rId55"/>
                    <a:srcRect b="49637"/>
                    <a:stretch>
                      <a:fillRect/>
                    </a:stretch>
                  </pic:blipFill>
                  <pic:spPr>
                    <a:xfrm>
                      <a:off x="0" y="0"/>
                      <a:ext cx="5269230" cy="1631950"/>
                    </a:xfrm>
                    <a:prstGeom prst="rect">
                      <a:avLst/>
                    </a:prstGeom>
                  </pic:spPr>
                </pic:pic>
              </a:graphicData>
            </a:graphic>
          </wp:inline>
        </w:drawing>
      </w:r>
    </w:p>
    <w:p w14:paraId="551CCCB6">
      <w:pPr>
        <w:pStyle w:val="305"/>
        <w:bidi w:val="0"/>
        <w:jc w:val="center"/>
        <w:outlineLvl w:val="9"/>
        <w:rPr>
          <w:rFonts w:hint="eastAsia"/>
          <w:b w:val="0"/>
          <w:bCs w:val="0"/>
          <w:lang w:val="en-US" w:eastAsia="zh-CN"/>
        </w:rPr>
      </w:pPr>
      <w:r>
        <w:rPr>
          <w:rFonts w:hint="eastAsia"/>
          <w:b w:val="0"/>
          <w:bCs w:val="0"/>
          <w:lang w:val="en-US" w:eastAsia="zh-CN"/>
        </w:rPr>
        <w:drawing>
          <wp:inline distT="0" distB="0" distL="114300" distR="114300">
            <wp:extent cx="5272405" cy="1875790"/>
            <wp:effectExtent l="0" t="0" r="4445" b="10160"/>
            <wp:docPr id="152" name="图片 152" descr="17208641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720864136531"/>
                    <pic:cNvPicPr>
                      <a:picLocks noChangeAspect="1"/>
                    </pic:cNvPicPr>
                  </pic:nvPicPr>
                  <pic:blipFill>
                    <a:blip r:embed="rId56"/>
                    <a:stretch>
                      <a:fillRect/>
                    </a:stretch>
                  </pic:blipFill>
                  <pic:spPr>
                    <a:xfrm>
                      <a:off x="0" y="0"/>
                      <a:ext cx="5272405" cy="1875790"/>
                    </a:xfrm>
                    <a:prstGeom prst="rect">
                      <a:avLst/>
                    </a:prstGeom>
                  </pic:spPr>
                </pic:pic>
              </a:graphicData>
            </a:graphic>
          </wp:inline>
        </w:drawing>
      </w:r>
    </w:p>
    <w:p w14:paraId="6B2586AC">
      <w:pPr>
        <w:pStyle w:val="305"/>
        <w:bidi w:val="0"/>
        <w:jc w:val="center"/>
        <w:outlineLvl w:val="9"/>
        <w:rPr>
          <w:rFonts w:hint="default"/>
          <w:b w:val="0"/>
          <w:bCs w:val="0"/>
          <w:lang w:val="en-US" w:eastAsia="zh-CN"/>
        </w:rPr>
      </w:pPr>
      <w:r>
        <w:rPr>
          <w:rFonts w:hint="eastAsia"/>
          <w:b w:val="0"/>
          <w:bCs w:val="0"/>
          <w:lang w:val="en-US" w:eastAsia="zh-CN"/>
        </w:rPr>
        <w:t>图6.3-22顶升前配平示意图</w:t>
      </w:r>
    </w:p>
    <w:p w14:paraId="728C4EAF">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顶升作业</w:t>
      </w:r>
    </w:p>
    <w:p w14:paraId="381CC35B">
      <w:pPr>
        <w:pStyle w:val="305"/>
        <w:bidi w:val="0"/>
        <w:outlineLvl w:val="9"/>
        <w:rPr>
          <w:rFonts w:hint="eastAsia"/>
          <w:b w:val="0"/>
          <w:bCs w:val="0"/>
          <w:lang w:val="en-US" w:eastAsia="zh-CN"/>
        </w:rPr>
      </w:pPr>
      <w:r>
        <w:rPr>
          <w:rFonts w:hint="eastAsia"/>
          <w:b w:val="0"/>
          <w:bCs w:val="0"/>
          <w:lang w:val="en-US" w:eastAsia="zh-CN"/>
        </w:rPr>
        <w:t>顶升作业为多人配合作业，专人负责操作泵站、其余人负责操作标准节及销轴。</w:t>
      </w:r>
    </w:p>
    <w:p w14:paraId="6E32B4F0">
      <w:pPr>
        <w:pStyle w:val="305"/>
        <w:bidi w:val="0"/>
        <w:outlineLvl w:val="9"/>
        <w:rPr>
          <w:rFonts w:hint="eastAsia"/>
          <w:b w:val="0"/>
          <w:bCs w:val="0"/>
          <w:lang w:val="en-US" w:eastAsia="zh-CN"/>
        </w:rPr>
      </w:pPr>
      <w:r>
        <w:rPr>
          <w:rFonts w:hint="eastAsia"/>
          <w:b w:val="0"/>
          <w:bCs w:val="0"/>
          <w:lang w:val="en-US" w:eastAsia="zh-CN"/>
        </w:rPr>
        <w:t>（1）按在引进梁上吊挂标准节的方法将一节标准节吊挂在引进梁上，并保证标准节上端面与引进小车下端面的距离在 100～250mm 之间。</w:t>
      </w:r>
    </w:p>
    <w:p w14:paraId="40BC70D4">
      <w:pPr>
        <w:pStyle w:val="305"/>
        <w:bidi w:val="0"/>
        <w:outlineLvl w:val="9"/>
        <w:rPr>
          <w:rFonts w:hint="eastAsia"/>
          <w:b w:val="0"/>
          <w:bCs w:val="0"/>
          <w:lang w:val="en-US" w:eastAsia="zh-CN"/>
        </w:rPr>
      </w:pPr>
      <w:r>
        <w:rPr>
          <w:rFonts w:hint="eastAsia"/>
          <w:b w:val="0"/>
          <w:bCs w:val="0"/>
          <w:lang w:val="en-US" w:eastAsia="zh-CN"/>
        </w:rPr>
        <w:t>（2）再吊配平标准节，将载重小车开至顶升平衡位置，塔机处于配平状态。</w:t>
      </w:r>
    </w:p>
    <w:p w14:paraId="7D7B3EA3">
      <w:pPr>
        <w:pStyle w:val="305"/>
        <w:bidi w:val="0"/>
        <w:outlineLvl w:val="9"/>
        <w:rPr>
          <w:rFonts w:hint="eastAsia"/>
          <w:b w:val="0"/>
          <w:bCs w:val="0"/>
          <w:lang w:val="en-US" w:eastAsia="zh-CN"/>
        </w:rPr>
      </w:pPr>
      <w:r>
        <w:rPr>
          <w:rFonts w:hint="eastAsia"/>
          <w:b w:val="0"/>
          <w:bCs w:val="0"/>
          <w:lang w:val="en-US" w:eastAsia="zh-CN"/>
        </w:rPr>
        <w:t>（3）使用回转机构上的回转制动器，将塔机上部机构处于制动状态；</w:t>
      </w:r>
    </w:p>
    <w:p w14:paraId="36805FF1">
      <w:pPr>
        <w:pStyle w:val="305"/>
        <w:bidi w:val="0"/>
        <w:outlineLvl w:val="9"/>
        <w:rPr>
          <w:rFonts w:hint="eastAsia"/>
          <w:b w:val="0"/>
          <w:bCs w:val="0"/>
          <w:lang w:val="en-US" w:eastAsia="zh-CN"/>
        </w:rPr>
      </w:pPr>
      <w:r>
        <w:rPr>
          <w:rFonts w:hint="eastAsia"/>
          <w:b w:val="0"/>
          <w:bCs w:val="0"/>
          <w:lang w:val="en-US" w:eastAsia="zh-CN"/>
        </w:rPr>
        <w:t>（4）卸下塔身顶部与下支座连接的顶升用临时销轴。</w:t>
      </w:r>
    </w:p>
    <w:p w14:paraId="7055A6E7">
      <w:pPr>
        <w:pStyle w:val="305"/>
        <w:bidi w:val="0"/>
        <w:outlineLvl w:val="9"/>
        <w:rPr>
          <w:rFonts w:hint="eastAsia"/>
          <w:b w:val="0"/>
          <w:bCs w:val="0"/>
          <w:lang w:val="en-US" w:eastAsia="zh-CN"/>
        </w:rPr>
      </w:pPr>
      <w:r>
        <w:rPr>
          <w:rFonts w:hint="eastAsia"/>
          <w:b w:val="0"/>
          <w:bCs w:val="0"/>
          <w:lang w:val="en-US" w:eastAsia="zh-CN"/>
        </w:rPr>
        <w:t>（5）开动液压顶升系统，使油缸活塞杆伸出，将顶升横梁两端的止动靴挂在距顶升横梁最近的塔身节踏步上（要设专人负责观察顶升横梁两端止动靴都必须落入踏步圆弧槽内）；</w:t>
      </w:r>
    </w:p>
    <w:p w14:paraId="69C62052">
      <w:pPr>
        <w:pStyle w:val="305"/>
        <w:bidi w:val="0"/>
        <w:outlineLvl w:val="9"/>
        <w:rPr>
          <w:rFonts w:hint="eastAsia"/>
          <w:b w:val="0"/>
          <w:bCs w:val="0"/>
          <w:lang w:val="en-US" w:eastAsia="zh-CN"/>
        </w:rPr>
      </w:pPr>
      <w:r>
        <w:rPr>
          <w:rFonts w:hint="eastAsia"/>
          <w:b w:val="0"/>
          <w:bCs w:val="0"/>
          <w:lang w:val="en-US" w:eastAsia="zh-CN"/>
        </w:rPr>
        <w:t>（6）打开套架上止动靴操纵杆，使套架止动靴与塔身分开，继续顶升，将套架及以上部分顶起 0.1~0.5m 时停止。</w:t>
      </w:r>
    </w:p>
    <w:p w14:paraId="71E26AAC">
      <w:pPr>
        <w:pStyle w:val="305"/>
        <w:bidi w:val="0"/>
        <w:outlineLvl w:val="9"/>
        <w:rPr>
          <w:rFonts w:hint="eastAsia"/>
          <w:b w:val="0"/>
          <w:bCs w:val="0"/>
          <w:lang w:val="en-US" w:eastAsia="zh-CN"/>
        </w:rPr>
      </w:pPr>
      <w:r>
        <w:rPr>
          <w:rFonts w:hint="eastAsia"/>
          <w:b w:val="0"/>
          <w:bCs w:val="0"/>
          <w:lang w:val="en-US" w:eastAsia="zh-CN"/>
        </w:rPr>
        <w:t>（7） 当液压油缸活塞接近下止点位置时，推动套架止动靴操纵杆使上止动靴挂入踏步上的圆弧槽内，使塔机套架以上部分临时固定在顶升踏步上。</w:t>
      </w:r>
    </w:p>
    <w:p w14:paraId="110D2D1F">
      <w:pPr>
        <w:pStyle w:val="305"/>
        <w:bidi w:val="0"/>
        <w:outlineLvl w:val="9"/>
        <w:rPr>
          <w:rFonts w:hint="eastAsia"/>
          <w:b w:val="0"/>
          <w:bCs w:val="0"/>
          <w:lang w:val="en-US" w:eastAsia="zh-CN"/>
        </w:rPr>
      </w:pPr>
      <w:r>
        <w:rPr>
          <w:rFonts w:hint="eastAsia"/>
          <w:b w:val="0"/>
          <w:bCs w:val="0"/>
          <w:lang w:val="en-US" w:eastAsia="zh-CN"/>
        </w:rPr>
        <w:t>（8）将顶升横梁上的止动靴从塔身节踏步上脱开。</w:t>
      </w:r>
    </w:p>
    <w:p w14:paraId="32A691BD">
      <w:pPr>
        <w:pStyle w:val="305"/>
        <w:bidi w:val="0"/>
        <w:outlineLvl w:val="9"/>
        <w:rPr>
          <w:rFonts w:hint="eastAsia"/>
          <w:b w:val="0"/>
          <w:bCs w:val="0"/>
          <w:lang w:val="en-US" w:eastAsia="zh-CN"/>
        </w:rPr>
      </w:pPr>
      <w:r>
        <w:rPr>
          <w:rFonts w:hint="eastAsia"/>
          <w:b w:val="0"/>
          <w:bCs w:val="0"/>
          <w:lang w:val="en-US" w:eastAsia="zh-CN"/>
        </w:rPr>
        <w:t>（9）液压泵站操纵杆搬向“向下”位置，使顶升横梁收回。在收回的过程中，注意不要使顶升梁与塔身上螺栓或鱼尾板卡住，防止造成事故。</w:t>
      </w:r>
    </w:p>
    <w:p w14:paraId="156448DA">
      <w:pPr>
        <w:pStyle w:val="305"/>
        <w:bidi w:val="0"/>
        <w:outlineLvl w:val="9"/>
        <w:rPr>
          <w:rFonts w:hint="eastAsia"/>
          <w:b w:val="0"/>
          <w:bCs w:val="0"/>
          <w:lang w:val="en-US" w:eastAsia="zh-CN"/>
        </w:rPr>
      </w:pPr>
      <w:r>
        <w:rPr>
          <w:rFonts w:hint="eastAsia"/>
          <w:b w:val="0"/>
          <w:bCs w:val="0"/>
          <w:lang w:val="en-US" w:eastAsia="zh-CN"/>
        </w:rPr>
        <w:t>（10）当顶升横梁止动靴开口与上一级顶升踏步对齐时，搬动顶升横梁止动靴使其挂入顶升踏步上。</w:t>
      </w:r>
    </w:p>
    <w:p w14:paraId="32490D1D">
      <w:pPr>
        <w:pStyle w:val="305"/>
        <w:bidi w:val="0"/>
        <w:outlineLvl w:val="9"/>
        <w:rPr>
          <w:rFonts w:hint="eastAsia"/>
          <w:b w:val="0"/>
          <w:bCs w:val="0"/>
          <w:lang w:val="en-US" w:eastAsia="zh-CN"/>
        </w:rPr>
      </w:pPr>
      <w:r>
        <w:rPr>
          <w:rFonts w:hint="eastAsia"/>
          <w:b w:val="0"/>
          <w:bCs w:val="0"/>
          <w:lang w:val="en-US" w:eastAsia="zh-CN"/>
        </w:rPr>
        <w:t>（11）打开顶升套架上止动靴操纵杆，使套架止动靴与塔身分开，液压泵站操纵杆搬向“向上”位置，继续顶升。</w:t>
      </w:r>
    </w:p>
    <w:p w14:paraId="27CD44BE">
      <w:pPr>
        <w:pStyle w:val="305"/>
        <w:bidi w:val="0"/>
        <w:outlineLvl w:val="9"/>
        <w:rPr>
          <w:rFonts w:hint="eastAsia"/>
          <w:b w:val="0"/>
          <w:bCs w:val="0"/>
          <w:lang w:val="en-US" w:eastAsia="zh-CN"/>
        </w:rPr>
      </w:pPr>
      <w:r>
        <w:rPr>
          <w:rFonts w:hint="eastAsia"/>
          <w:b w:val="0"/>
          <w:bCs w:val="0"/>
          <w:lang w:val="en-US" w:eastAsia="zh-CN"/>
        </w:rPr>
        <w:t>该过程要重复三次方能形成可将一节标准节放进顶升套架内的空间。</w:t>
      </w:r>
    </w:p>
    <w:p w14:paraId="406BABF7">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引进标准节作业</w:t>
      </w:r>
    </w:p>
    <w:p w14:paraId="38583390">
      <w:pPr>
        <w:pStyle w:val="305"/>
        <w:bidi w:val="0"/>
        <w:outlineLvl w:val="9"/>
        <w:rPr>
          <w:rFonts w:hint="eastAsia"/>
          <w:b w:val="0"/>
          <w:bCs w:val="0"/>
          <w:lang w:val="en-US" w:eastAsia="zh-CN"/>
        </w:rPr>
      </w:pPr>
      <w:r>
        <w:rPr>
          <w:rFonts w:hint="eastAsia"/>
          <w:b w:val="0"/>
          <w:bCs w:val="0"/>
          <w:lang w:val="en-US" w:eastAsia="zh-CN"/>
        </w:rPr>
        <w:t>（1）当顶升第三循环接近完成、顶升套架内空间可以容纳标准节时，将挂在引进梁上的标准节轻轻推向塔身、引入套架内；</w:t>
      </w:r>
    </w:p>
    <w:p w14:paraId="6986B740">
      <w:pPr>
        <w:pStyle w:val="305"/>
        <w:bidi w:val="0"/>
        <w:outlineLvl w:val="9"/>
        <w:rPr>
          <w:rFonts w:hint="eastAsia"/>
          <w:b w:val="0"/>
          <w:bCs w:val="0"/>
          <w:lang w:val="en-US" w:eastAsia="zh-CN"/>
        </w:rPr>
      </w:pPr>
      <w:r>
        <w:rPr>
          <w:rFonts w:hint="eastAsia"/>
          <w:b w:val="0"/>
          <w:bCs w:val="0"/>
          <w:lang w:val="en-US" w:eastAsia="zh-CN"/>
        </w:rPr>
        <w:t>（2）液压泵站操纵杆搬向“向下”位置，引进的标准节下端与塔身原标准节上端鱼尾板对齐相联，打入 8 个标准节联接销轴，并用锁销固定。在联接标准节时注意使两标准节上爬梯对正，上下插接在一起。</w:t>
      </w:r>
    </w:p>
    <w:p w14:paraId="01A8E015">
      <w:pPr>
        <w:pStyle w:val="305"/>
        <w:bidi w:val="0"/>
        <w:outlineLvl w:val="9"/>
        <w:rPr>
          <w:rFonts w:hint="eastAsia"/>
          <w:b w:val="0"/>
          <w:bCs w:val="0"/>
          <w:lang w:val="en-US" w:eastAsia="zh-CN"/>
        </w:rPr>
      </w:pPr>
      <w:r>
        <w:rPr>
          <w:rFonts w:hint="eastAsia"/>
          <w:b w:val="0"/>
          <w:bCs w:val="0"/>
          <w:lang w:val="en-US" w:eastAsia="zh-CN"/>
        </w:rPr>
        <w:t>（3）拆下引进小车上 4 根固定标准节的螺栓，将螺栓安装装在引进小车吊环内。向外推出引进小车至标准节以外位置；</w:t>
      </w:r>
    </w:p>
    <w:p w14:paraId="692A1011">
      <w:pPr>
        <w:pStyle w:val="305"/>
        <w:bidi w:val="0"/>
        <w:outlineLvl w:val="9"/>
        <w:rPr>
          <w:rFonts w:hint="eastAsia"/>
          <w:b w:val="0"/>
          <w:bCs w:val="0"/>
          <w:lang w:val="en-US" w:eastAsia="zh-CN"/>
        </w:rPr>
      </w:pPr>
      <w:r>
        <w:rPr>
          <w:rFonts w:hint="eastAsia"/>
          <w:b w:val="0"/>
          <w:bCs w:val="0"/>
          <w:lang w:val="en-US" w:eastAsia="zh-CN"/>
        </w:rPr>
        <w:t>（4）继续下降顶升套架使下支座 4 个支腿落在新好的标准节上端鱼尾板内。用顶升套架上附带的四个临时固定销轴将下支座与标准节联接起来；</w:t>
      </w:r>
    </w:p>
    <w:p w14:paraId="57CFC63E">
      <w:pPr>
        <w:pStyle w:val="305"/>
        <w:bidi w:val="0"/>
        <w:outlineLvl w:val="9"/>
        <w:rPr>
          <w:rFonts w:hint="eastAsia"/>
          <w:b w:val="0"/>
          <w:bCs w:val="0"/>
          <w:lang w:val="en-US" w:eastAsia="zh-CN"/>
        </w:rPr>
      </w:pPr>
      <w:r>
        <w:rPr>
          <w:rFonts w:hint="eastAsia"/>
          <w:b w:val="0"/>
          <w:bCs w:val="0"/>
          <w:lang w:val="en-US" w:eastAsia="zh-CN"/>
        </w:rPr>
        <w:t>（5）重复上述顶升程序，直到塔机顶升作业完成为止。</w:t>
      </w:r>
    </w:p>
    <w:p w14:paraId="7BCB3878">
      <w:pPr>
        <w:pStyle w:val="305"/>
        <w:bidi w:val="0"/>
        <w:outlineLvl w:val="9"/>
        <w:rPr>
          <w:rFonts w:hint="eastAsia"/>
          <w:b w:val="0"/>
          <w:bCs w:val="0"/>
          <w:lang w:val="en-US" w:eastAsia="zh-CN"/>
        </w:rPr>
      </w:pPr>
      <w:r>
        <w:rPr>
          <w:rFonts w:hint="eastAsia"/>
          <w:b w:val="0"/>
          <w:bCs w:val="0"/>
          <w:lang w:val="en-US" w:eastAsia="zh-CN"/>
        </w:rPr>
        <w:t>注意： 在 4 个临时销轴没有安装以前， 塔机不能做任何动作 （包括小车、 起升和回转）。否则有可能造成塔机倾翻的事故。</w:t>
      </w:r>
    </w:p>
    <w:p w14:paraId="04E42CE0">
      <w:pPr>
        <w:pStyle w:val="305"/>
        <w:bidi w:val="0"/>
        <w:outlineLvl w:val="9"/>
        <w:rPr>
          <w:rFonts w:hint="eastAsia"/>
          <w:b w:val="0"/>
          <w:bCs w:val="0"/>
          <w:lang w:val="en-US" w:eastAsia="zh-CN"/>
        </w:rPr>
      </w:pPr>
      <w:r>
        <w:rPr>
          <w:rFonts w:hint="eastAsia"/>
          <w:b w:val="0"/>
          <w:bCs w:val="0"/>
          <w:lang w:val="en-US" w:eastAsia="zh-CN"/>
        </w:rPr>
        <w:t>关于顶升用临时销轴的说明：</w:t>
      </w:r>
    </w:p>
    <w:p w14:paraId="7C11C9EB">
      <w:pPr>
        <w:pStyle w:val="305"/>
        <w:bidi w:val="0"/>
        <w:outlineLvl w:val="9"/>
        <w:rPr>
          <w:rFonts w:hint="eastAsia"/>
          <w:b w:val="0"/>
          <w:bCs w:val="0"/>
          <w:lang w:val="en-US" w:eastAsia="zh-CN"/>
        </w:rPr>
      </w:pPr>
      <w:r>
        <w:rPr>
          <w:rFonts w:hint="eastAsia"/>
          <w:b w:val="0"/>
          <w:bCs w:val="0"/>
          <w:lang w:val="en-US" w:eastAsia="zh-CN"/>
        </w:rPr>
        <w:t>为方便顶升作业，配有 4 个临时销轴，此销轴直径比标准节销轴小 2mm 。此销轴只做顶升时联接下支座与塔身用， 塔机正式作业时不允许用此销轴替代标准节销轴。</w:t>
      </w:r>
    </w:p>
    <w:p w14:paraId="0ED0C9F9">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顶升过程的注意事项</w:t>
      </w:r>
    </w:p>
    <w:p w14:paraId="5765A2E6">
      <w:pPr>
        <w:pStyle w:val="305"/>
        <w:bidi w:val="0"/>
        <w:outlineLvl w:val="9"/>
        <w:rPr>
          <w:rFonts w:hint="eastAsia"/>
          <w:b w:val="0"/>
          <w:bCs w:val="0"/>
          <w:lang w:val="en-US" w:eastAsia="zh-CN"/>
        </w:rPr>
      </w:pPr>
      <w:r>
        <w:rPr>
          <w:rFonts w:hint="eastAsia"/>
          <w:b w:val="0"/>
          <w:bCs w:val="0"/>
          <w:lang w:val="en-US" w:eastAsia="zh-CN"/>
        </w:rPr>
        <w:t>（1）塔机最高处风速大于 12m/s 时，不得进行顶升作业；</w:t>
      </w:r>
    </w:p>
    <w:p w14:paraId="3AE32EE4">
      <w:pPr>
        <w:pStyle w:val="305"/>
        <w:bidi w:val="0"/>
        <w:outlineLvl w:val="9"/>
        <w:rPr>
          <w:rFonts w:hint="eastAsia"/>
          <w:b w:val="0"/>
          <w:bCs w:val="0"/>
          <w:lang w:val="en-US" w:eastAsia="zh-CN"/>
        </w:rPr>
      </w:pPr>
      <w:r>
        <w:rPr>
          <w:rFonts w:hint="eastAsia"/>
          <w:b w:val="0"/>
          <w:bCs w:val="0"/>
          <w:lang w:val="en-US" w:eastAsia="zh-CN"/>
        </w:rPr>
        <w:t>（2）塔机的爬升机构，其爬升作业时应确保套架上支承在塔身上的受力部位与塔身顶升支承部位应可靠定位和结合。并应及时查看顶升支承部位焊缝情况，若有异常情况应排除后才能继续进行爬升作业。</w:t>
      </w:r>
    </w:p>
    <w:p w14:paraId="4613298D">
      <w:pPr>
        <w:pStyle w:val="305"/>
        <w:bidi w:val="0"/>
        <w:outlineLvl w:val="9"/>
        <w:rPr>
          <w:rFonts w:hint="eastAsia"/>
          <w:b w:val="0"/>
          <w:bCs w:val="0"/>
          <w:lang w:val="en-US" w:eastAsia="zh-CN"/>
        </w:rPr>
      </w:pPr>
      <w:r>
        <w:rPr>
          <w:rFonts w:hint="eastAsia"/>
          <w:b w:val="0"/>
          <w:bCs w:val="0"/>
          <w:lang w:val="en-US" w:eastAsia="zh-CN"/>
        </w:rPr>
        <w:t>（3）顶升过程中必须保证起重臂与引入标准节方向一致，并利用回转机构制动器将起重臂制动住，载重小车必须停靠在顶升配平位置；</w:t>
      </w:r>
    </w:p>
    <w:p w14:paraId="0633FADE">
      <w:pPr>
        <w:pStyle w:val="305"/>
        <w:bidi w:val="0"/>
        <w:outlineLvl w:val="9"/>
        <w:rPr>
          <w:rFonts w:hint="eastAsia"/>
          <w:b w:val="0"/>
          <w:bCs w:val="0"/>
          <w:lang w:val="en-US" w:eastAsia="zh-CN"/>
        </w:rPr>
      </w:pPr>
      <w:r>
        <w:rPr>
          <w:rFonts w:hint="eastAsia"/>
          <w:b w:val="0"/>
          <w:bCs w:val="0"/>
          <w:lang w:val="en-US" w:eastAsia="zh-CN"/>
        </w:rPr>
        <w:t>（4）所加标准节上的踏步，必须与已有塔身节对正；</w:t>
      </w:r>
    </w:p>
    <w:p w14:paraId="28EAB760">
      <w:pPr>
        <w:pStyle w:val="305"/>
        <w:bidi w:val="0"/>
        <w:outlineLvl w:val="9"/>
        <w:rPr>
          <w:rFonts w:hint="eastAsia"/>
          <w:b w:val="0"/>
          <w:bCs w:val="0"/>
          <w:lang w:val="en-US" w:eastAsia="zh-CN"/>
        </w:rPr>
      </w:pPr>
      <w:r>
        <w:rPr>
          <w:rFonts w:hint="eastAsia"/>
          <w:b w:val="0"/>
          <w:bCs w:val="0"/>
          <w:lang w:val="en-US" w:eastAsia="zh-CN"/>
        </w:rPr>
        <w:t>（5）在下支座与塔身没有用销轴连接好之前，严禁起重臂回转、载重小车变幅和吊装作业；</w:t>
      </w:r>
    </w:p>
    <w:p w14:paraId="443AD66B">
      <w:pPr>
        <w:pStyle w:val="305"/>
        <w:bidi w:val="0"/>
        <w:outlineLvl w:val="9"/>
        <w:rPr>
          <w:rFonts w:hint="eastAsia"/>
          <w:b w:val="0"/>
          <w:bCs w:val="0"/>
          <w:lang w:val="en-US" w:eastAsia="zh-CN"/>
        </w:rPr>
      </w:pPr>
      <w:r>
        <w:rPr>
          <w:rFonts w:hint="eastAsia"/>
          <w:b w:val="0"/>
          <w:bCs w:val="0"/>
          <w:lang w:val="en-US" w:eastAsia="zh-CN"/>
        </w:rPr>
        <w:t>（6）在顶升过程中，若液压顶升系统出现异常，应立即停止顶升，收回油缸，将下支座落在塔身顶部，并用 8 个销轴将下支座与塔身连接牢靠后，再排除液压系统的故障；</w:t>
      </w:r>
    </w:p>
    <w:p w14:paraId="3A04AD52">
      <w:pPr>
        <w:pStyle w:val="6"/>
        <w:numPr>
          <w:ilvl w:val="0"/>
          <w:numId w:val="14"/>
        </w:numPr>
        <w:tabs>
          <w:tab w:val="left" w:pos="0"/>
        </w:tabs>
        <w:bidi w:val="0"/>
        <w:spacing w:line="360" w:lineRule="auto"/>
        <w:ind w:left="0" w:leftChars="0" w:firstLine="420" w:firstLineChars="0"/>
        <w:outlineLvl w:val="3"/>
        <w:rPr>
          <w:rFonts w:hint="eastAsia" w:ascii="宋体" w:hAnsi="宋体" w:eastAsia="宋体" w:cs="宋体"/>
          <w:b w:val="0"/>
          <w:bCs w:val="0"/>
          <w:kern w:val="2"/>
          <w:sz w:val="28"/>
          <w:szCs w:val="24"/>
          <w:lang w:val="en-US" w:eastAsia="zh-CN" w:bidi="ar-SA"/>
        </w:rPr>
      </w:pPr>
      <w:r>
        <w:rPr>
          <w:rFonts w:hint="eastAsia" w:ascii="宋体" w:hAnsi="宋体" w:eastAsia="宋体" w:cs="宋体"/>
          <w:b w:val="0"/>
          <w:bCs w:val="0"/>
          <w:kern w:val="2"/>
          <w:sz w:val="28"/>
          <w:szCs w:val="24"/>
          <w:lang w:val="en-US" w:eastAsia="zh-CN" w:bidi="ar-SA"/>
        </w:rPr>
        <w:t>顶升作业完成后注意事项</w:t>
      </w:r>
    </w:p>
    <w:p w14:paraId="2074AE9C">
      <w:pPr>
        <w:pStyle w:val="305"/>
        <w:bidi w:val="0"/>
        <w:outlineLvl w:val="9"/>
        <w:rPr>
          <w:rFonts w:hint="eastAsia"/>
          <w:b w:val="0"/>
          <w:bCs w:val="0"/>
          <w:lang w:val="en-US" w:eastAsia="zh-CN"/>
        </w:rPr>
      </w:pPr>
      <w:r>
        <w:rPr>
          <w:rFonts w:hint="eastAsia"/>
          <w:b w:val="0"/>
          <w:bCs w:val="0"/>
          <w:lang w:val="en-US" w:eastAsia="zh-CN"/>
        </w:rPr>
        <w:t>（1）最后一节标准节要带有休息平台；</w:t>
      </w:r>
    </w:p>
    <w:p w14:paraId="5209E114">
      <w:pPr>
        <w:pStyle w:val="305"/>
        <w:bidi w:val="0"/>
        <w:outlineLvl w:val="9"/>
        <w:rPr>
          <w:rFonts w:hint="eastAsia"/>
          <w:b w:val="0"/>
          <w:bCs w:val="0"/>
          <w:lang w:val="en-US" w:eastAsia="zh-CN"/>
        </w:rPr>
      </w:pPr>
      <w:r>
        <w:rPr>
          <w:rFonts w:hint="eastAsia"/>
          <w:b w:val="0"/>
          <w:bCs w:val="0"/>
          <w:lang w:val="en-US" w:eastAsia="zh-CN"/>
        </w:rPr>
        <w:t>（2）引进小车不要放在塔身内；</w:t>
      </w:r>
    </w:p>
    <w:p w14:paraId="55CC31EE">
      <w:pPr>
        <w:pStyle w:val="305"/>
        <w:bidi w:val="0"/>
        <w:outlineLvl w:val="9"/>
        <w:rPr>
          <w:rFonts w:hint="eastAsia"/>
          <w:b w:val="0"/>
          <w:bCs w:val="0"/>
          <w:lang w:val="en-US" w:eastAsia="zh-CN"/>
        </w:rPr>
      </w:pPr>
      <w:r>
        <w:rPr>
          <w:rFonts w:hint="eastAsia"/>
          <w:b w:val="0"/>
          <w:bCs w:val="0"/>
          <w:lang w:val="en-US" w:eastAsia="zh-CN"/>
        </w:rPr>
        <w:t>（3）必要时可以放下引进梁；</w:t>
      </w:r>
    </w:p>
    <w:p w14:paraId="016C01EB">
      <w:pPr>
        <w:pStyle w:val="305"/>
        <w:bidi w:val="0"/>
        <w:outlineLvl w:val="9"/>
        <w:rPr>
          <w:rFonts w:hint="eastAsia"/>
          <w:b w:val="0"/>
          <w:bCs w:val="0"/>
          <w:lang w:val="en-US" w:eastAsia="zh-CN"/>
        </w:rPr>
      </w:pPr>
      <w:r>
        <w:rPr>
          <w:rFonts w:hint="eastAsia"/>
          <w:b w:val="0"/>
          <w:bCs w:val="0"/>
          <w:lang w:val="en-US" w:eastAsia="zh-CN"/>
        </w:rPr>
        <w:t>（4）下支座与塔身必须用 8 个标准节销轴联接好并用锁销固定；</w:t>
      </w:r>
    </w:p>
    <w:p w14:paraId="6FA87A8B">
      <w:pPr>
        <w:pStyle w:val="305"/>
        <w:bidi w:val="0"/>
        <w:outlineLvl w:val="9"/>
        <w:rPr>
          <w:rFonts w:hint="eastAsia"/>
          <w:b w:val="0"/>
          <w:bCs w:val="0"/>
          <w:lang w:val="en-US" w:eastAsia="zh-CN"/>
        </w:rPr>
      </w:pPr>
      <w:r>
        <w:rPr>
          <w:rFonts w:hint="eastAsia"/>
          <w:b w:val="0"/>
          <w:bCs w:val="0"/>
          <w:lang w:val="en-US" w:eastAsia="zh-CN"/>
        </w:rPr>
        <w:t>（5）顶升梁必须轻挂在最后一级顶升踏步上，注意要使液压油缸卸荷；</w:t>
      </w:r>
    </w:p>
    <w:p w14:paraId="5A47CEE6">
      <w:pPr>
        <w:pStyle w:val="305"/>
        <w:bidi w:val="0"/>
        <w:outlineLvl w:val="9"/>
        <w:rPr>
          <w:rFonts w:hint="eastAsia"/>
          <w:b w:val="0"/>
          <w:bCs w:val="0"/>
          <w:lang w:val="en-US" w:eastAsia="zh-CN"/>
        </w:rPr>
      </w:pPr>
      <w:r>
        <w:rPr>
          <w:rFonts w:hint="eastAsia"/>
          <w:b w:val="0"/>
          <w:bCs w:val="0"/>
          <w:lang w:val="en-US" w:eastAsia="zh-CN"/>
        </w:rPr>
        <w:t>（6）拆掉液压泵站的电源线，整理好塔机电源随线；</w:t>
      </w:r>
    </w:p>
    <w:p w14:paraId="594B2096">
      <w:pPr>
        <w:pStyle w:val="305"/>
        <w:bidi w:val="0"/>
        <w:outlineLvl w:val="9"/>
        <w:rPr>
          <w:rFonts w:hint="eastAsia"/>
          <w:b w:val="0"/>
          <w:bCs w:val="0"/>
          <w:lang w:val="en-US" w:eastAsia="zh-CN"/>
        </w:rPr>
      </w:pPr>
      <w:r>
        <w:rPr>
          <w:rFonts w:hint="eastAsia"/>
          <w:b w:val="0"/>
          <w:bCs w:val="0"/>
          <w:lang w:val="en-US" w:eastAsia="zh-CN"/>
        </w:rPr>
        <w:t>（7）整个塔机安装完毕后，将套架降到塔身最底部，固定牢固，以降低风载；</w:t>
      </w:r>
    </w:p>
    <w:p w14:paraId="5F09C2D5">
      <w:pPr>
        <w:pStyle w:val="305"/>
        <w:bidi w:val="0"/>
        <w:jc w:val="center"/>
        <w:outlineLvl w:val="9"/>
        <w:rPr>
          <w:rFonts w:hint="eastAsia"/>
          <w:b w:val="0"/>
          <w:bCs w:val="0"/>
          <w:lang w:val="en-US" w:eastAsia="zh-CN"/>
        </w:rPr>
      </w:pPr>
    </w:p>
    <w:bookmarkEnd w:id="108"/>
    <w:p w14:paraId="0803A869">
      <w:pPr>
        <w:pStyle w:val="4"/>
        <w:bidi w:val="0"/>
        <w:rPr>
          <w:rFonts w:hint="eastAsia"/>
          <w:lang w:val="en-US" w:eastAsia="zh-CN"/>
        </w:rPr>
      </w:pPr>
      <w:bookmarkStart w:id="123" w:name="_Toc27731"/>
      <w:r>
        <w:rPr>
          <w:rFonts w:hint="eastAsia"/>
          <w:lang w:val="en-US" w:eastAsia="zh-CN"/>
        </w:rPr>
        <w:t>6.4XGT8040-25塔吊拆除</w:t>
      </w:r>
      <w:bookmarkEnd w:id="123"/>
    </w:p>
    <w:p w14:paraId="214E7F2B">
      <w:pPr>
        <w:pStyle w:val="305"/>
        <w:pageBreakBefore w:val="0"/>
        <w:kinsoku/>
        <w:wordWrap/>
        <w:overflowPunct/>
        <w:topLinePunct w:val="0"/>
        <w:bidi w:val="0"/>
        <w:outlineLvl w:val="3"/>
        <w:rPr>
          <w:rFonts w:hint="eastAsia"/>
          <w:lang w:val="en-US" w:eastAsia="zh-CN"/>
        </w:rPr>
      </w:pPr>
      <w:r>
        <w:rPr>
          <w:rFonts w:hint="eastAsia"/>
          <w:lang w:val="en-US" w:eastAsia="zh-CN"/>
        </w:rPr>
        <w:t>1.拆卸施工工序</w:t>
      </w:r>
    </w:p>
    <w:p w14:paraId="7A6ECF54">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将塔机旋转至拆卸区域， 保证该区域无影响拆卸作业的任何障碍。进行塔机拆卸。其步骤与立塔组装的步骤相反。拆塔具体程序如下：</w:t>
      </w:r>
    </w:p>
    <w:p w14:paraId="5E4E4193">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 降塔身标准节（如有附着装置，相应地也拆卸）；</w:t>
      </w:r>
    </w:p>
    <w:p w14:paraId="78075799">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2) 拆下平衡臂配重（保留 5.5t×1的配重）；</w:t>
      </w:r>
    </w:p>
    <w:p w14:paraId="0DCE3075">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3) 起重臂的拆卸（保留臂根节）；</w:t>
      </w:r>
    </w:p>
    <w:p w14:paraId="28827A25">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4) 拆卸 5.5t×1（XGT8039-25）或3.1t×1（XGT7020-12）的配重；</w:t>
      </w:r>
    </w:p>
    <w:p w14:paraId="5DB9088D">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5) 平衡臂的拆卸；</w:t>
      </w:r>
    </w:p>
    <w:p w14:paraId="6C7CD35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6) 拆卸起重臂臂根节；</w:t>
      </w:r>
    </w:p>
    <w:p w14:paraId="3A85F381">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7) 拆卸司机室；（亦可待至与回转总成一起拆卸）；</w:t>
      </w:r>
    </w:p>
    <w:p w14:paraId="59A1791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8) 拆卸回转总成；</w:t>
      </w:r>
    </w:p>
    <w:p w14:paraId="514A10E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9)  拆卸套架及塔身；</w:t>
      </w:r>
    </w:p>
    <w:p w14:paraId="272AD8AD">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10)  拆卸塔身。</w:t>
      </w:r>
    </w:p>
    <w:p w14:paraId="04A55F87">
      <w:pPr>
        <w:pStyle w:val="305"/>
        <w:pageBreakBefore w:val="0"/>
        <w:kinsoku/>
        <w:wordWrap/>
        <w:overflowPunct/>
        <w:topLinePunct w:val="0"/>
        <w:bidi w:val="0"/>
        <w:outlineLvl w:val="3"/>
        <w:rPr>
          <w:rFonts w:hint="eastAsia"/>
          <w:lang w:val="en-US" w:eastAsia="zh-CN"/>
        </w:rPr>
      </w:pPr>
      <w:r>
        <w:rPr>
          <w:rFonts w:hint="eastAsia"/>
          <w:lang w:val="en-US" w:eastAsia="zh-CN"/>
        </w:rPr>
        <w:t>2.降节</w:t>
      </w:r>
    </w:p>
    <w:p w14:paraId="1B5D1099">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w:t>
      </w:r>
      <w:r>
        <w:rPr>
          <w:rFonts w:hint="eastAsia" w:ascii="仿宋_GB2312" w:hAnsi="仿宋_GB2312" w:eastAsia="仿宋_GB2312" w:cs="黑体"/>
          <w:b w:val="0"/>
          <w:bCs w:val="0"/>
          <w:color w:val="000000"/>
          <w:kern w:val="2"/>
          <w:sz w:val="28"/>
          <w:szCs w:val="48"/>
          <w:lang w:val="en-US" w:eastAsia="zh-CN" w:bidi="ar-SA"/>
        </w:rPr>
        <w:t>将起重臂回转到引进方向(爬升架中有开口的一侧)，使回转制动器处于制动状态，载重小车停在配平位置(与立塔顶升加节时载重小车的配平位置一致)；</w:t>
      </w:r>
    </w:p>
    <w:p w14:paraId="480CA6B1">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（2）</w:t>
      </w:r>
      <w:r>
        <w:rPr>
          <w:rFonts w:hint="eastAsia" w:ascii="仿宋_GB2312" w:hAnsi="仿宋_GB2312" w:eastAsia="仿宋_GB2312" w:cs="黑体"/>
          <w:b w:val="0"/>
          <w:bCs w:val="0"/>
          <w:color w:val="000000"/>
          <w:kern w:val="2"/>
          <w:sz w:val="28"/>
          <w:szCs w:val="48"/>
          <w:lang w:val="en-US" w:eastAsia="zh-CN" w:bidi="ar-SA"/>
        </w:rPr>
        <w:t>拆掉最上面塔身标准节与特殊节的连接销轴，稍稍向上顶升，将引进轮按规定方向放至到标准节下方，并保证安全可靠；然后拆掉最上面的塔身标准节与下一节标准节的连接销轴；</w:t>
      </w:r>
    </w:p>
    <w:p w14:paraId="2A810B96">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（3）</w:t>
      </w:r>
      <w:r>
        <w:rPr>
          <w:rFonts w:hint="eastAsia" w:ascii="仿宋_GB2312" w:hAnsi="仿宋_GB2312" w:eastAsia="仿宋_GB2312" w:cs="黑体"/>
          <w:b w:val="0"/>
          <w:bCs w:val="0"/>
          <w:color w:val="000000"/>
          <w:kern w:val="2"/>
          <w:sz w:val="28"/>
          <w:szCs w:val="48"/>
          <w:lang w:val="en-US" w:eastAsia="zh-CN" w:bidi="ar-SA"/>
        </w:rPr>
        <w:t>伸长顶升油缸，将顶升横梁顶在从上往下数第三个踏步的圆弧槽内，插好防脱销，将上部结构稍稍顶起，把特殊节与爬升架连接耳板销孔对正，打入销轴，并装好开口销；</w:t>
      </w:r>
    </w:p>
    <w:p w14:paraId="365465CF">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（4）</w:t>
      </w:r>
      <w:r>
        <w:rPr>
          <w:rFonts w:hint="eastAsia" w:ascii="仿宋_GB2312" w:hAnsi="仿宋_GB2312" w:eastAsia="仿宋_GB2312" w:cs="黑体"/>
          <w:b w:val="0"/>
          <w:bCs w:val="0"/>
          <w:color w:val="000000"/>
          <w:kern w:val="2"/>
          <w:sz w:val="28"/>
          <w:szCs w:val="48"/>
          <w:lang w:val="en-US" w:eastAsia="zh-CN" w:bidi="ar-SA"/>
        </w:rPr>
        <w:t>拆掉最上面塔身标准节与特殊节的连接销轴，稍稍向上顶升，并保证安全可靠；然后拆掉最上面的塔身标准节与下一节标准节的连接销轴，并将标准节固定在引进装置的提升横梁总成上；</w:t>
      </w:r>
    </w:p>
    <w:p w14:paraId="2B562D4F">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（5）</w:t>
      </w:r>
      <w:r>
        <w:rPr>
          <w:rFonts w:hint="eastAsia" w:ascii="仿宋_GB2312" w:hAnsi="仿宋_GB2312" w:eastAsia="仿宋_GB2312" w:cs="黑体"/>
          <w:b w:val="0"/>
          <w:bCs w:val="0"/>
          <w:color w:val="000000"/>
          <w:kern w:val="2"/>
          <w:sz w:val="28"/>
          <w:szCs w:val="48"/>
          <w:lang w:val="en-US" w:eastAsia="zh-CN" w:bidi="ar-SA"/>
        </w:rPr>
        <w:t>继续顶升至最上面标准节与下方标准节离开，把标准节推出引进横梁并支稳(推出时且不可用力过猛，以免标准节冲出引进梁而倾翻，造成事故)；</w:t>
      </w:r>
    </w:p>
    <w:p w14:paraId="15ABECA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（6）</w:t>
      </w:r>
      <w:r>
        <w:rPr>
          <w:rFonts w:hint="eastAsia" w:ascii="仿宋_GB2312" w:hAnsi="仿宋_GB2312" w:eastAsia="仿宋_GB2312" w:cs="黑体"/>
          <w:b w:val="0"/>
          <w:bCs w:val="0"/>
          <w:color w:val="000000"/>
          <w:kern w:val="2"/>
          <w:sz w:val="28"/>
          <w:szCs w:val="48"/>
          <w:lang w:val="en-US" w:eastAsia="zh-CN" w:bidi="ar-SA"/>
        </w:rPr>
        <w:t>扳开活动爬爪，回缩油缸，让活动爬爪躲过距它最近的一对踏步后，复位放平，继续下降至活动爬爪支承在下一对踏步上并支承住上部结构后，退出防脱销，再回缩油缸至顶升横梁从踏步上移开；</w:t>
      </w:r>
    </w:p>
    <w:p w14:paraId="0BFBB780">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（7）</w:t>
      </w:r>
      <w:r>
        <w:rPr>
          <w:rFonts w:hint="eastAsia" w:ascii="仿宋_GB2312" w:hAnsi="仿宋_GB2312" w:eastAsia="仿宋_GB2312" w:cs="黑体"/>
          <w:b w:val="0"/>
          <w:bCs w:val="0"/>
          <w:color w:val="000000"/>
          <w:kern w:val="2"/>
          <w:sz w:val="28"/>
          <w:szCs w:val="48"/>
          <w:lang w:val="en-US" w:eastAsia="zh-CN" w:bidi="ar-SA"/>
        </w:rPr>
        <w:t>伸出油缸，将顶升横梁顶在下一对踏步上，插好防脱销，稍微顶升至爬爪翻转时能躲过原来支承的踏步后停止，拨开爬爪，回缩油缸，至下一标准节与特殊节相接触时为止；</w:t>
      </w:r>
    </w:p>
    <w:p w14:paraId="373FBF7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（8）</w:t>
      </w:r>
      <w:r>
        <w:rPr>
          <w:rFonts w:hint="eastAsia" w:ascii="仿宋_GB2312" w:hAnsi="仿宋_GB2312" w:eastAsia="仿宋_GB2312" w:cs="黑体"/>
          <w:b w:val="0"/>
          <w:bCs w:val="0"/>
          <w:color w:val="000000"/>
          <w:kern w:val="2"/>
          <w:sz w:val="28"/>
          <w:szCs w:val="48"/>
          <w:lang w:val="en-US" w:eastAsia="zh-CN" w:bidi="ar-SA"/>
        </w:rPr>
        <w:t>将特殊节与塔身标准节之间用销轴及锁销紧固牢，用小车吊钩将标准节吊至地面；</w:t>
      </w:r>
    </w:p>
    <w:p w14:paraId="681880BA">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（9）</w:t>
      </w:r>
      <w:r>
        <w:rPr>
          <w:rFonts w:hint="eastAsia" w:ascii="仿宋_GB2312" w:hAnsi="仿宋_GB2312" w:eastAsia="仿宋_GB2312" w:cs="黑体"/>
          <w:b w:val="0"/>
          <w:bCs w:val="0"/>
          <w:color w:val="000000"/>
          <w:kern w:val="2"/>
          <w:sz w:val="28"/>
          <w:szCs w:val="48"/>
          <w:lang w:val="en-US" w:eastAsia="zh-CN" w:bidi="ar-SA"/>
        </w:rPr>
        <w:t>重复上述动作，将塔身标准节依次拆下。</w:t>
      </w:r>
    </w:p>
    <w:p w14:paraId="474F2486">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（10）</w:t>
      </w:r>
      <w:r>
        <w:rPr>
          <w:rFonts w:hint="eastAsia" w:ascii="仿宋_GB2312" w:hAnsi="仿宋_GB2312" w:eastAsia="仿宋_GB2312" w:cs="黑体"/>
          <w:b w:val="0"/>
          <w:bCs w:val="0"/>
          <w:color w:val="000000"/>
          <w:kern w:val="2"/>
          <w:sz w:val="28"/>
          <w:szCs w:val="48"/>
          <w:lang w:val="en-US" w:eastAsia="zh-CN" w:bidi="ar-SA"/>
        </w:rPr>
        <w:t>爬升架下落过程中，需用人工翻转挂靴，同时派专人看管顶升横梁和导轮，观察爬升架下降时有无被障碍物卡住的现象，以便爬升架能顺利下降，否则将造成受力不均，容易造成顶升故障。</w:t>
      </w:r>
    </w:p>
    <w:p w14:paraId="1ADE1D3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（11）</w:t>
      </w:r>
      <w:r>
        <w:rPr>
          <w:rFonts w:hint="eastAsia" w:ascii="仿宋_GB2312" w:hAnsi="仿宋_GB2312" w:eastAsia="仿宋_GB2312" w:cs="黑体"/>
          <w:b w:val="0"/>
          <w:bCs w:val="0"/>
          <w:color w:val="000000"/>
          <w:kern w:val="2"/>
          <w:sz w:val="28"/>
          <w:szCs w:val="48"/>
          <w:lang w:val="en-US" w:eastAsia="zh-CN" w:bidi="ar-SA"/>
        </w:rPr>
        <w:t>降塔的具体操作步骤与顶升章节中引进标节顺序相反，图示参阅顶升章节示意。</w:t>
      </w:r>
    </w:p>
    <w:p w14:paraId="282B6D40">
      <w:pPr>
        <w:pStyle w:val="305"/>
        <w:pageBreakBefore w:val="0"/>
        <w:kinsoku/>
        <w:wordWrap/>
        <w:overflowPunct/>
        <w:topLinePunct w:val="0"/>
        <w:bidi w:val="0"/>
        <w:outlineLvl w:val="3"/>
        <w:rPr>
          <w:rFonts w:hint="eastAsia"/>
          <w:lang w:val="en-US" w:eastAsia="zh-CN"/>
        </w:rPr>
      </w:pPr>
      <w:r>
        <w:rPr>
          <w:rFonts w:hint="eastAsia"/>
          <w:lang w:val="en-US" w:eastAsia="zh-CN"/>
        </w:rPr>
        <w:t>3.拆除电气系统及附属装置及钢丝绳</w:t>
      </w:r>
    </w:p>
    <w:p w14:paraId="03D9C00E">
      <w:pPr>
        <w:ind w:firstLine="560" w:firstLineChars="200"/>
        <w:rPr>
          <w:rFonts w:hint="default"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（1）参照安装方法拆除塔机电气控制系统及附属装置。</w:t>
      </w:r>
    </w:p>
    <w:p w14:paraId="54015050">
      <w:pPr>
        <w:ind w:firstLine="560" w:firstLineChars="200"/>
        <w:rPr>
          <w:rFonts w:hint="default"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（2）放下吊钩至地面，拆除起重钢丝绳与起重臂前端上的防扭装置连接，开动起升机构，回收钢丝绳。</w:t>
      </w:r>
    </w:p>
    <w:p w14:paraId="630051FF">
      <w:pPr>
        <w:pStyle w:val="305"/>
        <w:pageBreakBefore w:val="0"/>
        <w:kinsoku/>
        <w:wordWrap/>
        <w:overflowPunct/>
        <w:topLinePunct w:val="0"/>
        <w:bidi w:val="0"/>
        <w:outlineLvl w:val="3"/>
        <w:rPr>
          <w:rFonts w:hint="eastAsia"/>
          <w:lang w:val="en-US" w:eastAsia="zh-CN"/>
        </w:rPr>
      </w:pPr>
      <w:r>
        <w:rPr>
          <w:rFonts w:hint="eastAsia"/>
          <w:lang w:val="en-US" w:eastAsia="zh-CN"/>
        </w:rPr>
        <w:t>4.平衡重拆卸</w:t>
      </w:r>
    </w:p>
    <w:p w14:paraId="14F4B3F6">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将载重小车固定在起重臂根部，借助辅助吊车拆卸配重；</w:t>
      </w:r>
    </w:p>
    <w:p w14:paraId="7E0CF097">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按装配重的相反顺序，将各块配重依次卸下，仅留下5.5t×1的配重块，如下图所示。</w:t>
      </w:r>
    </w:p>
    <w:p w14:paraId="1AF6636B">
      <w:pPr>
        <w:pStyle w:val="305"/>
        <w:bidi w:val="0"/>
        <w:jc w:val="center"/>
        <w:outlineLvl w:val="9"/>
        <w:rPr>
          <w:rFonts w:hint="eastAsia"/>
          <w:b w:val="0"/>
          <w:bCs w:val="0"/>
          <w:lang w:val="en-US" w:eastAsia="zh-CN"/>
        </w:rPr>
      </w:pPr>
      <w:r>
        <w:drawing>
          <wp:inline distT="0" distB="0" distL="114300" distR="114300">
            <wp:extent cx="4210050" cy="2352675"/>
            <wp:effectExtent l="0" t="0" r="0" b="952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43"/>
                    <a:stretch>
                      <a:fillRect/>
                    </a:stretch>
                  </pic:blipFill>
                  <pic:spPr>
                    <a:xfrm>
                      <a:off x="0" y="0"/>
                      <a:ext cx="4210050" cy="2352675"/>
                    </a:xfrm>
                    <a:prstGeom prst="rect">
                      <a:avLst/>
                    </a:prstGeom>
                    <a:noFill/>
                    <a:ln>
                      <a:noFill/>
                    </a:ln>
                  </pic:spPr>
                </pic:pic>
              </a:graphicData>
            </a:graphic>
          </wp:inline>
        </w:drawing>
      </w:r>
    </w:p>
    <w:p w14:paraId="023F3894">
      <w:pPr>
        <w:pStyle w:val="305"/>
        <w:bidi w:val="0"/>
        <w:jc w:val="center"/>
        <w:outlineLvl w:val="9"/>
        <w:rPr>
          <w:rFonts w:hint="eastAsia"/>
          <w:b w:val="0"/>
          <w:bCs w:val="0"/>
          <w:lang w:val="en-US" w:eastAsia="zh-CN"/>
        </w:rPr>
      </w:pPr>
      <w:r>
        <w:rPr>
          <w:rFonts w:hint="eastAsia"/>
          <w:b w:val="0"/>
          <w:bCs w:val="0"/>
          <w:lang w:val="en-US" w:eastAsia="zh-CN"/>
        </w:rPr>
        <w:t>图 6.4-1  剩余平衡重拆卸立面示意图</w:t>
      </w:r>
    </w:p>
    <w:p w14:paraId="0FFC1A10">
      <w:pPr>
        <w:pStyle w:val="305"/>
        <w:pageBreakBefore w:val="0"/>
        <w:kinsoku/>
        <w:wordWrap/>
        <w:overflowPunct/>
        <w:topLinePunct w:val="0"/>
        <w:bidi w:val="0"/>
        <w:outlineLvl w:val="3"/>
        <w:rPr>
          <w:rFonts w:hint="eastAsia"/>
          <w:lang w:val="en-US" w:eastAsia="zh-CN"/>
        </w:rPr>
      </w:pPr>
      <w:r>
        <w:rPr>
          <w:rFonts w:hint="eastAsia"/>
          <w:lang w:val="en-US" w:eastAsia="zh-CN"/>
        </w:rPr>
        <w:t>5.</w:t>
      </w:r>
      <w:bookmarkStart w:id="124" w:name="_Toc528139688"/>
      <w:r>
        <w:rPr>
          <w:rFonts w:hint="eastAsia"/>
          <w:lang w:val="en-US" w:eastAsia="zh-CN"/>
        </w:rPr>
        <w:t>起重臂的拆卸</w:t>
      </w:r>
      <w:bookmarkEnd w:id="124"/>
    </w:p>
    <w:p w14:paraId="63C790F5">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汽车吊移位。</w:t>
      </w:r>
    </w:p>
    <w:p w14:paraId="03B5C0E9">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根据安装时的没节起重臂的吊点位置挂绳，轻轻提起起重臂（不包括起重臂节1的拆卸），在吊装钢丝绳处于自然紧绷状态下，拆去与臂根节下弦连接的螺栓及上弦的销轴。</w:t>
      </w:r>
    </w:p>
    <w:p w14:paraId="2238DBD8">
      <w:pPr>
        <w:ind w:firstLine="480" w:firstLineChars="200"/>
      </w:pPr>
      <w:r>
        <w:drawing>
          <wp:inline distT="0" distB="0" distL="114300" distR="114300">
            <wp:extent cx="5918835" cy="2171065"/>
            <wp:effectExtent l="0" t="0" r="5715" b="63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1"/>
                    <a:stretch>
                      <a:fillRect/>
                    </a:stretch>
                  </pic:blipFill>
                  <pic:spPr>
                    <a:xfrm>
                      <a:off x="0" y="0"/>
                      <a:ext cx="5918835" cy="2171065"/>
                    </a:xfrm>
                    <a:prstGeom prst="rect">
                      <a:avLst/>
                    </a:prstGeom>
                    <a:noFill/>
                    <a:ln>
                      <a:noFill/>
                    </a:ln>
                  </pic:spPr>
                </pic:pic>
              </a:graphicData>
            </a:graphic>
          </wp:inline>
        </w:drawing>
      </w:r>
      <w:r>
        <w:drawing>
          <wp:inline distT="0" distB="0" distL="114300" distR="114300">
            <wp:extent cx="5887085" cy="2583180"/>
            <wp:effectExtent l="0" t="0" r="18415" b="762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40"/>
                    <a:stretch>
                      <a:fillRect/>
                    </a:stretch>
                  </pic:blipFill>
                  <pic:spPr>
                    <a:xfrm>
                      <a:off x="0" y="0"/>
                      <a:ext cx="5887085" cy="2583180"/>
                    </a:xfrm>
                    <a:prstGeom prst="rect">
                      <a:avLst/>
                    </a:prstGeom>
                    <a:noFill/>
                    <a:ln>
                      <a:noFill/>
                    </a:ln>
                  </pic:spPr>
                </pic:pic>
              </a:graphicData>
            </a:graphic>
          </wp:inline>
        </w:drawing>
      </w:r>
    </w:p>
    <w:p w14:paraId="0744E2B2">
      <w:pPr>
        <w:pStyle w:val="305"/>
        <w:bidi w:val="0"/>
        <w:jc w:val="center"/>
        <w:outlineLvl w:val="9"/>
        <w:rPr>
          <w:rFonts w:hint="eastAsia"/>
          <w:b w:val="0"/>
          <w:bCs w:val="0"/>
          <w:lang w:val="en-US" w:eastAsia="zh-CN"/>
        </w:rPr>
      </w:pPr>
      <w:r>
        <w:rPr>
          <w:rFonts w:hint="eastAsia"/>
          <w:b w:val="0"/>
          <w:bCs w:val="0"/>
          <w:lang w:val="en-US" w:eastAsia="zh-CN"/>
        </w:rPr>
        <w:t>图  6.4</w:t>
      </w:r>
      <w:r>
        <w:rPr>
          <w:rFonts w:hint="eastAsia"/>
          <w:b w:val="0"/>
          <w:bCs w:val="0"/>
          <w:lang w:val="en-US" w:eastAsia="zh-CN"/>
        </w:rPr>
        <w:noBreakHyphen/>
      </w:r>
      <w:r>
        <w:rPr>
          <w:rFonts w:hint="eastAsia"/>
          <w:b w:val="0"/>
          <w:bCs w:val="0"/>
          <w:lang w:val="en-US" w:eastAsia="zh-CN"/>
        </w:rPr>
        <w:t>2 部分起重臂臂节拆卸立面示意图</w:t>
      </w:r>
    </w:p>
    <w:p w14:paraId="6F85BE22">
      <w:pPr>
        <w:pStyle w:val="305"/>
        <w:pageBreakBefore w:val="0"/>
        <w:kinsoku/>
        <w:wordWrap/>
        <w:overflowPunct/>
        <w:topLinePunct w:val="0"/>
        <w:bidi w:val="0"/>
        <w:outlineLvl w:val="3"/>
        <w:rPr>
          <w:rFonts w:hint="default"/>
          <w:lang w:val="en-US" w:eastAsia="zh-CN"/>
        </w:rPr>
      </w:pPr>
      <w:r>
        <w:rPr>
          <w:rFonts w:hint="eastAsia"/>
          <w:lang w:val="en-US" w:eastAsia="zh-CN"/>
        </w:rPr>
        <w:t>6.拆卸剩余平衡重及平衡臂节3</w:t>
      </w:r>
    </w:p>
    <w:p w14:paraId="23AA9C71">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将剩余的一块配重吊下，然后通过平衡臂上的四个安装吊耳吊起平衡臂，当吊装钢丝绳与平衡臂处于紧绷状态时候，拆去平衡臂拉杆与平衡臂2上部短拉杆的连接销轴，然后缓慢起吊让平衡臂3与平衡臂1、2倾斜至一定角度，拆去平衡臂3与平衡臂2连接的销轴。</w:t>
      </w:r>
    </w:p>
    <w:p w14:paraId="26ADF01E">
      <w:pPr>
        <w:pStyle w:val="305"/>
        <w:bidi w:val="0"/>
        <w:jc w:val="center"/>
        <w:outlineLvl w:val="9"/>
      </w:pPr>
      <w:r>
        <w:drawing>
          <wp:inline distT="0" distB="0" distL="114300" distR="114300">
            <wp:extent cx="2585720" cy="2647950"/>
            <wp:effectExtent l="0" t="0" r="508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4"/>
                    <a:stretch>
                      <a:fillRect/>
                    </a:stretch>
                  </pic:blipFill>
                  <pic:spPr>
                    <a:xfrm>
                      <a:off x="0" y="0"/>
                      <a:ext cx="2585720" cy="2647950"/>
                    </a:xfrm>
                    <a:prstGeom prst="rect">
                      <a:avLst/>
                    </a:prstGeom>
                    <a:noFill/>
                    <a:ln>
                      <a:noFill/>
                    </a:ln>
                  </pic:spPr>
                </pic:pic>
              </a:graphicData>
            </a:graphic>
          </wp:inline>
        </w:drawing>
      </w:r>
      <w:r>
        <w:drawing>
          <wp:inline distT="0" distB="0" distL="114300" distR="114300">
            <wp:extent cx="2564765" cy="2585085"/>
            <wp:effectExtent l="0" t="0" r="6985"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8"/>
                    <a:stretch>
                      <a:fillRect/>
                    </a:stretch>
                  </pic:blipFill>
                  <pic:spPr>
                    <a:xfrm>
                      <a:off x="0" y="0"/>
                      <a:ext cx="2564765" cy="2585085"/>
                    </a:xfrm>
                    <a:prstGeom prst="rect">
                      <a:avLst/>
                    </a:prstGeom>
                    <a:noFill/>
                    <a:ln>
                      <a:noFill/>
                    </a:ln>
                  </pic:spPr>
                </pic:pic>
              </a:graphicData>
            </a:graphic>
          </wp:inline>
        </w:drawing>
      </w:r>
    </w:p>
    <w:p w14:paraId="6792DDD3">
      <w:pPr>
        <w:pStyle w:val="305"/>
        <w:bidi w:val="0"/>
        <w:jc w:val="center"/>
        <w:outlineLvl w:val="9"/>
        <w:rPr>
          <w:rFonts w:hint="eastAsia"/>
          <w:b w:val="0"/>
          <w:bCs w:val="0"/>
          <w:lang w:val="en-US" w:eastAsia="zh-CN"/>
        </w:rPr>
      </w:pPr>
      <w:r>
        <w:rPr>
          <w:rFonts w:hint="eastAsia"/>
          <w:b w:val="0"/>
          <w:bCs w:val="0"/>
          <w:lang w:val="en-US" w:eastAsia="zh-CN"/>
        </w:rPr>
        <w:t>图  6.4-3 塔吊平衡臂节3及剩余平衡重拆卸示意图</w:t>
      </w:r>
    </w:p>
    <w:p w14:paraId="0C9B723F">
      <w:pPr>
        <w:pStyle w:val="305"/>
        <w:pageBreakBefore w:val="0"/>
        <w:kinsoku/>
        <w:wordWrap/>
        <w:overflowPunct/>
        <w:topLinePunct w:val="0"/>
        <w:bidi w:val="0"/>
        <w:outlineLvl w:val="3"/>
        <w:rPr>
          <w:rFonts w:hint="eastAsia"/>
          <w:lang w:val="en-US" w:eastAsia="zh-CN"/>
        </w:rPr>
      </w:pPr>
      <w:bookmarkStart w:id="125" w:name="_Toc528139690"/>
      <w:r>
        <w:rPr>
          <w:rFonts w:hint="eastAsia"/>
          <w:lang w:val="en-US" w:eastAsia="zh-CN"/>
        </w:rPr>
        <w:t>7. 拆除臂根节</w:t>
      </w:r>
      <w:bookmarkEnd w:id="125"/>
    </w:p>
    <w:p w14:paraId="0C0A3928">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吊装起重臂1钢丝绳刚处于紧绷状态时候，拆去起重臂1与上支座连接的销轴、销和锁销，缓慢吊起起重臂1放置放有垫子或是木质的分割板上(不显示司机室示意图)。</w:t>
      </w:r>
    </w:p>
    <w:p w14:paraId="541C6D54">
      <w:pPr>
        <w:ind w:firstLine="480" w:firstLineChars="200"/>
        <w:jc w:val="center"/>
      </w:pPr>
      <w:r>
        <w:drawing>
          <wp:inline distT="0" distB="0" distL="114300" distR="114300">
            <wp:extent cx="3028950" cy="2477135"/>
            <wp:effectExtent l="0" t="0" r="0" b="18415"/>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37"/>
                    <a:stretch>
                      <a:fillRect/>
                    </a:stretch>
                  </pic:blipFill>
                  <pic:spPr>
                    <a:xfrm>
                      <a:off x="0" y="0"/>
                      <a:ext cx="3028950" cy="2477135"/>
                    </a:xfrm>
                    <a:prstGeom prst="rect">
                      <a:avLst/>
                    </a:prstGeom>
                    <a:noFill/>
                    <a:ln>
                      <a:noFill/>
                    </a:ln>
                  </pic:spPr>
                </pic:pic>
              </a:graphicData>
            </a:graphic>
          </wp:inline>
        </w:drawing>
      </w:r>
    </w:p>
    <w:p w14:paraId="41A33F0C">
      <w:pPr>
        <w:pStyle w:val="305"/>
        <w:bidi w:val="0"/>
        <w:jc w:val="center"/>
        <w:outlineLvl w:val="9"/>
        <w:rPr>
          <w:rFonts w:hint="eastAsia"/>
          <w:b w:val="0"/>
          <w:bCs w:val="0"/>
          <w:lang w:val="en-US" w:eastAsia="zh-CN"/>
        </w:rPr>
      </w:pPr>
      <w:r>
        <w:rPr>
          <w:rFonts w:hint="eastAsia"/>
          <w:b w:val="0"/>
          <w:bCs w:val="0"/>
          <w:lang w:val="en-US" w:eastAsia="zh-CN"/>
        </w:rPr>
        <w:t>图  6.4-4 塔吊剩余起重臂拆卸示意图</w:t>
      </w:r>
    </w:p>
    <w:p w14:paraId="15498943">
      <w:pPr>
        <w:pStyle w:val="305"/>
        <w:pageBreakBefore w:val="0"/>
        <w:kinsoku/>
        <w:wordWrap/>
        <w:overflowPunct/>
        <w:topLinePunct w:val="0"/>
        <w:bidi w:val="0"/>
        <w:outlineLvl w:val="3"/>
        <w:rPr>
          <w:rFonts w:hint="default"/>
          <w:lang w:val="en-US" w:eastAsia="zh-CN"/>
        </w:rPr>
      </w:pPr>
      <w:r>
        <w:rPr>
          <w:rFonts w:hint="eastAsia"/>
          <w:lang w:val="en-US" w:eastAsia="zh-CN"/>
        </w:rPr>
        <w:t>8.拆卸</w:t>
      </w:r>
      <w:bookmarkStart w:id="126" w:name="_Toc528139689"/>
      <w:r>
        <w:rPr>
          <w:rFonts w:hint="eastAsia"/>
          <w:lang w:val="en-US" w:eastAsia="zh-CN"/>
        </w:rPr>
        <w:t>平衡臂</w:t>
      </w:r>
      <w:bookmarkEnd w:id="126"/>
      <w:r>
        <w:rPr>
          <w:rFonts w:hint="eastAsia"/>
          <w:lang w:val="en-US" w:eastAsia="zh-CN"/>
        </w:rPr>
        <w:t>节1、2</w:t>
      </w:r>
    </w:p>
    <w:p w14:paraId="5595B9DE">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然后通过平衡臂上的四个安装吊耳吊起平衡臂，吊装平衡臂1钢丝绳刚处于紧绷状态时候，拆去平衡臂1与上支座连接的销轴、销和锁销，缓慢吊起平衡臂1放置放有垫子或是木质的分割板上(不显示司机室示意图)。</w:t>
      </w:r>
    </w:p>
    <w:p w14:paraId="5CFB32AF">
      <w:pPr>
        <w:pStyle w:val="305"/>
        <w:bidi w:val="0"/>
        <w:jc w:val="center"/>
        <w:outlineLvl w:val="9"/>
      </w:pPr>
      <w:r>
        <w:drawing>
          <wp:inline distT="0" distB="0" distL="114300" distR="114300">
            <wp:extent cx="2060575" cy="1847850"/>
            <wp:effectExtent l="0" t="0" r="15875"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35"/>
                    <a:stretch>
                      <a:fillRect/>
                    </a:stretch>
                  </pic:blipFill>
                  <pic:spPr>
                    <a:xfrm>
                      <a:off x="0" y="0"/>
                      <a:ext cx="2060575" cy="1847850"/>
                    </a:xfrm>
                    <a:prstGeom prst="rect">
                      <a:avLst/>
                    </a:prstGeom>
                    <a:noFill/>
                    <a:ln>
                      <a:noFill/>
                    </a:ln>
                  </pic:spPr>
                </pic:pic>
              </a:graphicData>
            </a:graphic>
          </wp:inline>
        </w:drawing>
      </w:r>
      <w:r>
        <w:drawing>
          <wp:inline distT="0" distB="0" distL="114300" distR="114300">
            <wp:extent cx="1741805" cy="1847215"/>
            <wp:effectExtent l="0" t="0" r="10795"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36"/>
                    <a:srcRect t="2021" r="54646"/>
                    <a:stretch>
                      <a:fillRect/>
                    </a:stretch>
                  </pic:blipFill>
                  <pic:spPr>
                    <a:xfrm>
                      <a:off x="0" y="0"/>
                      <a:ext cx="1741805" cy="1847215"/>
                    </a:xfrm>
                    <a:prstGeom prst="rect">
                      <a:avLst/>
                    </a:prstGeom>
                    <a:noFill/>
                    <a:ln>
                      <a:noFill/>
                    </a:ln>
                  </pic:spPr>
                </pic:pic>
              </a:graphicData>
            </a:graphic>
          </wp:inline>
        </w:drawing>
      </w:r>
    </w:p>
    <w:p w14:paraId="292CB33A">
      <w:pPr>
        <w:pStyle w:val="305"/>
        <w:bidi w:val="0"/>
        <w:jc w:val="center"/>
        <w:outlineLvl w:val="9"/>
        <w:rPr>
          <w:rFonts w:hint="eastAsia"/>
          <w:b w:val="0"/>
          <w:bCs w:val="0"/>
          <w:lang w:val="en-US" w:eastAsia="zh-CN"/>
        </w:rPr>
      </w:pPr>
      <w:r>
        <w:rPr>
          <w:rFonts w:hint="eastAsia"/>
          <w:b w:val="0"/>
          <w:bCs w:val="0"/>
          <w:lang w:val="en-US" w:eastAsia="zh-CN"/>
        </w:rPr>
        <w:t>图  6.4-5 塔吊平衡臂臂节1,2 拆卸示意图</w:t>
      </w:r>
    </w:p>
    <w:p w14:paraId="43209605">
      <w:pPr>
        <w:pStyle w:val="305"/>
        <w:pageBreakBefore w:val="0"/>
        <w:numPr>
          <w:ilvl w:val="0"/>
          <w:numId w:val="0"/>
        </w:numPr>
        <w:kinsoku/>
        <w:wordWrap/>
        <w:overflowPunct/>
        <w:topLinePunct w:val="0"/>
        <w:bidi w:val="0"/>
        <w:ind w:firstLine="562" w:firstLineChars="200"/>
        <w:outlineLvl w:val="3"/>
        <w:rPr>
          <w:rFonts w:hint="eastAsia"/>
          <w:lang w:val="en-US" w:eastAsia="zh-CN"/>
        </w:rPr>
      </w:pPr>
      <w:r>
        <w:rPr>
          <w:rFonts w:hint="eastAsia"/>
          <w:lang w:val="en-US" w:eastAsia="zh-CN"/>
        </w:rPr>
        <w:t>9.拆卸回转总成</w:t>
      </w:r>
    </w:p>
    <w:p w14:paraId="58E13558">
      <w:pPr>
        <w:pStyle w:val="305"/>
        <w:bidi w:val="0"/>
        <w:jc w:val="center"/>
        <w:outlineLvl w:val="9"/>
        <w:rPr>
          <w:rFonts w:hint="eastAsia"/>
          <w:b w:val="0"/>
          <w:bCs w:val="0"/>
          <w:lang w:val="en-US" w:eastAsia="zh-CN"/>
        </w:rPr>
      </w:pPr>
      <w:r>
        <w:rPr>
          <w:rFonts w:hint="eastAsia" w:ascii="仿宋_GB2312" w:hAnsi="仿宋_GB2312" w:eastAsia="仿宋_GB2312" w:cs="黑体"/>
          <w:b w:val="0"/>
          <w:bCs w:val="0"/>
          <w:color w:val="000000"/>
          <w:kern w:val="2"/>
          <w:sz w:val="28"/>
          <w:szCs w:val="48"/>
          <w:lang w:val="en-US" w:eastAsia="zh-CN" w:bidi="ar-SA"/>
        </w:rPr>
        <w:t>根据安装时吊点位置用起重机吊起回转总成，然后将回转下支座与特殊节的连接销轴及立销拆下，之后将回转总成平稳吊至地面。</w:t>
      </w:r>
      <w:r>
        <w:drawing>
          <wp:inline distT="0" distB="0" distL="114300" distR="114300">
            <wp:extent cx="2933700" cy="2971165"/>
            <wp:effectExtent l="0" t="0" r="0" b="635"/>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pic:cNvPicPr>
                  </pic:nvPicPr>
                  <pic:blipFill>
                    <a:blip r:embed="rId33"/>
                    <a:stretch>
                      <a:fillRect/>
                    </a:stretch>
                  </pic:blipFill>
                  <pic:spPr>
                    <a:xfrm>
                      <a:off x="0" y="0"/>
                      <a:ext cx="2933700" cy="2971165"/>
                    </a:xfrm>
                    <a:prstGeom prst="rect">
                      <a:avLst/>
                    </a:prstGeom>
                    <a:noFill/>
                    <a:ln>
                      <a:noFill/>
                    </a:ln>
                  </pic:spPr>
                </pic:pic>
              </a:graphicData>
            </a:graphic>
          </wp:inline>
        </w:drawing>
      </w:r>
    </w:p>
    <w:p w14:paraId="21CBCEA3">
      <w:pPr>
        <w:pStyle w:val="305"/>
        <w:bidi w:val="0"/>
        <w:jc w:val="center"/>
        <w:outlineLvl w:val="9"/>
        <w:rPr>
          <w:rFonts w:hint="eastAsia"/>
          <w:b w:val="0"/>
          <w:bCs w:val="0"/>
          <w:lang w:val="en-US" w:eastAsia="zh-CN"/>
        </w:rPr>
      </w:pPr>
      <w:r>
        <w:rPr>
          <w:rFonts w:hint="eastAsia"/>
          <w:b w:val="0"/>
          <w:bCs w:val="0"/>
          <w:lang w:val="en-US" w:eastAsia="zh-CN"/>
        </w:rPr>
        <w:t>图  6.4-6 塔吊回转总成拆卸立面示意图</w:t>
      </w:r>
    </w:p>
    <w:p w14:paraId="27DA0E5B">
      <w:pPr>
        <w:pStyle w:val="305"/>
        <w:pageBreakBefore w:val="0"/>
        <w:numPr>
          <w:ilvl w:val="0"/>
          <w:numId w:val="0"/>
        </w:numPr>
        <w:kinsoku/>
        <w:wordWrap/>
        <w:overflowPunct/>
        <w:topLinePunct w:val="0"/>
        <w:bidi w:val="0"/>
        <w:ind w:firstLine="562" w:firstLineChars="200"/>
        <w:outlineLvl w:val="3"/>
        <w:rPr>
          <w:rFonts w:hint="eastAsia"/>
          <w:lang w:val="en-US" w:eastAsia="zh-CN"/>
        </w:rPr>
      </w:pPr>
      <w:r>
        <w:rPr>
          <w:rFonts w:hint="eastAsia"/>
          <w:lang w:val="en-US" w:eastAsia="zh-CN"/>
        </w:rPr>
        <w:t>10.拆卸特殊节</w:t>
      </w:r>
    </w:p>
    <w:p w14:paraId="3B660A8D">
      <w:pPr>
        <w:ind w:firstLine="560" w:firstLineChars="200"/>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按照降塔的步骤，伸长顶升油缸，将顶升横梁轴销落入踏步的圆弧槽内，拆掉特殊节与爬升架的连接销轴，回缩顶升油缸，将爬升架的爬爪支承在塔身上，拆卸前，检查与相邻的组件之间是否还有电缆连接，然后用起重机吊起特殊节，拆下特殊节与塔身的连接销轴，将特殊节用吊索平稳放至地面上。</w:t>
      </w:r>
    </w:p>
    <w:p w14:paraId="7703EA4D">
      <w:pPr>
        <w:pStyle w:val="305"/>
        <w:bidi w:val="0"/>
        <w:jc w:val="center"/>
        <w:outlineLvl w:val="9"/>
        <w:rPr>
          <w:rFonts w:hint="default"/>
          <w:b w:val="0"/>
          <w:bCs w:val="0"/>
          <w:lang w:val="en-US" w:eastAsia="zh-CN"/>
        </w:rPr>
      </w:pPr>
      <w:r>
        <w:drawing>
          <wp:inline distT="0" distB="0" distL="114300" distR="114300">
            <wp:extent cx="2466975" cy="2191385"/>
            <wp:effectExtent l="0" t="0" r="9525" b="1841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2"/>
                    <a:stretch>
                      <a:fillRect/>
                    </a:stretch>
                  </pic:blipFill>
                  <pic:spPr>
                    <a:xfrm>
                      <a:off x="0" y="0"/>
                      <a:ext cx="2466975" cy="2191385"/>
                    </a:xfrm>
                    <a:prstGeom prst="rect">
                      <a:avLst/>
                    </a:prstGeom>
                    <a:noFill/>
                    <a:ln>
                      <a:noFill/>
                    </a:ln>
                  </pic:spPr>
                </pic:pic>
              </a:graphicData>
            </a:graphic>
          </wp:inline>
        </w:drawing>
      </w:r>
    </w:p>
    <w:p w14:paraId="00CBAF2F">
      <w:pPr>
        <w:pStyle w:val="305"/>
        <w:bidi w:val="0"/>
        <w:jc w:val="center"/>
        <w:outlineLvl w:val="9"/>
        <w:rPr>
          <w:rFonts w:hint="eastAsia"/>
          <w:b w:val="0"/>
          <w:bCs w:val="0"/>
          <w:lang w:val="en-US" w:eastAsia="zh-CN"/>
        </w:rPr>
      </w:pPr>
      <w:r>
        <w:rPr>
          <w:rFonts w:hint="eastAsia"/>
          <w:b w:val="0"/>
          <w:bCs w:val="0"/>
          <w:lang w:val="en-US" w:eastAsia="zh-CN"/>
        </w:rPr>
        <w:t>图  6.4-7塔吊特殊节拆卸立面示意图</w:t>
      </w:r>
    </w:p>
    <w:p w14:paraId="76F7A8A4">
      <w:pPr>
        <w:pStyle w:val="305"/>
        <w:pageBreakBefore w:val="0"/>
        <w:kinsoku/>
        <w:wordWrap/>
        <w:overflowPunct/>
        <w:topLinePunct w:val="0"/>
        <w:bidi w:val="0"/>
        <w:outlineLvl w:val="3"/>
        <w:rPr>
          <w:rFonts w:hint="eastAsia"/>
          <w:lang w:val="en-US" w:eastAsia="zh-CN"/>
        </w:rPr>
      </w:pPr>
      <w:r>
        <w:rPr>
          <w:rFonts w:hint="eastAsia"/>
          <w:lang w:val="en-US" w:eastAsia="zh-CN"/>
        </w:rPr>
        <w:t>11.拆卸爬升架</w:t>
      </w:r>
    </w:p>
    <w:p w14:paraId="69B5BBE0">
      <w:pPr>
        <w:pStyle w:val="305"/>
        <w:pageBreakBefore w:val="0"/>
        <w:numPr>
          <w:ilvl w:val="0"/>
          <w:numId w:val="0"/>
        </w:numPr>
        <w:kinsoku/>
        <w:wordWrap/>
        <w:overflowPunct/>
        <w:topLinePunct w:val="0"/>
        <w:bidi w:val="0"/>
        <w:ind w:firstLine="560" w:firstLineChars="200"/>
        <w:outlineLvl w:val="9"/>
        <w:rPr>
          <w:rFonts w:hint="default"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（1）用起重机吊起爬升架，拆卸顶升横梁与顶升油缸之间的销轴；</w:t>
      </w:r>
    </w:p>
    <w:p w14:paraId="6DF077B8">
      <w:pPr>
        <w:pStyle w:val="305"/>
        <w:pageBreakBefore w:val="0"/>
        <w:numPr>
          <w:ilvl w:val="0"/>
          <w:numId w:val="0"/>
        </w:numPr>
        <w:kinsoku/>
        <w:wordWrap/>
        <w:overflowPunct/>
        <w:topLinePunct w:val="0"/>
        <w:bidi w:val="0"/>
        <w:ind w:firstLine="560" w:firstLineChars="200"/>
        <w:outlineLvl w:val="9"/>
        <w:rPr>
          <w:rFonts w:hint="default"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（2）回缩油缸，并使油缸自然下垂；</w:t>
      </w:r>
    </w:p>
    <w:p w14:paraId="644653BC">
      <w:pPr>
        <w:pStyle w:val="305"/>
        <w:pageBreakBefore w:val="0"/>
        <w:numPr>
          <w:ilvl w:val="0"/>
          <w:numId w:val="0"/>
        </w:numPr>
        <w:kinsoku/>
        <w:wordWrap/>
        <w:overflowPunct/>
        <w:topLinePunct w:val="0"/>
        <w:bidi w:val="0"/>
        <w:ind w:firstLine="560" w:firstLineChars="200"/>
        <w:outlineLvl w:val="9"/>
        <w:rPr>
          <w:rFonts w:hint="default" w:ascii="仿宋_GB2312" w:hAnsi="仿宋_GB2312" w:eastAsia="仿宋_GB2312" w:cs="黑体"/>
          <w:b w:val="0"/>
          <w:bCs w:val="0"/>
          <w:color w:val="000000"/>
          <w:kern w:val="2"/>
          <w:sz w:val="28"/>
          <w:szCs w:val="48"/>
          <w:lang w:val="en-US" w:eastAsia="zh-CN" w:bidi="ar-SA"/>
        </w:rPr>
      </w:pPr>
      <w:r>
        <w:rPr>
          <w:rFonts w:hint="default" w:ascii="仿宋_GB2312" w:hAnsi="仿宋_GB2312" w:eastAsia="仿宋_GB2312" w:cs="黑体"/>
          <w:b w:val="0"/>
          <w:bCs w:val="0"/>
          <w:color w:val="000000"/>
          <w:kern w:val="2"/>
          <w:sz w:val="28"/>
          <w:szCs w:val="48"/>
          <w:lang w:val="en-US" w:eastAsia="zh-CN" w:bidi="ar-SA"/>
        </w:rPr>
        <w:t>（3）沿着塔身方向缓慢吊起爬升架，并平稳的放在地面上。</w:t>
      </w:r>
    </w:p>
    <w:p w14:paraId="3F1CC360">
      <w:pPr>
        <w:pStyle w:val="305"/>
        <w:bidi w:val="0"/>
        <w:jc w:val="center"/>
        <w:outlineLvl w:val="9"/>
        <w:rPr>
          <w:rFonts w:hint="eastAsia"/>
          <w:b w:val="0"/>
          <w:bCs w:val="0"/>
          <w:lang w:val="en-US" w:eastAsia="zh-CN"/>
        </w:rPr>
      </w:pPr>
      <w:r>
        <w:drawing>
          <wp:inline distT="0" distB="0" distL="114300" distR="114300">
            <wp:extent cx="2794635" cy="2581910"/>
            <wp:effectExtent l="0" t="0" r="5715" b="889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0"/>
                    <a:stretch>
                      <a:fillRect/>
                    </a:stretch>
                  </pic:blipFill>
                  <pic:spPr>
                    <a:xfrm>
                      <a:off x="0" y="0"/>
                      <a:ext cx="2794635" cy="2581910"/>
                    </a:xfrm>
                    <a:prstGeom prst="rect">
                      <a:avLst/>
                    </a:prstGeom>
                    <a:noFill/>
                    <a:ln>
                      <a:noFill/>
                    </a:ln>
                  </pic:spPr>
                </pic:pic>
              </a:graphicData>
            </a:graphic>
          </wp:inline>
        </w:drawing>
      </w:r>
    </w:p>
    <w:p w14:paraId="63289FCE">
      <w:pPr>
        <w:pStyle w:val="305"/>
        <w:bidi w:val="0"/>
        <w:jc w:val="center"/>
        <w:outlineLvl w:val="9"/>
        <w:rPr>
          <w:rFonts w:hint="eastAsia"/>
          <w:b w:val="0"/>
          <w:bCs w:val="0"/>
          <w:lang w:val="en-US" w:eastAsia="zh-CN"/>
        </w:rPr>
      </w:pPr>
      <w:r>
        <w:rPr>
          <w:rFonts w:hint="eastAsia"/>
          <w:b w:val="0"/>
          <w:bCs w:val="0"/>
          <w:lang w:val="en-US" w:eastAsia="zh-CN"/>
        </w:rPr>
        <w:t>图  6.4</w:t>
      </w:r>
      <w:r>
        <w:rPr>
          <w:rFonts w:hint="eastAsia"/>
          <w:b w:val="0"/>
          <w:bCs w:val="0"/>
          <w:lang w:val="en-US" w:eastAsia="zh-CN"/>
        </w:rPr>
        <w:noBreakHyphen/>
      </w:r>
      <w:r>
        <w:rPr>
          <w:rFonts w:hint="eastAsia"/>
          <w:b w:val="0"/>
          <w:bCs w:val="0"/>
          <w:lang w:val="en-US" w:eastAsia="zh-CN"/>
        </w:rPr>
        <w:t>8套架拆卸立面示意图</w:t>
      </w:r>
    </w:p>
    <w:p w14:paraId="1EE0D65B">
      <w:pPr>
        <w:pStyle w:val="305"/>
        <w:pageBreakBefore w:val="0"/>
        <w:kinsoku/>
        <w:wordWrap/>
        <w:overflowPunct/>
        <w:topLinePunct w:val="0"/>
        <w:bidi w:val="0"/>
        <w:outlineLvl w:val="3"/>
        <w:rPr>
          <w:rFonts w:hint="eastAsia"/>
          <w:lang w:val="en-US" w:eastAsia="zh-CN"/>
        </w:rPr>
      </w:pPr>
      <w:r>
        <w:rPr>
          <w:rFonts w:hint="eastAsia"/>
          <w:lang w:val="en-US" w:eastAsia="zh-CN"/>
        </w:rPr>
        <w:t>12.拆卸剩余塔身及基础节</w:t>
      </w:r>
    </w:p>
    <w:p w14:paraId="2DEFD2F9">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参照安装方法拆除</w:t>
      </w:r>
      <w:r>
        <w:rPr>
          <w:rFonts w:hint="eastAsia" w:cs="黑体"/>
          <w:b w:val="0"/>
          <w:bCs w:val="0"/>
          <w:color w:val="000000"/>
          <w:kern w:val="2"/>
          <w:sz w:val="28"/>
          <w:szCs w:val="48"/>
          <w:lang w:val="en-US" w:eastAsia="zh-CN" w:bidi="ar-SA"/>
        </w:rPr>
        <w:t>塔身</w:t>
      </w:r>
      <w:r>
        <w:rPr>
          <w:rFonts w:hint="eastAsia" w:ascii="仿宋_GB2312" w:hAnsi="仿宋_GB2312" w:eastAsia="仿宋_GB2312" w:cs="黑体"/>
          <w:b w:val="0"/>
          <w:bCs w:val="0"/>
          <w:color w:val="000000"/>
          <w:kern w:val="2"/>
          <w:sz w:val="28"/>
          <w:szCs w:val="48"/>
          <w:lang w:val="en-US" w:eastAsia="zh-CN" w:bidi="ar-SA"/>
        </w:rPr>
        <w:t>。</w:t>
      </w:r>
    </w:p>
    <w:p w14:paraId="030F2341">
      <w:pPr>
        <w:pStyle w:val="305"/>
        <w:pageBreakBefore w:val="0"/>
        <w:kinsoku/>
        <w:wordWrap/>
        <w:overflowPunct/>
        <w:topLinePunct w:val="0"/>
        <w:bidi w:val="0"/>
        <w:outlineLvl w:val="3"/>
        <w:rPr>
          <w:rFonts w:hint="eastAsia"/>
          <w:lang w:val="en-US" w:eastAsia="zh-CN"/>
        </w:rPr>
      </w:pPr>
      <w:r>
        <w:rPr>
          <w:rFonts w:hint="eastAsia"/>
          <w:lang w:val="en-US" w:eastAsia="zh-CN"/>
        </w:rPr>
        <w:t>13.解体装车退场</w:t>
      </w:r>
    </w:p>
    <w:p w14:paraId="7364AD98">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fldChar w:fldCharType="begin"/>
      </w:r>
      <w:r>
        <w:rPr>
          <w:rFonts w:hint="eastAsia" w:ascii="仿宋_GB2312" w:hAnsi="仿宋_GB2312" w:eastAsia="仿宋_GB2312" w:cs="黑体"/>
          <w:b w:val="0"/>
          <w:bCs w:val="0"/>
          <w:color w:val="000000"/>
          <w:kern w:val="2"/>
          <w:sz w:val="28"/>
          <w:szCs w:val="48"/>
          <w:lang w:val="en-US" w:eastAsia="zh-CN" w:bidi="ar-SA"/>
        </w:rPr>
        <w:instrText xml:space="preserve"> REF 设备类型 \h  \* MERGEFORMAT </w:instrText>
      </w:r>
      <w:r>
        <w:rPr>
          <w:rFonts w:hint="eastAsia" w:ascii="仿宋_GB2312" w:hAnsi="仿宋_GB2312" w:eastAsia="仿宋_GB2312" w:cs="黑体"/>
          <w:b w:val="0"/>
          <w:bCs w:val="0"/>
          <w:color w:val="000000"/>
          <w:kern w:val="2"/>
          <w:sz w:val="28"/>
          <w:szCs w:val="48"/>
          <w:lang w:val="en-US" w:eastAsia="zh-CN" w:bidi="ar-SA"/>
        </w:rPr>
        <w:fldChar w:fldCharType="separate"/>
      </w:r>
      <w:r>
        <w:rPr>
          <w:rFonts w:hint="eastAsia" w:ascii="仿宋_GB2312" w:hAnsi="仿宋_GB2312" w:eastAsia="仿宋_GB2312" w:cs="黑体"/>
          <w:b w:val="0"/>
          <w:bCs w:val="0"/>
          <w:color w:val="000000"/>
          <w:kern w:val="2"/>
          <w:sz w:val="28"/>
          <w:szCs w:val="48"/>
          <w:lang w:val="en-US" w:eastAsia="zh-CN" w:bidi="ar-SA"/>
        </w:rPr>
        <w:t>塔式起重机</w:t>
      </w:r>
      <w:r>
        <w:rPr>
          <w:rFonts w:hint="eastAsia" w:ascii="仿宋_GB2312" w:hAnsi="仿宋_GB2312" w:eastAsia="仿宋_GB2312" w:cs="黑体"/>
          <w:b w:val="0"/>
          <w:bCs w:val="0"/>
          <w:color w:val="000000"/>
          <w:kern w:val="2"/>
          <w:sz w:val="28"/>
          <w:szCs w:val="48"/>
          <w:lang w:val="en-US" w:eastAsia="zh-CN" w:bidi="ar-SA"/>
        </w:rPr>
        <w:fldChar w:fldCharType="end"/>
      </w:r>
      <w:r>
        <w:rPr>
          <w:rFonts w:hint="eastAsia" w:ascii="仿宋_GB2312" w:hAnsi="仿宋_GB2312" w:eastAsia="仿宋_GB2312" w:cs="黑体"/>
          <w:b w:val="0"/>
          <w:bCs w:val="0"/>
          <w:color w:val="000000"/>
          <w:kern w:val="2"/>
          <w:sz w:val="28"/>
          <w:szCs w:val="48"/>
          <w:lang w:val="en-US" w:eastAsia="zh-CN" w:bidi="ar-SA"/>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14:paraId="168829F4">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把起重臂和平衡臂拆下后，在地面使用</w:t>
      </w:r>
      <w:r>
        <w:rPr>
          <w:rFonts w:hint="eastAsia" w:ascii="仿宋_GB2312" w:hAnsi="仿宋_GB2312" w:eastAsia="仿宋_GB2312" w:cs="黑体"/>
          <w:b w:val="0"/>
          <w:bCs w:val="0"/>
          <w:color w:val="000000"/>
          <w:kern w:val="2"/>
          <w:sz w:val="28"/>
          <w:szCs w:val="48"/>
          <w:lang w:val="en-US" w:eastAsia="zh-CN" w:bidi="ar-SA"/>
        </w:rPr>
        <w:fldChar w:fldCharType="begin"/>
      </w:r>
      <w:r>
        <w:rPr>
          <w:rFonts w:hint="eastAsia" w:ascii="仿宋_GB2312" w:hAnsi="仿宋_GB2312" w:eastAsia="仿宋_GB2312" w:cs="黑体"/>
          <w:b w:val="0"/>
          <w:bCs w:val="0"/>
          <w:color w:val="000000"/>
          <w:kern w:val="2"/>
          <w:sz w:val="28"/>
          <w:szCs w:val="48"/>
          <w:lang w:val="en-US" w:eastAsia="zh-CN" w:bidi="ar-SA"/>
        </w:rPr>
        <w:instrText xml:space="preserve"> REF 起重设备1型号 \h </w:instrText>
      </w:r>
      <w:r>
        <w:rPr>
          <w:rFonts w:hint="eastAsia" w:ascii="仿宋_GB2312" w:hAnsi="仿宋_GB2312" w:eastAsia="仿宋_GB2312" w:cs="黑体"/>
          <w:b w:val="0"/>
          <w:bCs w:val="0"/>
          <w:color w:val="000000"/>
          <w:kern w:val="2"/>
          <w:sz w:val="28"/>
          <w:szCs w:val="48"/>
          <w:lang w:val="en-US" w:eastAsia="zh-CN" w:bidi="ar-SA"/>
        </w:rPr>
        <w:fldChar w:fldCharType="separate"/>
      </w:r>
      <w:r>
        <w:rPr>
          <w:rFonts w:hint="eastAsia" w:ascii="仿宋_GB2312" w:hAnsi="仿宋_GB2312" w:eastAsia="仿宋_GB2312" w:cs="黑体"/>
          <w:b w:val="0"/>
          <w:bCs w:val="0"/>
          <w:color w:val="000000"/>
          <w:kern w:val="2"/>
          <w:sz w:val="28"/>
          <w:szCs w:val="48"/>
          <w:lang w:val="en-US" w:eastAsia="zh-CN" w:bidi="ar-SA"/>
        </w:rPr>
        <w:t>100t</w:t>
      </w:r>
      <w:r>
        <w:rPr>
          <w:rFonts w:hint="eastAsia" w:ascii="仿宋_GB2312" w:hAnsi="仿宋_GB2312" w:eastAsia="仿宋_GB2312" w:cs="黑体"/>
          <w:b w:val="0"/>
          <w:bCs w:val="0"/>
          <w:color w:val="000000"/>
          <w:kern w:val="2"/>
          <w:sz w:val="28"/>
          <w:szCs w:val="48"/>
          <w:lang w:val="en-US" w:eastAsia="zh-CN" w:bidi="ar-SA"/>
        </w:rPr>
        <w:fldChar w:fldCharType="end"/>
      </w:r>
      <w:r>
        <w:rPr>
          <w:rFonts w:hint="eastAsia" w:ascii="仿宋_GB2312" w:hAnsi="仿宋_GB2312" w:eastAsia="仿宋_GB2312" w:cs="黑体"/>
          <w:b w:val="0"/>
          <w:bCs w:val="0"/>
          <w:color w:val="000000"/>
          <w:kern w:val="2"/>
          <w:sz w:val="28"/>
          <w:szCs w:val="48"/>
          <w:lang w:val="en-US" w:eastAsia="zh-CN" w:bidi="ar-SA"/>
        </w:rPr>
        <w:fldChar w:fldCharType="begin"/>
      </w:r>
      <w:r>
        <w:rPr>
          <w:rFonts w:hint="eastAsia" w:ascii="仿宋_GB2312" w:hAnsi="仿宋_GB2312" w:eastAsia="仿宋_GB2312" w:cs="黑体"/>
          <w:b w:val="0"/>
          <w:bCs w:val="0"/>
          <w:color w:val="000000"/>
          <w:kern w:val="2"/>
          <w:sz w:val="28"/>
          <w:szCs w:val="48"/>
          <w:lang w:val="en-US" w:eastAsia="zh-CN" w:bidi="ar-SA"/>
        </w:rPr>
        <w:instrText xml:space="preserve"> REF 起重设备1类型 \h </w:instrText>
      </w:r>
      <w:r>
        <w:rPr>
          <w:rFonts w:hint="eastAsia" w:ascii="仿宋_GB2312" w:hAnsi="仿宋_GB2312" w:eastAsia="仿宋_GB2312" w:cs="黑体"/>
          <w:b w:val="0"/>
          <w:bCs w:val="0"/>
          <w:color w:val="000000"/>
          <w:kern w:val="2"/>
          <w:sz w:val="28"/>
          <w:szCs w:val="48"/>
          <w:lang w:val="en-US" w:eastAsia="zh-CN" w:bidi="ar-SA"/>
        </w:rPr>
        <w:fldChar w:fldCharType="separate"/>
      </w:r>
      <w:r>
        <w:rPr>
          <w:rFonts w:hint="eastAsia" w:ascii="仿宋_GB2312" w:hAnsi="仿宋_GB2312" w:eastAsia="仿宋_GB2312" w:cs="黑体"/>
          <w:b w:val="0"/>
          <w:bCs w:val="0"/>
          <w:color w:val="000000"/>
          <w:kern w:val="2"/>
          <w:sz w:val="28"/>
          <w:szCs w:val="48"/>
          <w:lang w:val="en-US" w:eastAsia="zh-CN" w:bidi="ar-SA"/>
        </w:rPr>
        <w:t>汽车式起重机</w:t>
      </w:r>
      <w:r>
        <w:rPr>
          <w:rFonts w:hint="eastAsia" w:ascii="仿宋_GB2312" w:hAnsi="仿宋_GB2312" w:eastAsia="仿宋_GB2312" w:cs="黑体"/>
          <w:b w:val="0"/>
          <w:bCs w:val="0"/>
          <w:color w:val="000000"/>
          <w:kern w:val="2"/>
          <w:sz w:val="28"/>
          <w:szCs w:val="48"/>
          <w:lang w:val="en-US" w:eastAsia="zh-CN" w:bidi="ar-SA"/>
        </w:rPr>
        <w:fldChar w:fldCharType="end"/>
      </w:r>
      <w:r>
        <w:rPr>
          <w:rFonts w:hint="eastAsia" w:ascii="仿宋_GB2312" w:hAnsi="仿宋_GB2312" w:eastAsia="仿宋_GB2312" w:cs="黑体"/>
          <w:b w:val="0"/>
          <w:bCs w:val="0"/>
          <w:color w:val="000000"/>
          <w:kern w:val="2"/>
          <w:sz w:val="28"/>
          <w:szCs w:val="48"/>
          <w:lang w:val="en-US" w:eastAsia="zh-CN" w:bidi="ar-SA"/>
        </w:rPr>
        <w:t>配合对其进行解体装车；</w:t>
      </w:r>
    </w:p>
    <w:p w14:paraId="1E395466">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在拆除中注意拆下的螺栓按规格进行存放，防止损坏和丢失；</w:t>
      </w:r>
    </w:p>
    <w:p w14:paraId="2D1B7D1F">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各种电器元件、电缆全部装箱储运，防止损坏和丢失。电气柜和控制室内的电气连接不得随意拆除和更改，装车运输时装稳刹牢防止溜滑；</w:t>
      </w:r>
    </w:p>
    <w:p w14:paraId="532BCA42">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各部件装车运输时应合理配车，做到大不压小、精密易损件重点保护。</w:t>
      </w:r>
    </w:p>
    <w:p w14:paraId="163DA513">
      <w:pPr>
        <w:pStyle w:val="305"/>
        <w:pageBreakBefore w:val="0"/>
        <w:kinsoku/>
        <w:wordWrap/>
        <w:overflowPunct/>
        <w:topLinePunct w:val="0"/>
        <w:bidi w:val="0"/>
        <w:outlineLvl w:val="3"/>
        <w:rPr>
          <w:rFonts w:hint="eastAsia"/>
          <w:lang w:val="en-US" w:eastAsia="zh-CN"/>
        </w:rPr>
      </w:pPr>
      <w:r>
        <w:rPr>
          <w:rFonts w:hint="eastAsia"/>
          <w:lang w:val="en-US" w:eastAsia="zh-CN"/>
        </w:rPr>
        <w:t>14.拆卸后注意事项</w:t>
      </w:r>
    </w:p>
    <w:p w14:paraId="10662D21">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GB5144-94）》所列的状况时应报废。</w:t>
      </w:r>
    </w:p>
    <w:p w14:paraId="754D1A20">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(1) 塔机拆塔之前，顶升机构由于长期停止使用，应对各机构特别是顶升机构进行保养和试运转；</w:t>
      </w:r>
    </w:p>
    <w:p w14:paraId="3DA2F296">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(2） 在试运转过程中，应有目的地对限位器、回转机构的制动器等进行可靠性检查；</w:t>
      </w:r>
    </w:p>
    <w:p w14:paraId="512D9A3E">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(3) 在塔机标准节已拆出，但下支座与塔身还没有用销轴连接好之前，严禁使用回转机构、牵引机构和起升机构；</w:t>
      </w:r>
    </w:p>
    <w:p w14:paraId="50A907ED">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(4) 塔机拆卸对顶升机构来说是重载连续作业，所以应对顶升机构的主要受力件经常检查；</w:t>
      </w:r>
    </w:p>
    <w:p w14:paraId="4C1984ED">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(5) 顶升机构工作时，所有操作人员应集中精力观察各相对运动件的相对位置是否正常（如滚轮与主弦杆之间，套架与塔身之间），是否有阻碍套架运动（特别是下降运动时）的物件；</w:t>
      </w:r>
    </w:p>
    <w:p w14:paraId="220657E2">
      <w:pPr>
        <w:pStyle w:val="305"/>
        <w:pageBreakBefore w:val="0"/>
        <w:numPr>
          <w:ilvl w:val="0"/>
          <w:numId w:val="0"/>
        </w:numPr>
        <w:kinsoku/>
        <w:wordWrap/>
        <w:overflowPunct/>
        <w:topLinePunct w:val="0"/>
        <w:bidi w:val="0"/>
        <w:ind w:firstLine="560"/>
        <w:outlineLvl w:val="9"/>
        <w:rPr>
          <w:rFonts w:hint="eastAsia" w:ascii="仿宋_GB2312" w:hAnsi="仿宋_GB2312" w:eastAsia="仿宋_GB2312" w:cs="黑体"/>
          <w:b w:val="0"/>
          <w:bCs w:val="0"/>
          <w:color w:val="000000"/>
          <w:kern w:val="2"/>
          <w:sz w:val="28"/>
          <w:szCs w:val="48"/>
          <w:lang w:val="en-US" w:eastAsia="zh-CN" w:bidi="ar-SA"/>
        </w:rPr>
      </w:pPr>
      <w:r>
        <w:rPr>
          <w:rFonts w:hint="eastAsia" w:ascii="仿宋_GB2312" w:hAnsi="仿宋_GB2312" w:eastAsia="仿宋_GB2312" w:cs="黑体"/>
          <w:b w:val="0"/>
          <w:bCs w:val="0"/>
          <w:color w:val="000000"/>
          <w:kern w:val="2"/>
          <w:sz w:val="28"/>
          <w:szCs w:val="48"/>
          <w:lang w:val="en-US" w:eastAsia="zh-CN" w:bidi="ar-SA"/>
        </w:rPr>
        <w:t>(6) 拆卸时最高处风速应低于 12m/s。由于拆卸塔机时，建筑物已建完，工作场地受限制，应注意工作程序和吊装堆放位置，不可马虎大意，否则容易发生人身安全事故。</w:t>
      </w:r>
    </w:p>
    <w:p w14:paraId="4B93029A">
      <w:pPr>
        <w:rPr>
          <w:rFonts w:hint="eastAsia"/>
          <w:lang w:val="en-US" w:eastAsia="zh-CN"/>
        </w:rPr>
      </w:pPr>
    </w:p>
    <w:p w14:paraId="2B118727">
      <w:pPr>
        <w:pStyle w:val="2"/>
        <w:rPr>
          <w:rFonts w:hint="eastAsia"/>
          <w:lang w:val="en-US" w:eastAsia="zh-CN"/>
        </w:rPr>
      </w:pPr>
    </w:p>
    <w:p w14:paraId="65E18510">
      <w:pPr>
        <w:rPr>
          <w:rFonts w:hint="eastAsia"/>
          <w:lang w:val="en-US" w:eastAsia="zh-CN"/>
        </w:rPr>
      </w:pPr>
    </w:p>
    <w:p w14:paraId="6125D412">
      <w:pPr>
        <w:pStyle w:val="2"/>
        <w:rPr>
          <w:rFonts w:hint="eastAsia"/>
          <w:lang w:val="en-US" w:eastAsia="zh-CN"/>
        </w:rPr>
      </w:pPr>
    </w:p>
    <w:p w14:paraId="497E0541">
      <w:pPr>
        <w:rPr>
          <w:rFonts w:hint="eastAsia"/>
          <w:lang w:val="en-US" w:eastAsia="zh-CN"/>
        </w:rPr>
      </w:pPr>
    </w:p>
    <w:p w14:paraId="00291837">
      <w:pPr>
        <w:pStyle w:val="2"/>
        <w:rPr>
          <w:rFonts w:hint="eastAsia"/>
          <w:lang w:val="en-US" w:eastAsia="zh-CN"/>
        </w:rPr>
      </w:pPr>
    </w:p>
    <w:p w14:paraId="19BEDDCC">
      <w:pPr>
        <w:rPr>
          <w:rFonts w:hint="eastAsia"/>
          <w:lang w:val="en-US" w:eastAsia="zh-CN"/>
        </w:rPr>
      </w:pPr>
    </w:p>
    <w:p w14:paraId="01F3C90F">
      <w:pPr>
        <w:pStyle w:val="2"/>
        <w:rPr>
          <w:rFonts w:hint="eastAsia"/>
          <w:lang w:val="en-US" w:eastAsia="zh-CN"/>
        </w:rPr>
      </w:pPr>
    </w:p>
    <w:p w14:paraId="27F417B9">
      <w:pPr>
        <w:rPr>
          <w:rFonts w:hint="eastAsia"/>
          <w:lang w:val="en-US" w:eastAsia="zh-CN"/>
        </w:rPr>
      </w:pPr>
    </w:p>
    <w:p w14:paraId="52959445">
      <w:pPr>
        <w:pStyle w:val="2"/>
        <w:rPr>
          <w:rFonts w:hint="eastAsia"/>
          <w:lang w:val="en-US" w:eastAsia="zh-CN"/>
        </w:rPr>
      </w:pPr>
    </w:p>
    <w:p w14:paraId="3A2523F9">
      <w:pPr>
        <w:rPr>
          <w:rFonts w:hint="eastAsia"/>
          <w:lang w:val="en-US" w:eastAsia="zh-CN"/>
        </w:rPr>
      </w:pPr>
    </w:p>
    <w:p w14:paraId="780171FD">
      <w:pPr>
        <w:pStyle w:val="2"/>
        <w:rPr>
          <w:rFonts w:hint="eastAsia"/>
          <w:lang w:val="en-US" w:eastAsia="zh-CN"/>
        </w:rPr>
      </w:pPr>
    </w:p>
    <w:p w14:paraId="4E7598C8">
      <w:pPr>
        <w:rPr>
          <w:rFonts w:hint="eastAsia"/>
          <w:lang w:val="en-US" w:eastAsia="zh-CN"/>
        </w:rPr>
      </w:pPr>
    </w:p>
    <w:p w14:paraId="7026E1C6">
      <w:pPr>
        <w:pStyle w:val="2"/>
        <w:rPr>
          <w:rFonts w:hint="eastAsia"/>
          <w:lang w:val="en-US" w:eastAsia="zh-CN"/>
        </w:rPr>
      </w:pPr>
    </w:p>
    <w:p w14:paraId="7A1F5779">
      <w:pPr>
        <w:rPr>
          <w:rFonts w:hint="eastAsia"/>
          <w:lang w:val="en-US" w:eastAsia="zh-CN"/>
        </w:rPr>
      </w:pPr>
    </w:p>
    <w:p w14:paraId="32D82323">
      <w:pPr>
        <w:pStyle w:val="2"/>
        <w:rPr>
          <w:rFonts w:hint="eastAsia"/>
          <w:lang w:val="en-US" w:eastAsia="zh-CN"/>
        </w:rPr>
      </w:pPr>
    </w:p>
    <w:p w14:paraId="73165D4A">
      <w:pPr>
        <w:rPr>
          <w:rFonts w:hint="eastAsia"/>
          <w:lang w:val="en-US" w:eastAsia="zh-CN"/>
        </w:rPr>
      </w:pPr>
    </w:p>
    <w:p w14:paraId="3D9CE8F3">
      <w:pPr>
        <w:pStyle w:val="3"/>
        <w:bidi w:val="0"/>
        <w:rPr>
          <w:rFonts w:hint="eastAsia"/>
        </w:rPr>
      </w:pPr>
      <w:bookmarkStart w:id="127" w:name="_Toc32418"/>
      <w:r>
        <w:rPr>
          <w:rFonts w:hint="eastAsia"/>
        </w:rPr>
        <w:t>7.安全保证措施</w:t>
      </w:r>
      <w:bookmarkEnd w:id="91"/>
      <w:bookmarkEnd w:id="92"/>
      <w:bookmarkEnd w:id="93"/>
      <w:bookmarkEnd w:id="94"/>
      <w:bookmarkEnd w:id="98"/>
      <w:bookmarkEnd w:id="127"/>
    </w:p>
    <w:p w14:paraId="65C11EEC">
      <w:pPr>
        <w:pStyle w:val="4"/>
        <w:bidi w:val="0"/>
        <w:rPr>
          <w:rFonts w:hint="eastAsia"/>
        </w:rPr>
      </w:pPr>
      <w:bookmarkStart w:id="128" w:name="_Toc3668"/>
      <w:bookmarkStart w:id="129" w:name="_Toc18730"/>
      <w:bookmarkStart w:id="130" w:name="_Toc515971583"/>
      <w:bookmarkStart w:id="131" w:name="_Toc28935"/>
      <w:bookmarkStart w:id="132" w:name="_Toc14736"/>
      <w:bookmarkStart w:id="133" w:name="_Toc528139712"/>
      <w:bookmarkStart w:id="134" w:name="_Toc515971587"/>
      <w:bookmarkStart w:id="135" w:name="_Toc11404"/>
      <w:bookmarkStart w:id="136" w:name="_Toc528139715"/>
      <w:bookmarkStart w:id="137" w:name="_Hlk518203537"/>
      <w:r>
        <w:rPr>
          <w:rFonts w:hint="eastAsia"/>
        </w:rPr>
        <w:t>7.1安全生产目标、指标</w:t>
      </w:r>
      <w:bookmarkEnd w:id="128"/>
      <w:bookmarkEnd w:id="129"/>
      <w:bookmarkEnd w:id="130"/>
      <w:bookmarkEnd w:id="131"/>
      <w:bookmarkEnd w:id="132"/>
      <w:bookmarkEnd w:id="133"/>
    </w:p>
    <w:p w14:paraId="276E8A16">
      <w:pPr>
        <w:bidi w:val="0"/>
        <w:rPr>
          <w:rFonts w:hint="eastAsia"/>
        </w:rPr>
      </w:pPr>
      <w:bookmarkStart w:id="138" w:name="_Toc22400"/>
      <w:bookmarkStart w:id="139" w:name="_Toc10388"/>
      <w:bookmarkStart w:id="140" w:name="_Toc515971584"/>
      <w:bookmarkStart w:id="141" w:name="_Toc528139713"/>
      <w:r>
        <w:rPr>
          <w:rFonts w:hint="eastAsia"/>
        </w:rPr>
        <w:t>严格执行有关安全生产的法律法规和规章制度，确保</w:t>
      </w:r>
      <w:r>
        <w:rPr>
          <w:rFonts w:hint="eastAsia"/>
          <w:lang w:eastAsia="zh-CN"/>
        </w:rPr>
        <w:t>公司</w:t>
      </w:r>
      <w:r>
        <w:rPr>
          <w:rFonts w:hint="eastAsia"/>
        </w:rPr>
        <w:t>建设期内无一般及以上生产安全责任事故发生。</w:t>
      </w:r>
    </w:p>
    <w:p w14:paraId="33DB2368">
      <w:pPr>
        <w:pStyle w:val="69"/>
        <w:ind w:firstLine="0" w:firstLineChars="0"/>
        <w:jc w:val="center"/>
        <w:rPr>
          <w:rFonts w:hint="eastAsia" w:ascii="宋体" w:hAnsi="宋体" w:eastAsia="宋体" w:cs="宋体"/>
          <w:kern w:val="10"/>
        </w:rPr>
      </w:pPr>
      <w:r>
        <w:rPr>
          <w:rFonts w:hint="eastAsia" w:ascii="宋体" w:hAnsi="宋体" w:eastAsia="宋体" w:cs="宋体"/>
        </w:rPr>
        <w:drawing>
          <wp:inline distT="0" distB="0" distL="114300" distR="114300">
            <wp:extent cx="4732020" cy="2954655"/>
            <wp:effectExtent l="0" t="0" r="0" b="0"/>
            <wp:docPr id="8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8"/>
                    <pic:cNvPicPr>
                      <a:picLocks noChangeAspect="1"/>
                    </pic:cNvPicPr>
                  </pic:nvPicPr>
                  <pic:blipFill>
                    <a:blip r:embed="rId57"/>
                    <a:stretch>
                      <a:fillRect/>
                    </a:stretch>
                  </pic:blipFill>
                  <pic:spPr>
                    <a:xfrm>
                      <a:off x="0" y="0"/>
                      <a:ext cx="4732020" cy="2954655"/>
                    </a:xfrm>
                    <a:prstGeom prst="rect">
                      <a:avLst/>
                    </a:prstGeom>
                    <a:noFill/>
                    <a:ln>
                      <a:noFill/>
                    </a:ln>
                  </pic:spPr>
                </pic:pic>
              </a:graphicData>
            </a:graphic>
          </wp:inline>
        </w:drawing>
      </w:r>
    </w:p>
    <w:p w14:paraId="212F53CE">
      <w:pPr>
        <w:bidi w:val="0"/>
        <w:jc w:val="center"/>
        <w:rPr>
          <w:rFonts w:hint="eastAsia"/>
          <w:lang w:val="en-US" w:eastAsia="zh-CN"/>
        </w:rPr>
      </w:pPr>
      <w:r>
        <w:rPr>
          <w:rFonts w:hint="eastAsia"/>
          <w:lang w:val="en-US" w:eastAsia="zh-CN"/>
        </w:rPr>
        <w:t>图7.1-1 公司安全管理网络</w:t>
      </w:r>
    </w:p>
    <w:bookmarkEnd w:id="138"/>
    <w:p w14:paraId="562878C7">
      <w:pPr>
        <w:pStyle w:val="4"/>
        <w:bidi w:val="0"/>
        <w:rPr>
          <w:rFonts w:hint="eastAsia"/>
        </w:rPr>
      </w:pPr>
      <w:bookmarkStart w:id="142" w:name="_Toc20645"/>
      <w:bookmarkStart w:id="143" w:name="_Toc7567"/>
      <w:bookmarkStart w:id="144" w:name="_Toc9818"/>
      <w:r>
        <w:rPr>
          <w:rFonts w:hint="eastAsia"/>
        </w:rPr>
        <w:t>7.2</w:t>
      </w:r>
      <w:bookmarkEnd w:id="139"/>
      <w:bookmarkEnd w:id="140"/>
      <w:bookmarkEnd w:id="141"/>
      <w:r>
        <w:rPr>
          <w:rFonts w:hint="eastAsia"/>
        </w:rPr>
        <w:t xml:space="preserve"> 安全施工制度保证</w:t>
      </w:r>
      <w:bookmarkEnd w:id="142"/>
      <w:bookmarkEnd w:id="143"/>
      <w:bookmarkEnd w:id="144"/>
    </w:p>
    <w:p w14:paraId="20F34238">
      <w:pPr>
        <w:bidi w:val="0"/>
        <w:rPr>
          <w:rFonts w:hint="eastAsia"/>
        </w:rPr>
      </w:pPr>
      <w:bookmarkStart w:id="145" w:name="_Toc515971585"/>
      <w:bookmarkStart w:id="146" w:name="_Toc907"/>
      <w:bookmarkStart w:id="147" w:name="_Toc528139714"/>
      <w:r>
        <w:rPr>
          <w:rFonts w:hint="eastAsia"/>
          <w:lang w:eastAsia="zh-CN"/>
        </w:rPr>
        <w:t>公司</w:t>
      </w:r>
      <w:r>
        <w:rPr>
          <w:rFonts w:hint="eastAsia"/>
        </w:rPr>
        <w:t>成立安全生产领导小组，安全生产领导小组是本</w:t>
      </w:r>
      <w:r>
        <w:rPr>
          <w:rFonts w:hint="eastAsia"/>
          <w:lang w:eastAsia="zh-CN"/>
        </w:rPr>
        <w:t>公司</w:t>
      </w:r>
      <w:r>
        <w:rPr>
          <w:rFonts w:hint="eastAsia"/>
        </w:rPr>
        <w:t>最高安全管理机构，对</w:t>
      </w:r>
      <w:r>
        <w:rPr>
          <w:rFonts w:hint="eastAsia"/>
          <w:lang w:eastAsia="zh-CN"/>
        </w:rPr>
        <w:t>公司</w:t>
      </w:r>
      <w:r>
        <w:rPr>
          <w:rFonts w:hint="eastAsia"/>
        </w:rPr>
        <w:t>的所有安全生产事务负责。</w:t>
      </w:r>
    </w:p>
    <w:p w14:paraId="3E47DF1F">
      <w:pPr>
        <w:spacing w:after="0" w:afterLines="0" w:line="360" w:lineRule="auto"/>
        <w:ind w:firstLine="0" w:firstLineChars="0"/>
        <w:jc w:val="center"/>
        <w:rPr>
          <w:rFonts w:hint="eastAsia" w:ascii="宋体" w:hAnsi="宋体" w:eastAsia="宋体" w:cs="宋体"/>
        </w:rPr>
      </w:pPr>
      <w:r>
        <w:rPr>
          <w:rFonts w:hint="eastAsia" w:ascii="宋体" w:hAnsi="宋体" w:eastAsia="宋体" w:cs="宋体"/>
        </w:rPr>
        <w:pict>
          <v:shape id="_x0000_i1025" o:spt="75" type="#_x0000_t75" style="height:266.35pt;width:439.25pt;" filled="f" o:preferrelative="t" stroked="f" coordsize="21600,21600">
            <v:path/>
            <v:fill on="f" focussize="0,0"/>
            <v:stroke on="f"/>
            <v:imagedata r:id="rId58" o:title=""/>
            <o:lock v:ext="edit" aspectratio="f"/>
            <w10:wrap type="none"/>
            <w10:anchorlock/>
          </v:shape>
        </w:pict>
      </w:r>
    </w:p>
    <w:p w14:paraId="50187D7A">
      <w:pPr>
        <w:bidi w:val="0"/>
        <w:jc w:val="center"/>
        <w:rPr>
          <w:rFonts w:hint="eastAsia"/>
          <w:lang w:val="en-US" w:eastAsia="zh-CN"/>
        </w:rPr>
      </w:pPr>
      <w:r>
        <w:rPr>
          <w:rFonts w:hint="eastAsia"/>
          <w:lang w:val="en-US" w:eastAsia="zh-CN"/>
        </w:rPr>
        <w:t>图7.2-1 安全生产领导小组组织框图</w:t>
      </w:r>
    </w:p>
    <w:p w14:paraId="1B4D879A">
      <w:pPr>
        <w:bidi w:val="0"/>
        <w:rPr>
          <w:rFonts w:hint="eastAsia"/>
        </w:rPr>
      </w:pPr>
      <w:r>
        <w:rPr>
          <w:rFonts w:hint="eastAsia"/>
        </w:rPr>
        <w:t>⑴</w:t>
      </w:r>
      <w:r>
        <w:rPr>
          <w:rFonts w:hint="eastAsia"/>
          <w:lang w:eastAsia="zh-CN"/>
        </w:rPr>
        <w:t>公司</w:t>
      </w:r>
      <w:r>
        <w:rPr>
          <w:rFonts w:hint="eastAsia"/>
        </w:rPr>
        <w:t>根据国家、地方、业主、上级公司以及相关方要求，结合</w:t>
      </w:r>
      <w:r>
        <w:rPr>
          <w:rFonts w:hint="eastAsia"/>
          <w:lang w:eastAsia="zh-CN"/>
        </w:rPr>
        <w:t>公司</w:t>
      </w:r>
      <w:r>
        <w:rPr>
          <w:rFonts w:hint="eastAsia"/>
        </w:rPr>
        <w:t>实际情况，建立并保持相应的各种安全管理制度。我</w:t>
      </w:r>
      <w:r>
        <w:rPr>
          <w:rFonts w:hint="eastAsia"/>
          <w:lang w:eastAsia="zh-CN"/>
        </w:rPr>
        <w:t>公司</w:t>
      </w:r>
      <w:r>
        <w:rPr>
          <w:rFonts w:hint="eastAsia"/>
        </w:rPr>
        <w:t>已经建立了一套完整的行之有效的安全生产规章制度及其操作程序。</w:t>
      </w:r>
    </w:p>
    <w:p w14:paraId="34896616">
      <w:pPr>
        <w:bidi w:val="0"/>
        <w:rPr>
          <w:rFonts w:hint="eastAsia"/>
        </w:rPr>
      </w:pPr>
      <w:r>
        <w:rPr>
          <w:rFonts w:hint="eastAsia"/>
        </w:rPr>
        <w:t>⑵运用相关安全系统工程评价法对施工过程存在的危险因素进行详细评价和论证，结合</w:t>
      </w:r>
      <w:r>
        <w:rPr>
          <w:rFonts w:hint="eastAsia"/>
          <w:lang w:eastAsia="zh-CN"/>
        </w:rPr>
        <w:t>公司</w:t>
      </w:r>
      <w:r>
        <w:rPr>
          <w:rFonts w:hint="eastAsia"/>
        </w:rPr>
        <w:t>资源配置情况、技术能力状况等多方面分析研究，初步确定出（如果不采取措施）可能会造成严重事故的重要危险因素，然后根据评价结果制定各个安全控制方案。</w:t>
      </w:r>
    </w:p>
    <w:p w14:paraId="2ED0C1A2">
      <w:pPr>
        <w:bidi w:val="0"/>
        <w:rPr>
          <w:rFonts w:hint="eastAsia"/>
        </w:rPr>
      </w:pPr>
      <w:r>
        <w:rPr>
          <w:rFonts w:hint="eastAsia"/>
        </w:rPr>
        <w:t>⑶</w:t>
      </w:r>
      <w:r>
        <w:rPr>
          <w:rFonts w:hint="eastAsia"/>
          <w:lang w:eastAsia="zh-CN"/>
        </w:rPr>
        <w:t>公司</w:t>
      </w:r>
      <w:r>
        <w:rPr>
          <w:rFonts w:hint="eastAsia"/>
        </w:rPr>
        <w:t>领导对安全工作正确定位并给予高度重视，积极落实“安全第一”方针和“以人为本，安全为天”的指导思想，扎扎实实搞好安全工作。</w:t>
      </w:r>
    </w:p>
    <w:p w14:paraId="3554FDE4">
      <w:pPr>
        <w:bidi w:val="0"/>
        <w:rPr>
          <w:rFonts w:hint="eastAsia"/>
        </w:rPr>
      </w:pPr>
      <w:r>
        <w:rPr>
          <w:rFonts w:hint="eastAsia"/>
        </w:rPr>
        <w:t>⑷加强员工安全培训工作，一方面是对</w:t>
      </w:r>
      <w:r>
        <w:rPr>
          <w:rFonts w:hint="eastAsia"/>
          <w:lang w:eastAsia="zh-CN"/>
        </w:rPr>
        <w:t>公司</w:t>
      </w:r>
      <w:r>
        <w:rPr>
          <w:rFonts w:hint="eastAsia"/>
        </w:rPr>
        <w:t>安全管理人员的业务技能培训，另一方面是对员工的安全意识培训，培训的内容包括岗前三级教育、特殊工种、专项操作规程、安全技术交底等等。</w:t>
      </w:r>
    </w:p>
    <w:p w14:paraId="580A9092">
      <w:pPr>
        <w:bidi w:val="0"/>
        <w:rPr>
          <w:rFonts w:hint="eastAsia"/>
        </w:rPr>
      </w:pPr>
      <w:r>
        <w:rPr>
          <w:rFonts w:hint="eastAsia"/>
        </w:rPr>
        <w:t>⑸开展各项丰富多彩的安全生产活动，通过活动促进员工安全思想得到进一步增强，同时辅以一些激励措施，使员工从被动接受教育转变为主动接受教育。</w:t>
      </w:r>
    </w:p>
    <w:p w14:paraId="4C3745EC">
      <w:pPr>
        <w:bidi w:val="0"/>
        <w:rPr>
          <w:rFonts w:hint="eastAsia"/>
        </w:rPr>
      </w:pPr>
      <w:r>
        <w:rPr>
          <w:rFonts w:hint="eastAsia"/>
        </w:rPr>
        <w:t>⑹强化现场宣传管理，在主要通道或醒目的公众场所设置标语标牌，时刻提醒员工遵章守纪，使员工的安全意识在潜移默化中得到增强。</w:t>
      </w:r>
    </w:p>
    <w:p w14:paraId="20004874">
      <w:pPr>
        <w:pStyle w:val="4"/>
        <w:bidi w:val="0"/>
        <w:rPr>
          <w:rFonts w:hint="eastAsia"/>
        </w:rPr>
      </w:pPr>
      <w:bookmarkStart w:id="148" w:name="_Toc9809"/>
      <w:bookmarkStart w:id="149" w:name="_Toc15714"/>
      <w:bookmarkStart w:id="150" w:name="_Toc15956"/>
      <w:r>
        <w:rPr>
          <w:rFonts w:hint="eastAsia"/>
        </w:rPr>
        <w:t>7.3</w:t>
      </w:r>
      <w:bookmarkEnd w:id="145"/>
      <w:bookmarkEnd w:id="146"/>
      <w:bookmarkEnd w:id="147"/>
      <w:r>
        <w:rPr>
          <w:rFonts w:hint="eastAsia"/>
        </w:rPr>
        <w:t xml:space="preserve"> 领导带班安全生产制度</w:t>
      </w:r>
      <w:bookmarkEnd w:id="148"/>
      <w:bookmarkEnd w:id="149"/>
      <w:bookmarkEnd w:id="150"/>
    </w:p>
    <w:p w14:paraId="54E759E3">
      <w:pPr>
        <w:bidi w:val="0"/>
        <w:rPr>
          <w:rFonts w:hint="eastAsia"/>
        </w:rPr>
      </w:pPr>
      <w:r>
        <w:rPr>
          <w:rFonts w:hint="eastAsia"/>
        </w:rPr>
        <w:t>⑴</w:t>
      </w:r>
      <w:r>
        <w:rPr>
          <w:rFonts w:hint="eastAsia"/>
          <w:lang w:eastAsia="zh-CN"/>
        </w:rPr>
        <w:t>公司</w:t>
      </w:r>
      <w:r>
        <w:rPr>
          <w:rFonts w:hint="eastAsia"/>
        </w:rPr>
        <w:t>经理是本</w:t>
      </w:r>
      <w:r>
        <w:rPr>
          <w:rFonts w:hint="eastAsia"/>
          <w:lang w:eastAsia="zh-CN"/>
        </w:rPr>
        <w:t>公司</w:t>
      </w:r>
      <w:r>
        <w:rPr>
          <w:rFonts w:hint="eastAsia"/>
        </w:rPr>
        <w:t>的安全管理的第一责任人，对落实带班生产制度全面负责。</w:t>
      </w:r>
    </w:p>
    <w:p w14:paraId="4BC42FD6">
      <w:pPr>
        <w:bidi w:val="0"/>
        <w:rPr>
          <w:rFonts w:hint="eastAsia"/>
        </w:rPr>
      </w:pPr>
      <w:r>
        <w:rPr>
          <w:rFonts w:hint="eastAsia"/>
        </w:rPr>
        <w:t>⑵</w:t>
      </w:r>
      <w:r>
        <w:rPr>
          <w:rFonts w:hint="eastAsia"/>
          <w:lang w:eastAsia="zh-CN"/>
        </w:rPr>
        <w:t>公司</w:t>
      </w:r>
      <w:r>
        <w:rPr>
          <w:rFonts w:hint="eastAsia"/>
        </w:rPr>
        <w:t>主要负责人带班生产时，应履行以下职责：</w:t>
      </w:r>
    </w:p>
    <w:p w14:paraId="632BC4A3">
      <w:pPr>
        <w:bidi w:val="0"/>
        <w:rPr>
          <w:rFonts w:hint="eastAsia"/>
        </w:rPr>
      </w:pPr>
      <w:r>
        <w:rPr>
          <w:rFonts w:hint="eastAsia"/>
        </w:rPr>
        <w:t>①坚持生产工作与安全工作的“五同时”，规范地执行各项安全生产的规章制度，对本单位的安全工作全面负责；</w:t>
      </w:r>
    </w:p>
    <w:p w14:paraId="109A7736">
      <w:pPr>
        <w:bidi w:val="0"/>
        <w:rPr>
          <w:rFonts w:hint="eastAsia"/>
        </w:rPr>
      </w:pPr>
      <w:r>
        <w:rPr>
          <w:rFonts w:hint="eastAsia"/>
        </w:rPr>
        <w:t>②检查落实技术、质检、安全等管理人员跟班作业，确保现场管理人员有效到位；</w:t>
      </w:r>
    </w:p>
    <w:p w14:paraId="2FC3F207">
      <w:pPr>
        <w:bidi w:val="0"/>
        <w:rPr>
          <w:rFonts w:hint="eastAsia"/>
        </w:rPr>
      </w:pPr>
      <w:r>
        <w:rPr>
          <w:rFonts w:hint="eastAsia"/>
        </w:rPr>
        <w:t>③负责当日的安全检查、督促和指导施工区安全工作，解决安全方面的疑难问题，防范可能发生的一切不安全因素；</w:t>
      </w:r>
    </w:p>
    <w:p w14:paraId="780997F2">
      <w:pPr>
        <w:bidi w:val="0"/>
        <w:rPr>
          <w:rFonts w:hint="eastAsia"/>
        </w:rPr>
      </w:pPr>
      <w:r>
        <w:rPr>
          <w:rFonts w:hint="eastAsia"/>
        </w:rPr>
        <w:t>④负责当日生产现场的安全监督、督促和检查工作，有权对“三违”现象进行处罚，并停止其工作，对情节严重者，并按有关规定处理；</w:t>
      </w:r>
    </w:p>
    <w:p w14:paraId="0D276C33">
      <w:pPr>
        <w:bidi w:val="0"/>
        <w:rPr>
          <w:rFonts w:hint="eastAsia"/>
        </w:rPr>
      </w:pPr>
      <w:r>
        <w:rPr>
          <w:rFonts w:hint="eastAsia"/>
        </w:rPr>
        <w:t>⑤及时发现的事故隐患并组织人员立即采取有效防范措施，提出整改意见，督促限期整改；</w:t>
      </w:r>
    </w:p>
    <w:p w14:paraId="5D89194B">
      <w:pPr>
        <w:bidi w:val="0"/>
        <w:rPr>
          <w:rFonts w:hint="eastAsia"/>
        </w:rPr>
      </w:pPr>
      <w:bookmarkStart w:id="151" w:name="_Toc17678"/>
      <w:r>
        <w:rPr>
          <w:rFonts w:hint="eastAsia"/>
        </w:rPr>
        <w:t>⑥填写带班生产工作日志并签字归档备查等。</w:t>
      </w:r>
      <w:bookmarkEnd w:id="151"/>
    </w:p>
    <w:p w14:paraId="160B5F9D">
      <w:pPr>
        <w:bidi w:val="0"/>
        <w:rPr>
          <w:rFonts w:hint="eastAsia"/>
        </w:rPr>
      </w:pPr>
      <w:r>
        <w:rPr>
          <w:rFonts w:hint="eastAsia"/>
        </w:rPr>
        <w:t>⑶</w:t>
      </w:r>
      <w:r>
        <w:rPr>
          <w:rFonts w:hint="eastAsia"/>
          <w:lang w:eastAsia="zh-CN"/>
        </w:rPr>
        <w:t>公司</w:t>
      </w:r>
      <w:r>
        <w:rPr>
          <w:rFonts w:hint="eastAsia"/>
        </w:rPr>
        <w:t>主要负责人、部门负责人及各作业区域负责人应保持手机24小时开机。</w:t>
      </w:r>
    </w:p>
    <w:p w14:paraId="68D2F184">
      <w:pPr>
        <w:bidi w:val="0"/>
        <w:rPr>
          <w:rFonts w:hint="eastAsia"/>
        </w:rPr>
      </w:pPr>
      <w:r>
        <w:rPr>
          <w:rFonts w:hint="eastAsia"/>
        </w:rPr>
        <w:t>⑷</w:t>
      </w:r>
      <w:r>
        <w:rPr>
          <w:rFonts w:hint="eastAsia"/>
          <w:lang w:eastAsia="zh-CN"/>
        </w:rPr>
        <w:t>公司</w:t>
      </w:r>
      <w:r>
        <w:rPr>
          <w:rFonts w:hint="eastAsia"/>
        </w:rPr>
        <w:t>负责人带班生产时，应全面掌握工程</w:t>
      </w:r>
      <w:r>
        <w:rPr>
          <w:rFonts w:hint="eastAsia"/>
          <w:lang w:eastAsia="zh-CN"/>
        </w:rPr>
        <w:t>公司</w:t>
      </w:r>
      <w:r>
        <w:rPr>
          <w:rFonts w:hint="eastAsia"/>
        </w:rPr>
        <w:t>的安全生产状况，加强对重点部位、关键环节的控制，及时消除安全隐患，并认真做好带班生产记录并签字存档备查。</w:t>
      </w:r>
    </w:p>
    <w:p w14:paraId="0D206348">
      <w:pPr>
        <w:bidi w:val="0"/>
        <w:rPr>
          <w:rFonts w:hint="eastAsia"/>
        </w:rPr>
      </w:pPr>
      <w:r>
        <w:rPr>
          <w:rFonts w:hint="eastAsia"/>
        </w:rPr>
        <w:t>⑸带班主要负责人应当向接班的领导详细告知当前施工现场安全存在的问题、需要注意的事项等，并认真填写交接班记录。</w:t>
      </w:r>
    </w:p>
    <w:p w14:paraId="7ACE198A">
      <w:pPr>
        <w:bidi w:val="0"/>
        <w:rPr>
          <w:rFonts w:hint="eastAsia"/>
        </w:rPr>
      </w:pPr>
      <w:r>
        <w:rPr>
          <w:rFonts w:hint="eastAsia"/>
        </w:rPr>
        <w:t>⑹</w:t>
      </w:r>
      <w:r>
        <w:rPr>
          <w:rFonts w:hint="eastAsia"/>
          <w:lang w:eastAsia="zh-CN"/>
        </w:rPr>
        <w:t>公司</w:t>
      </w:r>
      <w:r>
        <w:rPr>
          <w:rFonts w:hint="eastAsia"/>
        </w:rPr>
        <w:t>领导施工现场带班生产工作记录由当班领导填写，由安全部每月负责整理，并存档备查。</w:t>
      </w:r>
    </w:p>
    <w:p w14:paraId="78E900D2">
      <w:pPr>
        <w:pStyle w:val="4"/>
        <w:bidi w:val="0"/>
        <w:rPr>
          <w:rFonts w:hint="eastAsia"/>
        </w:rPr>
      </w:pPr>
      <w:bookmarkStart w:id="152" w:name="_Toc32274"/>
      <w:bookmarkStart w:id="153" w:name="_Toc5707"/>
      <w:bookmarkStart w:id="154" w:name="_Toc5207"/>
      <w:r>
        <w:rPr>
          <w:rFonts w:hint="eastAsia"/>
        </w:rPr>
        <w:t>7.4安全保证措施</w:t>
      </w:r>
      <w:bookmarkEnd w:id="134"/>
      <w:bookmarkEnd w:id="135"/>
      <w:bookmarkEnd w:id="136"/>
      <w:bookmarkEnd w:id="152"/>
      <w:bookmarkEnd w:id="153"/>
      <w:bookmarkEnd w:id="154"/>
    </w:p>
    <w:bookmarkEnd w:id="137"/>
    <w:p w14:paraId="12592DEB">
      <w:pPr>
        <w:pStyle w:val="5"/>
        <w:bidi w:val="0"/>
        <w:rPr>
          <w:rFonts w:hint="eastAsia"/>
        </w:rPr>
      </w:pPr>
      <w:bookmarkStart w:id="155" w:name="_Toc528139716"/>
      <w:bookmarkStart w:id="156" w:name="_Toc30174"/>
      <w:bookmarkStart w:id="157" w:name="_Toc259803783"/>
      <w:bookmarkStart w:id="158" w:name="_Toc496855883"/>
      <w:bookmarkStart w:id="159" w:name="_Toc495658258"/>
      <w:bookmarkStart w:id="160" w:name="_Toc259803848"/>
      <w:bookmarkStart w:id="161" w:name="_Toc259886636"/>
      <w:r>
        <w:rPr>
          <w:rFonts w:hint="eastAsia"/>
        </w:rPr>
        <w:t>7.4.1班组标准化“6S管理”措施</w:t>
      </w:r>
      <w:bookmarkEnd w:id="155"/>
      <w:bookmarkEnd w:id="156"/>
    </w:p>
    <w:p w14:paraId="7C8392A5">
      <w:pPr>
        <w:pStyle w:val="6"/>
        <w:bidi w:val="0"/>
        <w:rPr>
          <w:rFonts w:hint="eastAsia"/>
        </w:rPr>
      </w:pPr>
      <w:r>
        <w:rPr>
          <w:rFonts w:hint="eastAsia"/>
        </w:rPr>
        <w:t>7.4.1.1组织机构</w:t>
      </w:r>
    </w:p>
    <w:p w14:paraId="0B3E56F9">
      <w:pPr>
        <w:bidi w:val="0"/>
        <w:rPr>
          <w:rFonts w:hint="eastAsia"/>
        </w:rPr>
      </w:pPr>
      <w:bookmarkStart w:id="162" w:name="_Hlk500158925"/>
      <w:r>
        <w:rPr>
          <w:rFonts w:hint="eastAsia"/>
        </w:rPr>
        <w:t>班组文化其实是班组源头管理的灵魂，因此打造独特班组文化是实施标准化迚设的 核心内容之一。</w:t>
      </w:r>
      <w:r>
        <w:rPr>
          <w:rFonts w:hint="eastAsia"/>
          <w:lang w:eastAsia="zh-CN"/>
        </w:rPr>
        <w:t>公司</w:t>
      </w:r>
      <w:r>
        <w:rPr>
          <w:rFonts w:hint="eastAsia"/>
        </w:rPr>
        <w:t>成立了“班组作业标准化建设活动”领导小组，负责对进场班组进行作业标准化建设活动实施方案及各种制度的制定以及贯彻、培训、指导与实施过程的监督、检查、考核、评比。</w:t>
      </w:r>
    </w:p>
    <w:bookmarkEnd w:id="162"/>
    <w:p w14:paraId="421B9CC9">
      <w:pPr>
        <w:pStyle w:val="6"/>
        <w:bidi w:val="0"/>
        <w:rPr>
          <w:rFonts w:hint="eastAsia"/>
        </w:rPr>
      </w:pPr>
      <w:r>
        <w:rPr>
          <w:rFonts w:hint="eastAsia"/>
        </w:rPr>
        <w:t>7.4.1.2培训教育</w:t>
      </w:r>
    </w:p>
    <w:p w14:paraId="547688C3">
      <w:pPr>
        <w:bidi w:val="0"/>
        <w:rPr>
          <w:rFonts w:hint="eastAsia"/>
        </w:rPr>
      </w:pPr>
      <w:r>
        <w:rPr>
          <w:rFonts w:hint="eastAsia"/>
        </w:rPr>
        <w:t>在充分利用各类标示标牌、宣传横幅、质安文化墙、宣传手册等宣传文化阵地加大宣传力度的基础之上，</w:t>
      </w:r>
      <w:r>
        <w:rPr>
          <w:rFonts w:hint="eastAsia"/>
          <w:lang w:eastAsia="zh-CN"/>
        </w:rPr>
        <w:t>公司</w:t>
      </w:r>
      <w:r>
        <w:rPr>
          <w:rFonts w:hint="eastAsia"/>
        </w:rPr>
        <w:t>对承台施工班组进行“质安文化进工地”、“6S”管理及班组作业标准化教育及交底，并发放资料以供参考。</w:t>
      </w:r>
    </w:p>
    <w:p w14:paraId="1B2456D1">
      <w:pPr>
        <w:pStyle w:val="6"/>
        <w:bidi w:val="0"/>
        <w:rPr>
          <w:rFonts w:hint="eastAsia"/>
        </w:rPr>
      </w:pPr>
      <w:r>
        <w:rPr>
          <w:rFonts w:hint="eastAsia"/>
        </w:rPr>
        <w:t>7.4.1.3建立作业班组</w:t>
      </w:r>
    </w:p>
    <w:p w14:paraId="65D8F0E5">
      <w:pPr>
        <w:bidi w:val="0"/>
        <w:rPr>
          <w:rFonts w:hint="eastAsia"/>
        </w:rPr>
      </w:pPr>
      <w:r>
        <w:rPr>
          <w:rFonts w:hint="eastAsia"/>
        </w:rPr>
        <w:t>根据实际班组人员情况，对塔吊安装作业进行班组划分，落实班前交底、 班后总结及最美班组评选措施。</w:t>
      </w:r>
    </w:p>
    <w:p w14:paraId="4638B085">
      <w:pPr>
        <w:spacing w:after="0" w:afterLines="0" w:line="240" w:lineRule="auto"/>
        <w:jc w:val="center"/>
        <w:rPr>
          <w:rFonts w:hint="eastAsia" w:ascii="宋体" w:hAnsi="宋体" w:eastAsia="宋体" w:cs="宋体"/>
          <w:sz w:val="21"/>
        </w:rPr>
      </w:pPr>
      <w:r>
        <w:rPr>
          <w:rFonts w:hint="eastAsia"/>
          <w:lang w:val="en-US" w:eastAsia="zh-CN"/>
        </w:rPr>
        <w:t>表7.4-1 班组划分一览表</w:t>
      </w:r>
    </w:p>
    <w:tbl>
      <w:tblPr>
        <w:tblStyle w:val="35"/>
        <w:tblW w:w="4998"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270"/>
        <w:gridCol w:w="4254"/>
        <w:gridCol w:w="2975"/>
        <w:gridCol w:w="1271"/>
      </w:tblGrid>
      <w:tr w14:paraId="2696D61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339"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tcPr>
          <w:p w14:paraId="3A07B7A6">
            <w:pPr>
              <w:pStyle w:val="67"/>
              <w:ind w:firstLine="0" w:firstLineChars="0"/>
              <w:rPr>
                <w:rFonts w:hint="eastAsia" w:ascii="宋体" w:hAnsi="宋体" w:eastAsia="宋体" w:cs="宋体"/>
                <w:sz w:val="21"/>
                <w:lang w:val="en-US"/>
              </w:rPr>
            </w:pPr>
            <w:r>
              <w:rPr>
                <w:rFonts w:hint="eastAsia" w:ascii="宋体" w:hAnsi="宋体" w:eastAsia="宋体" w:cs="宋体"/>
                <w:lang w:val="en-US"/>
              </w:rPr>
              <w:t>序号</w:t>
            </w:r>
          </w:p>
        </w:tc>
        <w:tc>
          <w:tcPr>
            <w:tcW w:w="2176" w:type="pct"/>
            <w:tcBorders>
              <w:top w:val="single" w:color="auto" w:sz="4" w:space="0"/>
              <w:left w:val="single" w:color="auto" w:sz="4" w:space="0"/>
              <w:bottom w:val="single" w:color="auto" w:sz="4" w:space="0"/>
              <w:right w:val="single" w:color="auto" w:sz="4" w:space="0"/>
            </w:tcBorders>
            <w:shd w:val="clear" w:color="auto" w:fill="auto"/>
          </w:tcPr>
          <w:p w14:paraId="19E64088">
            <w:pPr>
              <w:pStyle w:val="67"/>
              <w:ind w:firstLine="0" w:firstLineChars="0"/>
              <w:rPr>
                <w:rFonts w:hint="eastAsia" w:ascii="宋体" w:hAnsi="宋体" w:eastAsia="宋体" w:cs="宋体"/>
                <w:lang w:val="en-US"/>
              </w:rPr>
            </w:pPr>
            <w:r>
              <w:rPr>
                <w:rFonts w:hint="eastAsia" w:ascii="宋体" w:hAnsi="宋体" w:eastAsia="宋体" w:cs="宋体"/>
                <w:lang w:val="en-US"/>
              </w:rPr>
              <w:t>工程名称</w:t>
            </w:r>
          </w:p>
        </w:tc>
        <w:tc>
          <w:tcPr>
            <w:tcW w:w="1522" w:type="pct"/>
            <w:tcBorders>
              <w:top w:val="single" w:color="auto" w:sz="4" w:space="0"/>
              <w:left w:val="single" w:color="auto" w:sz="4" w:space="0"/>
              <w:bottom w:val="single" w:color="auto" w:sz="4" w:space="0"/>
              <w:right w:val="single" w:color="auto" w:sz="4" w:space="0"/>
            </w:tcBorders>
            <w:shd w:val="clear" w:color="auto" w:fill="auto"/>
          </w:tcPr>
          <w:p w14:paraId="44F0E44B">
            <w:pPr>
              <w:pStyle w:val="67"/>
              <w:ind w:firstLine="0" w:firstLineChars="0"/>
              <w:rPr>
                <w:rFonts w:hint="eastAsia" w:ascii="宋体" w:hAnsi="宋体" w:eastAsia="宋体" w:cs="宋体"/>
                <w:lang w:val="en-US"/>
              </w:rPr>
            </w:pPr>
            <w:r>
              <w:rPr>
                <w:rFonts w:hint="eastAsia" w:ascii="宋体" w:hAnsi="宋体" w:eastAsia="宋体" w:cs="宋体"/>
                <w:lang w:val="en-US"/>
              </w:rPr>
              <w:t>班组名称</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62C8B123">
            <w:pPr>
              <w:pStyle w:val="67"/>
              <w:ind w:firstLine="0" w:firstLineChars="0"/>
              <w:rPr>
                <w:rFonts w:hint="eastAsia" w:ascii="宋体" w:hAnsi="宋体" w:eastAsia="宋体" w:cs="宋体"/>
                <w:lang w:val="en-US"/>
              </w:rPr>
            </w:pPr>
            <w:r>
              <w:rPr>
                <w:rFonts w:hint="eastAsia" w:ascii="宋体" w:hAnsi="宋体" w:eastAsia="宋体" w:cs="宋体"/>
                <w:lang w:val="en-US"/>
              </w:rPr>
              <w:t>备注</w:t>
            </w:r>
          </w:p>
        </w:tc>
      </w:tr>
      <w:tr w14:paraId="148AA505">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97" w:hRule="exact"/>
          <w:jc w:val="center"/>
        </w:trPr>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0DB9862E">
            <w:pPr>
              <w:pStyle w:val="67"/>
              <w:ind w:firstLine="0" w:firstLineChars="0"/>
              <w:rPr>
                <w:rFonts w:hint="eastAsia" w:ascii="宋体" w:hAnsi="宋体" w:eastAsia="宋体" w:cs="宋体"/>
                <w:lang w:val="en-US"/>
              </w:rPr>
            </w:pPr>
            <w:r>
              <w:rPr>
                <w:rFonts w:hint="eastAsia" w:ascii="宋体" w:hAnsi="宋体" w:eastAsia="宋体" w:cs="宋体"/>
                <w:lang w:val="en-US"/>
              </w:rPr>
              <w:t>1</w:t>
            </w:r>
          </w:p>
        </w:tc>
        <w:tc>
          <w:tcPr>
            <w:tcW w:w="2176" w:type="pct"/>
            <w:tcBorders>
              <w:top w:val="single" w:color="auto" w:sz="4" w:space="0"/>
              <w:left w:val="single" w:color="auto" w:sz="4" w:space="0"/>
              <w:bottom w:val="single" w:color="auto" w:sz="4" w:space="0"/>
              <w:right w:val="single" w:color="auto" w:sz="4" w:space="0"/>
            </w:tcBorders>
            <w:shd w:val="clear" w:color="auto" w:fill="auto"/>
            <w:vAlign w:val="center"/>
          </w:tcPr>
          <w:p w14:paraId="0227CF1F">
            <w:pPr>
              <w:pStyle w:val="67"/>
              <w:ind w:firstLine="0" w:firstLineChars="0"/>
              <w:rPr>
                <w:rFonts w:hint="eastAsia" w:ascii="宋体" w:hAnsi="宋体" w:eastAsia="宋体" w:cs="宋体"/>
                <w:lang w:val="en-US"/>
              </w:rPr>
            </w:pPr>
            <w:r>
              <w:rPr>
                <w:rFonts w:hint="eastAsia" w:ascii="宋体" w:hAnsi="宋体" w:eastAsia="宋体" w:cs="宋体"/>
                <w:lang w:val="en-US"/>
              </w:rPr>
              <w:t>塔吊安装作业</w:t>
            </w:r>
          </w:p>
        </w:tc>
        <w:tc>
          <w:tcPr>
            <w:tcW w:w="1522" w:type="pct"/>
            <w:tcBorders>
              <w:top w:val="single" w:color="auto" w:sz="4" w:space="0"/>
              <w:left w:val="single" w:color="auto" w:sz="4" w:space="0"/>
              <w:bottom w:val="single" w:color="auto" w:sz="4" w:space="0"/>
              <w:right w:val="single" w:color="auto" w:sz="4" w:space="0"/>
            </w:tcBorders>
            <w:shd w:val="clear" w:color="auto" w:fill="auto"/>
            <w:vAlign w:val="center"/>
          </w:tcPr>
          <w:p w14:paraId="05B1EF90">
            <w:pPr>
              <w:pStyle w:val="67"/>
              <w:ind w:firstLine="0" w:firstLineChars="0"/>
              <w:rPr>
                <w:rFonts w:hint="eastAsia" w:ascii="宋体" w:hAnsi="宋体" w:eastAsia="宋体" w:cs="宋体"/>
                <w:lang w:val="en-US"/>
              </w:rPr>
            </w:pPr>
            <w:r>
              <w:rPr>
                <w:rFonts w:hint="eastAsia" w:ascii="宋体" w:hAnsi="宋体" w:eastAsia="宋体" w:cs="宋体"/>
                <w:lang w:val="en-US"/>
              </w:rPr>
              <w:t>塔吊安装班组</w:t>
            </w:r>
          </w:p>
        </w:tc>
        <w:tc>
          <w:tcPr>
            <w:tcW w:w="650" w:type="pct"/>
            <w:tcBorders>
              <w:top w:val="single" w:color="auto" w:sz="4" w:space="0"/>
              <w:left w:val="single" w:color="auto" w:sz="4" w:space="0"/>
              <w:bottom w:val="single" w:color="auto" w:sz="4" w:space="0"/>
              <w:right w:val="single" w:color="auto" w:sz="4" w:space="0"/>
            </w:tcBorders>
            <w:shd w:val="clear" w:color="auto" w:fill="auto"/>
            <w:vAlign w:val="center"/>
          </w:tcPr>
          <w:p w14:paraId="43CD5F04">
            <w:pPr>
              <w:pStyle w:val="67"/>
              <w:ind w:firstLine="0" w:firstLineChars="0"/>
              <w:rPr>
                <w:rFonts w:hint="eastAsia" w:ascii="宋体" w:hAnsi="宋体" w:eastAsia="宋体" w:cs="宋体"/>
                <w:lang w:val="en-US"/>
              </w:rPr>
            </w:pPr>
          </w:p>
        </w:tc>
      </w:tr>
    </w:tbl>
    <w:p w14:paraId="4FB2DCF4">
      <w:pPr>
        <w:pStyle w:val="6"/>
        <w:bidi w:val="0"/>
        <w:rPr>
          <w:rFonts w:hint="eastAsia"/>
        </w:rPr>
      </w:pPr>
      <w:r>
        <w:rPr>
          <w:rFonts w:hint="eastAsia"/>
        </w:rPr>
        <w:t>7.4.1.4班组岗位职责划分</w:t>
      </w:r>
    </w:p>
    <w:p w14:paraId="649E0925">
      <w:pPr>
        <w:bidi w:val="0"/>
        <w:rPr>
          <w:rFonts w:hint="eastAsia"/>
        </w:rPr>
      </w:pPr>
      <w:r>
        <w:rPr>
          <w:rFonts w:hint="eastAsia"/>
        </w:rPr>
        <w:t>（1）班组长岗位职责</w:t>
      </w:r>
    </w:p>
    <w:p w14:paraId="61552B09">
      <w:pPr>
        <w:bidi w:val="0"/>
        <w:rPr>
          <w:rFonts w:hint="eastAsia"/>
        </w:rPr>
      </w:pPr>
      <w:r>
        <w:rPr>
          <w:rFonts w:hint="eastAsia"/>
        </w:rPr>
        <w:t>①负责分配并实施本班组的日常施工任务，做好班前教育、班中检查、班后总结工作；</w:t>
      </w:r>
    </w:p>
    <w:p w14:paraId="0EBFBB8A">
      <w:pPr>
        <w:bidi w:val="0"/>
        <w:rPr>
          <w:rFonts w:hint="eastAsia"/>
        </w:rPr>
      </w:pPr>
      <w:r>
        <w:rPr>
          <w:rFonts w:hint="eastAsia"/>
        </w:rPr>
        <w:t>②督促作业人员正确使用安全防护用品，做到机具设备定置摆放，确保人员安全、场地整洁、工完料清；</w:t>
      </w:r>
    </w:p>
    <w:p w14:paraId="34506894">
      <w:pPr>
        <w:bidi w:val="0"/>
        <w:rPr>
          <w:rFonts w:hint="eastAsia"/>
        </w:rPr>
      </w:pPr>
      <w:r>
        <w:rPr>
          <w:rFonts w:hint="eastAsia"/>
        </w:rPr>
        <w:t>③落实监理员、技术员、安全员下达的整改意见和要求，确保隐患整改到位；</w:t>
      </w:r>
    </w:p>
    <w:p w14:paraId="44231C7A">
      <w:pPr>
        <w:bidi w:val="0"/>
        <w:rPr>
          <w:rFonts w:hint="eastAsia"/>
        </w:rPr>
      </w:pPr>
      <w:r>
        <w:rPr>
          <w:rFonts w:hint="eastAsia"/>
        </w:rPr>
        <w:t>④配合</w:t>
      </w:r>
      <w:r>
        <w:rPr>
          <w:rFonts w:hint="eastAsia"/>
          <w:lang w:eastAsia="zh-CN"/>
        </w:rPr>
        <w:t>公司</w:t>
      </w:r>
      <w:r>
        <w:rPr>
          <w:rFonts w:hint="eastAsia"/>
        </w:rPr>
        <w:t>做好班组考核评比工作；</w:t>
      </w:r>
    </w:p>
    <w:p w14:paraId="6ABFB355">
      <w:pPr>
        <w:bidi w:val="0"/>
        <w:rPr>
          <w:rFonts w:hint="eastAsia"/>
        </w:rPr>
      </w:pPr>
      <w:r>
        <w:rPr>
          <w:rFonts w:hint="eastAsia"/>
        </w:rPr>
        <w:t>⑤做好交接班工作并及时填写相关记录；</w:t>
      </w:r>
    </w:p>
    <w:p w14:paraId="403F85BC">
      <w:pPr>
        <w:bidi w:val="0"/>
        <w:rPr>
          <w:rFonts w:hint="eastAsia"/>
        </w:rPr>
      </w:pPr>
      <w:r>
        <w:rPr>
          <w:rFonts w:hint="eastAsia"/>
        </w:rPr>
        <w:t>⑥发生紧急情况时立即报告，协助应急救援，保护好现场。</w:t>
      </w:r>
    </w:p>
    <w:p w14:paraId="3AC4829F">
      <w:pPr>
        <w:bidi w:val="0"/>
        <w:rPr>
          <w:rFonts w:hint="eastAsia"/>
        </w:rPr>
      </w:pPr>
      <w:r>
        <w:rPr>
          <w:rFonts w:hint="eastAsia"/>
        </w:rPr>
        <w:t>（2）班组巡查员岗位职责</w:t>
      </w:r>
    </w:p>
    <w:p w14:paraId="27A66B12">
      <w:pPr>
        <w:bidi w:val="0"/>
        <w:rPr>
          <w:rFonts w:hint="eastAsia"/>
        </w:rPr>
      </w:pPr>
      <w:r>
        <w:rPr>
          <w:rFonts w:hint="eastAsia"/>
        </w:rPr>
        <w:t>①开展班组巡查，及时纠正违章、违规作业，发现重大隐患及时上报，紧急情况有权暂停施工；</w:t>
      </w:r>
    </w:p>
    <w:p w14:paraId="386772B2">
      <w:pPr>
        <w:bidi w:val="0"/>
        <w:rPr>
          <w:rFonts w:hint="eastAsia"/>
        </w:rPr>
      </w:pPr>
      <w:r>
        <w:rPr>
          <w:rFonts w:hint="eastAsia"/>
        </w:rPr>
        <w:t>②配合班组长做好班组管理，协助开展班组各项活动，并做好记录；</w:t>
      </w:r>
    </w:p>
    <w:p w14:paraId="3DADE455">
      <w:pPr>
        <w:bidi w:val="0"/>
        <w:rPr>
          <w:rFonts w:hint="eastAsia"/>
        </w:rPr>
      </w:pPr>
      <w:r>
        <w:rPr>
          <w:rFonts w:hint="eastAsia"/>
        </w:rPr>
        <w:t>③做好班组相关记录的整理、归档。</w:t>
      </w:r>
    </w:p>
    <w:p w14:paraId="45104E88">
      <w:pPr>
        <w:bidi w:val="0"/>
        <w:rPr>
          <w:rFonts w:hint="eastAsia"/>
        </w:rPr>
      </w:pPr>
      <w:r>
        <w:rPr>
          <w:rFonts w:hint="eastAsia"/>
        </w:rPr>
        <w:t>（3）技术员岗位职责</w:t>
      </w:r>
    </w:p>
    <w:p w14:paraId="44387FC6">
      <w:pPr>
        <w:bidi w:val="0"/>
        <w:rPr>
          <w:rFonts w:hint="eastAsia"/>
        </w:rPr>
      </w:pPr>
      <w:r>
        <w:rPr>
          <w:rFonts w:hint="eastAsia"/>
        </w:rPr>
        <w:t>①组织开展分管班组技术交底工作，履行签认手续，确保交底落实至所有班组成员；</w:t>
      </w:r>
    </w:p>
    <w:p w14:paraId="6CC4B3BD">
      <w:pPr>
        <w:bidi w:val="0"/>
        <w:rPr>
          <w:rFonts w:hint="eastAsia"/>
        </w:rPr>
      </w:pPr>
      <w:r>
        <w:rPr>
          <w:rFonts w:hint="eastAsia"/>
        </w:rPr>
        <w:t>②贯彻执行班组作业标准化管理制度和施工方案中的质量、安全技术要求，组织班组首件制的检查验收；</w:t>
      </w:r>
    </w:p>
    <w:p w14:paraId="399E6676">
      <w:pPr>
        <w:bidi w:val="0"/>
        <w:rPr>
          <w:rFonts w:hint="eastAsia"/>
        </w:rPr>
      </w:pPr>
      <w:r>
        <w:rPr>
          <w:rFonts w:hint="eastAsia"/>
        </w:rPr>
        <w:t>③根据质量三检制度，做好工序复检工作，报质检员专检以及监理员检查验收，填写《施工三检记录表》；</w:t>
      </w:r>
    </w:p>
    <w:p w14:paraId="662CF480">
      <w:pPr>
        <w:bidi w:val="0"/>
        <w:rPr>
          <w:rFonts w:hint="eastAsia"/>
        </w:rPr>
      </w:pPr>
      <w:r>
        <w:rPr>
          <w:rFonts w:hint="eastAsia"/>
        </w:rPr>
        <w:t>④开展班组检查，查处违规违章行为，及时消除安全隐患；</w:t>
      </w:r>
    </w:p>
    <w:p w14:paraId="7D0C2DE5">
      <w:pPr>
        <w:bidi w:val="0"/>
        <w:rPr>
          <w:rFonts w:hint="eastAsia"/>
        </w:rPr>
      </w:pPr>
      <w:r>
        <w:rPr>
          <w:rFonts w:hint="eastAsia"/>
        </w:rPr>
        <w:t>⑤参与班组作业标准化考核，有权提出考评意见。</w:t>
      </w:r>
    </w:p>
    <w:p w14:paraId="58F77643">
      <w:pPr>
        <w:bidi w:val="0"/>
        <w:rPr>
          <w:rFonts w:hint="eastAsia"/>
        </w:rPr>
      </w:pPr>
      <w:r>
        <w:rPr>
          <w:rFonts w:hint="eastAsia"/>
        </w:rPr>
        <w:t>（4）安全员岗位职责</w:t>
      </w:r>
    </w:p>
    <w:p w14:paraId="1967D1AC">
      <w:pPr>
        <w:bidi w:val="0"/>
        <w:rPr>
          <w:rFonts w:hint="eastAsia"/>
        </w:rPr>
      </w:pPr>
      <w:r>
        <w:rPr>
          <w:rFonts w:hint="eastAsia"/>
        </w:rPr>
        <w:t>①组织开展班组进场工人三级安全教育及日常安全教育、交底、培训工作；</w:t>
      </w:r>
    </w:p>
    <w:p w14:paraId="65DBDEDC">
      <w:pPr>
        <w:bidi w:val="0"/>
        <w:rPr>
          <w:rFonts w:hint="eastAsia"/>
        </w:rPr>
      </w:pPr>
      <w:r>
        <w:rPr>
          <w:rFonts w:hint="eastAsia"/>
        </w:rPr>
        <w:t>②监督班组安全防护用品、安全设施的发放、使用；</w:t>
      </w:r>
    </w:p>
    <w:p w14:paraId="5E8C2C9A">
      <w:pPr>
        <w:bidi w:val="0"/>
        <w:rPr>
          <w:rFonts w:hint="eastAsia"/>
        </w:rPr>
      </w:pPr>
      <w:r>
        <w:rPr>
          <w:rFonts w:hint="eastAsia"/>
        </w:rPr>
        <w:t>③负责班组作业区域隔离、安全防护、标志标牌等现场标化措施的落实；</w:t>
      </w:r>
    </w:p>
    <w:p w14:paraId="0E7EC207">
      <w:pPr>
        <w:bidi w:val="0"/>
        <w:rPr>
          <w:rFonts w:hint="eastAsia"/>
        </w:rPr>
      </w:pPr>
      <w:r>
        <w:rPr>
          <w:rFonts w:hint="eastAsia"/>
        </w:rPr>
        <w:t>④每日进行班组安全检查，及时发现安全隐患，提出整改意见和措施，并跟踪督办，发现重大隐患的，立即向分管领导汇报；</w:t>
      </w:r>
    </w:p>
    <w:p w14:paraId="464CB286">
      <w:pPr>
        <w:bidi w:val="0"/>
        <w:rPr>
          <w:rFonts w:hint="eastAsia"/>
        </w:rPr>
      </w:pPr>
      <w:r>
        <w:rPr>
          <w:rFonts w:hint="eastAsia"/>
        </w:rPr>
        <w:t>⑤参与</w:t>
      </w:r>
      <w:r>
        <w:rPr>
          <w:rFonts w:hint="eastAsia"/>
          <w:lang w:eastAsia="zh-CN"/>
        </w:rPr>
        <w:t>公司</w:t>
      </w:r>
      <w:r>
        <w:rPr>
          <w:rFonts w:hint="eastAsia"/>
        </w:rPr>
        <w:t>定期开展的班组作业标准化考核评比，跟踪落实班组奖罚机制；</w:t>
      </w:r>
    </w:p>
    <w:p w14:paraId="63BD9E35">
      <w:pPr>
        <w:bidi w:val="0"/>
        <w:rPr>
          <w:rFonts w:hint="eastAsia"/>
        </w:rPr>
      </w:pPr>
      <w:r>
        <w:rPr>
          <w:rFonts w:hint="eastAsia"/>
        </w:rPr>
        <w:t>⑥掌握班组信息动态，及时填写相关检查表。</w:t>
      </w:r>
    </w:p>
    <w:p w14:paraId="77CB65C8">
      <w:pPr>
        <w:bidi w:val="0"/>
        <w:rPr>
          <w:rFonts w:hint="eastAsia"/>
        </w:rPr>
      </w:pPr>
      <w:r>
        <w:rPr>
          <w:rFonts w:hint="eastAsia"/>
        </w:rPr>
        <w:t>（5）班组成员岗位职责</w:t>
      </w:r>
    </w:p>
    <w:p w14:paraId="6223E62F">
      <w:pPr>
        <w:bidi w:val="0"/>
        <w:rPr>
          <w:rFonts w:hint="eastAsia"/>
        </w:rPr>
      </w:pPr>
      <w:r>
        <w:rPr>
          <w:rFonts w:hint="eastAsia"/>
        </w:rPr>
        <w:t>①遵守班组劳动纪律，正确使用个人劳动防护用品，保持班组作业环境整洁，做到文明生产；</w:t>
      </w:r>
    </w:p>
    <w:p w14:paraId="0165E0A0">
      <w:pPr>
        <w:bidi w:val="0"/>
        <w:rPr>
          <w:rFonts w:hint="eastAsia"/>
        </w:rPr>
      </w:pPr>
      <w:r>
        <w:rPr>
          <w:rFonts w:hint="eastAsia"/>
        </w:rPr>
        <w:t>②作业前接受班前教育，作业时按照操作规程操作；</w:t>
      </w:r>
    </w:p>
    <w:p w14:paraId="033D9777">
      <w:pPr>
        <w:bidi w:val="0"/>
        <w:rPr>
          <w:rFonts w:hint="eastAsia"/>
        </w:rPr>
      </w:pPr>
      <w:r>
        <w:rPr>
          <w:rFonts w:hint="eastAsia"/>
        </w:rPr>
        <w:t>③积极参加各种班组教育培训、会议等活动；</w:t>
      </w:r>
    </w:p>
    <w:p w14:paraId="0FA2F6F9">
      <w:pPr>
        <w:bidi w:val="0"/>
        <w:rPr>
          <w:rFonts w:hint="eastAsia"/>
        </w:rPr>
      </w:pPr>
      <w:r>
        <w:rPr>
          <w:rFonts w:hint="eastAsia"/>
        </w:rPr>
        <w:t>④有权拒绝违章作业的指令，对他人违章作业加以劝阻和制止。</w:t>
      </w:r>
    </w:p>
    <w:p w14:paraId="2A8EE096">
      <w:pPr>
        <w:pStyle w:val="6"/>
        <w:bidi w:val="0"/>
        <w:rPr>
          <w:rFonts w:hint="eastAsia"/>
        </w:rPr>
      </w:pPr>
      <w:r>
        <w:rPr>
          <w:rFonts w:hint="eastAsia"/>
        </w:rPr>
        <w:t>7.4.1.5推行班组“6S”管理</w:t>
      </w:r>
    </w:p>
    <w:p w14:paraId="0F64CC96">
      <w:pPr>
        <w:bidi w:val="0"/>
        <w:rPr>
          <w:rFonts w:hint="eastAsia"/>
        </w:rPr>
      </w:pPr>
      <w:r>
        <w:rPr>
          <w:rFonts w:hint="eastAsia"/>
        </w:rPr>
        <w:t>深入学习领会班组“6S”管理理念，严格按照整理、整顿、清扫、清洁、素养、安全的“6S”流程进行管理，</w:t>
      </w:r>
      <w:bookmarkStart w:id="163" w:name="_Hlk500159103"/>
      <w:r>
        <w:rPr>
          <w:rFonts w:hint="eastAsia"/>
        </w:rPr>
        <w:t>对施工生产、办公现场各要素不断的进行安全管理工作，不断提升员工素养和职业技能，促使班组人、机、料、作业环境干净、整洁，确保作业现场人员人身安全及产品质量安全，预防质量安全事故发生。</w:t>
      </w:r>
      <w:bookmarkEnd w:id="163"/>
    </w:p>
    <w:p w14:paraId="6CD5FA4B">
      <w:pPr>
        <w:bidi w:val="0"/>
        <w:rPr>
          <w:rFonts w:hint="eastAsia"/>
        </w:rPr>
      </w:pPr>
      <w:r>
        <w:rPr>
          <w:rFonts w:hint="eastAsia"/>
        </w:rPr>
        <w:t>（1）整理（要与不要，一留一弃）</w:t>
      </w:r>
    </w:p>
    <w:p w14:paraId="1D807C32">
      <w:pPr>
        <w:bidi w:val="0"/>
        <w:rPr>
          <w:rFonts w:hint="eastAsia"/>
        </w:rPr>
      </w:pPr>
      <w:r>
        <w:rPr>
          <w:rFonts w:hint="eastAsia"/>
        </w:rPr>
        <w:t>每天班前对班组钢套箱及承台作业现场的材料、机具、设备进行简单整理，把需要的材料、机具、设备留下，不需要的尽快处理掉。</w:t>
      </w:r>
    </w:p>
    <w:p w14:paraId="59600028">
      <w:pPr>
        <w:bidi w:val="0"/>
        <w:rPr>
          <w:rFonts w:hint="eastAsia"/>
        </w:rPr>
      </w:pPr>
      <w:r>
        <w:rPr>
          <w:rFonts w:hint="eastAsia"/>
        </w:rPr>
        <w:t>（2）整顿（物有其所、物归其所）</w:t>
      </w:r>
    </w:p>
    <w:p w14:paraId="2F8CA3D4">
      <w:pPr>
        <w:bidi w:val="0"/>
        <w:rPr>
          <w:rFonts w:hint="eastAsia"/>
        </w:rPr>
      </w:pPr>
      <w:r>
        <w:rPr>
          <w:rFonts w:hint="eastAsia"/>
        </w:rPr>
        <w:t xml:space="preserve">对整理之后留在现场的材料、设备分类放置，排列整齐，便于取用；对相关机械、工器具进行合理固化，设置专门的工具存放箱、杂物箱；设置班组标志标牌，对各区域进行有效的标识；机械设备施行定机、定人、挂牌上岗。 </w:t>
      </w:r>
    </w:p>
    <w:p w14:paraId="24E1C147">
      <w:pPr>
        <w:bidi w:val="0"/>
        <w:rPr>
          <w:rFonts w:hint="eastAsia"/>
        </w:rPr>
      </w:pPr>
      <w:r>
        <w:rPr>
          <w:rFonts w:hint="eastAsia"/>
        </w:rPr>
        <w:t>（3）清扫（源头治理，干净整洁）</w:t>
      </w:r>
    </w:p>
    <w:p w14:paraId="6541B725">
      <w:pPr>
        <w:bidi w:val="0"/>
        <w:rPr>
          <w:rFonts w:hint="eastAsia"/>
        </w:rPr>
      </w:pPr>
      <w:r>
        <w:rPr>
          <w:rFonts w:hint="eastAsia"/>
        </w:rPr>
        <w:t xml:space="preserve">根据班组内区域划分，实行区域责任制，应做到一项施工任务结束后每个班组成员立即组织对各自作业场所和设备进行清理、打扫，把废旧物品、施工垃圾集中放置于专门的废旧物品存放箱内，保持作业场所干净、整洁。 </w:t>
      </w:r>
    </w:p>
    <w:p w14:paraId="66F2CBC2">
      <w:pPr>
        <w:bidi w:val="0"/>
        <w:rPr>
          <w:rFonts w:hint="eastAsia"/>
        </w:rPr>
      </w:pPr>
      <w:r>
        <w:rPr>
          <w:rFonts w:hint="eastAsia"/>
        </w:rPr>
        <w:t>（4）清洁（规范统一，一目了然）</w:t>
      </w:r>
    </w:p>
    <w:p w14:paraId="6F5CD271">
      <w:pPr>
        <w:bidi w:val="0"/>
        <w:rPr>
          <w:rFonts w:hint="eastAsia"/>
        </w:rPr>
      </w:pPr>
      <w:r>
        <w:rPr>
          <w:rFonts w:hint="eastAsia"/>
        </w:rPr>
        <w:t xml:space="preserve"> 将整理、整顿、清扫环节制度化、规范化、日常化，认真贯彻执行并维持成果，发现异常问题，通过考核改进。 </w:t>
      </w:r>
    </w:p>
    <w:p w14:paraId="7E46E5D5">
      <w:pPr>
        <w:bidi w:val="0"/>
        <w:rPr>
          <w:rFonts w:hint="eastAsia"/>
        </w:rPr>
      </w:pPr>
      <w:r>
        <w:rPr>
          <w:rFonts w:hint="eastAsia"/>
        </w:rPr>
        <w:t>素养（长期坚持、养成习惯）</w:t>
      </w:r>
    </w:p>
    <w:p w14:paraId="412FAF5E">
      <w:pPr>
        <w:bidi w:val="0"/>
        <w:rPr>
          <w:rFonts w:hint="eastAsia"/>
        </w:rPr>
      </w:pPr>
      <w:r>
        <w:rPr>
          <w:rFonts w:hint="eastAsia"/>
        </w:rPr>
        <w:t>通过班前提示教育、周会议、月度教育培训、日常检查、日常管理等方式，向员工灌输班组作业标准化的要求、措施，不断提高员工素质和职业技能，养成良好的作业习惯。并做到不得后酒作业；作好每天交接班记录表；每周检查记录表，保养记录表；每月对塔吊进行两次全面仔细检查，并作好记录。</w:t>
      </w:r>
    </w:p>
    <w:p w14:paraId="100672F9">
      <w:pPr>
        <w:bidi w:val="0"/>
        <w:rPr>
          <w:rFonts w:hint="eastAsia"/>
        </w:rPr>
      </w:pPr>
      <w:r>
        <w:rPr>
          <w:rFonts w:hint="eastAsia"/>
        </w:rPr>
        <w:t>（6）安全（一人为本、防微杜渐）</w:t>
      </w:r>
    </w:p>
    <w:p w14:paraId="1A6DF44A">
      <w:pPr>
        <w:bidi w:val="0"/>
        <w:rPr>
          <w:rFonts w:hint="eastAsia"/>
        </w:rPr>
      </w:pPr>
      <w:r>
        <w:rPr>
          <w:rFonts w:hint="eastAsia"/>
        </w:rPr>
        <w:t>根据班组安全生产标准化要求，每天组织班前提示教育、班前检查、班中巡查、班后小结等工作，每周召开一次班组会议、组织一次班组安全检查，每月组织一次班组生产例会、开展一次班组内部安全教育、组织一次班组考核，促使班组人、机、料、作业环境不断完善，确保作业现场人员人身安全及产品质量安全，预防安全质量事故的发生。</w:t>
      </w:r>
      <w:bookmarkEnd w:id="157"/>
      <w:bookmarkEnd w:id="158"/>
      <w:bookmarkEnd w:id="159"/>
      <w:bookmarkEnd w:id="160"/>
      <w:bookmarkEnd w:id="161"/>
      <w:bookmarkStart w:id="164" w:name="_Toc515110093"/>
      <w:bookmarkStart w:id="165" w:name="_Toc438622288"/>
      <w:bookmarkStart w:id="166" w:name="_Toc513404202"/>
      <w:bookmarkStart w:id="167" w:name="_Toc428001341"/>
      <w:bookmarkStart w:id="168" w:name="_Toc513401106"/>
      <w:bookmarkStart w:id="169" w:name="_Toc528139717"/>
    </w:p>
    <w:p w14:paraId="1F75DDA7">
      <w:pPr>
        <w:pStyle w:val="5"/>
        <w:bidi w:val="0"/>
        <w:rPr>
          <w:rFonts w:hint="eastAsia"/>
        </w:rPr>
      </w:pPr>
      <w:bookmarkStart w:id="170" w:name="_Toc11553"/>
      <w:r>
        <w:rPr>
          <w:rFonts w:hint="eastAsia"/>
        </w:rPr>
        <w:t>7.4.2安装作业安全保证措施</w:t>
      </w:r>
      <w:bookmarkEnd w:id="164"/>
      <w:bookmarkEnd w:id="165"/>
      <w:bookmarkEnd w:id="166"/>
      <w:bookmarkEnd w:id="167"/>
      <w:bookmarkEnd w:id="168"/>
      <w:bookmarkEnd w:id="169"/>
      <w:bookmarkEnd w:id="170"/>
    </w:p>
    <w:p w14:paraId="693003AA">
      <w:pPr>
        <w:spacing w:after="0" w:afterLines="0" w:line="360" w:lineRule="auto"/>
        <w:ind w:firstLine="480"/>
        <w:jc w:val="both"/>
        <w:rPr>
          <w:rFonts w:hint="eastAsia" w:ascii="宋体" w:hAnsi="宋体" w:eastAsia="宋体" w:cs="宋体"/>
        </w:rPr>
      </w:pPr>
      <w:bookmarkStart w:id="171" w:name="_Toc428001342"/>
      <w:bookmarkStart w:id="172" w:name="_Toc513404203"/>
      <w:bookmarkStart w:id="173" w:name="_Toc438622289"/>
      <w:bookmarkStart w:id="174" w:name="_Toc259886638"/>
      <w:bookmarkStart w:id="175" w:name="_Toc513401107"/>
      <w:bookmarkStart w:id="176" w:name="_Toc259803850"/>
      <w:bookmarkStart w:id="177" w:name="_Toc259803785"/>
      <w:bookmarkStart w:id="178" w:name="_Toc515110094"/>
      <w:r>
        <w:rPr>
          <w:rFonts w:hint="eastAsia" w:ascii="宋体" w:hAnsi="宋体" w:eastAsia="宋体" w:cs="宋体"/>
        </w:rPr>
        <w:t>（1）安装作业前，组织学习安装安全技术方案，对组织作业人员进行技术方案交底，每天对分项工作内容，技术要求，安全措施以及注意事项进行单独交底。</w:t>
      </w:r>
    </w:p>
    <w:p w14:paraId="03749662">
      <w:pPr>
        <w:spacing w:after="0" w:afterLines="0" w:line="360" w:lineRule="auto"/>
        <w:ind w:firstLine="480"/>
        <w:jc w:val="both"/>
        <w:rPr>
          <w:rFonts w:hint="eastAsia" w:ascii="宋体" w:hAnsi="宋体" w:eastAsia="宋体" w:cs="宋体"/>
        </w:rPr>
      </w:pPr>
      <w:r>
        <w:rPr>
          <w:rFonts w:hint="eastAsia" w:ascii="宋体" w:hAnsi="宋体" w:eastAsia="宋体" w:cs="宋体"/>
        </w:rPr>
        <w:t>（2）所有安装人员必须听从现场统一指挥。如发现信号不明或错误时应停止作业，待联络清楚后再进行作业。</w:t>
      </w:r>
    </w:p>
    <w:p w14:paraId="54B6D3A5">
      <w:pPr>
        <w:spacing w:after="0" w:afterLines="0" w:line="360" w:lineRule="auto"/>
        <w:ind w:firstLine="480"/>
        <w:jc w:val="both"/>
        <w:rPr>
          <w:rFonts w:hint="eastAsia" w:ascii="宋体" w:hAnsi="宋体" w:eastAsia="宋体" w:cs="宋体"/>
        </w:rPr>
      </w:pPr>
      <w:r>
        <w:rPr>
          <w:rFonts w:hint="eastAsia" w:ascii="宋体" w:hAnsi="宋体" w:eastAsia="宋体" w:cs="宋体"/>
        </w:rPr>
        <w:t>（3）作业人员经过培训考核合格，司机、吊装指挥、电工及检验人员要持证上岗，进入作业现场必须戴安全帽，高空作业时要系安全带，着防滑鞋，冬季、雨季应采取防滑措施。</w:t>
      </w:r>
    </w:p>
    <w:p w14:paraId="2F16B6B0">
      <w:pPr>
        <w:spacing w:after="0" w:afterLines="0" w:line="360" w:lineRule="auto"/>
        <w:ind w:firstLine="480"/>
        <w:jc w:val="both"/>
        <w:rPr>
          <w:rFonts w:hint="eastAsia" w:ascii="宋体" w:hAnsi="宋体" w:eastAsia="宋体" w:cs="宋体"/>
        </w:rPr>
      </w:pPr>
      <w:r>
        <w:rPr>
          <w:rFonts w:hint="eastAsia" w:ascii="宋体" w:hAnsi="宋体" w:eastAsia="宋体" w:cs="宋体"/>
        </w:rPr>
        <w:t>（4）塔吊的安装作业必须在白天进行，如需加快进度，可在具备良好照明条件的夜间做一些拼装工作，不得在大风、浓雾和雨雪天气进行。</w:t>
      </w:r>
    </w:p>
    <w:p w14:paraId="44B7017D">
      <w:pPr>
        <w:spacing w:after="0" w:afterLines="0" w:line="360" w:lineRule="auto"/>
        <w:ind w:firstLine="480"/>
        <w:jc w:val="both"/>
        <w:rPr>
          <w:rFonts w:hint="eastAsia" w:ascii="宋体" w:hAnsi="宋体" w:eastAsia="宋体" w:cs="宋体"/>
        </w:rPr>
      </w:pPr>
      <w:r>
        <w:rPr>
          <w:rFonts w:hint="eastAsia" w:ascii="宋体" w:hAnsi="宋体" w:eastAsia="宋体" w:cs="宋体"/>
        </w:rPr>
        <w:t xml:space="preserve">（5）顶部风速大于13m/s（6级风）时禁止作业。安装基本节段时遇六级风以上禁止作业。 </w:t>
      </w:r>
    </w:p>
    <w:p w14:paraId="2088239F">
      <w:pPr>
        <w:spacing w:after="0" w:afterLines="0" w:line="360" w:lineRule="auto"/>
        <w:ind w:firstLine="480"/>
        <w:jc w:val="both"/>
        <w:rPr>
          <w:rFonts w:hint="eastAsia" w:ascii="宋体" w:hAnsi="宋体" w:eastAsia="宋体" w:cs="宋体"/>
        </w:rPr>
      </w:pPr>
      <w:r>
        <w:rPr>
          <w:rFonts w:hint="eastAsia" w:ascii="宋体" w:hAnsi="宋体" w:eastAsia="宋体" w:cs="宋体"/>
        </w:rPr>
        <w:t>（6）套架上、下支座，前后臂等大件吊装作业前，安全生产负责人必须进行专项安全技术交底。每次起吊离地面20cm左右时必须停机，挂好揽风绳，检查安全平稳性，确认安全可靠方能继续起吊。</w:t>
      </w:r>
    </w:p>
    <w:p w14:paraId="145B1D9A">
      <w:pPr>
        <w:spacing w:after="0" w:afterLines="0" w:line="360" w:lineRule="auto"/>
        <w:ind w:firstLine="480"/>
        <w:jc w:val="both"/>
        <w:rPr>
          <w:rFonts w:hint="eastAsia" w:ascii="宋体" w:hAnsi="宋体" w:eastAsia="宋体" w:cs="宋体"/>
        </w:rPr>
      </w:pPr>
      <w:r>
        <w:rPr>
          <w:rFonts w:hint="eastAsia" w:ascii="宋体" w:hAnsi="宋体" w:eastAsia="宋体" w:cs="宋体"/>
        </w:rPr>
        <w:t>（7）安装作业区5米至10米范围内应设警戒线，应由施工现场派专人把守，非作业人员不得进入警戒线。专职安全员应随时检查各岗位人员的安全情况，夜间作业应有良好的照明。</w:t>
      </w:r>
    </w:p>
    <w:p w14:paraId="6358A4DD">
      <w:pPr>
        <w:spacing w:after="0" w:afterLines="0" w:line="360" w:lineRule="auto"/>
        <w:ind w:firstLine="480"/>
        <w:jc w:val="both"/>
        <w:rPr>
          <w:rFonts w:hint="eastAsia" w:ascii="宋体" w:hAnsi="宋体" w:eastAsia="宋体" w:cs="宋体"/>
        </w:rPr>
      </w:pPr>
      <w:r>
        <w:rPr>
          <w:rFonts w:hint="eastAsia" w:ascii="宋体" w:hAnsi="宋体" w:eastAsia="宋体" w:cs="宋体"/>
        </w:rPr>
        <w:t>（8）安装架设用的钢丝绳及其固定必须符合标准和满足安装上的要求。地锚等临时设施必须构筑牢固。</w:t>
      </w:r>
    </w:p>
    <w:p w14:paraId="761FD6D4">
      <w:pPr>
        <w:spacing w:after="0" w:afterLines="0" w:line="360" w:lineRule="auto"/>
        <w:ind w:firstLine="480"/>
        <w:jc w:val="both"/>
        <w:rPr>
          <w:rFonts w:hint="eastAsia" w:ascii="宋体" w:hAnsi="宋体" w:eastAsia="宋体" w:cs="宋体"/>
        </w:rPr>
      </w:pPr>
      <w:r>
        <w:rPr>
          <w:rFonts w:hint="eastAsia" w:ascii="宋体" w:hAnsi="宋体" w:eastAsia="宋体" w:cs="宋体"/>
        </w:rPr>
        <w:t>（9）在进行逐件组拼或部件安装之前，必须对部件各部分的完好情况、连接情况和钢丝绳穿绕情况、电气线路等进行全面检查。</w:t>
      </w:r>
    </w:p>
    <w:p w14:paraId="081E743F">
      <w:pPr>
        <w:spacing w:after="0" w:afterLines="0" w:line="360" w:lineRule="auto"/>
        <w:ind w:firstLine="480"/>
        <w:jc w:val="both"/>
        <w:rPr>
          <w:rFonts w:hint="eastAsia" w:ascii="宋体" w:hAnsi="宋体" w:eastAsia="宋体" w:cs="宋体"/>
        </w:rPr>
      </w:pPr>
      <w:r>
        <w:rPr>
          <w:rFonts w:hint="eastAsia" w:ascii="宋体" w:hAnsi="宋体" w:eastAsia="宋体" w:cs="宋体"/>
        </w:rPr>
        <w:t>（10）在架设过程中，结构和钢丝绳的受力以在立塔初始阶段最为不利，随着塔架起升则逐渐减小。</w:t>
      </w:r>
    </w:p>
    <w:p w14:paraId="28E12B75">
      <w:pPr>
        <w:spacing w:after="0" w:afterLines="0" w:line="360" w:lineRule="auto"/>
        <w:ind w:firstLine="480"/>
        <w:jc w:val="both"/>
        <w:rPr>
          <w:rFonts w:hint="eastAsia" w:ascii="宋体" w:hAnsi="宋体" w:eastAsia="宋体" w:cs="宋体"/>
        </w:rPr>
      </w:pPr>
      <w:r>
        <w:rPr>
          <w:rFonts w:hint="eastAsia" w:ascii="宋体" w:hAnsi="宋体" w:eastAsia="宋体" w:cs="宋体"/>
        </w:rPr>
        <w:t>（11）在拆装起重臂和平衡臂时，要始终保持起重机的平衡，严禁只拆装一个臂就中断作业。</w:t>
      </w:r>
    </w:p>
    <w:p w14:paraId="6EFEA6AF">
      <w:pPr>
        <w:spacing w:after="0" w:afterLines="0" w:line="360" w:lineRule="auto"/>
        <w:ind w:firstLine="480"/>
        <w:jc w:val="both"/>
        <w:rPr>
          <w:rFonts w:hint="eastAsia" w:ascii="宋体" w:hAnsi="宋体" w:eastAsia="宋体" w:cs="宋体"/>
        </w:rPr>
      </w:pPr>
      <w:r>
        <w:rPr>
          <w:rFonts w:hint="eastAsia" w:ascii="宋体" w:hAnsi="宋体" w:eastAsia="宋体" w:cs="宋体"/>
        </w:rPr>
        <w:t>（12）在安装作业过程中，如突然发生停电、机械故障、天气骤变等情况不能继续作业，或作业时间已到需要停休时，必须使起重机已安装的部位达到稳定状态并已锁固牢靠，所有结构件已连接牢固，塔顶的重心线处于塔底支承四边中心处，再经过检查确认妥善后，方可停止作业。</w:t>
      </w:r>
    </w:p>
    <w:p w14:paraId="0B4D5F4F">
      <w:pPr>
        <w:spacing w:after="0" w:afterLines="0" w:line="360" w:lineRule="auto"/>
        <w:ind w:firstLine="480"/>
        <w:jc w:val="both"/>
        <w:rPr>
          <w:rFonts w:hint="eastAsia" w:ascii="宋体" w:hAnsi="宋体" w:eastAsia="宋体" w:cs="宋体"/>
        </w:rPr>
      </w:pPr>
      <w:r>
        <w:rPr>
          <w:rFonts w:hint="eastAsia" w:ascii="宋体" w:hAnsi="宋体" w:eastAsia="宋体" w:cs="宋体"/>
        </w:rPr>
        <w:t>（13）安装时应按安装要求使用规定的螺栓、销轴等连接件，并要有可靠的防松或保护装置。螺栓紧固时应附合规定的预紧力。钢丝绳安装应严格执行《起重机械用钢丝绳检验和报废实用规范》。</w:t>
      </w:r>
    </w:p>
    <w:p w14:paraId="3BD7D7F9">
      <w:pPr>
        <w:spacing w:after="0" w:afterLines="0" w:line="360" w:lineRule="auto"/>
        <w:ind w:firstLine="480"/>
        <w:jc w:val="both"/>
        <w:rPr>
          <w:rFonts w:hint="eastAsia" w:ascii="宋体" w:hAnsi="宋体" w:eastAsia="宋体" w:cs="宋体"/>
        </w:rPr>
      </w:pPr>
      <w:r>
        <w:rPr>
          <w:rFonts w:hint="eastAsia" w:ascii="宋体" w:hAnsi="宋体" w:eastAsia="宋体" w:cs="宋体"/>
        </w:rPr>
        <w:t>（14）在安装起重机时，必须将大车行走限位装置和限位器碰块安装牢固可靠。并将各部位的栏杆、平台、护链、扶杆、护圈等安全防护装置装齐。</w:t>
      </w:r>
    </w:p>
    <w:p w14:paraId="71BE448F">
      <w:pPr>
        <w:spacing w:after="0" w:afterLines="0" w:line="360" w:lineRule="auto"/>
        <w:ind w:firstLine="480"/>
        <w:jc w:val="both"/>
        <w:rPr>
          <w:rFonts w:hint="eastAsia" w:ascii="宋体" w:hAnsi="宋体" w:eastAsia="宋体" w:cs="宋体"/>
        </w:rPr>
      </w:pPr>
      <w:r>
        <w:rPr>
          <w:rFonts w:hint="eastAsia" w:ascii="宋体" w:hAnsi="宋体" w:eastAsia="宋体" w:cs="宋体"/>
        </w:rPr>
        <w:t>（15）安装作业的程序，辅助设备、索具、工具以及地锚构筑等，均应遵照该机使用说明书中的规定或参照标准的安装工艺办理。</w:t>
      </w:r>
    </w:p>
    <w:p w14:paraId="4E576E4E">
      <w:pPr>
        <w:pStyle w:val="5"/>
        <w:bidi w:val="0"/>
        <w:rPr>
          <w:rFonts w:hint="eastAsia"/>
        </w:rPr>
      </w:pPr>
      <w:bookmarkStart w:id="179" w:name="_Toc528139718"/>
      <w:bookmarkStart w:id="180" w:name="_Toc515110100"/>
      <w:bookmarkStart w:id="181" w:name="_Toc513401113"/>
      <w:bookmarkStart w:id="182" w:name="_Toc438622295"/>
      <w:bookmarkStart w:id="183" w:name="_Toc428001348"/>
      <w:bookmarkStart w:id="184" w:name="_Toc21970"/>
      <w:bookmarkStart w:id="185" w:name="_Toc513404209"/>
      <w:r>
        <w:rPr>
          <w:rFonts w:hint="eastAsia"/>
        </w:rPr>
        <w:t>7.4.3顶升作业安全保证措施</w:t>
      </w:r>
      <w:bookmarkEnd w:id="179"/>
      <w:bookmarkEnd w:id="180"/>
      <w:bookmarkEnd w:id="181"/>
      <w:bookmarkEnd w:id="182"/>
      <w:bookmarkEnd w:id="183"/>
      <w:bookmarkEnd w:id="184"/>
      <w:bookmarkEnd w:id="185"/>
    </w:p>
    <w:p w14:paraId="5F420A8F">
      <w:pPr>
        <w:bidi w:val="0"/>
        <w:rPr>
          <w:rFonts w:hint="eastAsia"/>
        </w:rPr>
      </w:pPr>
      <w:r>
        <w:rPr>
          <w:rFonts w:hint="eastAsia"/>
        </w:rPr>
        <w:t>（1）顶升前必须检查液压顶升系统各部件连接情况，并调整好顶升套架导向滚轮与塔身的间隙，然后放松电缆，其长度略大于是顶升高度，并紧固好电缆卷筒。</w:t>
      </w:r>
    </w:p>
    <w:p w14:paraId="1D74B80A">
      <w:pPr>
        <w:bidi w:val="0"/>
        <w:rPr>
          <w:rFonts w:hint="eastAsia"/>
        </w:rPr>
      </w:pPr>
      <w:r>
        <w:rPr>
          <w:rFonts w:hint="eastAsia"/>
        </w:rPr>
        <w:t>（2）顶升作业，必须在专人指挥下操作，非作业人员不得登上顶升套架的操作台，操作室内只准一人操作，严格听从信号指挥。</w:t>
      </w:r>
    </w:p>
    <w:p w14:paraId="46111910">
      <w:pPr>
        <w:bidi w:val="0"/>
        <w:rPr>
          <w:rFonts w:hint="eastAsia"/>
        </w:rPr>
      </w:pPr>
      <w:r>
        <w:rPr>
          <w:rFonts w:hint="eastAsia"/>
        </w:rPr>
        <w:t>（3）顶升应在白天进行，特殊情况需在夜间作业时，应有充分的照明。</w:t>
      </w:r>
    </w:p>
    <w:p w14:paraId="7436C88C">
      <w:pPr>
        <w:bidi w:val="0"/>
        <w:rPr>
          <w:rFonts w:hint="eastAsia"/>
        </w:rPr>
      </w:pPr>
      <w:r>
        <w:rPr>
          <w:rFonts w:hint="eastAsia"/>
        </w:rPr>
        <w:t>（4）顶升时禁止旋转塔帽，顶升完毕后，检查各连接销、开口销，标准节连接螺栓是否拧紧。顶升时必须先将电缆线放松至适当长度，并进行固定。</w:t>
      </w:r>
    </w:p>
    <w:p w14:paraId="796A81EA">
      <w:pPr>
        <w:bidi w:val="0"/>
        <w:rPr>
          <w:rFonts w:hint="eastAsia"/>
        </w:rPr>
      </w:pPr>
      <w:r>
        <w:rPr>
          <w:rFonts w:hint="eastAsia"/>
        </w:rPr>
        <w:t>（5）风力在四级以上时，不得进行顶升作业。如在作业中风力突然加大时，必须立即停止作业，并使上下塔身连接牢固。</w:t>
      </w:r>
    </w:p>
    <w:p w14:paraId="684B5511">
      <w:pPr>
        <w:bidi w:val="0"/>
        <w:rPr>
          <w:rFonts w:hint="eastAsia"/>
        </w:rPr>
      </w:pPr>
      <w:r>
        <w:rPr>
          <w:rFonts w:hint="eastAsia"/>
        </w:rPr>
        <w:t>（6）顶升时，必须使起重臂和平衡处于平衡状态，并将回转部分制动住。严禁回转起重臂及其他作业。顶升中如发现故障，必须立即停止顶升进行检查，待故障排除后方可继续顶升。如短时间内不能排除故障，应将顶升套架降到原位，并及时将各连接螺栓紧固。</w:t>
      </w:r>
    </w:p>
    <w:p w14:paraId="13DE283B">
      <w:pPr>
        <w:bidi w:val="0"/>
        <w:rPr>
          <w:rFonts w:hint="eastAsia"/>
        </w:rPr>
      </w:pPr>
      <w:r>
        <w:rPr>
          <w:rFonts w:hint="eastAsia"/>
        </w:rPr>
        <w:t>（7）顶升时，必须确认顶升撑脚稳妥就位后，方可继续下一动作。</w:t>
      </w:r>
    </w:p>
    <w:p w14:paraId="4B8262CB">
      <w:pPr>
        <w:bidi w:val="0"/>
        <w:rPr>
          <w:rFonts w:hint="eastAsia"/>
        </w:rPr>
      </w:pPr>
      <w:r>
        <w:rPr>
          <w:rFonts w:hint="eastAsia"/>
        </w:rPr>
        <w:t>（8）顶升工作中，随时注意液压系统压力变化，如有异常，应及时检查调整。还要有专人有经纬仪测量塔身垂直度变化情况，并作好记录。</w:t>
      </w:r>
    </w:p>
    <w:p w14:paraId="776F2E8B">
      <w:pPr>
        <w:bidi w:val="0"/>
        <w:rPr>
          <w:rFonts w:hint="eastAsia"/>
        </w:rPr>
      </w:pPr>
      <w:r>
        <w:rPr>
          <w:rFonts w:hint="eastAsia"/>
        </w:rPr>
        <w:t>（9）顶升到规定高度后，必须先将塔身附着在建筑物上，方可继续顶升。</w:t>
      </w:r>
    </w:p>
    <w:p w14:paraId="09DAEF5D">
      <w:pPr>
        <w:bidi w:val="0"/>
        <w:rPr>
          <w:rFonts w:hint="eastAsia"/>
        </w:rPr>
      </w:pPr>
      <w:r>
        <w:rPr>
          <w:rFonts w:hint="eastAsia"/>
        </w:rPr>
        <w:t>（10）顶升完毕后，各连接螺栓销轴应按规定的预紧力紧固，顶升套架导向滚轮与塔身吻合良好，液压系统的左右操纵杆应在中间位置，并切断液压顶升机构的电源。</w:t>
      </w:r>
    </w:p>
    <w:bookmarkEnd w:id="171"/>
    <w:bookmarkEnd w:id="172"/>
    <w:bookmarkEnd w:id="173"/>
    <w:bookmarkEnd w:id="174"/>
    <w:bookmarkEnd w:id="175"/>
    <w:bookmarkEnd w:id="176"/>
    <w:bookmarkEnd w:id="177"/>
    <w:bookmarkEnd w:id="178"/>
    <w:p w14:paraId="030F50B2">
      <w:pPr>
        <w:pStyle w:val="5"/>
        <w:bidi w:val="0"/>
        <w:rPr>
          <w:rFonts w:hint="eastAsia"/>
        </w:rPr>
      </w:pPr>
      <w:bookmarkStart w:id="186" w:name="_Toc513404206"/>
      <w:bookmarkStart w:id="187" w:name="_Toc528139720"/>
      <w:bookmarkStart w:id="188" w:name="_Toc515110097"/>
      <w:bookmarkStart w:id="189" w:name="_Toc428001345"/>
      <w:bookmarkStart w:id="190" w:name="_Toc438622292"/>
      <w:bookmarkStart w:id="191" w:name="_Toc513401110"/>
      <w:bookmarkStart w:id="192" w:name="_Toc7557"/>
      <w:bookmarkStart w:id="193" w:name="_Toc428001343"/>
      <w:bookmarkStart w:id="194" w:name="_Toc515110095"/>
      <w:bookmarkStart w:id="195" w:name="_Toc259886639"/>
      <w:bookmarkStart w:id="196" w:name="_Toc513404204"/>
      <w:bookmarkStart w:id="197" w:name="_Toc513401108"/>
      <w:bookmarkStart w:id="198" w:name="_Toc438622290"/>
      <w:bookmarkStart w:id="199" w:name="_Toc259803851"/>
      <w:bookmarkStart w:id="200" w:name="_Toc259803786"/>
      <w:r>
        <w:rPr>
          <w:rFonts w:hint="eastAsia"/>
        </w:rPr>
        <w:t>7.4.</w:t>
      </w:r>
      <w:r>
        <w:rPr>
          <w:rFonts w:hint="eastAsia"/>
          <w:lang w:val="en-US" w:eastAsia="zh-CN"/>
        </w:rPr>
        <w:t>4</w:t>
      </w:r>
      <w:r>
        <w:rPr>
          <w:rFonts w:hint="eastAsia"/>
        </w:rPr>
        <w:t>塔机使用期间安全保证措施</w:t>
      </w:r>
      <w:bookmarkEnd w:id="186"/>
      <w:bookmarkEnd w:id="187"/>
      <w:bookmarkEnd w:id="188"/>
      <w:bookmarkEnd w:id="189"/>
      <w:bookmarkEnd w:id="190"/>
      <w:bookmarkEnd w:id="191"/>
      <w:bookmarkEnd w:id="192"/>
    </w:p>
    <w:p w14:paraId="08E0D095">
      <w:pPr>
        <w:bidi w:val="0"/>
        <w:rPr>
          <w:rFonts w:hint="eastAsia"/>
        </w:rPr>
      </w:pPr>
      <w:r>
        <w:rPr>
          <w:rFonts w:hint="eastAsia"/>
        </w:rPr>
        <w:t>（1）塔机交付使用时，应向使用单位进行“塔式起重机技术安全交底”，并由使用单位签字确认。</w:t>
      </w:r>
    </w:p>
    <w:p w14:paraId="6D59DC12">
      <w:pPr>
        <w:bidi w:val="0"/>
        <w:rPr>
          <w:rFonts w:hint="eastAsia"/>
        </w:rPr>
      </w:pPr>
      <w:r>
        <w:rPr>
          <w:rFonts w:hint="eastAsia"/>
        </w:rPr>
        <w:t>（2）起吊施工时，派专人指挥，起吊重力不得超过塔吊设计要求，吊物下方不得站人。</w:t>
      </w:r>
    </w:p>
    <w:p w14:paraId="45B7DE34">
      <w:pPr>
        <w:bidi w:val="0"/>
        <w:rPr>
          <w:rFonts w:hint="eastAsia"/>
        </w:rPr>
      </w:pPr>
      <w:r>
        <w:rPr>
          <w:rFonts w:hint="eastAsia"/>
        </w:rPr>
        <w:t>（3）起吊重物，应缓其缓放，待钢丝绳放松后才能脱钩，旋转吊机，时注意两塔吊的影响，旋转时平台下方要有专人负责。</w:t>
      </w:r>
    </w:p>
    <w:p w14:paraId="4385B175">
      <w:pPr>
        <w:bidi w:val="0"/>
        <w:rPr>
          <w:rFonts w:hint="eastAsia"/>
        </w:rPr>
      </w:pPr>
      <w:r>
        <w:rPr>
          <w:rFonts w:hint="eastAsia"/>
        </w:rPr>
        <w:t>（4）塔机使用期间，应该派相关专业技术人员，定期对塔机进行检查，看是否有螺丝松动，如有立即拧紧，必要时采取加固措施。</w:t>
      </w:r>
    </w:p>
    <w:p w14:paraId="42077A0B">
      <w:pPr>
        <w:bidi w:val="0"/>
        <w:rPr>
          <w:rFonts w:hint="eastAsia"/>
        </w:rPr>
      </w:pPr>
      <w:r>
        <w:rPr>
          <w:rFonts w:hint="eastAsia"/>
        </w:rPr>
        <w:t>（5）对长、大物件吊挂点应准确，保证吊物平衡，起吊前应先用稳固绳把两端栓牢，防止重物旋转、摆动和碰撞。</w:t>
      </w:r>
    </w:p>
    <w:p w14:paraId="622C6803">
      <w:pPr>
        <w:bidi w:val="0"/>
        <w:rPr>
          <w:rFonts w:hint="eastAsia"/>
        </w:rPr>
      </w:pPr>
      <w:r>
        <w:rPr>
          <w:rFonts w:hint="eastAsia"/>
        </w:rPr>
        <w:t>（6）定期对塔机的垂直度进行检查，超过说明书要求的范围必须进行整改，直到合格为止。每一个月检查一次。</w:t>
      </w:r>
    </w:p>
    <w:p w14:paraId="3F4F9877">
      <w:pPr>
        <w:pStyle w:val="5"/>
        <w:bidi w:val="0"/>
        <w:rPr>
          <w:rFonts w:hint="eastAsia"/>
        </w:rPr>
      </w:pPr>
      <w:bookmarkStart w:id="201" w:name="_Toc9189"/>
      <w:bookmarkStart w:id="202" w:name="_Toc528139721"/>
      <w:r>
        <w:rPr>
          <w:rFonts w:hint="eastAsia"/>
        </w:rPr>
        <w:t>7.4.</w:t>
      </w:r>
      <w:r>
        <w:rPr>
          <w:rFonts w:hint="eastAsia"/>
          <w:lang w:val="en-US" w:eastAsia="zh-CN"/>
        </w:rPr>
        <w:t>5</w:t>
      </w:r>
      <w:r>
        <w:rPr>
          <w:rFonts w:hint="eastAsia"/>
        </w:rPr>
        <w:t>塔机安全操作规程</w:t>
      </w:r>
      <w:bookmarkEnd w:id="193"/>
      <w:bookmarkEnd w:id="194"/>
      <w:bookmarkEnd w:id="195"/>
      <w:bookmarkEnd w:id="196"/>
      <w:bookmarkEnd w:id="197"/>
      <w:bookmarkEnd w:id="198"/>
      <w:bookmarkEnd w:id="199"/>
      <w:bookmarkEnd w:id="200"/>
      <w:bookmarkEnd w:id="201"/>
      <w:bookmarkEnd w:id="202"/>
    </w:p>
    <w:p w14:paraId="66D6F989">
      <w:pPr>
        <w:bidi w:val="0"/>
        <w:rPr>
          <w:rFonts w:hint="eastAsia"/>
        </w:rPr>
      </w:pPr>
      <w:r>
        <w:rPr>
          <w:rFonts w:hint="eastAsia"/>
        </w:rPr>
        <w:t>（1）塔机应定人、定机、专人负责操作，管理和维修。</w:t>
      </w:r>
    </w:p>
    <w:p w14:paraId="4242FDE7">
      <w:pPr>
        <w:bidi w:val="0"/>
        <w:rPr>
          <w:rFonts w:hint="eastAsia"/>
        </w:rPr>
      </w:pPr>
      <w:r>
        <w:rPr>
          <w:rFonts w:hint="eastAsia"/>
        </w:rPr>
        <w:t>（2）操作人员必须身体健康，经过培训合格并取得操作证书。</w:t>
      </w:r>
    </w:p>
    <w:p w14:paraId="7CD9186D">
      <w:pPr>
        <w:bidi w:val="0"/>
        <w:rPr>
          <w:rFonts w:hint="eastAsia"/>
        </w:rPr>
      </w:pPr>
      <w:r>
        <w:rPr>
          <w:rFonts w:hint="eastAsia"/>
        </w:rPr>
        <w:t>（3）严禁操作人员、指挥人员和拆装人员酒后作业。</w:t>
      </w:r>
    </w:p>
    <w:p w14:paraId="06DE54B8">
      <w:pPr>
        <w:bidi w:val="0"/>
        <w:rPr>
          <w:rFonts w:hint="eastAsia"/>
        </w:rPr>
      </w:pPr>
      <w:r>
        <w:rPr>
          <w:rFonts w:hint="eastAsia"/>
        </w:rPr>
        <w:t>（4）操作塔机前，应熟读使用说明书，严守操作使用规程。</w:t>
      </w:r>
    </w:p>
    <w:p w14:paraId="14B804CE">
      <w:pPr>
        <w:bidi w:val="0"/>
        <w:rPr>
          <w:rFonts w:hint="eastAsia"/>
        </w:rPr>
      </w:pPr>
      <w:r>
        <w:rPr>
          <w:rFonts w:hint="eastAsia"/>
        </w:rPr>
        <w:t>（5）认真做好塔机作业前安全检查和运转工作，做好塔机运行记录。</w:t>
      </w:r>
    </w:p>
    <w:p w14:paraId="20382411">
      <w:pPr>
        <w:bidi w:val="0"/>
        <w:rPr>
          <w:rFonts w:hint="eastAsia"/>
        </w:rPr>
      </w:pPr>
      <w:r>
        <w:rPr>
          <w:rFonts w:hint="eastAsia"/>
        </w:rPr>
        <w:t>（6）操作者只服从一名指挥人员的指挥信号，凡违章指挥不得操作。</w:t>
      </w:r>
    </w:p>
    <w:p w14:paraId="532EA0E8">
      <w:pPr>
        <w:bidi w:val="0"/>
        <w:rPr>
          <w:rFonts w:hint="eastAsia"/>
        </w:rPr>
      </w:pPr>
      <w:r>
        <w:rPr>
          <w:rFonts w:hint="eastAsia"/>
        </w:rPr>
        <w:t>（7）塔机启动前必须鸣笛，工作时严禁塔吊平台、扶梯站人和闲杂人员进入工作范围。</w:t>
      </w:r>
    </w:p>
    <w:p w14:paraId="7419E952">
      <w:pPr>
        <w:bidi w:val="0"/>
        <w:rPr>
          <w:rFonts w:hint="eastAsia"/>
        </w:rPr>
      </w:pPr>
      <w:r>
        <w:rPr>
          <w:rFonts w:hint="eastAsia"/>
        </w:rPr>
        <w:t>（8）塔机不得斜拉、斜吊重物，严禁用拔桩作业和超负荷工作。</w:t>
      </w:r>
    </w:p>
    <w:p w14:paraId="41811AA3">
      <w:pPr>
        <w:bidi w:val="0"/>
        <w:rPr>
          <w:rFonts w:hint="eastAsia"/>
        </w:rPr>
      </w:pPr>
      <w:r>
        <w:rPr>
          <w:rFonts w:hint="eastAsia"/>
        </w:rPr>
        <w:t>（9）严禁变动各安全装置的设定值，塔吊不允许在拆除非安全状态下运行。</w:t>
      </w:r>
    </w:p>
    <w:p w14:paraId="629BBEF3">
      <w:pPr>
        <w:bidi w:val="0"/>
        <w:rPr>
          <w:rFonts w:hint="eastAsia"/>
        </w:rPr>
      </w:pPr>
      <w:r>
        <w:rPr>
          <w:rFonts w:hint="eastAsia"/>
        </w:rPr>
        <w:t>（10）塔机各润滑部位必须按说明书规定定期加油和换油。</w:t>
      </w:r>
    </w:p>
    <w:p w14:paraId="2909CCA2">
      <w:pPr>
        <w:bidi w:val="0"/>
        <w:rPr>
          <w:rFonts w:hint="eastAsia"/>
        </w:rPr>
      </w:pPr>
      <w:r>
        <w:rPr>
          <w:rFonts w:hint="eastAsia"/>
        </w:rPr>
        <w:t>（11）塔机不得吊运人员，不得吊装易燃易爆和未垫好带菱角的物品。</w:t>
      </w:r>
    </w:p>
    <w:p w14:paraId="005F43EF">
      <w:pPr>
        <w:bidi w:val="0"/>
        <w:rPr>
          <w:rFonts w:hint="eastAsia"/>
        </w:rPr>
      </w:pPr>
      <w:r>
        <w:rPr>
          <w:rFonts w:hint="eastAsia"/>
        </w:rPr>
        <w:t>（12）塔机机工作中如有异常现象或故障发生必须停机检修，严禁带病作业。</w:t>
      </w:r>
    </w:p>
    <w:p w14:paraId="458C70F3">
      <w:pPr>
        <w:bidi w:val="0"/>
        <w:rPr>
          <w:rFonts w:hint="eastAsia"/>
        </w:rPr>
      </w:pPr>
      <w:r>
        <w:rPr>
          <w:rFonts w:hint="eastAsia"/>
        </w:rPr>
        <w:t>（13）塔机作业时如遇雷电、强风（≥20m/s）暴风雨等恶劣天气应停止工作，如预报有十级以上大风要用缆风绳加固。</w:t>
      </w:r>
    </w:p>
    <w:p w14:paraId="5A79B067">
      <w:pPr>
        <w:bidi w:val="0"/>
        <w:rPr>
          <w:rFonts w:hint="eastAsia"/>
        </w:rPr>
      </w:pPr>
      <w:r>
        <w:rPr>
          <w:rFonts w:hint="eastAsia"/>
        </w:rPr>
        <w:t>（14）塔机停止工作后，应保证起重臂随风自由转动，夜间要打开障碍灯。</w:t>
      </w:r>
    </w:p>
    <w:p w14:paraId="3D73FF2B">
      <w:pPr>
        <w:bidi w:val="0"/>
        <w:rPr>
          <w:rFonts w:hint="eastAsia"/>
        </w:rPr>
      </w:pPr>
      <w:r>
        <w:rPr>
          <w:rFonts w:hint="eastAsia"/>
        </w:rPr>
        <w:t>（15）塔机停机和停电后都应把所有的受枥扳到零位上。</w:t>
      </w:r>
    </w:p>
    <w:p w14:paraId="410C93B1">
      <w:pPr>
        <w:bidi w:val="0"/>
        <w:rPr>
          <w:rFonts w:hint="eastAsia"/>
        </w:rPr>
      </w:pPr>
      <w:r>
        <w:rPr>
          <w:rFonts w:hint="eastAsia"/>
        </w:rPr>
        <w:t>（16）起重吊装十不吊:</w:t>
      </w:r>
    </w:p>
    <w:p w14:paraId="1BD27B1E">
      <w:pPr>
        <w:bidi w:val="0"/>
        <w:rPr>
          <w:rFonts w:hint="eastAsia"/>
        </w:rPr>
      </w:pPr>
      <w:r>
        <w:rPr>
          <w:rFonts w:hint="eastAsia"/>
        </w:rPr>
        <w:t>①超负荷不吊；</w:t>
      </w:r>
    </w:p>
    <w:p w14:paraId="2BAB8327">
      <w:pPr>
        <w:bidi w:val="0"/>
        <w:rPr>
          <w:rFonts w:hint="eastAsia"/>
        </w:rPr>
      </w:pPr>
      <w:r>
        <w:rPr>
          <w:rFonts w:hint="eastAsia"/>
        </w:rPr>
        <w:t>②歪拉斜吊不吊；</w:t>
      </w:r>
    </w:p>
    <w:p w14:paraId="33C8C309">
      <w:pPr>
        <w:bidi w:val="0"/>
        <w:rPr>
          <w:rFonts w:hint="eastAsia"/>
        </w:rPr>
      </w:pPr>
      <w:r>
        <w:rPr>
          <w:rFonts w:hint="eastAsia"/>
        </w:rPr>
        <w:t>③指挥信号不名不吊；</w:t>
      </w:r>
    </w:p>
    <w:p w14:paraId="3232A240">
      <w:pPr>
        <w:bidi w:val="0"/>
        <w:rPr>
          <w:rFonts w:hint="eastAsia"/>
        </w:rPr>
      </w:pPr>
      <w:r>
        <w:rPr>
          <w:rFonts w:hint="eastAsia"/>
        </w:rPr>
        <w:t>④安全装置失灵不吊；</w:t>
      </w:r>
    </w:p>
    <w:p w14:paraId="1256DFF5">
      <w:pPr>
        <w:bidi w:val="0"/>
        <w:rPr>
          <w:rFonts w:hint="eastAsia"/>
        </w:rPr>
      </w:pPr>
      <w:r>
        <w:rPr>
          <w:rFonts w:hint="eastAsia"/>
        </w:rPr>
        <w:t>⑤重物超过人头不吊；</w:t>
      </w:r>
    </w:p>
    <w:p w14:paraId="5A41E07C">
      <w:pPr>
        <w:bidi w:val="0"/>
        <w:rPr>
          <w:rFonts w:hint="eastAsia"/>
        </w:rPr>
      </w:pPr>
      <w:r>
        <w:rPr>
          <w:rFonts w:hint="eastAsia"/>
        </w:rPr>
        <w:t>⑥光线阴暗看不清不吊；</w:t>
      </w:r>
    </w:p>
    <w:p w14:paraId="45D2EF60">
      <w:pPr>
        <w:bidi w:val="0"/>
        <w:rPr>
          <w:rFonts w:hint="eastAsia"/>
        </w:rPr>
      </w:pPr>
      <w:r>
        <w:rPr>
          <w:rFonts w:hint="eastAsia"/>
        </w:rPr>
        <w:t>⑦埋在地下的物件不吊；</w:t>
      </w:r>
    </w:p>
    <w:p w14:paraId="72634FFD">
      <w:pPr>
        <w:bidi w:val="0"/>
        <w:rPr>
          <w:rFonts w:hint="eastAsia"/>
        </w:rPr>
      </w:pPr>
      <w:r>
        <w:rPr>
          <w:rFonts w:hint="eastAsia"/>
        </w:rPr>
        <w:t>⑧吊物上站人不吊；</w:t>
      </w:r>
    </w:p>
    <w:p w14:paraId="1B53C992">
      <w:pPr>
        <w:bidi w:val="0"/>
        <w:rPr>
          <w:rFonts w:hint="eastAsia"/>
        </w:rPr>
      </w:pPr>
      <w:r>
        <w:rPr>
          <w:rFonts w:hint="eastAsia"/>
        </w:rPr>
        <w:t>⑨捆绑不牢不稳不吊；</w:t>
      </w:r>
    </w:p>
    <w:p w14:paraId="6B7A6538">
      <w:pPr>
        <w:bidi w:val="0"/>
        <w:rPr>
          <w:rFonts w:hint="eastAsia"/>
        </w:rPr>
      </w:pPr>
      <w:r>
        <w:rPr>
          <w:rFonts w:hint="eastAsia"/>
        </w:rPr>
        <w:t>⑩重物边沿锋利无保护措施不吊。</w:t>
      </w:r>
      <w:bookmarkStart w:id="203" w:name="_Toc528139722"/>
      <w:bookmarkStart w:id="204" w:name="_Toc308895549"/>
      <w:bookmarkStart w:id="205" w:name="_Toc325207356"/>
      <w:bookmarkStart w:id="206" w:name="_Toc233987238"/>
      <w:bookmarkStart w:id="207" w:name="_Toc308895804"/>
      <w:bookmarkStart w:id="208" w:name="_Toc513404211"/>
      <w:bookmarkStart w:id="209" w:name="_Toc325207684"/>
      <w:bookmarkStart w:id="210" w:name="_Toc308850579"/>
      <w:bookmarkStart w:id="211" w:name="_Toc438622297"/>
      <w:bookmarkStart w:id="212" w:name="_Toc428001350"/>
      <w:bookmarkStart w:id="213" w:name="_Toc515110102"/>
      <w:bookmarkStart w:id="214" w:name="_Toc329869676"/>
      <w:bookmarkStart w:id="215" w:name="_Toc312173073"/>
      <w:bookmarkStart w:id="216" w:name="_Toc513401115"/>
    </w:p>
    <w:p w14:paraId="77778E17">
      <w:pPr>
        <w:pStyle w:val="5"/>
        <w:bidi w:val="0"/>
        <w:rPr>
          <w:rFonts w:hint="eastAsia"/>
        </w:rPr>
      </w:pPr>
      <w:bookmarkStart w:id="217" w:name="_Toc6814"/>
      <w:r>
        <w:rPr>
          <w:rFonts w:hint="eastAsia"/>
        </w:rPr>
        <w:t>7.4.</w:t>
      </w:r>
      <w:r>
        <w:rPr>
          <w:rFonts w:hint="eastAsia"/>
          <w:lang w:val="en-US" w:eastAsia="zh-CN"/>
        </w:rPr>
        <w:t>6</w:t>
      </w:r>
      <w:r>
        <w:rPr>
          <w:rFonts w:hint="eastAsia"/>
        </w:rPr>
        <w:t>防风安全保证措施</w:t>
      </w:r>
      <w:bookmarkEnd w:id="203"/>
      <w:bookmarkEnd w:id="217"/>
    </w:p>
    <w:p w14:paraId="553F8F2F">
      <w:pPr>
        <w:bidi w:val="0"/>
        <w:rPr>
          <w:rFonts w:hint="eastAsia"/>
        </w:rPr>
      </w:pPr>
      <w:r>
        <w:rPr>
          <w:rFonts w:hint="eastAsia"/>
        </w:rPr>
        <w:t>（1）</w:t>
      </w:r>
      <w:r>
        <w:rPr>
          <w:rFonts w:hint="eastAsia"/>
          <w:lang w:eastAsia="zh-CN"/>
        </w:rPr>
        <w:t>公司</w:t>
      </w:r>
      <w:r>
        <w:rPr>
          <w:rFonts w:hint="eastAsia"/>
        </w:rPr>
        <w:t>工程建设地处</w:t>
      </w:r>
      <w:r>
        <w:rPr>
          <w:rFonts w:hint="eastAsia"/>
          <w:lang w:eastAsia="zh-CN"/>
        </w:rPr>
        <w:t>大风</w:t>
      </w:r>
      <w:r>
        <w:rPr>
          <w:rFonts w:hint="eastAsia"/>
        </w:rPr>
        <w:t>多发区域，几乎每年都有强热带风暴侵袭，有时风载将会超出规范的设计范围，威胁到塔机的安全。为避免自然灾害造成的损失，应根据实际情况制定出防强台风的措施，具体如下：</w:t>
      </w:r>
    </w:p>
    <w:p w14:paraId="1495D806">
      <w:pPr>
        <w:bidi w:val="0"/>
        <w:rPr>
          <w:rFonts w:hint="eastAsia"/>
        </w:rPr>
      </w:pPr>
      <w:r>
        <w:rPr>
          <w:rFonts w:hint="eastAsia"/>
        </w:rPr>
        <w:t>（2）塔机用户应密切注意天气、风力动向，当预报风力大于6级小于11级时，塔机应停止工作，检查塔身、附墙杆、机构、广告牌、电气箱、灯具等是否连接牢固，有问题应及时处理，吊钩升到最高处，吊臂应能随风转动，回转范围内不得有障碍。</w:t>
      </w:r>
    </w:p>
    <w:p w14:paraId="2688D32D">
      <w:pPr>
        <w:bidi w:val="0"/>
        <w:rPr>
          <w:rFonts w:hint="eastAsia"/>
        </w:rPr>
      </w:pPr>
      <w:r>
        <w:rPr>
          <w:rFonts w:hint="eastAsia"/>
        </w:rPr>
        <w:t>（3）当预报风力大于11级时，独立高度的塔机应至少降下1/3的高度，或者在塔身上部安装一道附墙，并适当降低高度到不碰建筑物顶部为止，让塔身尽量降低，当塔机独立固定高度满足缆风绳方案时，可以使用缆风绳防护。塔机在独立高度时候，应将回转机构拆下。</w:t>
      </w:r>
    </w:p>
    <w:p w14:paraId="7CB40DC9">
      <w:pPr>
        <w:bidi w:val="0"/>
        <w:rPr>
          <w:rFonts w:hint="eastAsia"/>
        </w:rPr>
      </w:pPr>
      <w:r>
        <w:rPr>
          <w:rFonts w:hint="eastAsia"/>
        </w:rPr>
        <w:t>（4）对于超过独立高度并安装有附着的塔机，且四周空旷，风力不受阻碍的高层建筑塔机用户，当预报风力大于11级时，应将塔机降低至建筑物高度以下，并将吊臂和平衡臂与建筑物主体结构连接牢固。并且平时就应准备好固定塔机的工具，以免临时没办法加固。</w:t>
      </w:r>
    </w:p>
    <w:p w14:paraId="356AC7A8">
      <w:pPr>
        <w:bidi w:val="0"/>
        <w:rPr>
          <w:rFonts w:hint="eastAsia"/>
        </w:rPr>
      </w:pPr>
      <w:r>
        <w:rPr>
          <w:rFonts w:hint="eastAsia"/>
        </w:rPr>
        <w:t>（5）严格按照塔机使用说明书安装和使用，塔身高度不得超过说明书规定的范围。</w:t>
      </w:r>
    </w:p>
    <w:p w14:paraId="07B796BF">
      <w:pPr>
        <w:bidi w:val="0"/>
        <w:rPr>
          <w:rFonts w:hint="eastAsia"/>
        </w:rPr>
      </w:pPr>
      <w:r>
        <w:rPr>
          <w:rFonts w:hint="eastAsia"/>
        </w:rPr>
        <w:t>（6）严格按设计要求制作塔机基础，不得心存侥幸、降低要求。</w:t>
      </w:r>
    </w:p>
    <w:p w14:paraId="2F2F5ADB">
      <w:pPr>
        <w:bidi w:val="0"/>
        <w:rPr>
          <w:rFonts w:hint="eastAsia"/>
        </w:rPr>
      </w:pPr>
      <w:r>
        <w:rPr>
          <w:rFonts w:hint="eastAsia"/>
        </w:rPr>
        <w:t>（7）因为</w:t>
      </w:r>
      <w:r>
        <w:rPr>
          <w:rFonts w:hint="eastAsia"/>
          <w:lang w:eastAsia="zh-CN"/>
        </w:rPr>
        <w:t>大</w:t>
      </w:r>
      <w:r>
        <w:rPr>
          <w:rFonts w:hint="eastAsia"/>
        </w:rPr>
        <w:t>风来袭时的方向还是有规律可循，塔机安装时尽量安装在建筑物能挡风的背风面。</w:t>
      </w:r>
    </w:p>
    <w:p w14:paraId="5150BEBB">
      <w:pPr>
        <w:pStyle w:val="5"/>
        <w:bidi w:val="0"/>
        <w:rPr>
          <w:rFonts w:hint="eastAsia"/>
        </w:rPr>
      </w:pPr>
      <w:bookmarkStart w:id="218" w:name="_Toc528139723"/>
      <w:bookmarkStart w:id="219" w:name="_Toc4245"/>
      <w:bookmarkStart w:id="220" w:name="_Hlk527404045"/>
      <w:r>
        <w:rPr>
          <w:rFonts w:hint="eastAsia"/>
        </w:rPr>
        <w:t>7.4.</w:t>
      </w:r>
      <w:r>
        <w:rPr>
          <w:rFonts w:hint="eastAsia"/>
          <w:lang w:val="en-US" w:eastAsia="zh-CN"/>
        </w:rPr>
        <w:t>7</w:t>
      </w:r>
      <w:r>
        <w:rPr>
          <w:rFonts w:hint="eastAsia"/>
        </w:rPr>
        <w:t>防雷安全保证措施</w:t>
      </w:r>
      <w:bookmarkEnd w:id="218"/>
      <w:bookmarkEnd w:id="219"/>
    </w:p>
    <w:bookmarkEnd w:id="220"/>
    <w:p w14:paraId="2EFAE73E">
      <w:pPr>
        <w:bidi w:val="0"/>
        <w:rPr>
          <w:rFonts w:hint="eastAsia"/>
        </w:rPr>
      </w:pPr>
      <w:r>
        <w:rPr>
          <w:rFonts w:hint="eastAsia"/>
        </w:rPr>
        <w:t>（1）塔机装有防雷装置。防雷接地电阻实际检测一般不超过10Ω，特殊情况遵从安全设计值，允许与其他接地装置共用时，应满足其中最低的要求。</w:t>
      </w:r>
    </w:p>
    <w:p w14:paraId="4FBEBCE6">
      <w:pPr>
        <w:bidi w:val="0"/>
        <w:rPr>
          <w:rFonts w:hint="eastAsia"/>
        </w:rPr>
      </w:pPr>
      <w:r>
        <w:rPr>
          <w:rFonts w:hint="eastAsia"/>
        </w:rPr>
        <w:t>（2）避雷针（带）与引下线的接地装置连接应采用焊接。整体防雷装置应保证完好的电气通路和连接的可靠性（包括跨接线和过度伸缩缝的处理等）。  </w:t>
      </w:r>
    </w:p>
    <w:p w14:paraId="4B026EFA">
      <w:pPr>
        <w:bidi w:val="0"/>
        <w:rPr>
          <w:rFonts w:hint="eastAsia"/>
        </w:rPr>
      </w:pPr>
      <w:r>
        <w:rPr>
          <w:rFonts w:hint="eastAsia"/>
        </w:rPr>
        <w:t>（3）对防雷装置应当作为电力设备一样进行预防性试验与检查、检测，保持其良好的保护性能。</w:t>
      </w:r>
    </w:p>
    <w:p w14:paraId="62EEC098">
      <w:pPr>
        <w:bidi w:val="0"/>
        <w:rPr>
          <w:rFonts w:hint="eastAsia"/>
        </w:rPr>
      </w:pPr>
      <w:r>
        <w:rPr>
          <w:rFonts w:hint="eastAsia"/>
        </w:rPr>
        <w:t>（4）对各种防雷装置应按规范标准要求检查整体和器件情况，例如，连接点有无裂纹，引下线上有无闪络或烧损痕迹，腐蚀锈蚀以及与相邻异体的安全距离情况等。</w:t>
      </w:r>
    </w:p>
    <w:bookmarkEnd w:id="204"/>
    <w:bookmarkEnd w:id="205"/>
    <w:bookmarkEnd w:id="206"/>
    <w:bookmarkEnd w:id="207"/>
    <w:bookmarkEnd w:id="208"/>
    <w:bookmarkEnd w:id="209"/>
    <w:bookmarkEnd w:id="210"/>
    <w:bookmarkEnd w:id="211"/>
    <w:bookmarkEnd w:id="212"/>
    <w:bookmarkEnd w:id="213"/>
    <w:bookmarkEnd w:id="214"/>
    <w:bookmarkEnd w:id="215"/>
    <w:bookmarkEnd w:id="216"/>
    <w:p w14:paraId="4BB1879E">
      <w:pPr>
        <w:pStyle w:val="4"/>
        <w:bidi w:val="0"/>
        <w:rPr>
          <w:rFonts w:hint="eastAsia"/>
        </w:rPr>
      </w:pPr>
      <w:bookmarkStart w:id="221" w:name="_Toc31035"/>
      <w:bookmarkStart w:id="222" w:name="_Toc18350"/>
      <w:bookmarkStart w:id="223" w:name="_Toc15948"/>
      <w:bookmarkStart w:id="224" w:name="_Toc496603061"/>
      <w:r>
        <w:rPr>
          <w:rFonts w:hint="eastAsia"/>
        </w:rPr>
        <w:t>7.5安全应急预案</w:t>
      </w:r>
      <w:bookmarkEnd w:id="221"/>
      <w:bookmarkEnd w:id="222"/>
      <w:bookmarkEnd w:id="223"/>
    </w:p>
    <w:p w14:paraId="4C41B91E">
      <w:pPr>
        <w:bidi w:val="0"/>
        <w:rPr>
          <w:rFonts w:hint="eastAsia"/>
        </w:rPr>
      </w:pPr>
      <w:r>
        <w:rPr>
          <w:rFonts w:hint="eastAsia"/>
        </w:rPr>
        <w:t>为预防塔机在现场安装和使用过程中，突然发生高空坠落事故、物体打击、龙门吊整体倾倒等重大事故，减少财产损失和人员伤亡。根据《中华人民共和国安全生产法》、《建设工程安全生产管理条例》等相关法律、法规、条例、规范、标准，结合</w:t>
      </w:r>
      <w:r>
        <w:rPr>
          <w:rFonts w:hint="eastAsia"/>
          <w:lang w:eastAsia="zh-CN"/>
        </w:rPr>
        <w:t>公司</w:t>
      </w:r>
      <w:r>
        <w:rPr>
          <w:rFonts w:hint="eastAsia"/>
        </w:rPr>
        <w:t>实际编制本应急预案。</w:t>
      </w:r>
    </w:p>
    <w:p w14:paraId="10974EFC">
      <w:pPr>
        <w:bidi w:val="0"/>
        <w:rPr>
          <w:rFonts w:hint="eastAsia"/>
        </w:rPr>
      </w:pPr>
      <w:r>
        <w:rPr>
          <w:rFonts w:hint="eastAsia"/>
        </w:rPr>
        <w:t>通过编制本预案，建立重大事故应急救援体系。当事故或灾害不可能完全避免时，采取及时有效的应急救援行动，尽可减少财产损失和人员伤亡。</w:t>
      </w:r>
    </w:p>
    <w:p w14:paraId="787D2C81">
      <w:pPr>
        <w:pStyle w:val="5"/>
        <w:bidi w:val="0"/>
        <w:rPr>
          <w:rFonts w:hint="eastAsia"/>
        </w:rPr>
      </w:pPr>
      <w:bookmarkStart w:id="225" w:name="_Toc528139725"/>
      <w:bookmarkStart w:id="226" w:name="_Toc5335"/>
      <w:r>
        <w:rPr>
          <w:rFonts w:hint="eastAsia"/>
        </w:rPr>
        <w:t>7.5.1组织机构及职责分工</w:t>
      </w:r>
      <w:bookmarkEnd w:id="225"/>
      <w:bookmarkEnd w:id="226"/>
    </w:p>
    <w:p w14:paraId="47FFB0EC">
      <w:pPr>
        <w:bidi w:val="0"/>
        <w:rPr>
          <w:rFonts w:hint="eastAsia"/>
        </w:rPr>
      </w:pPr>
      <w:r>
        <w:rPr>
          <w:rFonts w:hint="eastAsia"/>
          <w:lang w:eastAsia="zh-CN"/>
        </w:rPr>
        <w:t>公司</w:t>
      </w:r>
      <w:r>
        <w:rPr>
          <w:rFonts w:hint="eastAsia"/>
        </w:rPr>
        <w:t>经理部成立以</w:t>
      </w:r>
      <w:r>
        <w:rPr>
          <w:rFonts w:hint="eastAsia"/>
          <w:lang w:eastAsia="zh-CN"/>
        </w:rPr>
        <w:t>公司</w:t>
      </w:r>
      <w:r>
        <w:rPr>
          <w:rFonts w:hint="eastAsia"/>
        </w:rPr>
        <w:t>经理为总指挥的应急指挥部。</w:t>
      </w:r>
      <w:r>
        <w:rPr>
          <w:rFonts w:hint="eastAsia"/>
          <w:lang w:val="en-US"/>
        </w:rPr>
        <w:t>办公室设立在安全环保部。</w:t>
      </w:r>
      <w:r>
        <w:rPr>
          <w:rFonts w:hint="eastAsia"/>
        </w:rPr>
        <w:t>应急组织机构、人员分工如图</w:t>
      </w:r>
      <w:r>
        <w:rPr>
          <w:rFonts w:hint="eastAsia"/>
          <w:lang w:val="en-US"/>
        </w:rPr>
        <w:t>7.5</w:t>
      </w:r>
      <w:r>
        <w:rPr>
          <w:rFonts w:hint="eastAsia"/>
        </w:rPr>
        <w:t>-1所示：</w:t>
      </w:r>
    </w:p>
    <w:bookmarkEnd w:id="224"/>
    <w:p w14:paraId="745E3B47">
      <w:pPr>
        <w:spacing w:after="0" w:afterLines="0" w:line="240" w:lineRule="auto"/>
        <w:jc w:val="center"/>
        <w:rPr>
          <w:rFonts w:hint="eastAsia"/>
          <w:lang w:val="en-US" w:eastAsia="zh-CN"/>
        </w:rPr>
      </w:pPr>
      <w:bookmarkStart w:id="227" w:name="_Toc515971590"/>
      <w:bookmarkStart w:id="228" w:name="_Toc528139736"/>
      <w:bookmarkStart w:id="229" w:name="_Hlk518243577"/>
      <w:r>
        <w:rPr>
          <w:rFonts w:hint="eastAsia"/>
          <w:lang w:val="en-US" w:eastAsia="zh-CN"/>
        </w:rPr>
        <w:t>表7.5-1 公司应急救援领导小组</w:t>
      </w:r>
    </w:p>
    <w:tbl>
      <w:tblPr>
        <w:tblStyle w:val="35"/>
        <w:tblW w:w="377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5"/>
        <w:gridCol w:w="2951"/>
        <w:gridCol w:w="2951"/>
      </w:tblGrid>
      <w:tr w14:paraId="6B59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14F7828E">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姓名</w:t>
            </w:r>
          </w:p>
        </w:tc>
        <w:tc>
          <w:tcPr>
            <w:tcW w:w="1999" w:type="pct"/>
            <w:shd w:val="clear" w:color="auto" w:fill="auto"/>
            <w:vAlign w:val="center"/>
          </w:tcPr>
          <w:p w14:paraId="23D8E3E9">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领导小组职务</w:t>
            </w:r>
          </w:p>
        </w:tc>
        <w:tc>
          <w:tcPr>
            <w:tcW w:w="1999" w:type="pct"/>
            <w:shd w:val="clear" w:color="auto" w:fill="auto"/>
            <w:vAlign w:val="center"/>
          </w:tcPr>
          <w:p w14:paraId="79BC8CD2">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公司职务</w:t>
            </w:r>
          </w:p>
        </w:tc>
      </w:tr>
      <w:tr w14:paraId="0EDF6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427942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刘慧敏</w:t>
            </w:r>
          </w:p>
        </w:tc>
        <w:tc>
          <w:tcPr>
            <w:tcW w:w="1999" w:type="pct"/>
            <w:shd w:val="clear" w:color="auto" w:fill="auto"/>
            <w:vAlign w:val="center"/>
          </w:tcPr>
          <w:p w14:paraId="5D32E33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组长</w:t>
            </w:r>
          </w:p>
        </w:tc>
        <w:tc>
          <w:tcPr>
            <w:tcW w:w="1999" w:type="pct"/>
            <w:shd w:val="clear" w:color="auto" w:fill="auto"/>
            <w:vAlign w:val="center"/>
          </w:tcPr>
          <w:p w14:paraId="3702B85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技术总工</w:t>
            </w:r>
          </w:p>
        </w:tc>
      </w:tr>
      <w:tr w14:paraId="13335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558BE27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熊登</w:t>
            </w:r>
          </w:p>
        </w:tc>
        <w:tc>
          <w:tcPr>
            <w:tcW w:w="1999" w:type="pct"/>
            <w:shd w:val="clear" w:color="auto" w:fill="auto"/>
            <w:vAlign w:val="center"/>
          </w:tcPr>
          <w:p w14:paraId="686745D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副组长</w:t>
            </w:r>
          </w:p>
        </w:tc>
        <w:tc>
          <w:tcPr>
            <w:tcW w:w="1999" w:type="pct"/>
            <w:shd w:val="clear" w:color="auto" w:fill="auto"/>
            <w:vAlign w:val="center"/>
          </w:tcPr>
          <w:p w14:paraId="3F81247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安全员</w:t>
            </w:r>
          </w:p>
        </w:tc>
      </w:tr>
      <w:tr w14:paraId="2641E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2E8D241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孔令波</w:t>
            </w:r>
          </w:p>
        </w:tc>
        <w:tc>
          <w:tcPr>
            <w:tcW w:w="1999" w:type="pct"/>
            <w:shd w:val="clear" w:color="auto" w:fill="auto"/>
            <w:vAlign w:val="center"/>
          </w:tcPr>
          <w:p w14:paraId="0C5D7E5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00624E8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安拆工</w:t>
            </w:r>
          </w:p>
        </w:tc>
      </w:tr>
      <w:tr w14:paraId="1CAD5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10DCF94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戴富东</w:t>
            </w:r>
          </w:p>
        </w:tc>
        <w:tc>
          <w:tcPr>
            <w:tcW w:w="1999" w:type="pct"/>
            <w:shd w:val="clear" w:color="auto" w:fill="auto"/>
            <w:vAlign w:val="center"/>
          </w:tcPr>
          <w:p w14:paraId="2D01001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4B804F4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r w14:paraId="2EB34A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2EA378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向杰</w:t>
            </w:r>
          </w:p>
        </w:tc>
        <w:tc>
          <w:tcPr>
            <w:tcW w:w="1999" w:type="pct"/>
            <w:shd w:val="clear" w:color="auto" w:fill="auto"/>
            <w:vAlign w:val="center"/>
          </w:tcPr>
          <w:p w14:paraId="4B103BF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5DB62F8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r w14:paraId="0DE3C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4" w:hRule="exact"/>
          <w:jc w:val="center"/>
        </w:trPr>
        <w:tc>
          <w:tcPr>
            <w:tcW w:w="1000" w:type="pct"/>
            <w:shd w:val="clear" w:color="auto" w:fill="auto"/>
            <w:vAlign w:val="center"/>
          </w:tcPr>
          <w:p w14:paraId="06E04A0F">
            <w:pPr>
              <w:widowControl w:val="0"/>
              <w:adjustRightInd w:val="0"/>
              <w:snapToGrid w:val="0"/>
              <w:spacing w:line="240" w:lineRule="auto"/>
              <w:ind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何小兵</w:t>
            </w:r>
          </w:p>
        </w:tc>
        <w:tc>
          <w:tcPr>
            <w:tcW w:w="1999" w:type="pct"/>
            <w:shd w:val="clear" w:color="auto" w:fill="auto"/>
            <w:vAlign w:val="center"/>
          </w:tcPr>
          <w:p w14:paraId="2706D66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组员</w:t>
            </w:r>
          </w:p>
        </w:tc>
        <w:tc>
          <w:tcPr>
            <w:tcW w:w="1999" w:type="pct"/>
            <w:shd w:val="clear" w:color="auto" w:fill="auto"/>
            <w:vAlign w:val="center"/>
          </w:tcPr>
          <w:p w14:paraId="3D8083B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rPr>
              <w:t>安拆工</w:t>
            </w:r>
          </w:p>
        </w:tc>
      </w:tr>
    </w:tbl>
    <w:p w14:paraId="34948C91">
      <w:pPr>
        <w:spacing w:after="0" w:afterLines="0" w:line="240" w:lineRule="auto"/>
        <w:jc w:val="center"/>
        <w:rPr>
          <w:rFonts w:hint="eastAsia" w:ascii="宋体" w:hAnsi="宋体" w:eastAsia="宋体" w:cs="宋体"/>
          <w:sz w:val="21"/>
        </w:rPr>
      </w:pPr>
    </w:p>
    <w:p w14:paraId="39657F75">
      <w:pPr>
        <w:pStyle w:val="5"/>
        <w:bidi w:val="0"/>
        <w:rPr>
          <w:rFonts w:hint="eastAsia"/>
        </w:rPr>
      </w:pPr>
      <w:bookmarkStart w:id="230" w:name="_Toc321894293"/>
      <w:bookmarkStart w:id="231" w:name="_Toc24459"/>
      <w:bookmarkStart w:id="232" w:name="_Toc24462667"/>
      <w:bookmarkStart w:id="233" w:name="_Toc333390965"/>
      <w:bookmarkStart w:id="234" w:name="_Toc491"/>
      <w:bookmarkStart w:id="235" w:name="_Toc339295692"/>
      <w:bookmarkStart w:id="236" w:name="_Toc339295953"/>
      <w:bookmarkStart w:id="237" w:name="_Toc285636375"/>
      <w:bookmarkStart w:id="238" w:name="_Toc324086330"/>
      <w:bookmarkStart w:id="239" w:name="_Toc283274523"/>
      <w:bookmarkStart w:id="240" w:name="_Toc323459872"/>
      <w:bookmarkStart w:id="241" w:name="_Toc339295866"/>
      <w:bookmarkStart w:id="242" w:name="_Toc324925281"/>
      <w:bookmarkStart w:id="243" w:name="_Toc28346"/>
      <w:bookmarkStart w:id="244" w:name="_Toc25036"/>
      <w:bookmarkStart w:id="245" w:name="_Toc340495439"/>
      <w:bookmarkStart w:id="246" w:name="_Toc49960691"/>
      <w:bookmarkStart w:id="247" w:name="_Toc26863"/>
      <w:bookmarkStart w:id="248" w:name="_Toc91085197"/>
      <w:r>
        <w:rPr>
          <w:rFonts w:hint="eastAsia"/>
        </w:rPr>
        <w:t>7.5.2 宣传、培训和演习</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20615A9">
      <w:pPr>
        <w:bidi w:val="0"/>
        <w:rPr>
          <w:rFonts w:hint="eastAsia"/>
        </w:rPr>
      </w:pPr>
      <w:bookmarkStart w:id="249" w:name="_Toc115693705"/>
      <w:bookmarkStart w:id="250" w:name="_Toc174268054"/>
      <w:bookmarkStart w:id="251" w:name="_Toc115693379"/>
      <w:bookmarkStart w:id="252" w:name="_Toc119404552"/>
      <w:bookmarkStart w:id="253" w:name="_Toc115693833"/>
      <w:bookmarkStart w:id="254" w:name="_Toc174267518"/>
      <w:r>
        <w:rPr>
          <w:rFonts w:hint="eastAsia"/>
        </w:rPr>
        <w:t>⑴ 应急人员的培训</w:t>
      </w:r>
      <w:bookmarkEnd w:id="249"/>
      <w:bookmarkEnd w:id="250"/>
      <w:bookmarkEnd w:id="251"/>
      <w:bookmarkEnd w:id="252"/>
      <w:bookmarkEnd w:id="253"/>
      <w:bookmarkEnd w:id="254"/>
    </w:p>
    <w:p w14:paraId="3D4AC314">
      <w:pPr>
        <w:bidi w:val="0"/>
        <w:rPr>
          <w:rFonts w:hint="eastAsia"/>
        </w:rPr>
      </w:pPr>
      <w:r>
        <w:rPr>
          <w:rFonts w:hint="eastAsia"/>
        </w:rPr>
        <w:t>制定培训计划，定期对应急救援人员进行基础培训、专业培训、战术培训，使其掌握自身安全防护措施和救护方法。建立定期的强化培训制度，并进行考核。</w:t>
      </w:r>
    </w:p>
    <w:p w14:paraId="1660A438">
      <w:pPr>
        <w:bidi w:val="0"/>
        <w:rPr>
          <w:rFonts w:hint="eastAsia"/>
        </w:rPr>
      </w:pPr>
      <w:bookmarkStart w:id="255" w:name="_Toc174268055"/>
      <w:bookmarkStart w:id="256" w:name="_Toc119404553"/>
      <w:bookmarkStart w:id="257" w:name="_Toc174267519"/>
      <w:r>
        <w:rPr>
          <w:rFonts w:hint="eastAsia"/>
        </w:rPr>
        <w:t>⑵ 公众宣传教育</w:t>
      </w:r>
      <w:bookmarkEnd w:id="255"/>
      <w:bookmarkEnd w:id="256"/>
      <w:bookmarkEnd w:id="257"/>
    </w:p>
    <w:p w14:paraId="3ACB55D1">
      <w:pPr>
        <w:bidi w:val="0"/>
        <w:rPr>
          <w:rFonts w:hint="eastAsia"/>
        </w:rPr>
      </w:pPr>
      <w:r>
        <w:rPr>
          <w:rFonts w:hint="eastAsia"/>
        </w:rPr>
        <w:t>根据计划，定期对员工进行日常安全教育，使他们掌握可能发生的事故的性质和特性，掌握必要的应急救援知识和技能，了解预先指定的主要和备用疏散路线，了解各种警报的含义和应急工作的有关要求等等。</w:t>
      </w:r>
      <w:bookmarkStart w:id="258" w:name="_Toc115693381"/>
      <w:bookmarkStart w:id="259" w:name="_Toc115693707"/>
      <w:bookmarkStart w:id="260" w:name="_Toc115693835"/>
      <w:bookmarkStart w:id="261" w:name="_Toc119404554"/>
      <w:bookmarkStart w:id="262" w:name="_Toc174267520"/>
      <w:bookmarkStart w:id="263" w:name="_Toc174268056"/>
    </w:p>
    <w:p w14:paraId="74A2DCF1">
      <w:pPr>
        <w:bidi w:val="0"/>
        <w:rPr>
          <w:rFonts w:hint="eastAsia"/>
        </w:rPr>
      </w:pPr>
      <w:r>
        <w:rPr>
          <w:rFonts w:hint="eastAsia"/>
        </w:rPr>
        <w:t>⑶ 预案演习</w:t>
      </w:r>
      <w:bookmarkEnd w:id="258"/>
      <w:bookmarkEnd w:id="259"/>
      <w:bookmarkEnd w:id="260"/>
      <w:bookmarkEnd w:id="261"/>
      <w:bookmarkEnd w:id="262"/>
      <w:bookmarkEnd w:id="263"/>
    </w:p>
    <w:p w14:paraId="4BF7187E">
      <w:pPr>
        <w:bidi w:val="0"/>
        <w:rPr>
          <w:rFonts w:hint="eastAsia"/>
        </w:rPr>
      </w:pPr>
      <w:r>
        <w:rPr>
          <w:rFonts w:hint="eastAsia"/>
          <w:lang w:eastAsia="zh-CN"/>
        </w:rPr>
        <w:t>公司</w:t>
      </w:r>
      <w:r>
        <w:rPr>
          <w:rFonts w:hint="eastAsia"/>
        </w:rPr>
        <w:t>制定相应的演习计划，定期进行演练，使应急人员更清晰地明确各自的职责和工作程序，提高协同作战的能力，保证应急救援工作的协调、有效、迅速地开展，找出应急救援工作中存在的不足和问题。明确演习的周期、范围，检验重大事故的应急救援组织执行任务的能力。同时，要对演习的结果进行分析评价，对演习中暴露的问题和不足及时进行解决。</w:t>
      </w:r>
    </w:p>
    <w:p w14:paraId="61A30F7E">
      <w:pPr>
        <w:pStyle w:val="5"/>
        <w:bidi w:val="0"/>
        <w:rPr>
          <w:rFonts w:hint="eastAsia"/>
        </w:rPr>
      </w:pPr>
      <w:bookmarkStart w:id="264" w:name="_Toc16546"/>
      <w:bookmarkStart w:id="265" w:name="_Toc509175971"/>
      <w:bookmarkStart w:id="266" w:name="_Toc16375"/>
      <w:bookmarkStart w:id="267" w:name="_Toc501432588"/>
      <w:bookmarkStart w:id="268" w:name="_Toc8693"/>
      <w:bookmarkStart w:id="269" w:name="_Toc459728609"/>
      <w:bookmarkStart w:id="270" w:name="_Toc4531"/>
      <w:bookmarkStart w:id="271" w:name="_Toc488878933"/>
      <w:bookmarkStart w:id="272" w:name="_Toc24462668"/>
      <w:bookmarkStart w:id="273" w:name="_Toc2381"/>
      <w:bookmarkStart w:id="274" w:name="_Toc31301"/>
      <w:bookmarkStart w:id="275" w:name="_Toc490812519"/>
      <w:bookmarkStart w:id="276" w:name="_Toc49960692"/>
      <w:bookmarkStart w:id="277" w:name="_Toc2471"/>
      <w:bookmarkStart w:id="278" w:name="_Toc507917137"/>
      <w:bookmarkStart w:id="279" w:name="_Toc458496843"/>
      <w:bookmarkStart w:id="280" w:name="_Toc91085198"/>
      <w:r>
        <w:rPr>
          <w:rFonts w:hint="eastAsia"/>
        </w:rPr>
        <w:t>7.5.3 后勤保障</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7C8C5A7">
      <w:pPr>
        <w:pStyle w:val="6"/>
        <w:bidi w:val="0"/>
        <w:rPr>
          <w:rFonts w:hint="eastAsia"/>
        </w:rPr>
      </w:pPr>
      <w:bookmarkStart w:id="281" w:name="_Toc91085199"/>
      <w:bookmarkStart w:id="282" w:name="_Toc49960693"/>
      <w:bookmarkStart w:id="283" w:name="_Toc1550"/>
      <w:bookmarkStart w:id="284" w:name="_Toc24462669"/>
      <w:bookmarkStart w:id="285" w:name="_Toc31778"/>
      <w:bookmarkStart w:id="286" w:name="_Toc27858"/>
      <w:r>
        <w:rPr>
          <w:rFonts w:hint="eastAsia"/>
        </w:rPr>
        <w:t>7.5.3.1 应急救援物资</w:t>
      </w:r>
      <w:bookmarkEnd w:id="281"/>
      <w:bookmarkEnd w:id="282"/>
      <w:bookmarkEnd w:id="283"/>
      <w:bookmarkEnd w:id="284"/>
      <w:bookmarkEnd w:id="285"/>
      <w:bookmarkEnd w:id="286"/>
    </w:p>
    <w:p w14:paraId="360B1E26">
      <w:pPr>
        <w:bidi w:val="0"/>
        <w:rPr>
          <w:rFonts w:hint="eastAsia"/>
        </w:rPr>
      </w:pPr>
      <w:r>
        <w:rPr>
          <w:rFonts w:hint="eastAsia"/>
        </w:rPr>
        <w:t>⑴医疗器材：担架、医药箱，存放在安全环保部。</w:t>
      </w:r>
    </w:p>
    <w:p w14:paraId="19699967">
      <w:pPr>
        <w:bidi w:val="0"/>
        <w:rPr>
          <w:rFonts w:hint="eastAsia"/>
        </w:rPr>
      </w:pPr>
      <w:r>
        <w:rPr>
          <w:rFonts w:hint="eastAsia"/>
        </w:rPr>
        <w:t>⑵通讯器材：管理人员配备手机，并发布最新通讯录。</w:t>
      </w:r>
    </w:p>
    <w:p w14:paraId="0BDB5AC7">
      <w:pPr>
        <w:bidi w:val="0"/>
        <w:rPr>
          <w:rFonts w:hint="eastAsia"/>
        </w:rPr>
      </w:pPr>
      <w:r>
        <w:rPr>
          <w:rFonts w:hint="eastAsia"/>
        </w:rPr>
        <w:t>⑶交通工具：</w:t>
      </w:r>
      <w:r>
        <w:rPr>
          <w:rFonts w:hint="eastAsia"/>
          <w:lang w:eastAsia="zh-CN"/>
        </w:rPr>
        <w:t>公司</w:t>
      </w:r>
      <w:r>
        <w:rPr>
          <w:rFonts w:hint="eastAsia"/>
        </w:rPr>
        <w:t>常备一辆值班汽车。</w:t>
      </w:r>
    </w:p>
    <w:p w14:paraId="05EE5413">
      <w:pPr>
        <w:bidi w:val="0"/>
        <w:rPr>
          <w:rFonts w:hint="eastAsia"/>
        </w:rPr>
      </w:pPr>
      <w:r>
        <w:rPr>
          <w:rFonts w:hint="eastAsia"/>
        </w:rPr>
        <w:t>⑷照明灯具：防水手电筒、头灯、灯具线路等，存放在物资仓库。</w:t>
      </w:r>
    </w:p>
    <w:p w14:paraId="45B2DEF8">
      <w:pPr>
        <w:bidi w:val="0"/>
        <w:rPr>
          <w:rFonts w:hint="eastAsia"/>
        </w:rPr>
      </w:pPr>
      <w:r>
        <w:rPr>
          <w:rFonts w:hint="eastAsia"/>
        </w:rPr>
        <w:t>⑸紧急救援工具：千斤顶、撬杠、起重葫芦、吊索具、铁锹等，存放在物资仓库。</w:t>
      </w:r>
    </w:p>
    <w:p w14:paraId="396A2F87">
      <w:pPr>
        <w:bidi w:val="0"/>
        <w:rPr>
          <w:rFonts w:hint="eastAsia"/>
        </w:rPr>
      </w:pPr>
      <w:r>
        <w:rPr>
          <w:rFonts w:hint="eastAsia"/>
        </w:rPr>
        <w:t>⑹灭火器材：灭火器日常按要求就位，紧急情况集中使用，</w:t>
      </w:r>
      <w:r>
        <w:rPr>
          <w:rFonts w:hint="eastAsia"/>
          <w:lang w:eastAsia="zh-CN"/>
        </w:rPr>
        <w:t>公司</w:t>
      </w:r>
      <w:r>
        <w:rPr>
          <w:rFonts w:hint="eastAsia"/>
        </w:rPr>
        <w:t>定期检查使用性能。</w:t>
      </w:r>
    </w:p>
    <w:p w14:paraId="6718558B">
      <w:pPr>
        <w:bidi w:val="0"/>
        <w:rPr>
          <w:rFonts w:hint="eastAsia"/>
        </w:rPr>
      </w:pPr>
      <w:r>
        <w:rPr>
          <w:rFonts w:hint="eastAsia"/>
        </w:rPr>
        <w:t>⑺其它：安全帽、安全带、分体雨衣、雨鞋、救生衣、手套等。</w:t>
      </w:r>
    </w:p>
    <w:p w14:paraId="442E4B09">
      <w:pPr>
        <w:pStyle w:val="6"/>
        <w:bidi w:val="0"/>
        <w:rPr>
          <w:rFonts w:hint="eastAsia"/>
        </w:rPr>
      </w:pPr>
      <w:bookmarkStart w:id="287" w:name="_Toc91085200"/>
      <w:bookmarkStart w:id="288" w:name="_Toc12559"/>
      <w:bookmarkStart w:id="289" w:name="_Toc1043"/>
      <w:bookmarkStart w:id="290" w:name="_Toc49960694"/>
      <w:bookmarkStart w:id="291" w:name="_Toc24462670"/>
      <w:bookmarkStart w:id="292" w:name="_Toc17985"/>
      <w:r>
        <w:rPr>
          <w:rFonts w:hint="eastAsia"/>
        </w:rPr>
        <w:t>7.5.3.2 通信与信息保障</w:t>
      </w:r>
      <w:bookmarkEnd w:id="287"/>
      <w:bookmarkEnd w:id="288"/>
      <w:bookmarkEnd w:id="289"/>
      <w:bookmarkEnd w:id="290"/>
      <w:bookmarkEnd w:id="291"/>
      <w:bookmarkEnd w:id="292"/>
    </w:p>
    <w:p w14:paraId="54A0BA59">
      <w:pPr>
        <w:bidi w:val="0"/>
        <w:jc w:val="center"/>
        <w:rPr>
          <w:rFonts w:hint="eastAsia"/>
          <w:lang w:val="en-US" w:eastAsia="zh-CN"/>
        </w:rPr>
      </w:pPr>
      <w:r>
        <w:rPr>
          <w:rFonts w:hint="eastAsia"/>
          <w:lang w:val="en-US" w:eastAsia="zh-CN"/>
        </w:rPr>
        <w:t>表7.5-2应急联系通讯单</w:t>
      </w:r>
    </w:p>
    <w:tbl>
      <w:tblPr>
        <w:tblStyle w:val="3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301"/>
        <w:gridCol w:w="1921"/>
        <w:gridCol w:w="1405"/>
        <w:gridCol w:w="1258"/>
      </w:tblGrid>
      <w:tr w14:paraId="275A4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7" w:type="pct"/>
            <w:shd w:val="clear" w:color="auto" w:fill="auto"/>
            <w:vAlign w:val="center"/>
          </w:tcPr>
          <w:p w14:paraId="3292FF17">
            <w:pPr>
              <w:bidi w:val="0"/>
              <w:jc w:val="center"/>
              <w:rPr>
                <w:rFonts w:hint="eastAsia"/>
              </w:rPr>
            </w:pPr>
            <w:bookmarkStart w:id="293" w:name="_Toc24462671"/>
            <w:bookmarkStart w:id="294" w:name="_Toc49960695"/>
            <w:bookmarkStart w:id="295" w:name="_Toc30763"/>
            <w:bookmarkStart w:id="296" w:name="_Toc5802"/>
            <w:bookmarkStart w:id="297" w:name="_Toc91085201"/>
            <w:bookmarkStart w:id="298" w:name="_Toc3159"/>
            <w:r>
              <w:rPr>
                <w:rFonts w:hint="eastAsia"/>
              </w:rPr>
              <w:t>医院名称</w:t>
            </w:r>
          </w:p>
        </w:tc>
        <w:tc>
          <w:tcPr>
            <w:tcW w:w="1177" w:type="pct"/>
            <w:shd w:val="clear" w:color="auto" w:fill="auto"/>
            <w:vAlign w:val="center"/>
          </w:tcPr>
          <w:p w14:paraId="551A5FB0">
            <w:pPr>
              <w:bidi w:val="0"/>
              <w:jc w:val="center"/>
              <w:rPr>
                <w:rFonts w:hint="eastAsia"/>
              </w:rPr>
            </w:pPr>
            <w:r>
              <w:rPr>
                <w:rFonts w:hint="eastAsia"/>
              </w:rPr>
              <w:t>地址</w:t>
            </w:r>
          </w:p>
        </w:tc>
        <w:tc>
          <w:tcPr>
            <w:tcW w:w="982" w:type="pct"/>
            <w:shd w:val="clear" w:color="auto" w:fill="auto"/>
            <w:vAlign w:val="center"/>
          </w:tcPr>
          <w:p w14:paraId="6B7DDDEB">
            <w:pPr>
              <w:bidi w:val="0"/>
              <w:jc w:val="center"/>
              <w:rPr>
                <w:rFonts w:hint="eastAsia"/>
              </w:rPr>
            </w:pPr>
            <w:r>
              <w:rPr>
                <w:rFonts w:hint="eastAsia"/>
              </w:rPr>
              <w:t>联系方式</w:t>
            </w:r>
          </w:p>
        </w:tc>
        <w:tc>
          <w:tcPr>
            <w:tcW w:w="718" w:type="pct"/>
            <w:vAlign w:val="center"/>
          </w:tcPr>
          <w:p w14:paraId="352C0971">
            <w:pPr>
              <w:bidi w:val="0"/>
              <w:ind w:left="0" w:leftChars="0" w:firstLine="0" w:firstLineChars="0"/>
              <w:jc w:val="center"/>
              <w:rPr>
                <w:rFonts w:hint="eastAsia"/>
              </w:rPr>
            </w:pPr>
            <w:r>
              <w:rPr>
                <w:rFonts w:hint="eastAsia"/>
              </w:rPr>
              <w:t>距离</w:t>
            </w:r>
          </w:p>
        </w:tc>
        <w:tc>
          <w:tcPr>
            <w:tcW w:w="643" w:type="pct"/>
            <w:vAlign w:val="center"/>
          </w:tcPr>
          <w:p w14:paraId="15060272">
            <w:pPr>
              <w:bidi w:val="0"/>
              <w:ind w:left="0" w:leftChars="0" w:firstLine="0" w:firstLineChars="0"/>
              <w:jc w:val="center"/>
              <w:rPr>
                <w:rFonts w:hint="eastAsia"/>
              </w:rPr>
            </w:pPr>
            <w:r>
              <w:rPr>
                <w:rFonts w:hint="eastAsia"/>
              </w:rPr>
              <w:t>驾车时间</w:t>
            </w:r>
          </w:p>
        </w:tc>
      </w:tr>
      <w:tr w14:paraId="2D7E0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7" w:type="dxa"/>
            <w:shd w:val="clear" w:color="auto" w:fill="auto"/>
            <w:vAlign w:val="center"/>
          </w:tcPr>
          <w:p w14:paraId="36FC9201">
            <w:pPr>
              <w:bidi w:val="0"/>
              <w:ind w:left="0" w:leftChars="0" w:firstLine="0" w:firstLineChars="0"/>
              <w:jc w:val="center"/>
              <w:rPr>
                <w:rFonts w:hint="eastAsia"/>
                <w:lang w:eastAsia="zh-CN"/>
              </w:rPr>
            </w:pPr>
            <w:r>
              <w:rPr>
                <w:rFonts w:hint="eastAsia"/>
                <w:lang w:eastAsia="zh-CN"/>
              </w:rPr>
              <w:t>蔡甸区中医医院</w:t>
            </w:r>
          </w:p>
        </w:tc>
        <w:tc>
          <w:tcPr>
            <w:tcW w:w="2515" w:type="dxa"/>
            <w:shd w:val="clear" w:color="auto" w:fill="auto"/>
            <w:vAlign w:val="center"/>
          </w:tcPr>
          <w:p w14:paraId="7C54EA0D">
            <w:pPr>
              <w:bidi w:val="0"/>
              <w:ind w:left="0" w:leftChars="0" w:firstLine="0" w:firstLineChars="0"/>
              <w:jc w:val="center"/>
              <w:rPr>
                <w:rFonts w:hint="default"/>
                <w:lang w:val="en-US" w:eastAsia="zh-CN"/>
              </w:rPr>
            </w:pPr>
            <w:r>
              <w:rPr>
                <w:rFonts w:hint="eastAsia"/>
                <w:lang w:val="en-US" w:eastAsia="zh-CN"/>
              </w:rPr>
              <w:t>湖北省武汉市蔡甸区新福路516号</w:t>
            </w:r>
          </w:p>
        </w:tc>
        <w:tc>
          <w:tcPr>
            <w:tcW w:w="2100" w:type="dxa"/>
            <w:shd w:val="clear" w:color="auto" w:fill="auto"/>
            <w:vAlign w:val="center"/>
          </w:tcPr>
          <w:p w14:paraId="62CEEFF3">
            <w:pPr>
              <w:bidi w:val="0"/>
              <w:ind w:left="0" w:leftChars="0" w:firstLine="0" w:firstLineChars="0"/>
              <w:jc w:val="center"/>
              <w:rPr>
                <w:rFonts w:hint="default"/>
                <w:lang w:val="en-US" w:eastAsia="zh-CN"/>
              </w:rPr>
            </w:pPr>
            <w:r>
              <w:rPr>
                <w:rFonts w:hint="eastAsia"/>
                <w:lang w:val="en-US" w:eastAsia="zh-CN"/>
              </w:rPr>
              <w:t>027-84943945</w:t>
            </w:r>
          </w:p>
        </w:tc>
        <w:tc>
          <w:tcPr>
            <w:tcW w:w="1535" w:type="dxa"/>
            <w:vAlign w:val="center"/>
          </w:tcPr>
          <w:p w14:paraId="43208C74">
            <w:pPr>
              <w:bidi w:val="0"/>
              <w:ind w:left="0" w:leftChars="0" w:firstLine="0" w:firstLineChars="0"/>
              <w:jc w:val="center"/>
              <w:rPr>
                <w:rFonts w:hint="default"/>
                <w:lang w:val="en-US" w:eastAsia="zh-CN"/>
              </w:rPr>
            </w:pPr>
            <w:r>
              <w:rPr>
                <w:rFonts w:hint="eastAsia"/>
                <w:lang w:val="en-US" w:eastAsia="zh-CN"/>
              </w:rPr>
              <w:t>7.3公里</w:t>
            </w:r>
          </w:p>
        </w:tc>
        <w:tc>
          <w:tcPr>
            <w:tcW w:w="1375" w:type="dxa"/>
            <w:vAlign w:val="center"/>
          </w:tcPr>
          <w:p w14:paraId="1C73BBF7">
            <w:pPr>
              <w:bidi w:val="0"/>
              <w:ind w:left="0" w:leftChars="0" w:firstLine="0" w:firstLineChars="0"/>
              <w:jc w:val="center"/>
              <w:rPr>
                <w:rFonts w:hint="default"/>
                <w:lang w:val="en-US" w:eastAsia="zh-CN"/>
              </w:rPr>
            </w:pPr>
            <w:r>
              <w:rPr>
                <w:rFonts w:hint="eastAsia"/>
                <w:lang w:val="en-US" w:eastAsia="zh-CN"/>
              </w:rPr>
              <w:t>13分钟</w:t>
            </w:r>
          </w:p>
        </w:tc>
      </w:tr>
      <w:tr w14:paraId="13C02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57" w:type="dxa"/>
            <w:shd w:val="clear" w:color="auto" w:fill="auto"/>
            <w:vAlign w:val="center"/>
          </w:tcPr>
          <w:p w14:paraId="10F4F6C4">
            <w:pPr>
              <w:bidi w:val="0"/>
              <w:ind w:left="0" w:leftChars="0" w:firstLine="0" w:firstLineChars="0"/>
              <w:jc w:val="center"/>
              <w:rPr>
                <w:rFonts w:hint="eastAsia"/>
                <w:lang w:val="en-US" w:eastAsia="zh-CN"/>
              </w:rPr>
            </w:pPr>
            <w:r>
              <w:rPr>
                <w:rFonts w:hint="eastAsia"/>
                <w:lang w:val="en-US" w:eastAsia="zh-CN"/>
              </w:rPr>
              <w:t>武汉济和医院</w:t>
            </w:r>
          </w:p>
        </w:tc>
        <w:tc>
          <w:tcPr>
            <w:tcW w:w="2515" w:type="dxa"/>
            <w:shd w:val="clear" w:color="auto" w:fill="auto"/>
            <w:vAlign w:val="center"/>
          </w:tcPr>
          <w:p w14:paraId="7AD32F64">
            <w:pPr>
              <w:bidi w:val="0"/>
              <w:ind w:left="0" w:leftChars="0" w:firstLine="0" w:firstLineChars="0"/>
              <w:jc w:val="center"/>
              <w:rPr>
                <w:rFonts w:hint="default"/>
                <w:lang w:val="en-US" w:eastAsia="zh-CN"/>
              </w:rPr>
            </w:pPr>
            <w:r>
              <w:rPr>
                <w:rFonts w:hint="eastAsia"/>
                <w:lang w:val="en-US" w:eastAsia="zh-CN"/>
              </w:rPr>
              <w:t>湖北省武汉市蔡甸区中博康城新居西北门旁</w:t>
            </w:r>
          </w:p>
        </w:tc>
        <w:tc>
          <w:tcPr>
            <w:tcW w:w="2100" w:type="dxa"/>
            <w:shd w:val="clear" w:color="auto" w:fill="auto"/>
            <w:vAlign w:val="center"/>
          </w:tcPr>
          <w:p w14:paraId="2C66E85B">
            <w:pPr>
              <w:bidi w:val="0"/>
              <w:ind w:left="0" w:leftChars="0" w:firstLine="0" w:firstLineChars="0"/>
              <w:jc w:val="center"/>
              <w:rPr>
                <w:rFonts w:hint="default"/>
                <w:lang w:val="en-US" w:eastAsia="zh-CN"/>
              </w:rPr>
            </w:pPr>
            <w:r>
              <w:rPr>
                <w:rFonts w:hint="eastAsia"/>
                <w:lang w:val="en-US" w:eastAsia="zh-CN"/>
              </w:rPr>
              <w:t>027-66662066</w:t>
            </w:r>
          </w:p>
        </w:tc>
        <w:tc>
          <w:tcPr>
            <w:tcW w:w="1535" w:type="dxa"/>
            <w:vAlign w:val="center"/>
          </w:tcPr>
          <w:p w14:paraId="46A3E36C">
            <w:pPr>
              <w:bidi w:val="0"/>
              <w:ind w:left="0" w:leftChars="0" w:firstLine="0" w:firstLineChars="0"/>
              <w:jc w:val="center"/>
              <w:rPr>
                <w:rFonts w:hint="default"/>
                <w:lang w:val="en-US" w:eastAsia="zh-CN"/>
              </w:rPr>
            </w:pPr>
            <w:r>
              <w:rPr>
                <w:rFonts w:hint="eastAsia"/>
                <w:lang w:val="en-US" w:eastAsia="zh-CN"/>
              </w:rPr>
              <w:t>7.4公里</w:t>
            </w:r>
          </w:p>
        </w:tc>
        <w:tc>
          <w:tcPr>
            <w:tcW w:w="1375" w:type="dxa"/>
            <w:vAlign w:val="center"/>
          </w:tcPr>
          <w:p w14:paraId="2B12F756">
            <w:pPr>
              <w:bidi w:val="0"/>
              <w:ind w:left="0" w:leftChars="0" w:firstLine="0" w:firstLineChars="0"/>
              <w:jc w:val="center"/>
              <w:rPr>
                <w:rFonts w:hint="default"/>
                <w:lang w:val="en-US" w:eastAsia="zh-CN"/>
              </w:rPr>
            </w:pPr>
            <w:r>
              <w:rPr>
                <w:rFonts w:hint="eastAsia"/>
                <w:lang w:val="en-US" w:eastAsia="zh-CN"/>
              </w:rPr>
              <w:t>14分钟</w:t>
            </w:r>
          </w:p>
        </w:tc>
      </w:tr>
    </w:tbl>
    <w:p w14:paraId="4685E701">
      <w:pPr>
        <w:pStyle w:val="6"/>
        <w:bidi w:val="0"/>
        <w:rPr>
          <w:rFonts w:hint="eastAsia"/>
        </w:rPr>
      </w:pPr>
      <w:r>
        <w:rPr>
          <w:rFonts w:hint="eastAsia"/>
        </w:rPr>
        <w:t>7.5.3.3应急救援路线</w:t>
      </w:r>
      <w:bookmarkEnd w:id="293"/>
      <w:bookmarkEnd w:id="294"/>
      <w:bookmarkEnd w:id="295"/>
      <w:bookmarkEnd w:id="296"/>
      <w:bookmarkEnd w:id="297"/>
      <w:bookmarkEnd w:id="298"/>
    </w:p>
    <w:p w14:paraId="3EB4E4D5">
      <w:pPr>
        <w:adjustRightInd w:val="0"/>
        <w:snapToGrid w:val="0"/>
        <w:spacing w:after="0" w:afterLines="0" w:line="240" w:lineRule="auto"/>
        <w:ind w:firstLine="0" w:firstLineChars="0"/>
        <w:jc w:val="left"/>
        <w:rPr>
          <w:rFonts w:hint="eastAsia" w:ascii="宋体" w:hAnsi="宋体" w:eastAsia="宋体" w:cs="宋体"/>
          <w:color w:val="000000"/>
          <w:sz w:val="21"/>
          <w:szCs w:val="21"/>
          <w:lang w:val="en-US" w:eastAsia="zh-CN"/>
        </w:rPr>
      </w:pPr>
      <w:bookmarkStart w:id="299" w:name="_Toc14472"/>
      <w:bookmarkStart w:id="300" w:name="_Toc23723"/>
      <w:bookmarkStart w:id="301" w:name="_Toc28218"/>
      <w:bookmarkStart w:id="302" w:name="_Toc49960696"/>
      <w:bookmarkStart w:id="303" w:name="_Toc12723"/>
      <w:bookmarkStart w:id="304" w:name="_Toc24462672"/>
      <w:r>
        <w:drawing>
          <wp:inline distT="0" distB="0" distL="114300" distR="114300">
            <wp:extent cx="6064250" cy="3581400"/>
            <wp:effectExtent l="0" t="0" r="635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9"/>
                    <a:stretch>
                      <a:fillRect/>
                    </a:stretch>
                  </pic:blipFill>
                  <pic:spPr>
                    <a:xfrm>
                      <a:off x="0" y="0"/>
                      <a:ext cx="6064250" cy="3581400"/>
                    </a:xfrm>
                    <a:prstGeom prst="rect">
                      <a:avLst/>
                    </a:prstGeom>
                    <a:noFill/>
                    <a:ln>
                      <a:noFill/>
                    </a:ln>
                  </pic:spPr>
                </pic:pic>
              </a:graphicData>
            </a:graphic>
          </wp:inline>
        </w:drawing>
      </w:r>
      <w:r>
        <w:rPr>
          <w:rFonts w:hint="eastAsia" w:ascii="宋体" w:hAnsi="宋体" w:eastAsia="宋体" w:cs="宋体"/>
          <w:color w:val="000000"/>
          <w:sz w:val="21"/>
          <w:szCs w:val="21"/>
          <w:lang w:val="en-US" w:eastAsia="zh-CN"/>
        </w:rPr>
        <w:t xml:space="preserve">                   </w:t>
      </w:r>
    </w:p>
    <w:p w14:paraId="38701964">
      <w:pPr>
        <w:pStyle w:val="13"/>
        <w:rPr>
          <w:rFonts w:hint="eastAsia" w:ascii="宋体" w:hAnsi="宋体" w:eastAsia="宋体" w:cs="宋体"/>
          <w:color w:val="000000"/>
          <w:sz w:val="21"/>
          <w:szCs w:val="21"/>
          <w:lang w:val="en-US" w:eastAsia="zh-CN"/>
        </w:rPr>
      </w:pPr>
    </w:p>
    <w:p w14:paraId="6BE43E72">
      <w:pPr>
        <w:pStyle w:val="5"/>
        <w:bidi w:val="0"/>
        <w:rPr>
          <w:rFonts w:hint="eastAsia"/>
        </w:rPr>
      </w:pPr>
      <w:bookmarkStart w:id="305" w:name="_Toc22209"/>
      <w:bookmarkStart w:id="306" w:name="_Toc91085202"/>
      <w:bookmarkStart w:id="307" w:name="_Toc3881"/>
      <w:r>
        <w:rPr>
          <w:rFonts w:hint="eastAsia"/>
        </w:rPr>
        <w:t>7.5.4 应急响应程序</w:t>
      </w:r>
      <w:bookmarkEnd w:id="299"/>
      <w:bookmarkEnd w:id="300"/>
      <w:bookmarkEnd w:id="301"/>
      <w:bookmarkEnd w:id="302"/>
      <w:bookmarkEnd w:id="303"/>
      <w:bookmarkEnd w:id="304"/>
      <w:bookmarkEnd w:id="305"/>
      <w:bookmarkEnd w:id="306"/>
      <w:bookmarkEnd w:id="307"/>
    </w:p>
    <w:p w14:paraId="42E8F4C2">
      <w:pPr>
        <w:bidi w:val="0"/>
        <w:rPr>
          <w:rFonts w:hint="eastAsia"/>
        </w:rPr>
      </w:pPr>
      <w:r>
        <w:rPr>
          <w:rFonts w:hint="eastAsia"/>
        </w:rPr>
        <w:t>在施工过程中，一旦预防措施失效，发生险情。</w:t>
      </w:r>
      <w:r>
        <w:rPr>
          <w:rFonts w:hint="eastAsia"/>
          <w:lang w:eastAsia="zh-CN"/>
        </w:rPr>
        <w:t>公司</w:t>
      </w:r>
      <w:r>
        <w:rPr>
          <w:rFonts w:hint="eastAsia"/>
        </w:rPr>
        <w:t>应急指挥中心应立即运转，按照规定程序进行险情汇报、处理和评价工作。</w:t>
      </w:r>
    </w:p>
    <w:p w14:paraId="007346E3">
      <w:pPr>
        <w:bidi w:val="0"/>
        <w:rPr>
          <w:rFonts w:hint="eastAsia"/>
        </w:rPr>
      </w:pPr>
      <w:r>
        <w:rPr>
          <w:rFonts w:hint="eastAsia"/>
        </w:rPr>
        <w:t>⑴一般事故的应急响应</w:t>
      </w:r>
    </w:p>
    <w:p w14:paraId="4A5D0581">
      <w:pPr>
        <w:bidi w:val="0"/>
        <w:rPr>
          <w:rFonts w:hint="eastAsia"/>
        </w:rPr>
      </w:pPr>
      <w:r>
        <w:rPr>
          <w:rFonts w:hint="eastAsia"/>
        </w:rPr>
        <w:t>当事故或紧急情况发生后，现场值班人员立即向值班应急指挥中心组员汇报。值班人员应根据发生事故的程度和部位，及时向</w:t>
      </w:r>
      <w:r>
        <w:rPr>
          <w:rFonts w:hint="eastAsia"/>
          <w:lang w:eastAsia="zh-CN"/>
        </w:rPr>
        <w:t>公司</w:t>
      </w:r>
      <w:r>
        <w:rPr>
          <w:rFonts w:hint="eastAsia"/>
        </w:rPr>
        <w:t>经理汇报。</w:t>
      </w:r>
      <w:r>
        <w:rPr>
          <w:rFonts w:hint="eastAsia"/>
          <w:lang w:eastAsia="zh-CN"/>
        </w:rPr>
        <w:t>公司</w:t>
      </w:r>
      <w:r>
        <w:rPr>
          <w:rFonts w:hint="eastAsia"/>
        </w:rPr>
        <w:t>经理应召集应急指挥中心成员，组织相关人员和应急材料及设备，针对发生事故或紧急情况进行处理，防止事态扩大。在事故得到控制后，由</w:t>
      </w:r>
      <w:r>
        <w:rPr>
          <w:rFonts w:hint="eastAsia"/>
          <w:lang w:eastAsia="zh-CN"/>
        </w:rPr>
        <w:t>公司</w:t>
      </w:r>
      <w:r>
        <w:rPr>
          <w:rFonts w:hint="eastAsia"/>
        </w:rPr>
        <w:t>经理负责向公司领导和安全主管部门汇报事故发生原因和处理措施，并组织编写事故报告，在1小内向劳动行政部门、公安部门、检察机关、工会以及市建设行政管理部门报告。</w:t>
      </w:r>
    </w:p>
    <w:p w14:paraId="6C9C41E7">
      <w:pPr>
        <w:bidi w:val="0"/>
        <w:rPr>
          <w:rFonts w:hint="eastAsia"/>
        </w:rPr>
      </w:pPr>
      <w:r>
        <w:rPr>
          <w:rFonts w:hint="eastAsia"/>
        </w:rPr>
        <w:t>⑵ 重大事故的应急响应</w:t>
      </w:r>
    </w:p>
    <w:p w14:paraId="7A53D505">
      <w:pPr>
        <w:bidi w:val="0"/>
        <w:rPr>
          <w:rFonts w:hint="eastAsia"/>
        </w:rPr>
      </w:pPr>
      <w:r>
        <w:rPr>
          <w:rFonts w:hint="eastAsia"/>
        </w:rPr>
        <w:t>当重大事故发生或一般事故扩大形成重大事故后，</w:t>
      </w:r>
      <w:r>
        <w:rPr>
          <w:rFonts w:hint="eastAsia"/>
          <w:lang w:eastAsia="zh-CN"/>
        </w:rPr>
        <w:t>公司</w:t>
      </w:r>
      <w:r>
        <w:rPr>
          <w:rFonts w:hint="eastAsia"/>
        </w:rPr>
        <w:t>经理接到值班人员情况汇报，立即组织应急指挥中心组员和相关人员，抢救伤员和排除险情，制止事故蔓延扩大，并应注意做好以下工作：</w:t>
      </w:r>
    </w:p>
    <w:p w14:paraId="1D0FBD6D">
      <w:pPr>
        <w:bidi w:val="0"/>
        <w:rPr>
          <w:rFonts w:hint="eastAsia"/>
        </w:rPr>
      </w:pPr>
      <w:r>
        <w:rPr>
          <w:rFonts w:hint="eastAsia"/>
        </w:rPr>
        <w:t>①为了事故调查分析需要，现场人员在</w:t>
      </w:r>
      <w:r>
        <w:rPr>
          <w:rFonts w:hint="eastAsia"/>
          <w:lang w:eastAsia="zh-CN"/>
        </w:rPr>
        <w:t>公司</w:t>
      </w:r>
      <w:r>
        <w:rPr>
          <w:rFonts w:hint="eastAsia"/>
        </w:rPr>
        <w:t>经理的组织下保护好事故现场。因抢救伤员和排除而必须移动现场物件时，由应急小组专员做好标记，供事后查证。</w:t>
      </w:r>
    </w:p>
    <w:p w14:paraId="456C8FDE">
      <w:pPr>
        <w:bidi w:val="0"/>
        <w:rPr>
          <w:rFonts w:hint="eastAsia"/>
        </w:rPr>
      </w:pPr>
      <w:r>
        <w:rPr>
          <w:rFonts w:hint="eastAsia"/>
        </w:rPr>
        <w:t>②清理事故现场应在调查组确认无可取证，并充分记录后方可进行。不得借口恢复生产，擅自清理现场造成掩盖事故真相。</w:t>
      </w:r>
    </w:p>
    <w:p w14:paraId="37AD2A58">
      <w:pPr>
        <w:bidi w:val="0"/>
        <w:rPr>
          <w:rFonts w:hint="eastAsia"/>
        </w:rPr>
      </w:pPr>
      <w:r>
        <w:rPr>
          <w:rFonts w:hint="eastAsia"/>
        </w:rPr>
        <w:t>③</w:t>
      </w:r>
      <w:r>
        <w:rPr>
          <w:rFonts w:hint="eastAsia"/>
          <w:lang w:eastAsia="zh-CN"/>
        </w:rPr>
        <w:t>公司</w:t>
      </w:r>
      <w:r>
        <w:rPr>
          <w:rFonts w:hint="eastAsia"/>
        </w:rPr>
        <w:t>经理应立即向公司领导和安全主管部门汇报情况，并组织人员记录情况和编写事故报告，在1小内向劳动行政部门、公安部门、检察机关、工会以及市建设行政管理部门报告。</w:t>
      </w:r>
    </w:p>
    <w:p w14:paraId="22F5295E">
      <w:pPr>
        <w:pStyle w:val="5"/>
        <w:bidi w:val="0"/>
        <w:rPr>
          <w:rFonts w:hint="eastAsia"/>
        </w:rPr>
      </w:pPr>
      <w:bookmarkStart w:id="308" w:name="_Toc49960697"/>
      <w:bookmarkStart w:id="309" w:name="_Toc25284"/>
      <w:bookmarkStart w:id="310" w:name="_Toc24462673"/>
      <w:bookmarkStart w:id="311" w:name="_Toc9157"/>
      <w:bookmarkStart w:id="312" w:name="_Toc2848"/>
      <w:bookmarkStart w:id="313" w:name="_Toc26269"/>
      <w:bookmarkStart w:id="314" w:name="_Toc91085203"/>
      <w:bookmarkStart w:id="315" w:name="_Toc6713"/>
      <w:r>
        <w:rPr>
          <w:rFonts w:hint="eastAsia"/>
        </w:rPr>
        <w:t>7.5.5 应急救援响应措施</w:t>
      </w:r>
      <w:bookmarkEnd w:id="308"/>
      <w:bookmarkEnd w:id="309"/>
      <w:bookmarkEnd w:id="310"/>
      <w:bookmarkEnd w:id="311"/>
      <w:bookmarkEnd w:id="312"/>
      <w:bookmarkEnd w:id="313"/>
      <w:bookmarkEnd w:id="314"/>
      <w:bookmarkEnd w:id="315"/>
      <w:bookmarkStart w:id="316" w:name="_Toc178088558"/>
      <w:bookmarkStart w:id="317" w:name="_Toc259267775"/>
      <w:bookmarkStart w:id="318" w:name="_Toc174267986"/>
      <w:bookmarkStart w:id="319" w:name="_Toc174267450"/>
      <w:bookmarkStart w:id="320" w:name="_Toc178088264"/>
    </w:p>
    <w:bookmarkEnd w:id="316"/>
    <w:bookmarkEnd w:id="317"/>
    <w:bookmarkEnd w:id="318"/>
    <w:bookmarkEnd w:id="319"/>
    <w:bookmarkEnd w:id="320"/>
    <w:p w14:paraId="16935EE3">
      <w:pPr>
        <w:pStyle w:val="6"/>
        <w:bidi w:val="0"/>
        <w:rPr>
          <w:rFonts w:hint="eastAsia"/>
        </w:rPr>
      </w:pPr>
      <w:bookmarkStart w:id="321" w:name="_Toc178088281"/>
      <w:bookmarkStart w:id="322" w:name="_Toc91085204"/>
      <w:bookmarkStart w:id="323" w:name="_Toc31155"/>
      <w:bookmarkStart w:id="324" w:name="_Toc24462674"/>
      <w:bookmarkStart w:id="325" w:name="_Toc22644"/>
      <w:bookmarkStart w:id="326" w:name="_Toc21958"/>
      <w:bookmarkStart w:id="327" w:name="_Toc3987"/>
      <w:bookmarkStart w:id="328" w:name="_Toc178088575"/>
      <w:bookmarkStart w:id="329" w:name="_Toc1772"/>
      <w:bookmarkStart w:id="330" w:name="_Toc49960698"/>
      <w:r>
        <w:rPr>
          <w:rFonts w:hint="eastAsia"/>
        </w:rPr>
        <w:t>7.5.5.1起重伤害事故应急救援</w:t>
      </w:r>
      <w:bookmarkEnd w:id="321"/>
      <w:bookmarkEnd w:id="322"/>
      <w:bookmarkEnd w:id="323"/>
      <w:bookmarkEnd w:id="324"/>
      <w:bookmarkEnd w:id="325"/>
      <w:bookmarkEnd w:id="326"/>
      <w:bookmarkEnd w:id="327"/>
      <w:bookmarkEnd w:id="328"/>
      <w:bookmarkEnd w:id="329"/>
      <w:bookmarkEnd w:id="330"/>
    </w:p>
    <w:p w14:paraId="35A4A480">
      <w:pPr>
        <w:bidi w:val="0"/>
        <w:rPr>
          <w:rFonts w:hint="eastAsia"/>
        </w:rPr>
      </w:pPr>
      <w:bookmarkStart w:id="331" w:name="_Toc178088282"/>
      <w:bookmarkStart w:id="332" w:name="_Toc178088576"/>
      <w:r>
        <w:rPr>
          <w:rFonts w:hint="eastAsia"/>
        </w:rPr>
        <w:t>⑴事故发生主要环节</w:t>
      </w:r>
      <w:bookmarkEnd w:id="331"/>
      <w:bookmarkEnd w:id="332"/>
    </w:p>
    <w:p w14:paraId="3F5CF520">
      <w:pPr>
        <w:bidi w:val="0"/>
        <w:rPr>
          <w:rFonts w:hint="eastAsia"/>
        </w:rPr>
      </w:pPr>
      <w:r>
        <w:rPr>
          <w:rFonts w:hint="eastAsia"/>
        </w:rPr>
        <w:t>本部分起重伤害事故主要指各种起重吊装设备等。在施工过程中，大型机械制动、吊索、吊具、液压系统等易损环节的安全缺陷以及驾驶人员精神状态不良都容易造成事故的发生。</w:t>
      </w:r>
    </w:p>
    <w:p w14:paraId="16EEEE38">
      <w:pPr>
        <w:bidi w:val="0"/>
        <w:rPr>
          <w:rFonts w:hint="eastAsia"/>
        </w:rPr>
      </w:pPr>
      <w:bookmarkStart w:id="333" w:name="_Toc178088577"/>
      <w:bookmarkStart w:id="334" w:name="_Toc178088283"/>
      <w:r>
        <w:rPr>
          <w:rFonts w:hint="eastAsia"/>
        </w:rPr>
        <w:t>⑵预防措施</w:t>
      </w:r>
      <w:bookmarkEnd w:id="333"/>
      <w:bookmarkEnd w:id="334"/>
    </w:p>
    <w:p w14:paraId="5BC2B88C">
      <w:pPr>
        <w:bidi w:val="0"/>
        <w:rPr>
          <w:rFonts w:hint="eastAsia"/>
        </w:rPr>
      </w:pPr>
      <w:r>
        <w:rPr>
          <w:rFonts w:hint="eastAsia"/>
        </w:rPr>
        <w:t>①由物装部、安全环保部组织人员对机械进行检查验收，确保进场机械的安全性能符合国家相关规定，特种机械驾驶人员持证上岗。</w:t>
      </w:r>
    </w:p>
    <w:p w14:paraId="3932597F">
      <w:pPr>
        <w:bidi w:val="0"/>
        <w:rPr>
          <w:rFonts w:hint="eastAsia"/>
        </w:rPr>
      </w:pPr>
      <w:r>
        <w:rPr>
          <w:rFonts w:hint="eastAsia"/>
        </w:rPr>
        <w:t>②由物装部负责对施工场所内使用的机械进行机械性能安全性检查，建立机械台帐、检查记录、维护保养记录，安全环保部负责对场内机械的安全性能进行抽查。</w:t>
      </w:r>
    </w:p>
    <w:p w14:paraId="4731EB5B">
      <w:pPr>
        <w:bidi w:val="0"/>
        <w:rPr>
          <w:rFonts w:hint="eastAsia"/>
        </w:rPr>
      </w:pPr>
      <w:r>
        <w:rPr>
          <w:rFonts w:hint="eastAsia"/>
        </w:rPr>
        <w:t>③安全环保部负责做好进场机械操作人员的安全教育、安全交底、安全操作规程的学习和急救知识技能的培训工作。</w:t>
      </w:r>
    </w:p>
    <w:p w14:paraId="5236FED1">
      <w:pPr>
        <w:bidi w:val="0"/>
        <w:rPr>
          <w:rFonts w:hint="eastAsia"/>
        </w:rPr>
      </w:pPr>
      <w:r>
        <w:rPr>
          <w:rFonts w:hint="eastAsia"/>
        </w:rPr>
        <w:t>④建立日常检查和专项检查相结合的安全管理控制措施，确保机械安全性能处于可控状态。</w:t>
      </w:r>
    </w:p>
    <w:p w14:paraId="3DF5CE95">
      <w:pPr>
        <w:bidi w:val="0"/>
        <w:rPr>
          <w:rFonts w:hint="eastAsia"/>
        </w:rPr>
      </w:pPr>
      <w:r>
        <w:rPr>
          <w:rFonts w:hint="eastAsia"/>
        </w:rPr>
        <w:t>⑤按照国家相关规定对大型机械进行定期检验、维修、保养。</w:t>
      </w:r>
    </w:p>
    <w:p w14:paraId="0025A4CF">
      <w:pPr>
        <w:bidi w:val="0"/>
        <w:rPr>
          <w:rFonts w:hint="eastAsia"/>
        </w:rPr>
      </w:pPr>
      <w:bookmarkStart w:id="335" w:name="_Toc178088578"/>
      <w:bookmarkStart w:id="336" w:name="_Toc178088284"/>
      <w:r>
        <w:rPr>
          <w:rFonts w:hint="eastAsia"/>
        </w:rPr>
        <w:t>⑶应急救援程序</w:t>
      </w:r>
      <w:bookmarkEnd w:id="335"/>
      <w:bookmarkEnd w:id="336"/>
    </w:p>
    <w:p w14:paraId="79946725">
      <w:pPr>
        <w:bidi w:val="0"/>
        <w:rPr>
          <w:rFonts w:hint="eastAsia"/>
        </w:rPr>
      </w:pPr>
      <w:r>
        <w:rPr>
          <w:rFonts w:hint="eastAsia"/>
        </w:rPr>
        <w:t>①在事故应急救援过程中，坚持“以人为本”的企业理念，以保护遇险职工的生命安全为第一原则，情况危急时，应先组织进行人员疏散工作，之后进行危险处理。</w:t>
      </w:r>
    </w:p>
    <w:p w14:paraId="7B760070">
      <w:pPr>
        <w:bidi w:val="0"/>
        <w:rPr>
          <w:rFonts w:hint="eastAsia"/>
        </w:rPr>
      </w:pPr>
      <w:r>
        <w:rPr>
          <w:rFonts w:hint="eastAsia"/>
        </w:rPr>
        <w:t>②大型机械事故未造成人员伤亡时，按照事故报告程序上报</w:t>
      </w:r>
      <w:r>
        <w:rPr>
          <w:rFonts w:hint="eastAsia"/>
          <w:lang w:eastAsia="zh-CN"/>
        </w:rPr>
        <w:t>公司</w:t>
      </w:r>
      <w:r>
        <w:rPr>
          <w:rFonts w:hint="eastAsia"/>
        </w:rPr>
        <w:t>安全主管，由安全主管带队对事故进行调查，技术部和物装部负责组织人员对事故现场进行恢复，尽可能不要影响施工进度、质量。</w:t>
      </w:r>
    </w:p>
    <w:p w14:paraId="2986336F">
      <w:pPr>
        <w:bidi w:val="0"/>
        <w:rPr>
          <w:rFonts w:hint="eastAsia"/>
        </w:rPr>
      </w:pPr>
      <w:r>
        <w:rPr>
          <w:rFonts w:hint="eastAsia"/>
        </w:rPr>
        <w:t>③有人员伤亡时，应在第一时间拨打119等急救电话请求外部支援，同时通知安全主管，安全主管接到事故报告后，立即报告</w:t>
      </w:r>
      <w:r>
        <w:rPr>
          <w:rFonts w:hint="eastAsia"/>
          <w:lang w:eastAsia="zh-CN"/>
        </w:rPr>
        <w:t>公司</w:t>
      </w:r>
      <w:r>
        <w:rPr>
          <w:rFonts w:hint="eastAsia"/>
        </w:rPr>
        <w:t>经理并通知应急救援小组按照预案内容根据自己的职责组织抢险救援。</w:t>
      </w:r>
    </w:p>
    <w:p w14:paraId="36F3E9FB">
      <w:pPr>
        <w:pStyle w:val="6"/>
        <w:bidi w:val="0"/>
        <w:rPr>
          <w:rFonts w:hint="eastAsia"/>
        </w:rPr>
      </w:pPr>
      <w:bookmarkStart w:id="337" w:name="_Toc2128"/>
      <w:bookmarkStart w:id="338" w:name="_Toc25599"/>
      <w:bookmarkStart w:id="339" w:name="_Toc49960699"/>
      <w:bookmarkStart w:id="340" w:name="_Toc11359"/>
      <w:bookmarkStart w:id="341" w:name="_Toc24462675"/>
      <w:bookmarkStart w:id="342" w:name="_Toc178088579"/>
      <w:bookmarkStart w:id="343" w:name="_Toc10168"/>
      <w:bookmarkStart w:id="344" w:name="_Toc4209"/>
      <w:bookmarkStart w:id="345" w:name="_Toc91085205"/>
      <w:bookmarkStart w:id="346" w:name="_Toc178088285"/>
      <w:r>
        <w:rPr>
          <w:rFonts w:hint="eastAsia"/>
        </w:rPr>
        <w:t>7.5.5.2触电事故应急救援</w:t>
      </w:r>
      <w:bookmarkEnd w:id="337"/>
      <w:bookmarkEnd w:id="338"/>
      <w:bookmarkEnd w:id="339"/>
      <w:bookmarkEnd w:id="340"/>
      <w:bookmarkEnd w:id="341"/>
      <w:bookmarkEnd w:id="342"/>
      <w:bookmarkEnd w:id="343"/>
      <w:bookmarkEnd w:id="344"/>
      <w:bookmarkEnd w:id="345"/>
      <w:bookmarkEnd w:id="346"/>
    </w:p>
    <w:p w14:paraId="46C50BDA">
      <w:pPr>
        <w:bidi w:val="0"/>
        <w:rPr>
          <w:rFonts w:hint="eastAsia"/>
        </w:rPr>
      </w:pPr>
      <w:bookmarkStart w:id="347" w:name="_Toc178088286"/>
      <w:bookmarkStart w:id="348" w:name="_Toc178088580"/>
      <w:r>
        <w:rPr>
          <w:rFonts w:hint="eastAsia"/>
        </w:rPr>
        <w:t>⑴ 事故发生主要环节</w:t>
      </w:r>
      <w:bookmarkEnd w:id="347"/>
      <w:bookmarkEnd w:id="348"/>
    </w:p>
    <w:p w14:paraId="3FCAE3C2">
      <w:pPr>
        <w:bidi w:val="0"/>
        <w:rPr>
          <w:rFonts w:hint="eastAsia"/>
        </w:rPr>
      </w:pPr>
      <w:r>
        <w:rPr>
          <w:rFonts w:hint="eastAsia"/>
        </w:rPr>
        <w:t>在建工程与外电高压线之间未达到安全操作距离或防护不符合安全要求；临时用电架设未采用TN-S系统及“三级配电两级保护”要求；雨天露天电焊作业；不遵守手持电动工具安全操作规程；照明灯具金属外壳未作接零保护；潮湿作业未采用安全电压；高大机械设备未设防雷接地；非专职电工操作临时用电等。</w:t>
      </w:r>
    </w:p>
    <w:p w14:paraId="37CE1F05">
      <w:pPr>
        <w:bidi w:val="0"/>
        <w:rPr>
          <w:rFonts w:hint="eastAsia"/>
        </w:rPr>
      </w:pPr>
      <w:bookmarkStart w:id="349" w:name="_Toc178088581"/>
      <w:bookmarkStart w:id="350" w:name="_Toc178088287"/>
      <w:r>
        <w:rPr>
          <w:rFonts w:hint="eastAsia"/>
        </w:rPr>
        <w:t>⑵ 预防措施</w:t>
      </w:r>
      <w:bookmarkEnd w:id="349"/>
      <w:bookmarkEnd w:id="350"/>
    </w:p>
    <w:p w14:paraId="4B422FE6">
      <w:pPr>
        <w:bidi w:val="0"/>
        <w:rPr>
          <w:rFonts w:hint="eastAsia"/>
        </w:rPr>
      </w:pPr>
      <w:r>
        <w:rPr>
          <w:rFonts w:hint="eastAsia"/>
        </w:rPr>
        <w:t>① 施工现场做到临时用电的架设、维护、拆除等由专职电工完成。</w:t>
      </w:r>
    </w:p>
    <w:p w14:paraId="721B16EE">
      <w:pPr>
        <w:bidi w:val="0"/>
        <w:rPr>
          <w:rFonts w:hint="eastAsia"/>
        </w:rPr>
      </w:pPr>
      <w:r>
        <w:rPr>
          <w:rFonts w:hint="eastAsia"/>
        </w:rPr>
        <w:t>② 在建工程的外侧防护与外电高压线之间必须保持安全操作距离。达不到要求的，要增设屏障、遮栏或保护网，避免施工机械设备或钢架触高压电线。无安全防护措施时，禁止强行施工。</w:t>
      </w:r>
    </w:p>
    <w:p w14:paraId="6D5CB72E">
      <w:pPr>
        <w:bidi w:val="0"/>
        <w:rPr>
          <w:rFonts w:hint="eastAsia"/>
        </w:rPr>
      </w:pPr>
      <w:r>
        <w:rPr>
          <w:rFonts w:hint="eastAsia"/>
        </w:rPr>
        <w:t>③ 采用TN-S系统和漏电保护系统，组成防触电保护系统，形成防触电二道防线。</w:t>
      </w:r>
    </w:p>
    <w:p w14:paraId="27DBC860">
      <w:pPr>
        <w:bidi w:val="0"/>
        <w:rPr>
          <w:rFonts w:hint="eastAsia"/>
        </w:rPr>
      </w:pPr>
      <w:r>
        <w:rPr>
          <w:rFonts w:hint="eastAsia"/>
        </w:rPr>
        <w:t>④ 在建工程不得在高、低压线下方施工、搭设工棚、建造生活设施或堆放构件、架具、材料及其他杂物。</w:t>
      </w:r>
    </w:p>
    <w:p w14:paraId="667C1F9F">
      <w:pPr>
        <w:bidi w:val="0"/>
        <w:rPr>
          <w:rFonts w:hint="eastAsia"/>
        </w:rPr>
      </w:pPr>
      <w:r>
        <w:rPr>
          <w:rFonts w:hint="eastAsia"/>
        </w:rPr>
        <w:t>⑤ 坚持“一机、一闸、一漏、一箱”。配电箱、开关箱要合理设置，避免不良环境因素损害和引发电气火灾，其装设位置应避开污染物质、外来固体撞击、强烈振动、高温、潮湿、水溅，以及易燃易爆物等。</w:t>
      </w:r>
    </w:p>
    <w:p w14:paraId="0AD24891">
      <w:pPr>
        <w:bidi w:val="0"/>
        <w:rPr>
          <w:rFonts w:hint="eastAsia"/>
        </w:rPr>
      </w:pPr>
      <w:r>
        <w:rPr>
          <w:rFonts w:hint="eastAsia"/>
        </w:rPr>
        <w:t>⑥ 雨天禁止露天电焊作业。</w:t>
      </w:r>
    </w:p>
    <w:p w14:paraId="7DB9BB66">
      <w:pPr>
        <w:bidi w:val="0"/>
        <w:rPr>
          <w:rFonts w:hint="eastAsia"/>
        </w:rPr>
      </w:pPr>
      <w:r>
        <w:rPr>
          <w:rFonts w:hint="eastAsia"/>
        </w:rPr>
        <w:t>⑦ 按照《建筑施工临时用电安全技术规范》的要求，做好各类电动机械和手持电动工具的接地或接零保护，保证其安全使用。凡移动式照明，必须采用安全电压。</w:t>
      </w:r>
    </w:p>
    <w:p w14:paraId="44D8FF44">
      <w:pPr>
        <w:bidi w:val="0"/>
        <w:rPr>
          <w:rFonts w:hint="eastAsia"/>
        </w:rPr>
      </w:pPr>
      <w:r>
        <w:rPr>
          <w:rFonts w:hint="eastAsia"/>
        </w:rPr>
        <w:t>⑧ 坚持临时用电定期检查制度。</w:t>
      </w:r>
    </w:p>
    <w:p w14:paraId="7B8BA4E3">
      <w:pPr>
        <w:bidi w:val="0"/>
        <w:rPr>
          <w:rFonts w:hint="eastAsia"/>
        </w:rPr>
      </w:pPr>
      <w:bookmarkStart w:id="351" w:name="_Toc178088582"/>
      <w:bookmarkStart w:id="352" w:name="_Toc178088288"/>
      <w:r>
        <w:rPr>
          <w:rFonts w:hint="eastAsia"/>
        </w:rPr>
        <w:t>⑶ 应急救援程序</w:t>
      </w:r>
      <w:bookmarkEnd w:id="351"/>
      <w:bookmarkEnd w:id="352"/>
    </w:p>
    <w:p w14:paraId="12954BB7">
      <w:pPr>
        <w:bidi w:val="0"/>
        <w:rPr>
          <w:rFonts w:hint="eastAsia"/>
        </w:rPr>
      </w:pPr>
      <w:r>
        <w:rPr>
          <w:rFonts w:hint="eastAsia"/>
        </w:rPr>
        <w:t>① 迅速关闭开关，切断电源，使触电者尽快脱离电源。确认自己无触电危险再进行救护。用绝缘物品挑开或切断触电者身上的电线、灯、插座等带电物品。</w:t>
      </w:r>
    </w:p>
    <w:p w14:paraId="473C5490">
      <w:pPr>
        <w:bidi w:val="0"/>
        <w:rPr>
          <w:rFonts w:hint="eastAsia"/>
        </w:rPr>
      </w:pPr>
      <w:r>
        <w:rPr>
          <w:rFonts w:hint="eastAsia"/>
        </w:rPr>
        <w:t>② 绝缘物品：干燥的竹竿、木棍、扁担、塑料棒等，带木柄的铲子、电工用绝缘钳子。抢救者可站在绝缘物体上，如胶垫、木板；穿着绝缘的鞋、塑料鞋、胶底鞋等。</w:t>
      </w:r>
    </w:p>
    <w:p w14:paraId="3B82CE7D">
      <w:pPr>
        <w:bidi w:val="0"/>
        <w:rPr>
          <w:rFonts w:hint="eastAsia"/>
        </w:rPr>
      </w:pPr>
      <w:r>
        <w:rPr>
          <w:rFonts w:hint="eastAsia"/>
        </w:rPr>
        <w:t>③ 触电者脱离电源后，立即将其抬至通风较好的地方，解开病人衣扣、裤带。轻型触电者在脱离电源后，应就地休息1～2小时后再活动。</w:t>
      </w:r>
    </w:p>
    <w:p w14:paraId="3666FBD8">
      <w:pPr>
        <w:bidi w:val="0"/>
        <w:rPr>
          <w:rFonts w:hint="eastAsia"/>
        </w:rPr>
      </w:pPr>
      <w:r>
        <w:rPr>
          <w:rFonts w:hint="eastAsia"/>
        </w:rPr>
        <w:t>④ 如果呼吸、心跳停止，必须争分夺秒进行口对口人工呼吸和胸外心脏按压。触电者必须坚持长时间的人工呼吸和心脏按压。</w:t>
      </w:r>
    </w:p>
    <w:p w14:paraId="7FCD0A66">
      <w:pPr>
        <w:bidi w:val="0"/>
        <w:rPr>
          <w:rFonts w:hint="eastAsia"/>
        </w:rPr>
      </w:pPr>
      <w:r>
        <w:rPr>
          <w:rFonts w:hint="eastAsia"/>
        </w:rPr>
        <w:t>⑤ 立即拨打120，急救医生到现场救护。并在不间断抢救的情况下护送到医院进一步急救。</w:t>
      </w:r>
    </w:p>
    <w:p w14:paraId="71858543">
      <w:pPr>
        <w:pStyle w:val="6"/>
        <w:bidi w:val="0"/>
        <w:rPr>
          <w:rFonts w:hint="eastAsia"/>
        </w:rPr>
      </w:pPr>
      <w:bookmarkStart w:id="353" w:name="_Toc17327"/>
      <w:bookmarkStart w:id="354" w:name="_Toc178088587"/>
      <w:bookmarkStart w:id="355" w:name="_Toc28288"/>
      <w:bookmarkStart w:id="356" w:name="_Toc91085206"/>
      <w:bookmarkStart w:id="357" w:name="_Toc836"/>
      <w:bookmarkStart w:id="358" w:name="_Toc24462677"/>
      <w:bookmarkStart w:id="359" w:name="_Toc178088293"/>
      <w:bookmarkStart w:id="360" w:name="_Toc15572"/>
      <w:bookmarkStart w:id="361" w:name="_Toc12286"/>
      <w:bookmarkStart w:id="362" w:name="_Toc49960700"/>
      <w:r>
        <w:rPr>
          <w:rFonts w:hint="eastAsia"/>
        </w:rPr>
        <w:t>7.5.5.3场内交通事故应急救援</w:t>
      </w:r>
      <w:bookmarkEnd w:id="353"/>
      <w:bookmarkEnd w:id="354"/>
      <w:bookmarkEnd w:id="355"/>
      <w:bookmarkEnd w:id="356"/>
      <w:bookmarkEnd w:id="357"/>
      <w:bookmarkEnd w:id="358"/>
      <w:bookmarkEnd w:id="359"/>
      <w:bookmarkEnd w:id="360"/>
      <w:bookmarkEnd w:id="361"/>
      <w:bookmarkEnd w:id="362"/>
    </w:p>
    <w:p w14:paraId="75B286EE">
      <w:pPr>
        <w:bidi w:val="0"/>
        <w:rPr>
          <w:rFonts w:hint="eastAsia"/>
        </w:rPr>
      </w:pPr>
      <w:bookmarkStart w:id="363" w:name="_Toc178088588"/>
      <w:bookmarkStart w:id="364" w:name="_Toc178088294"/>
      <w:r>
        <w:rPr>
          <w:rFonts w:hint="eastAsia"/>
        </w:rPr>
        <w:t>⑴ 事故发生主要环节</w:t>
      </w:r>
      <w:bookmarkEnd w:id="363"/>
      <w:bookmarkEnd w:id="364"/>
    </w:p>
    <w:p w14:paraId="355373E4">
      <w:pPr>
        <w:bidi w:val="0"/>
        <w:rPr>
          <w:rFonts w:hint="eastAsia"/>
        </w:rPr>
      </w:pPr>
      <w:r>
        <w:rPr>
          <w:rFonts w:hint="eastAsia"/>
        </w:rPr>
        <w:t>本</w:t>
      </w:r>
      <w:r>
        <w:rPr>
          <w:rFonts w:hint="eastAsia"/>
          <w:lang w:eastAsia="zh-CN"/>
        </w:rPr>
        <w:t>公司</w:t>
      </w:r>
      <w:r>
        <w:rPr>
          <w:rFonts w:hint="eastAsia"/>
        </w:rPr>
        <w:t>施工现场内交叉作业较多，特别是钢筋运输、钢板桩运输、施工便道上、拌合站内机械车辆较多，作业人员较多，极易发生交通事故。</w:t>
      </w:r>
    </w:p>
    <w:p w14:paraId="2AD98584">
      <w:pPr>
        <w:bidi w:val="0"/>
        <w:rPr>
          <w:rFonts w:hint="eastAsia"/>
        </w:rPr>
      </w:pPr>
      <w:bookmarkStart w:id="365" w:name="_Toc178088295"/>
      <w:bookmarkStart w:id="366" w:name="_Toc178088589"/>
      <w:r>
        <w:rPr>
          <w:rFonts w:hint="eastAsia"/>
        </w:rPr>
        <w:t>⑵ 预防措施</w:t>
      </w:r>
      <w:bookmarkEnd w:id="365"/>
      <w:bookmarkEnd w:id="366"/>
    </w:p>
    <w:p w14:paraId="7E8E3099">
      <w:pPr>
        <w:bidi w:val="0"/>
        <w:rPr>
          <w:rFonts w:hint="eastAsia"/>
        </w:rPr>
      </w:pPr>
      <w:r>
        <w:rPr>
          <w:rFonts w:hint="eastAsia"/>
        </w:rPr>
        <w:t>① 场内机械车辆行驶速度严禁超过5km/h。</w:t>
      </w:r>
    </w:p>
    <w:p w14:paraId="54FB2D02">
      <w:pPr>
        <w:bidi w:val="0"/>
        <w:rPr>
          <w:rFonts w:hint="eastAsia"/>
        </w:rPr>
      </w:pPr>
      <w:r>
        <w:rPr>
          <w:rFonts w:hint="eastAsia"/>
        </w:rPr>
        <w:t>② 在施工便道设置明显警戒区域，无关人员不准进入。</w:t>
      </w:r>
    </w:p>
    <w:p w14:paraId="76376E34">
      <w:pPr>
        <w:bidi w:val="0"/>
        <w:rPr>
          <w:rFonts w:hint="eastAsia"/>
        </w:rPr>
      </w:pPr>
      <w:r>
        <w:rPr>
          <w:rFonts w:hint="eastAsia"/>
        </w:rPr>
        <w:t>③ 加强场内机械、车辆驾驶人员的安全意识，吊车在行使时应先观察周围是否有人，再进行移动。</w:t>
      </w:r>
    </w:p>
    <w:p w14:paraId="77247E5A">
      <w:pPr>
        <w:bidi w:val="0"/>
        <w:rPr>
          <w:rFonts w:hint="eastAsia"/>
        </w:rPr>
      </w:pPr>
      <w:r>
        <w:rPr>
          <w:rFonts w:hint="eastAsia"/>
        </w:rPr>
        <w:t>④ 做好施工机械、车辆的维修保养工作，每台机械由专人负责，避免因为车况不良造成交通事故。</w:t>
      </w:r>
    </w:p>
    <w:p w14:paraId="29184B4E">
      <w:pPr>
        <w:bidi w:val="0"/>
        <w:rPr>
          <w:rFonts w:hint="eastAsia"/>
        </w:rPr>
      </w:pPr>
      <w:bookmarkStart w:id="367" w:name="_Toc178088590"/>
      <w:bookmarkStart w:id="368" w:name="_Toc178088296"/>
      <w:r>
        <w:rPr>
          <w:rFonts w:hint="eastAsia"/>
        </w:rPr>
        <w:t>⑶ 应急救援程序</w:t>
      </w:r>
      <w:bookmarkEnd w:id="367"/>
      <w:bookmarkEnd w:id="368"/>
    </w:p>
    <w:p w14:paraId="513DF022">
      <w:pPr>
        <w:bidi w:val="0"/>
        <w:rPr>
          <w:rFonts w:hint="eastAsia"/>
        </w:rPr>
      </w:pPr>
      <w:r>
        <w:rPr>
          <w:rFonts w:hint="eastAsia"/>
        </w:rPr>
        <w:t>① 交通事故发生之后，若无人员伤亡情况，则通知</w:t>
      </w:r>
      <w:r>
        <w:rPr>
          <w:rFonts w:hint="eastAsia"/>
          <w:lang w:eastAsia="zh-CN"/>
        </w:rPr>
        <w:t>公司</w:t>
      </w:r>
      <w:r>
        <w:rPr>
          <w:rFonts w:hint="eastAsia"/>
        </w:rPr>
        <w:t>安全主管，由安全主管组织人员进行事故急救。</w:t>
      </w:r>
    </w:p>
    <w:p w14:paraId="17953444">
      <w:pPr>
        <w:bidi w:val="0"/>
        <w:rPr>
          <w:rFonts w:hint="eastAsia"/>
        </w:rPr>
      </w:pPr>
      <w:r>
        <w:rPr>
          <w:rFonts w:hint="eastAsia"/>
        </w:rPr>
        <w:t>② 若有人员伤亡情况，应该在第一时间拨打112、119等社会急救援助部门的电话求助，之后按照事故报告程序进行事故报告。</w:t>
      </w:r>
    </w:p>
    <w:p w14:paraId="19229B71">
      <w:pPr>
        <w:bidi w:val="0"/>
        <w:rPr>
          <w:rFonts w:hint="eastAsia"/>
        </w:rPr>
      </w:pPr>
      <w:r>
        <w:rPr>
          <w:rFonts w:hint="eastAsia"/>
        </w:rPr>
        <w:t>③ 事故影响较大时，应该在第一时间通知应急救援领导小组，组织人员展开救援活动，尽量保护参建员工的生命安全和</w:t>
      </w:r>
      <w:r>
        <w:rPr>
          <w:rFonts w:hint="eastAsia"/>
          <w:lang w:eastAsia="zh-CN"/>
        </w:rPr>
        <w:t>公司</w:t>
      </w:r>
      <w:r>
        <w:rPr>
          <w:rFonts w:hint="eastAsia"/>
        </w:rPr>
        <w:t>财产安全，并按照《企业职工伤亡事故报告处理程序》上报上级领导部门及相关政府机构。</w:t>
      </w:r>
    </w:p>
    <w:p w14:paraId="6024015D">
      <w:pPr>
        <w:bidi w:val="0"/>
        <w:rPr>
          <w:rFonts w:hint="eastAsia"/>
        </w:rPr>
      </w:pPr>
      <w:r>
        <w:rPr>
          <w:rFonts w:hint="eastAsia"/>
        </w:rPr>
        <w:t>④ 事故调查小组应该对事故现场情况进行拍照留底，留做事故定性及责任划分以及上级领导部门事故调查的依据。</w:t>
      </w:r>
    </w:p>
    <w:p w14:paraId="41387D55">
      <w:pPr>
        <w:bidi w:val="0"/>
        <w:rPr>
          <w:rFonts w:hint="eastAsia"/>
        </w:rPr>
      </w:pPr>
      <w:r>
        <w:rPr>
          <w:rFonts w:hint="eastAsia"/>
        </w:rPr>
        <w:t>⑤ 组织有关部门和人员妥善做好伤亡人员的处置和身份确认，对伤亡人员家属做好相应的接待和安抚解释工作。</w:t>
      </w:r>
    </w:p>
    <w:p w14:paraId="4BD36489">
      <w:pPr>
        <w:bidi w:val="0"/>
        <w:rPr>
          <w:rFonts w:hint="eastAsia"/>
        </w:rPr>
      </w:pPr>
      <w:r>
        <w:rPr>
          <w:rFonts w:hint="eastAsia"/>
        </w:rPr>
        <w:t>⑥ 按照实事求是、尊重科学的原则，在交管部门、指挥部、政府安全管理部门查明事故原因和责任、对事故进行处理的基础上，</w:t>
      </w:r>
      <w:r>
        <w:rPr>
          <w:rFonts w:hint="eastAsia"/>
          <w:lang w:eastAsia="zh-CN"/>
        </w:rPr>
        <w:t>公司</w:t>
      </w:r>
      <w:r>
        <w:rPr>
          <w:rFonts w:hint="eastAsia"/>
        </w:rPr>
        <w:t>编写事故报告，总结事故教训，制定防范措施，并上报总公司安全环保管理部。</w:t>
      </w:r>
    </w:p>
    <w:p w14:paraId="366C511E">
      <w:pPr>
        <w:pStyle w:val="6"/>
        <w:bidi w:val="0"/>
        <w:rPr>
          <w:rFonts w:hint="eastAsia"/>
        </w:rPr>
      </w:pPr>
      <w:bookmarkStart w:id="369" w:name="_Toc21563"/>
      <w:bookmarkStart w:id="370" w:name="_Toc178088297"/>
      <w:bookmarkStart w:id="371" w:name="_Toc24462678"/>
      <w:bookmarkStart w:id="372" w:name="_Toc30902"/>
      <w:bookmarkStart w:id="373" w:name="_Toc178088591"/>
      <w:bookmarkStart w:id="374" w:name="_Toc15387"/>
      <w:bookmarkStart w:id="375" w:name="_Toc91085207"/>
      <w:bookmarkStart w:id="376" w:name="_Toc8573"/>
      <w:bookmarkStart w:id="377" w:name="_Toc49960702"/>
      <w:r>
        <w:rPr>
          <w:rFonts w:hint="eastAsia"/>
        </w:rPr>
        <w:t>7.5.5.4火灾事故应急救援</w:t>
      </w:r>
      <w:bookmarkEnd w:id="369"/>
      <w:bookmarkEnd w:id="370"/>
      <w:bookmarkEnd w:id="371"/>
      <w:bookmarkEnd w:id="372"/>
      <w:bookmarkEnd w:id="373"/>
      <w:bookmarkEnd w:id="374"/>
      <w:bookmarkEnd w:id="375"/>
      <w:bookmarkEnd w:id="376"/>
      <w:bookmarkEnd w:id="377"/>
    </w:p>
    <w:p w14:paraId="77E8B8BA">
      <w:pPr>
        <w:bidi w:val="0"/>
        <w:rPr>
          <w:rFonts w:hint="eastAsia"/>
        </w:rPr>
      </w:pPr>
      <w:r>
        <w:rPr>
          <w:rFonts w:hint="eastAsia"/>
        </w:rPr>
        <w:t>火灾事故的危害及社会影响较大，极易造成人员伤亡和财产、原始资料损失事故，一旦发生，将会给</w:t>
      </w:r>
      <w:r>
        <w:rPr>
          <w:rFonts w:hint="eastAsia"/>
          <w:lang w:eastAsia="zh-CN"/>
        </w:rPr>
        <w:t>公司</w:t>
      </w:r>
      <w:r>
        <w:rPr>
          <w:rFonts w:hint="eastAsia"/>
        </w:rPr>
        <w:t>施工带来极大的不良影响。</w:t>
      </w:r>
    </w:p>
    <w:p w14:paraId="75FEB461">
      <w:pPr>
        <w:bidi w:val="0"/>
        <w:rPr>
          <w:rFonts w:hint="eastAsia"/>
        </w:rPr>
      </w:pPr>
      <w:r>
        <w:rPr>
          <w:rFonts w:hint="eastAsia"/>
        </w:rPr>
        <w:t>生产生活中，</w:t>
      </w:r>
      <w:r>
        <w:rPr>
          <w:rFonts w:hint="eastAsia"/>
          <w:lang w:eastAsia="zh-CN"/>
        </w:rPr>
        <w:t>公司</w:t>
      </w:r>
      <w:r>
        <w:rPr>
          <w:rFonts w:hint="eastAsia"/>
        </w:rPr>
        <w:t>应该将预防火灾事故作为安全管理的重点环节进行管理，尽可能早的进行安全应急救援知识、技能的培训，争取在事故发生的第一时间消除险情，确保员工生命安全和财产不受到伤害。</w:t>
      </w:r>
    </w:p>
    <w:p w14:paraId="00332E33">
      <w:pPr>
        <w:bidi w:val="0"/>
        <w:rPr>
          <w:rFonts w:hint="eastAsia"/>
        </w:rPr>
      </w:pPr>
      <w:bookmarkStart w:id="378" w:name="_Toc178088298"/>
      <w:bookmarkStart w:id="379" w:name="_Toc178088592"/>
      <w:r>
        <w:rPr>
          <w:rFonts w:hint="eastAsia"/>
        </w:rPr>
        <w:t>⑴ 事故发生主要环节</w:t>
      </w:r>
      <w:bookmarkEnd w:id="378"/>
      <w:bookmarkEnd w:id="379"/>
    </w:p>
    <w:p w14:paraId="01323E85">
      <w:pPr>
        <w:bidi w:val="0"/>
        <w:rPr>
          <w:rFonts w:hint="eastAsia"/>
        </w:rPr>
      </w:pPr>
      <w:r>
        <w:rPr>
          <w:rFonts w:hint="eastAsia"/>
        </w:rPr>
        <w:t>办公区纸质资料、电脑用电插板、氧气/乙炔存放区、配电室、员工生活区。</w:t>
      </w:r>
    </w:p>
    <w:p w14:paraId="4B97651B">
      <w:pPr>
        <w:bidi w:val="0"/>
        <w:rPr>
          <w:rFonts w:hint="eastAsia"/>
        </w:rPr>
      </w:pPr>
      <w:bookmarkStart w:id="380" w:name="_Toc178088593"/>
      <w:bookmarkStart w:id="381" w:name="_Toc178088299"/>
      <w:r>
        <w:rPr>
          <w:rFonts w:hint="eastAsia"/>
        </w:rPr>
        <w:t>⑵ 预防措施</w:t>
      </w:r>
      <w:bookmarkEnd w:id="380"/>
      <w:bookmarkEnd w:id="381"/>
    </w:p>
    <w:p w14:paraId="033FD5A8">
      <w:pPr>
        <w:bidi w:val="0"/>
        <w:rPr>
          <w:rFonts w:hint="eastAsia"/>
        </w:rPr>
      </w:pPr>
      <w:r>
        <w:rPr>
          <w:rFonts w:hint="eastAsia"/>
        </w:rPr>
        <w:t>① 加强生活区及办公区的用电防火安全工作，提高职工防火意识及急救技能。</w:t>
      </w:r>
    </w:p>
    <w:p w14:paraId="070AB0C0">
      <w:pPr>
        <w:bidi w:val="0"/>
        <w:rPr>
          <w:rFonts w:hint="eastAsia"/>
        </w:rPr>
      </w:pPr>
      <w:r>
        <w:rPr>
          <w:rFonts w:hint="eastAsia"/>
        </w:rPr>
        <w:t>② 严格按照《消防法》、《建筑设计防火规范》的相关条款配置足够的灭火器，并分区段由专人负责检查。</w:t>
      </w:r>
      <w:bookmarkStart w:id="382" w:name="_Toc178088594"/>
      <w:bookmarkStart w:id="383" w:name="_Toc178088300"/>
    </w:p>
    <w:p w14:paraId="5A8E3D76">
      <w:pPr>
        <w:bidi w:val="0"/>
        <w:rPr>
          <w:rFonts w:hint="eastAsia"/>
        </w:rPr>
      </w:pPr>
      <w:r>
        <w:rPr>
          <w:rFonts w:hint="eastAsia"/>
        </w:rPr>
        <w:t>⑶ 应急救援程序</w:t>
      </w:r>
      <w:bookmarkEnd w:id="382"/>
      <w:bookmarkEnd w:id="383"/>
    </w:p>
    <w:p w14:paraId="398B0D7C">
      <w:pPr>
        <w:bidi w:val="0"/>
        <w:rPr>
          <w:rFonts w:hint="eastAsia"/>
        </w:rPr>
      </w:pPr>
      <w:r>
        <w:rPr>
          <w:rFonts w:hint="eastAsia"/>
        </w:rPr>
        <w:t>① 火灾发生之后，应该立即进行上报，并拨打“112，119”等急救电话请求支援。</w:t>
      </w:r>
    </w:p>
    <w:p w14:paraId="1B7BA870">
      <w:pPr>
        <w:bidi w:val="0"/>
        <w:rPr>
          <w:rFonts w:hint="eastAsia"/>
        </w:rPr>
      </w:pPr>
      <w:r>
        <w:rPr>
          <w:rFonts w:hint="eastAsia"/>
        </w:rPr>
        <w:t>② 火灾较小时，现场人员应该就近取灭火器进行救援。火灾较大时，现场管理人员应该组织人员有序的进行撤离。</w:t>
      </w:r>
    </w:p>
    <w:p w14:paraId="382B0EF4">
      <w:pPr>
        <w:bidi w:val="0"/>
        <w:rPr>
          <w:rFonts w:hint="eastAsia"/>
        </w:rPr>
      </w:pPr>
      <w:r>
        <w:rPr>
          <w:rFonts w:hint="eastAsia"/>
        </w:rPr>
        <w:t xml:space="preserve">③ </w:t>
      </w:r>
      <w:r>
        <w:rPr>
          <w:rFonts w:hint="eastAsia"/>
          <w:lang w:eastAsia="zh-CN"/>
        </w:rPr>
        <w:t>公司</w:t>
      </w:r>
      <w:r>
        <w:rPr>
          <w:rFonts w:hint="eastAsia"/>
        </w:rPr>
        <w:t>接到事故报告后，应该立即组织人员抢救，首先保证参建员工的生命财产安全和施工原始资料的保存，并请求社会急救单位的支援。</w:t>
      </w:r>
    </w:p>
    <w:p w14:paraId="0355DBB2">
      <w:pPr>
        <w:bidi w:val="0"/>
        <w:rPr>
          <w:rFonts w:hint="eastAsia"/>
        </w:rPr>
      </w:pPr>
      <w:r>
        <w:rPr>
          <w:rFonts w:hint="eastAsia"/>
        </w:rPr>
        <w:t>④ 事故发生后，应该按照《企业职工伤亡事故报告和处理规定》及企业相关要求进行上指挥部和安全生产管理相关机构。</w:t>
      </w:r>
    </w:p>
    <w:p w14:paraId="6BF08BFA">
      <w:pPr>
        <w:bidi w:val="0"/>
        <w:rPr>
          <w:rFonts w:hint="eastAsia"/>
        </w:rPr>
      </w:pPr>
      <w:r>
        <w:rPr>
          <w:rFonts w:hint="eastAsia"/>
        </w:rPr>
        <w:t>⑤ 事故急救处理完毕后，由</w:t>
      </w:r>
      <w:r>
        <w:rPr>
          <w:rFonts w:hint="eastAsia"/>
          <w:lang w:eastAsia="zh-CN"/>
        </w:rPr>
        <w:t>公司</w:t>
      </w:r>
      <w:r>
        <w:rPr>
          <w:rFonts w:hint="eastAsia"/>
        </w:rPr>
        <w:t>经理带队，</w:t>
      </w:r>
      <w:r>
        <w:rPr>
          <w:rFonts w:hint="eastAsia"/>
          <w:lang w:eastAsia="zh-CN"/>
        </w:rPr>
        <w:t>公司</w:t>
      </w:r>
      <w:r>
        <w:rPr>
          <w:rFonts w:hint="eastAsia"/>
        </w:rPr>
        <w:t>安全主管负责对事故的起因、过程、责任人进行确定，细化完善安全防护措施和管理制度，并对应急救援预案进行进一步改进。</w:t>
      </w:r>
    </w:p>
    <w:p w14:paraId="26165927">
      <w:pPr>
        <w:pStyle w:val="6"/>
        <w:bidi w:val="0"/>
        <w:rPr>
          <w:rFonts w:hint="eastAsia"/>
        </w:rPr>
      </w:pPr>
      <w:bookmarkStart w:id="384" w:name="_Toc436750053"/>
      <w:bookmarkStart w:id="385" w:name="_Toc437369495"/>
      <w:bookmarkStart w:id="386" w:name="_Toc7221"/>
      <w:bookmarkStart w:id="387" w:name="_Toc24462681"/>
      <w:bookmarkStart w:id="388" w:name="_Toc20433"/>
      <w:bookmarkStart w:id="389" w:name="_Toc49960704"/>
      <w:bookmarkStart w:id="390" w:name="_Toc21282"/>
      <w:bookmarkStart w:id="391" w:name="_Toc30691"/>
      <w:bookmarkStart w:id="392" w:name="_Toc91085208"/>
      <w:r>
        <w:rPr>
          <w:rFonts w:hint="eastAsia"/>
        </w:rPr>
        <w:t>7.5.5.5机械伤害应急</w:t>
      </w:r>
      <w:bookmarkEnd w:id="384"/>
      <w:bookmarkEnd w:id="385"/>
      <w:r>
        <w:rPr>
          <w:rFonts w:hint="eastAsia"/>
        </w:rPr>
        <w:t>救援</w:t>
      </w:r>
      <w:bookmarkEnd w:id="386"/>
      <w:bookmarkEnd w:id="387"/>
      <w:bookmarkEnd w:id="388"/>
      <w:bookmarkEnd w:id="389"/>
      <w:bookmarkEnd w:id="390"/>
      <w:bookmarkEnd w:id="391"/>
      <w:bookmarkEnd w:id="392"/>
    </w:p>
    <w:p w14:paraId="241EADEF">
      <w:pPr>
        <w:bidi w:val="0"/>
        <w:rPr>
          <w:rFonts w:hint="eastAsia"/>
        </w:rPr>
      </w:pPr>
      <w:r>
        <w:rPr>
          <w:rFonts w:hint="eastAsia"/>
        </w:rPr>
        <w:t>⑴ 事故发生主要环节</w:t>
      </w:r>
    </w:p>
    <w:p w14:paraId="7D75F6CE">
      <w:pPr>
        <w:bidi w:val="0"/>
        <w:rPr>
          <w:rFonts w:hint="eastAsia"/>
        </w:rPr>
      </w:pPr>
      <w:r>
        <w:rPr>
          <w:rFonts w:hint="eastAsia"/>
        </w:rPr>
        <w:t>机械伤害事故是人们在操作或使用机械过程中，因机械故障或操作人员的不安全行为等原因造成的伤害事故。机械伤害事故在地表建筑施工中较为普遍，主要对人体引起挤压、碰撞、冲击、剪切、卷入、绞绕、甩出、切割、切断、刺扎等伤害。发生事故以后，受伤者轻则皮肉受伤，重则伤筋动骨、断肢致残，甚至危及生命。主要涉及的工种有木工、安装工、机械工、电焊工、实习生及其它工种。</w:t>
      </w:r>
    </w:p>
    <w:p w14:paraId="6D975FA1">
      <w:pPr>
        <w:bidi w:val="0"/>
        <w:rPr>
          <w:rFonts w:hint="eastAsia"/>
        </w:rPr>
      </w:pPr>
      <w:r>
        <w:rPr>
          <w:rFonts w:hint="eastAsia"/>
        </w:rPr>
        <w:t>⑵ 预防措施</w:t>
      </w:r>
    </w:p>
    <w:p w14:paraId="4819FB48">
      <w:pPr>
        <w:bidi w:val="0"/>
        <w:rPr>
          <w:rFonts w:hint="eastAsia"/>
        </w:rPr>
      </w:pPr>
      <w:r>
        <w:rPr>
          <w:rFonts w:hint="eastAsia"/>
        </w:rPr>
        <w:t>① 各种加工机械附近要设有明确的操作注意事项。</w:t>
      </w:r>
    </w:p>
    <w:p w14:paraId="373CDB8A">
      <w:pPr>
        <w:bidi w:val="0"/>
        <w:rPr>
          <w:rFonts w:hint="eastAsia"/>
        </w:rPr>
      </w:pPr>
      <w:r>
        <w:rPr>
          <w:rFonts w:hint="eastAsia"/>
        </w:rPr>
        <w:t>② 认真做好三级教育，提高全员的安全意识和防护技能，机械操作人员必须熟悉机械设备的性能和正确的操作方法，严格执行安全操作规程。</w:t>
      </w:r>
    </w:p>
    <w:p w14:paraId="4459EDD0">
      <w:pPr>
        <w:bidi w:val="0"/>
        <w:rPr>
          <w:rFonts w:hint="eastAsia"/>
        </w:rPr>
      </w:pPr>
      <w:r>
        <w:rPr>
          <w:rFonts w:hint="eastAsia"/>
        </w:rPr>
        <w:t>③ 砂轮必须进行定期检查，砂轮应无裂纹及其它不良情况，砂轮机必须装有钢板制成的防护罩，禁止使用无防护罩的砂轮机。</w:t>
      </w:r>
    </w:p>
    <w:p w14:paraId="6B15E805">
      <w:pPr>
        <w:bidi w:val="0"/>
        <w:rPr>
          <w:rFonts w:hint="eastAsia"/>
        </w:rPr>
      </w:pPr>
      <w:r>
        <w:rPr>
          <w:rFonts w:hint="eastAsia"/>
        </w:rPr>
        <w:t>④ 使用时操作人员应站在锯片的侧面，锯片应缓慢靠近被加工物体不准用力过猛。</w:t>
      </w:r>
    </w:p>
    <w:p w14:paraId="27F1EDC8">
      <w:pPr>
        <w:bidi w:val="0"/>
        <w:rPr>
          <w:rFonts w:hint="eastAsia"/>
        </w:rPr>
      </w:pPr>
      <w:r>
        <w:rPr>
          <w:rFonts w:hint="eastAsia"/>
        </w:rPr>
        <w:t>⑤ 对机械的运动部件如旋转件等必须设置防护网，无法用罩网防护的部位应设置警示标志，防止人体触及。</w:t>
      </w:r>
    </w:p>
    <w:p w14:paraId="2B352BEE">
      <w:pPr>
        <w:bidi w:val="0"/>
        <w:rPr>
          <w:rFonts w:hint="eastAsia"/>
        </w:rPr>
      </w:pPr>
      <w:r>
        <w:rPr>
          <w:rFonts w:hint="eastAsia"/>
        </w:rPr>
        <w:t>⑥ 进入施工现场人员必须按规定佩戴好安全帽。</w:t>
      </w:r>
    </w:p>
    <w:p w14:paraId="779F5465">
      <w:pPr>
        <w:bidi w:val="0"/>
        <w:rPr>
          <w:rFonts w:hint="eastAsia"/>
        </w:rPr>
      </w:pPr>
      <w:r>
        <w:rPr>
          <w:rFonts w:hint="eastAsia"/>
        </w:rPr>
        <w:t>⑦ 对手提式电动工具、安全带等应进行测试，符合质量标准方可使用，不符合标准的一律作废。</w:t>
      </w:r>
    </w:p>
    <w:p w14:paraId="00C744BC">
      <w:pPr>
        <w:bidi w:val="0"/>
        <w:rPr>
          <w:rFonts w:hint="eastAsia"/>
        </w:rPr>
      </w:pPr>
      <w:r>
        <w:rPr>
          <w:rFonts w:hint="eastAsia"/>
        </w:rPr>
        <w:t>⑧ 机械在使用过程中定期检查、按需修理，做好维护保养，及时修复存在隐患的部位，杜绝机械带病作业。</w:t>
      </w:r>
    </w:p>
    <w:p w14:paraId="0659EE4C">
      <w:pPr>
        <w:bidi w:val="0"/>
        <w:rPr>
          <w:rFonts w:hint="eastAsia"/>
        </w:rPr>
      </w:pPr>
      <w:r>
        <w:rPr>
          <w:rFonts w:hint="eastAsia"/>
        </w:rPr>
        <w:t>⑨ 机械用电线路一律由电工按照规定要求进行安装，禁止一闸多用。</w:t>
      </w:r>
    </w:p>
    <w:p w14:paraId="74BE3AC1">
      <w:pPr>
        <w:bidi w:val="0"/>
        <w:rPr>
          <w:rFonts w:hint="eastAsia"/>
        </w:rPr>
      </w:pPr>
      <w:r>
        <w:rPr>
          <w:rFonts w:hint="eastAsia"/>
        </w:rPr>
        <w:t>⑩机械维修期间要切断电源，悬挂不准合闸警示牌，必要时要设专人监护。</w:t>
      </w:r>
    </w:p>
    <w:p w14:paraId="4DD5C581">
      <w:pPr>
        <w:bidi w:val="0"/>
        <w:rPr>
          <w:rFonts w:hint="eastAsia"/>
        </w:rPr>
      </w:pPr>
      <w:r>
        <w:rPr>
          <w:rFonts w:hint="eastAsia"/>
        </w:rPr>
        <w:t>⑶ 应急处置措施</w:t>
      </w:r>
    </w:p>
    <w:p w14:paraId="422D250E">
      <w:pPr>
        <w:bidi w:val="0"/>
        <w:rPr>
          <w:rFonts w:hint="eastAsia"/>
        </w:rPr>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4380DDE5">
      <w:pPr>
        <w:bidi w:val="0"/>
        <w:rPr>
          <w:rFonts w:hint="eastAsia"/>
        </w:rPr>
      </w:pPr>
      <w:r>
        <w:rPr>
          <w:rFonts w:hint="eastAsia"/>
        </w:rPr>
        <w:t>① 休克、昏迷急救</w:t>
      </w:r>
    </w:p>
    <w:p w14:paraId="6F9DE43A">
      <w:pPr>
        <w:bidi w:val="0"/>
        <w:rPr>
          <w:rFonts w:hint="eastAsia"/>
        </w:rPr>
      </w:pPr>
      <w:r>
        <w:rPr>
          <w:rFonts w:hint="eastAsia"/>
        </w:rPr>
        <w:t>让休克者平卧、不用枕头，腿部抬高30度。若属于心原性休克同时伴有心力衰竭、气急，不能平卧时，可采用半卧，注意保暖和安静，尽量不要搬动，如必须搬动时，动作要轻。</w:t>
      </w:r>
    </w:p>
    <w:p w14:paraId="753B39CC">
      <w:pPr>
        <w:bidi w:val="0"/>
        <w:rPr>
          <w:rFonts w:hint="eastAsia"/>
        </w:rPr>
      </w:pPr>
      <w:r>
        <w:rPr>
          <w:rFonts w:hint="eastAsia"/>
        </w:rPr>
        <w:t>② 骨折急救</w:t>
      </w:r>
    </w:p>
    <w:p w14:paraId="4710E3C3">
      <w:pPr>
        <w:bidi w:val="0"/>
        <w:rPr>
          <w:rFonts w:hint="eastAsia"/>
        </w:rPr>
      </w:pPr>
      <w:r>
        <w:rPr>
          <w:rFonts w:hint="eastAsia"/>
        </w:rPr>
        <w:t>a.固定断骨的材料可就地取材，如棍、树枝、木板、拐杖、硬纸板等都可作为固定材料，长短要以能固定住骨折处上下两个关节或不使断骨错动为准。</w:t>
      </w:r>
    </w:p>
    <w:p w14:paraId="38B54785">
      <w:pPr>
        <w:bidi w:val="0"/>
        <w:rPr>
          <w:rFonts w:hint="eastAsia"/>
        </w:rPr>
      </w:pPr>
      <w:r>
        <w:rPr>
          <w:rFonts w:hint="eastAsia"/>
        </w:rPr>
        <w:t>b.脊柱骨折或颈部骨折时，除非是特殊情况如室内失火，否则应让伤者留在原地，等待携有医疗器材的医护人员来搬动。</w:t>
      </w:r>
    </w:p>
    <w:p w14:paraId="0ED98CFA">
      <w:pPr>
        <w:bidi w:val="0"/>
        <w:rPr>
          <w:rFonts w:hint="eastAsia"/>
        </w:rPr>
      </w:pPr>
      <w:r>
        <w:rPr>
          <w:rFonts w:hint="eastAsia"/>
        </w:rPr>
        <w:t>c.抬运伤者，从地上抬起时，要多人同时缓缓用力平托；运送时，必须用木板或硬材料，不能用布担架或绳床。木板上可垫棉被，但不能用枕头，颈椎骨折伤者的头须放正，两旁用沙袋将头夹住，不能让头随便晃动。</w:t>
      </w:r>
    </w:p>
    <w:p w14:paraId="477BA9F8">
      <w:pPr>
        <w:bidi w:val="0"/>
        <w:rPr>
          <w:rFonts w:hint="eastAsia"/>
        </w:rPr>
      </w:pPr>
      <w:r>
        <w:rPr>
          <w:rFonts w:hint="eastAsia"/>
        </w:rPr>
        <w:t>③ 严重出血的急救</w:t>
      </w:r>
    </w:p>
    <w:p w14:paraId="04F253F4">
      <w:pPr>
        <w:bidi w:val="0"/>
        <w:rPr>
          <w:rFonts w:hint="eastAsia"/>
        </w:rPr>
      </w:pPr>
      <w:r>
        <w:rPr>
          <w:rFonts w:hint="eastAsia"/>
        </w:rPr>
        <w:t>止血的方法：</w:t>
      </w:r>
    </w:p>
    <w:p w14:paraId="24891701">
      <w:pPr>
        <w:bidi w:val="0"/>
        <w:rPr>
          <w:rFonts w:hint="eastAsia"/>
        </w:rPr>
      </w:pPr>
      <w:r>
        <w:rPr>
          <w:rFonts w:hint="eastAsia"/>
        </w:rPr>
        <w:t>a.一般止血法：一般伤口小的出血，先用生理盐水涂上红汞药水，然后盖上消毒纱布，用绷带较紧地包扎。</w:t>
      </w:r>
    </w:p>
    <w:p w14:paraId="44D19ECC">
      <w:pPr>
        <w:bidi w:val="0"/>
        <w:rPr>
          <w:rFonts w:hint="eastAsia"/>
        </w:rPr>
      </w:pPr>
      <w:r>
        <w:rPr>
          <w:rFonts w:hint="eastAsia"/>
        </w:rPr>
        <w:t>b.严重出血时，应使用压迫带止血法。这是一种最基本、最常用，也是最有效的止血方法。适用于头、颈、四肢动脉大血管出血的临时止血。即用手指或手掌用力压住比伤口靠近心脏更近部位的动脉跳动处。只要位置找的准，这种方法能马上起到止血作用。</w:t>
      </w:r>
    </w:p>
    <w:p w14:paraId="30523509">
      <w:pPr>
        <w:bidi w:val="0"/>
        <w:rPr>
          <w:rFonts w:hint="eastAsia"/>
        </w:rPr>
      </w:pPr>
      <w:r>
        <w:rPr>
          <w:rFonts w:hint="eastAsia"/>
        </w:rPr>
        <w:t>⑷ 肢体切断。断肢(指)后，有时即刻造成伤者因流血或疼痛而发生休克，所以应设法首先止血，防止伤员休克。其急救要点为：</w:t>
      </w:r>
    </w:p>
    <w:p w14:paraId="2101525D">
      <w:pPr>
        <w:bidi w:val="0"/>
        <w:rPr>
          <w:rFonts w:hint="eastAsia"/>
        </w:rPr>
      </w:pPr>
      <w:r>
        <w:rPr>
          <w:rFonts w:hint="eastAsia"/>
        </w:rPr>
        <w:t>a.让伤者躺下，用一块纱布或清洁布块，放在断肢伤口上，再用绷带固定位置。如果找不到绷带，也可用围巾包扎。</w:t>
      </w:r>
    </w:p>
    <w:p w14:paraId="62FA7D0C">
      <w:pPr>
        <w:bidi w:val="0"/>
        <w:rPr>
          <w:rFonts w:hint="eastAsia"/>
        </w:rPr>
      </w:pPr>
      <w:r>
        <w:rPr>
          <w:rFonts w:hint="eastAsia"/>
        </w:rPr>
        <w:t>b.如是手臂切断，用绷带把断臂挂在胸前，固定位置；若是一条腿断了，则与另一条腿扎在一起。</w:t>
      </w:r>
    </w:p>
    <w:p w14:paraId="2C82CABA">
      <w:pPr>
        <w:bidi w:val="0"/>
        <w:rPr>
          <w:rFonts w:hint="eastAsia"/>
        </w:rPr>
      </w:pPr>
      <w:r>
        <w:rPr>
          <w:rFonts w:hint="eastAsia"/>
        </w:rPr>
        <w:t>c.料理好伤者后，设法找回断肢。倘若离断的伤肢(指)仍在机器中，千万不能将肢体强行拉出，或将机器倒开(转)，以免增加损伤的机会。</w:t>
      </w:r>
    </w:p>
    <w:p w14:paraId="11FE5736">
      <w:pPr>
        <w:bidi w:val="0"/>
        <w:rPr>
          <w:rFonts w:hint="eastAsia"/>
        </w:rPr>
      </w:pPr>
      <w:r>
        <w:rPr>
          <w:rFonts w:hint="eastAsia"/>
        </w:rPr>
        <w:t>d.取下断落的肢(指)体后，立即用无菌纱布或干净布片包扎，然后放入塑料袋或橡皮袋中，结扎袋口。运送时应将装有断伤肢体的袋子放入合适的容器中，如广口保温桶等，周围用冰块或冰棍冷冻，迅速同伤员一起送医院以备断肢(指)再植。</w:t>
      </w:r>
    </w:p>
    <w:p w14:paraId="5B91146F">
      <w:pPr>
        <w:bidi w:val="0"/>
        <w:rPr>
          <w:rFonts w:hint="eastAsia"/>
        </w:rPr>
      </w:pPr>
      <w:r>
        <w:rPr>
          <w:rFonts w:hint="eastAsia"/>
        </w:rPr>
        <w:t>e.离断后的伤肢，如有少许皮肤或其他肌腱相连，不能将其离断，应放在夹板或阔竹片上，然后包扎，立即送到医院作紧急处理。</w:t>
      </w:r>
    </w:p>
    <w:p w14:paraId="5467B569">
      <w:pPr>
        <w:bidi w:val="0"/>
        <w:rPr>
          <w:rFonts w:hint="eastAsia"/>
        </w:rPr>
      </w:pPr>
      <w:r>
        <w:rPr>
          <w:rFonts w:hint="eastAsia"/>
        </w:rPr>
        <w:t>f.严禁在离断伤肢(指)的断端涂抹各种药物及药水(包括消毒剂)，更不能涂抹牙膏、灶灰之类试图止血。</w:t>
      </w:r>
    </w:p>
    <w:p w14:paraId="52300B53">
      <w:pPr>
        <w:pStyle w:val="6"/>
        <w:bidi w:val="0"/>
        <w:rPr>
          <w:rFonts w:hint="eastAsia"/>
        </w:rPr>
      </w:pPr>
      <w:bookmarkStart w:id="393" w:name="_Toc437369496"/>
      <w:bookmarkStart w:id="394" w:name="_Toc436750054"/>
      <w:bookmarkStart w:id="395" w:name="_Toc91085209"/>
      <w:bookmarkStart w:id="396" w:name="_Toc1335"/>
      <w:bookmarkStart w:id="397" w:name="_Toc21592"/>
      <w:bookmarkStart w:id="398" w:name="_Toc30954"/>
      <w:bookmarkStart w:id="399" w:name="_Toc49960705"/>
      <w:bookmarkStart w:id="400" w:name="_Toc24462682"/>
      <w:bookmarkStart w:id="401" w:name="_Toc28972"/>
      <w:r>
        <w:rPr>
          <w:rFonts w:hint="eastAsia"/>
        </w:rPr>
        <w:t>7.5.5.6物体打击应急</w:t>
      </w:r>
      <w:bookmarkEnd w:id="393"/>
      <w:bookmarkEnd w:id="394"/>
      <w:r>
        <w:rPr>
          <w:rFonts w:hint="eastAsia"/>
        </w:rPr>
        <w:t>救援</w:t>
      </w:r>
      <w:bookmarkEnd w:id="395"/>
      <w:bookmarkEnd w:id="396"/>
      <w:bookmarkEnd w:id="397"/>
      <w:bookmarkEnd w:id="398"/>
      <w:bookmarkEnd w:id="399"/>
      <w:bookmarkEnd w:id="400"/>
      <w:bookmarkEnd w:id="401"/>
    </w:p>
    <w:p w14:paraId="4C4B926D">
      <w:pPr>
        <w:bidi w:val="0"/>
        <w:rPr>
          <w:rFonts w:hint="eastAsia"/>
        </w:rPr>
      </w:pPr>
      <w:r>
        <w:rPr>
          <w:rFonts w:hint="eastAsia"/>
        </w:rPr>
        <w:t>⑴ 事故发生主要环节</w:t>
      </w:r>
    </w:p>
    <w:p w14:paraId="601D9A61">
      <w:pPr>
        <w:bidi w:val="0"/>
        <w:rPr>
          <w:rFonts w:hint="eastAsia"/>
        </w:rPr>
      </w:pPr>
      <w:r>
        <w:rPr>
          <w:rFonts w:hint="eastAsia"/>
        </w:rPr>
        <w:t>① 交叉作业时物料传递往下或向上乱抛材料、工具等物件。</w:t>
      </w:r>
    </w:p>
    <w:p w14:paraId="4C2608F3">
      <w:pPr>
        <w:bidi w:val="0"/>
        <w:rPr>
          <w:rFonts w:hint="eastAsia"/>
        </w:rPr>
      </w:pPr>
      <w:r>
        <w:rPr>
          <w:rFonts w:hint="eastAsia"/>
        </w:rPr>
        <w:t>② 高处作业时使用的工具，没有放入工具袋或工具箱内或用小绳捆绑于手臂上，有落下伤人的可能。</w:t>
      </w:r>
    </w:p>
    <w:p w14:paraId="1BA55D54">
      <w:pPr>
        <w:bidi w:val="0"/>
        <w:rPr>
          <w:rFonts w:hint="eastAsia"/>
        </w:rPr>
      </w:pPr>
      <w:r>
        <w:rPr>
          <w:rFonts w:hint="eastAsia"/>
        </w:rPr>
        <w:t>③ 机械设备的防护装置失效，无法确保作业人员安全。</w:t>
      </w:r>
    </w:p>
    <w:p w14:paraId="1D58307E">
      <w:pPr>
        <w:bidi w:val="0"/>
        <w:rPr>
          <w:rFonts w:hint="eastAsia"/>
        </w:rPr>
      </w:pPr>
      <w:r>
        <w:rPr>
          <w:rFonts w:hint="eastAsia"/>
        </w:rPr>
        <w:t>④ 进入具有物体打击伤害的施工现场人员没有按规定戴安全帽。</w:t>
      </w:r>
    </w:p>
    <w:p w14:paraId="161D2E10">
      <w:pPr>
        <w:bidi w:val="0"/>
        <w:rPr>
          <w:rFonts w:hint="eastAsia"/>
        </w:rPr>
      </w:pPr>
      <w:r>
        <w:rPr>
          <w:rFonts w:hint="eastAsia"/>
        </w:rPr>
        <w:t>⑤ 吊运建筑物料时没有使用持有司索工上岗证人员进行指挥，违章指挥，物料吊运时绑扎不牢。</w:t>
      </w:r>
    </w:p>
    <w:p w14:paraId="51313605">
      <w:pPr>
        <w:bidi w:val="0"/>
        <w:rPr>
          <w:rFonts w:hint="eastAsia"/>
        </w:rPr>
      </w:pPr>
      <w:r>
        <w:rPr>
          <w:rFonts w:hint="eastAsia"/>
        </w:rPr>
        <w:t>⑥ 拆除或拆卸作业时未设置警戒区域、缺少专人进行监护。</w:t>
      </w:r>
    </w:p>
    <w:p w14:paraId="25C5E018">
      <w:pPr>
        <w:bidi w:val="0"/>
        <w:rPr>
          <w:rFonts w:hint="eastAsia"/>
        </w:rPr>
      </w:pPr>
      <w:r>
        <w:rPr>
          <w:rFonts w:hint="eastAsia"/>
        </w:rPr>
        <w:t>⑵ 预防措施</w:t>
      </w:r>
    </w:p>
    <w:p w14:paraId="761B9901">
      <w:pPr>
        <w:bidi w:val="0"/>
        <w:rPr>
          <w:rFonts w:hint="eastAsia"/>
        </w:rPr>
      </w:pPr>
      <w:r>
        <w:rPr>
          <w:rFonts w:hint="eastAsia"/>
        </w:rPr>
        <w:t>① 对进场人员进行三级安全培训，换岗人员需重新进行安全培训方可上岗。</w:t>
      </w:r>
    </w:p>
    <w:p w14:paraId="2D626CA3">
      <w:pPr>
        <w:bidi w:val="0"/>
        <w:rPr>
          <w:rFonts w:hint="eastAsia"/>
        </w:rPr>
      </w:pPr>
      <w:r>
        <w:rPr>
          <w:rFonts w:hint="eastAsia"/>
        </w:rPr>
        <w:t>② 施工现场必须达到《建筑施工安全检查标准》中文明施工的各项要求。</w:t>
      </w:r>
    </w:p>
    <w:p w14:paraId="667002BC">
      <w:pPr>
        <w:bidi w:val="0"/>
        <w:rPr>
          <w:rFonts w:hint="eastAsia"/>
        </w:rPr>
      </w:pPr>
      <w:r>
        <w:rPr>
          <w:rFonts w:hint="eastAsia"/>
        </w:rPr>
        <w:t>③ 避免交叉作业。施工计划安排时，尽量避免和减少同一垂直线内的立体交叉作业。无法避免交叉作业时必须设置能阻挡上面坠落物体的隔离层，否则不准施工。 </w:t>
      </w:r>
    </w:p>
    <w:p w14:paraId="1CCEA859">
      <w:pPr>
        <w:bidi w:val="0"/>
        <w:rPr>
          <w:rFonts w:hint="eastAsia"/>
        </w:rPr>
      </w:pPr>
      <w:r>
        <w:rPr>
          <w:rFonts w:hint="eastAsia"/>
        </w:rPr>
        <w:t>④ 上下传递物件禁止抛掷。运送易滑的钢材，绳结必须系牢。起吊物件应使用交互捻制的钢丝绳。钢丝绳如有扭结、变形、断丝、锈蚀等异常现象，应降级使用或报废。严禁使用麻绳起吊重物。吊装不易放稳的构件或大模板应用卡环，不得用吊钩。禁止将物件放在板形构件上起吊。禁止在吊臂下穿行和停留。</w:t>
      </w:r>
    </w:p>
    <w:p w14:paraId="0FB2F539">
      <w:pPr>
        <w:bidi w:val="0"/>
        <w:rPr>
          <w:rFonts w:hint="eastAsia"/>
        </w:rPr>
      </w:pPr>
      <w:r>
        <w:rPr>
          <w:rFonts w:hint="eastAsia"/>
        </w:rPr>
        <w:t>⑤ 正确佩戴安全帽。进入施工现场的所有人员都必须戴好符合安全标准、具有检验合格证的安全帽，并系牢帽带。</w:t>
      </w:r>
    </w:p>
    <w:p w14:paraId="61DB6A43">
      <w:pPr>
        <w:bidi w:val="0"/>
        <w:rPr>
          <w:rFonts w:hint="eastAsia"/>
        </w:rPr>
      </w:pPr>
      <w:r>
        <w:rPr>
          <w:rFonts w:hint="eastAsia"/>
        </w:rPr>
        <w:t>⑶ 应急处置措施</w:t>
      </w:r>
    </w:p>
    <w:p w14:paraId="2573757F">
      <w:pPr>
        <w:bidi w:val="0"/>
        <w:rPr>
          <w:rFonts w:hint="eastAsia"/>
        </w:rPr>
      </w:pPr>
      <w:r>
        <w:rPr>
          <w:rFonts w:hint="eastAsia"/>
        </w:rPr>
        <w:t>① 发生物体打击事故后，在120赶到前，医疗急救组根据现场实际情况进行必要的医疗处理。物体打击事故发生在能正常进行救治的地方，医疗急救组应马上投入治疗；如果物体打击事故发生在无法进行急救的地方，应先指导救援人员按正确的方法尽快把伤者转移到安全平台上进行急救。120赶到后，现场急救组要尽量配合120医生进行急救，由医疗急救负责人把伤情、已经采取了的措施向医生做简短而明了的介绍，以便120医生能尽快了解情况，快速而有效的做出急救决策。</w:t>
      </w:r>
    </w:p>
    <w:p w14:paraId="335B081F">
      <w:pPr>
        <w:bidi w:val="0"/>
        <w:rPr>
          <w:rFonts w:hint="eastAsia"/>
        </w:rPr>
      </w:pPr>
      <w:r>
        <w:rPr>
          <w:rFonts w:hint="eastAsia"/>
        </w:rPr>
        <w:t>② 物体打击事故的现场紧急救治时，首先观察伤者的受伤情况、部位、伤害性质，如伤员发生休克，应先处理休克；遇呼吸、心跳停止者，应立即进行人工呼吸，胸外心脏挤压。另外也应对颅脑损伤、骨折和出血等情况进行处理：</w:t>
      </w:r>
    </w:p>
    <w:p w14:paraId="3AB93507">
      <w:pPr>
        <w:bidi w:val="0"/>
        <w:rPr>
          <w:rFonts w:hint="eastAsia"/>
        </w:rPr>
      </w:pPr>
      <w:r>
        <w:rPr>
          <w:rFonts w:hint="eastAsia"/>
        </w:rPr>
        <w:t>a.如受伤者处于休克状态，要让其平卧、少搬动，并将下肢抬高约20度左右，要采取相应的办法让其苏醒；同时尽快配合120送医院进行抢救治疗。</w:t>
      </w:r>
    </w:p>
    <w:p w14:paraId="02C49A34">
      <w:pPr>
        <w:bidi w:val="0"/>
        <w:rPr>
          <w:rFonts w:hint="eastAsia"/>
        </w:rPr>
      </w:pPr>
      <w:r>
        <w:rPr>
          <w:rFonts w:hint="eastAsia"/>
        </w:rPr>
        <w:t>b.如物体打击造成颅脑损伤，受伤处于昏迷状态则必须保持呼吸道通畅。让昏迷者平卧，面部转向一侧，以防舌根下坠或分泌物、呕吐物吸入，发生喉阻塞。</w:t>
      </w:r>
    </w:p>
    <w:p w14:paraId="1BCDE9A7">
      <w:pPr>
        <w:bidi w:val="0"/>
        <w:rPr>
          <w:rFonts w:hint="eastAsia"/>
        </w:rPr>
      </w:pPr>
      <w:r>
        <w:rPr>
          <w:rFonts w:hint="eastAsia"/>
        </w:rPr>
        <w:t>c.如物体打击造成骨折，应初步固定后再搬运，创伤处用消毒的纱布或清洁布等覆盖伤口，用绷带或布条包扎后，及时配合120送医院治疗。</w:t>
      </w:r>
    </w:p>
    <w:p w14:paraId="2DF71715">
      <w:pPr>
        <w:bidi w:val="0"/>
        <w:rPr>
          <w:rFonts w:hint="eastAsia"/>
        </w:rPr>
      </w:pPr>
      <w:r>
        <w:rPr>
          <w:rFonts w:hint="eastAsia"/>
        </w:rPr>
        <w:t>d.如出现血流严重时，应想办法进行止血，避免流血过多引起生命危险。</w:t>
      </w:r>
    </w:p>
    <w:p w14:paraId="115A1F77">
      <w:pPr>
        <w:bidi w:val="0"/>
        <w:rPr>
          <w:rFonts w:hint="eastAsia"/>
        </w:rPr>
      </w:pPr>
      <w:r>
        <w:rPr>
          <w:rFonts w:hint="eastAsia"/>
        </w:rPr>
        <w:t>③ 应急响应过程中避免二次伤害的措施</w:t>
      </w:r>
    </w:p>
    <w:p w14:paraId="792B4654">
      <w:pPr>
        <w:bidi w:val="0"/>
        <w:rPr>
          <w:rFonts w:hint="eastAsia"/>
        </w:rPr>
      </w:pPr>
      <w:r>
        <w:rPr>
          <w:rFonts w:hint="eastAsia"/>
        </w:rPr>
        <w:t>a.如果物体打击造成钢筋、钢管等插入身体内部；现场不能擅自将异物拔掉，只能做清洗伤口或止血等简单处理，应等120到来后，立即送医院，由医院医生进行，避免现场处置时发生大出血造成二次伤害。</w:t>
      </w:r>
    </w:p>
    <w:p w14:paraId="4EBA9360">
      <w:pPr>
        <w:bidi w:val="0"/>
        <w:rPr>
          <w:rFonts w:hint="eastAsia"/>
        </w:rPr>
      </w:pPr>
      <w:r>
        <w:rPr>
          <w:rFonts w:hint="eastAsia"/>
        </w:rPr>
        <w:t>b.如出现大量出血时，现场救治时要尽量止血，防止出血过多导致二次伤害。如果物体打击出现在高处位置，救援人员首先要把伤者按正确的方法搬到安全的地方再进行下步救治，防止伤者或救援人员在不安全的平台上救治时引起高处坠落或物体打击等二次伤害。</w:t>
      </w:r>
    </w:p>
    <w:p w14:paraId="0F08C37A">
      <w:pPr>
        <w:bidi w:val="0"/>
        <w:rPr>
          <w:rFonts w:hint="eastAsia"/>
        </w:rPr>
      </w:pPr>
      <w:r>
        <w:rPr>
          <w:rFonts w:hint="eastAsia"/>
        </w:rPr>
        <w:t>c.如果处在不宜施救的场所时必须将患者搬运到能够安全施救的地方，搬运时应由身体强壮的救援人员进行搬运，如果是脊柱骨折，不要弯曲、扭动患者的颈部和身体，不要接触患者的伤口，要使患者身体放松，尽量将患者放到担架或平板上进行搬运。避免搬运不当引起伤者的二次伤害和救援者的伤害。</w:t>
      </w:r>
    </w:p>
    <w:p w14:paraId="0D23C874">
      <w:pPr>
        <w:bidi w:val="0"/>
        <w:rPr>
          <w:rFonts w:hint="eastAsia"/>
        </w:rPr>
      </w:pPr>
      <w:r>
        <w:rPr>
          <w:rFonts w:hint="eastAsia"/>
        </w:rPr>
        <w:t>d.事故现场要有专人维持秩序，特别是在高处发生的物体打击事故，禁止施工人员围观，防止人多杂乱，引起围观人员或救援人员高处坠落或物体打击等二次伤害.</w:t>
      </w:r>
    </w:p>
    <w:p w14:paraId="66A42E02">
      <w:pPr>
        <w:pStyle w:val="6"/>
        <w:bidi w:val="0"/>
        <w:rPr>
          <w:rFonts w:hint="eastAsia"/>
        </w:rPr>
      </w:pPr>
      <w:bookmarkStart w:id="402" w:name="_Toc32145"/>
      <w:bookmarkStart w:id="403" w:name="_Toc5861"/>
      <w:bookmarkStart w:id="404" w:name="_Toc26569"/>
      <w:bookmarkStart w:id="405" w:name="_Toc15554"/>
      <w:bookmarkStart w:id="406" w:name="_Toc24462683"/>
      <w:bookmarkStart w:id="407" w:name="_Toc49960706"/>
      <w:bookmarkStart w:id="408" w:name="_Toc10979"/>
      <w:bookmarkStart w:id="409" w:name="_Toc2729"/>
      <w:bookmarkStart w:id="410" w:name="_Toc91085210"/>
      <w:bookmarkStart w:id="411" w:name="_Toc2239"/>
      <w:r>
        <w:rPr>
          <w:rFonts w:hint="eastAsia"/>
        </w:rPr>
        <w:t>7.5.5.7高温中暑应急</w:t>
      </w:r>
      <w:bookmarkEnd w:id="402"/>
      <w:bookmarkEnd w:id="403"/>
      <w:bookmarkEnd w:id="404"/>
      <w:r>
        <w:rPr>
          <w:rFonts w:hint="eastAsia"/>
        </w:rPr>
        <w:t>救援</w:t>
      </w:r>
      <w:bookmarkEnd w:id="405"/>
      <w:bookmarkEnd w:id="406"/>
      <w:bookmarkEnd w:id="407"/>
      <w:bookmarkEnd w:id="408"/>
      <w:bookmarkEnd w:id="409"/>
      <w:bookmarkEnd w:id="410"/>
      <w:bookmarkEnd w:id="411"/>
    </w:p>
    <w:p w14:paraId="305270F9">
      <w:pPr>
        <w:bidi w:val="0"/>
        <w:rPr>
          <w:rFonts w:hint="eastAsia"/>
        </w:rPr>
      </w:pPr>
      <w:r>
        <w:rPr>
          <w:rFonts w:hint="eastAsia"/>
        </w:rPr>
        <w:t>⑴ 事故发生主要环节</w:t>
      </w:r>
    </w:p>
    <w:p w14:paraId="7B909C72">
      <w:pPr>
        <w:bidi w:val="0"/>
        <w:rPr>
          <w:rFonts w:hint="eastAsia"/>
        </w:rPr>
      </w:pPr>
      <w:r>
        <w:rPr>
          <w:rFonts w:hint="eastAsia"/>
        </w:rPr>
        <w:t>夏季施工温度高，工作持续时间长，易发生中暑事件。</w:t>
      </w:r>
    </w:p>
    <w:p w14:paraId="39624445">
      <w:pPr>
        <w:bidi w:val="0"/>
        <w:rPr>
          <w:rFonts w:hint="eastAsia"/>
        </w:rPr>
      </w:pPr>
      <w:r>
        <w:rPr>
          <w:rFonts w:hint="eastAsia"/>
        </w:rPr>
        <w:t>⑵ 预防措施</w:t>
      </w:r>
    </w:p>
    <w:p w14:paraId="76045513">
      <w:pPr>
        <w:bidi w:val="0"/>
        <w:rPr>
          <w:rFonts w:hint="eastAsia"/>
        </w:rPr>
      </w:pPr>
      <w:r>
        <w:rPr>
          <w:rFonts w:hint="eastAsia"/>
        </w:rPr>
        <w:t>① 现场设置临时休息亭，配备饮用水及必要的防暑药品。</w:t>
      </w:r>
    </w:p>
    <w:p w14:paraId="39A62E6C">
      <w:pPr>
        <w:bidi w:val="0"/>
        <w:rPr>
          <w:rFonts w:hint="eastAsia"/>
        </w:rPr>
      </w:pPr>
      <w:r>
        <w:rPr>
          <w:rFonts w:hint="eastAsia"/>
        </w:rPr>
        <w:t>② 调整作业时间，早晚作业。</w:t>
      </w:r>
    </w:p>
    <w:p w14:paraId="759B3EA3">
      <w:pPr>
        <w:bidi w:val="0"/>
        <w:rPr>
          <w:rFonts w:hint="eastAsia"/>
        </w:rPr>
      </w:pPr>
      <w:r>
        <w:rPr>
          <w:rFonts w:hint="eastAsia"/>
        </w:rPr>
        <w:t>⑶ 应急处置措施</w:t>
      </w:r>
    </w:p>
    <w:p w14:paraId="5327725C">
      <w:pPr>
        <w:bidi w:val="0"/>
        <w:rPr>
          <w:rFonts w:hint="eastAsia"/>
        </w:rPr>
      </w:pPr>
      <w:r>
        <w:rPr>
          <w:rFonts w:hint="eastAsia"/>
        </w:rPr>
        <w:t>① 高温中暑突发事件发生后，救护人员迅速将中暑者移至阴凉、通风的地方，同时垫高头部，解开衣裤，以利呼吸和散热，给予仁丹、十滴水或霍香正气散等，并补充含盐清凉饮料：淡盐水、冷西瓜水、绿豆汤等饮品。</w:t>
      </w:r>
    </w:p>
    <w:p w14:paraId="76C220CE">
      <w:pPr>
        <w:bidi w:val="0"/>
        <w:rPr>
          <w:rFonts w:hint="eastAsia"/>
        </w:rPr>
      </w:pPr>
      <w:r>
        <w:rPr>
          <w:rFonts w:hint="eastAsia"/>
        </w:rPr>
        <w:t>② 观察中暑者的生命体征、神志变化及各脏器功能状况、防治并发症。</w:t>
      </w:r>
    </w:p>
    <w:p w14:paraId="7283217C">
      <w:pPr>
        <w:bidi w:val="0"/>
        <w:rPr>
          <w:rFonts w:hint="eastAsia"/>
        </w:rPr>
      </w:pPr>
      <w:r>
        <w:rPr>
          <w:rFonts w:hint="eastAsia"/>
        </w:rPr>
        <w:t>③ 采用物理降温与药物降温结合的降温措施（如：头置冰袋或冰帽、大血管区置冰袋、将身体(头部除外)置于4℃水中）给中暑者进行降温，同时要不断摩擦四肢，防止血液循环停滞，促使热量散发。</w:t>
      </w:r>
    </w:p>
    <w:p w14:paraId="71422E2C">
      <w:pPr>
        <w:pStyle w:val="6"/>
        <w:bidi w:val="0"/>
        <w:rPr>
          <w:rFonts w:hint="eastAsia"/>
        </w:rPr>
      </w:pPr>
      <w:bookmarkStart w:id="412" w:name="_Toc419017183"/>
      <w:bookmarkStart w:id="413" w:name="_Toc415741385"/>
      <w:bookmarkStart w:id="414" w:name="_Toc419017187"/>
      <w:r>
        <w:rPr>
          <w:rFonts w:hint="eastAsia"/>
        </w:rPr>
        <w:t>7.5.5.8突发性天气应急预案</w:t>
      </w:r>
    </w:p>
    <w:p w14:paraId="401FC093">
      <w:pPr>
        <w:bidi w:val="0"/>
        <w:rPr>
          <w:rFonts w:hint="eastAsia"/>
        </w:rPr>
      </w:pPr>
      <w:r>
        <w:rPr>
          <w:rFonts w:hint="eastAsia"/>
        </w:rPr>
        <w:t>（一）突发性天气预警阶段</w:t>
      </w:r>
    </w:p>
    <w:p w14:paraId="4D096BDF">
      <w:pPr>
        <w:bidi w:val="0"/>
        <w:rPr>
          <w:rFonts w:hint="eastAsia"/>
        </w:rPr>
      </w:pPr>
      <w:r>
        <w:rPr>
          <w:rFonts w:hint="eastAsia"/>
        </w:rPr>
        <w:t>⑴通常突发性天气伴有强雷电活动，影响时间短，但来势突然，使得准备防范的时间较短，因此各部门要平时做好预防及准备工作，在接到突发性天气预警后能够及时撤离，做好防风防雷电工作。</w:t>
      </w:r>
    </w:p>
    <w:p w14:paraId="3C1A9820">
      <w:pPr>
        <w:bidi w:val="0"/>
        <w:rPr>
          <w:rFonts w:hint="eastAsia"/>
        </w:rPr>
      </w:pPr>
      <w:r>
        <w:rPr>
          <w:rFonts w:hint="eastAsia"/>
        </w:rPr>
        <w:t>⑵生产安全部在接到突发性天气预警后，应立即通知三防领导小组、各个工区。</w:t>
      </w:r>
    </w:p>
    <w:p w14:paraId="6EF6F121">
      <w:pPr>
        <w:bidi w:val="0"/>
        <w:rPr>
          <w:rFonts w:hint="eastAsia"/>
        </w:rPr>
      </w:pPr>
      <w:r>
        <w:rPr>
          <w:rFonts w:hint="eastAsia"/>
        </w:rPr>
        <w:t>⑶各部门在接到突发性天气预警后，应立即做好防风防雷电准备工作。停止高处作业，各用电设备要切断电源并做防水措施，未完成结构进行加固。</w:t>
      </w:r>
    </w:p>
    <w:p w14:paraId="50DEF882">
      <w:pPr>
        <w:bidi w:val="0"/>
        <w:rPr>
          <w:rFonts w:hint="eastAsia"/>
        </w:rPr>
      </w:pPr>
      <w:r>
        <w:rPr>
          <w:rFonts w:hint="eastAsia"/>
        </w:rPr>
        <w:t>⑷各小组工作落实到位后，并将落实情况向三防领导小组汇报，由三防领导小组进行检查。</w:t>
      </w:r>
    </w:p>
    <w:p w14:paraId="395E7BF5">
      <w:pPr>
        <w:bidi w:val="0"/>
        <w:rPr>
          <w:rFonts w:hint="eastAsia"/>
        </w:rPr>
      </w:pPr>
      <w:r>
        <w:rPr>
          <w:rFonts w:hint="eastAsia"/>
        </w:rPr>
        <w:t>（二）突发性天气来临阶段</w:t>
      </w:r>
    </w:p>
    <w:p w14:paraId="0AFA4DCA">
      <w:pPr>
        <w:bidi w:val="0"/>
        <w:rPr>
          <w:rFonts w:hint="eastAsia"/>
        </w:rPr>
      </w:pPr>
      <w:r>
        <w:rPr>
          <w:rFonts w:hint="eastAsia"/>
        </w:rPr>
        <w:t>⑴各施工班组应停止施工，禁止外出作业。</w:t>
      </w:r>
    </w:p>
    <w:p w14:paraId="4F6040BD">
      <w:pPr>
        <w:bidi w:val="0"/>
        <w:rPr>
          <w:rFonts w:hint="eastAsia"/>
        </w:rPr>
      </w:pPr>
      <w:r>
        <w:rPr>
          <w:rFonts w:hint="eastAsia"/>
        </w:rPr>
        <w:t>⑵设备停止作业。发生险情还应报告海事部门。</w:t>
      </w:r>
    </w:p>
    <w:p w14:paraId="2AEE8CAF">
      <w:pPr>
        <w:bidi w:val="0"/>
        <w:rPr>
          <w:rFonts w:hint="eastAsia"/>
        </w:rPr>
      </w:pPr>
      <w:r>
        <w:rPr>
          <w:rFonts w:hint="eastAsia"/>
        </w:rPr>
        <w:t>（三）突发性天气预警解除阶段</w:t>
      </w:r>
    </w:p>
    <w:p w14:paraId="1E0F5D44">
      <w:pPr>
        <w:bidi w:val="0"/>
        <w:rPr>
          <w:rFonts w:hint="eastAsia"/>
        </w:rPr>
      </w:pPr>
      <w:r>
        <w:rPr>
          <w:rFonts w:hint="eastAsia"/>
        </w:rPr>
        <w:t>⑴当调度中心接到突发性天气预警解除信号时，要及时通报三防领导小组，当得到三防领导小组的同意后，各工区方可恢复施工。</w:t>
      </w:r>
    </w:p>
    <w:p w14:paraId="1838D36F">
      <w:pPr>
        <w:bidi w:val="0"/>
        <w:rPr>
          <w:rFonts w:hint="eastAsia"/>
        </w:rPr>
      </w:pPr>
      <w:r>
        <w:rPr>
          <w:rFonts w:hint="eastAsia"/>
        </w:rPr>
        <w:t>⑵各工区接到恢复施工的通知后，应检查机械、电气设备及安全防护设施是否完成。</w:t>
      </w:r>
    </w:p>
    <w:p w14:paraId="583C4332">
      <w:pPr>
        <w:pStyle w:val="6"/>
        <w:bidi w:val="0"/>
        <w:rPr>
          <w:rFonts w:hint="eastAsia"/>
        </w:rPr>
      </w:pPr>
      <w:r>
        <w:rPr>
          <w:rFonts w:hint="eastAsia"/>
        </w:rPr>
        <w:t>7.5.5.9　能见度不良（雾天）应急措施</w:t>
      </w:r>
    </w:p>
    <w:p w14:paraId="463480A2">
      <w:pPr>
        <w:bidi w:val="0"/>
        <w:rPr>
          <w:rFonts w:hint="eastAsia"/>
        </w:rPr>
      </w:pPr>
      <w:r>
        <w:rPr>
          <w:rFonts w:hint="eastAsia"/>
        </w:rPr>
        <w:t>根据防能见度不良影响范围和程度，将预警等级分为三级：Ⅰ级（特别严重），Ⅱ级（严重），Ⅲ级（较重）。预警信号分三种，分别以黄色、橙色和红色表示。</w:t>
      </w:r>
    </w:p>
    <w:p w14:paraId="1FD2D512">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表7.5-3 能见度不良预警、响应标准及采取措施表</w:t>
      </w:r>
    </w:p>
    <w:tbl>
      <w:tblPr>
        <w:tblStyle w:val="35"/>
        <w:tblW w:w="9400" w:type="dxa"/>
        <w:jc w:val="cente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Layout w:type="fixed"/>
        <w:tblCellMar>
          <w:top w:w="0" w:type="dxa"/>
          <w:left w:w="108" w:type="dxa"/>
          <w:bottom w:w="0" w:type="dxa"/>
          <w:right w:w="108" w:type="dxa"/>
        </w:tblCellMar>
      </w:tblPr>
      <w:tblGrid>
        <w:gridCol w:w="2385"/>
        <w:gridCol w:w="2266"/>
        <w:gridCol w:w="4749"/>
      </w:tblGrid>
      <w:tr w14:paraId="3BFAA4D9">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437" w:hRule="atLeast"/>
          <w:jc w:val="center"/>
        </w:trPr>
        <w:tc>
          <w:tcPr>
            <w:tcW w:w="2385" w:type="dxa"/>
            <w:shd w:val="clear" w:color="auto" w:fill="92CDDC"/>
            <w:vAlign w:val="center"/>
          </w:tcPr>
          <w:p w14:paraId="51CBCBC7">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能见度不良预警信号</w:t>
            </w:r>
          </w:p>
        </w:tc>
        <w:tc>
          <w:tcPr>
            <w:tcW w:w="2266" w:type="dxa"/>
            <w:shd w:val="clear" w:color="auto" w:fill="92CDDC"/>
            <w:vAlign w:val="center"/>
          </w:tcPr>
          <w:p w14:paraId="079A2FEB">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响应标准</w:t>
            </w:r>
          </w:p>
        </w:tc>
        <w:tc>
          <w:tcPr>
            <w:tcW w:w="4749" w:type="dxa"/>
            <w:shd w:val="clear" w:color="auto" w:fill="92CDDC"/>
            <w:vAlign w:val="center"/>
          </w:tcPr>
          <w:p w14:paraId="28676A4F">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采取的措施</w:t>
            </w:r>
          </w:p>
        </w:tc>
      </w:tr>
      <w:tr w14:paraId="37389A9B">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 w:hRule="atLeast"/>
          <w:jc w:val="center"/>
        </w:trPr>
        <w:tc>
          <w:tcPr>
            <w:tcW w:w="2385" w:type="dxa"/>
            <w:shd w:val="clear" w:color="auto" w:fill="DAEEF3"/>
            <w:vAlign w:val="center"/>
          </w:tcPr>
          <w:p w14:paraId="0A2586A0">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1009650" cy="847725"/>
                  <wp:effectExtent l="0" t="0" r="11430" b="5715"/>
                  <wp:docPr id="1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09650" cy="847725"/>
                          </a:xfrm>
                          <a:prstGeom prst="rect">
                            <a:avLst/>
                          </a:prstGeom>
                          <a:noFill/>
                          <a:ln>
                            <a:noFill/>
                          </a:ln>
                        </pic:spPr>
                      </pic:pic>
                    </a:graphicData>
                  </a:graphic>
                </wp:inline>
              </w:drawing>
            </w:r>
          </w:p>
        </w:tc>
        <w:tc>
          <w:tcPr>
            <w:tcW w:w="2266" w:type="dxa"/>
            <w:shd w:val="clear" w:color="auto" w:fill="DAEEF3"/>
            <w:vAlign w:val="center"/>
          </w:tcPr>
          <w:p w14:paraId="779BE9D8">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Ⅲ级响应标准：12小时内可能出现</w:t>
            </w:r>
            <w:r>
              <w:rPr>
                <w:rFonts w:hint="eastAsia" w:ascii="宋体" w:hAnsi="宋体" w:eastAsia="宋体" w:cs="宋体"/>
                <w:sz w:val="21"/>
              </w:rPr>
              <w:fldChar w:fldCharType="begin"/>
            </w:r>
            <w:r>
              <w:rPr>
                <w:rFonts w:hint="eastAsia" w:ascii="宋体" w:hAnsi="宋体" w:eastAsia="宋体" w:cs="宋体"/>
                <w:sz w:val="21"/>
              </w:rPr>
              <w:instrText xml:space="preserve"> HYPERLINK "https://baike.so.com/doc/4600678-4812634.html" \t "https://baike.so.com/doc/_blank" </w:instrText>
            </w:r>
            <w:r>
              <w:rPr>
                <w:rFonts w:hint="eastAsia" w:ascii="宋体" w:hAnsi="宋体" w:eastAsia="宋体" w:cs="宋体"/>
                <w:sz w:val="21"/>
              </w:rPr>
              <w:fldChar w:fldCharType="separate"/>
            </w:r>
            <w:r>
              <w:rPr>
                <w:rFonts w:hint="eastAsia" w:ascii="宋体" w:hAnsi="宋体" w:eastAsia="宋体" w:cs="宋体"/>
                <w:sz w:val="21"/>
                <w:lang w:val="en-US"/>
              </w:rPr>
              <w:t>能见度</w:t>
            </w:r>
            <w:r>
              <w:rPr>
                <w:rFonts w:hint="eastAsia" w:ascii="宋体" w:hAnsi="宋体" w:eastAsia="宋体" w:cs="宋体"/>
                <w:sz w:val="21"/>
                <w:lang w:val="en-US"/>
              </w:rPr>
              <w:fldChar w:fldCharType="end"/>
            </w:r>
            <w:r>
              <w:rPr>
                <w:rFonts w:hint="eastAsia" w:ascii="宋体" w:hAnsi="宋体" w:eastAsia="宋体" w:cs="宋体"/>
                <w:sz w:val="21"/>
                <w:lang w:val="en-US"/>
              </w:rPr>
              <w:t>小于500米的雾，或者已经出现能见度小于500米、大于等于200米的雾并将持续；</w:t>
            </w:r>
          </w:p>
        </w:tc>
        <w:tc>
          <w:tcPr>
            <w:tcW w:w="4749" w:type="dxa"/>
            <w:shd w:val="clear" w:color="auto" w:fill="DAEEF3"/>
            <w:vAlign w:val="center"/>
          </w:tcPr>
          <w:p w14:paraId="32C977A2">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（1）密切关注灾害发展趋势并通报，应急领导小组副组长或组长组织召开专题会议进行部署；</w:t>
            </w:r>
          </w:p>
          <w:p w14:paraId="6404FAD4">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（2）各部门（班组）按照职责做好预防工作；</w:t>
            </w:r>
          </w:p>
          <w:p w14:paraId="5E4908A1">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（3）施工机械设备加强调度工作。</w:t>
            </w:r>
          </w:p>
        </w:tc>
      </w:tr>
      <w:tr w14:paraId="2C18251E">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900" w:hRule="atLeast"/>
          <w:jc w:val="center"/>
        </w:trPr>
        <w:tc>
          <w:tcPr>
            <w:tcW w:w="2385" w:type="dxa"/>
            <w:shd w:val="clear" w:color="auto" w:fill="DAEEF3"/>
            <w:vAlign w:val="center"/>
          </w:tcPr>
          <w:p w14:paraId="2070D119">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990600" cy="828675"/>
                  <wp:effectExtent l="0" t="0" r="0" b="9525"/>
                  <wp:docPr id="1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990600" cy="828675"/>
                          </a:xfrm>
                          <a:prstGeom prst="rect">
                            <a:avLst/>
                          </a:prstGeom>
                          <a:noFill/>
                          <a:ln>
                            <a:noFill/>
                          </a:ln>
                        </pic:spPr>
                      </pic:pic>
                    </a:graphicData>
                  </a:graphic>
                </wp:inline>
              </w:drawing>
            </w:r>
          </w:p>
        </w:tc>
        <w:tc>
          <w:tcPr>
            <w:tcW w:w="2266" w:type="dxa"/>
            <w:shd w:val="clear" w:color="auto" w:fill="DAEEF3"/>
            <w:vAlign w:val="center"/>
          </w:tcPr>
          <w:p w14:paraId="0442603E">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t>Ⅱ级响应标准：6小时内可能出现能见度小于200米的雾，或者已经出现能见度小于200米、大于等于50米的雾并将持续；</w:t>
            </w:r>
          </w:p>
        </w:tc>
        <w:tc>
          <w:tcPr>
            <w:tcW w:w="4749" w:type="dxa"/>
            <w:shd w:val="clear" w:color="auto" w:fill="DAEEF3"/>
            <w:vAlign w:val="center"/>
          </w:tcPr>
          <w:p w14:paraId="495AFAA2">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（1）及时了解灾害最新动态信息并发布，领导小组成员开始应急值班；</w:t>
            </w:r>
          </w:p>
          <w:p w14:paraId="4785255E">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（2）停止起重吊装等危险性较大作业；</w:t>
            </w:r>
          </w:p>
          <w:p w14:paraId="28128613">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（3）施工机械设备加强管理工作；</w:t>
            </w:r>
          </w:p>
          <w:p w14:paraId="5BD1772C">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（4）组织将施工人员撤离至</w:t>
            </w:r>
            <w:r>
              <w:rPr>
                <w:rFonts w:hint="eastAsia" w:cs="宋体"/>
                <w:sz w:val="21"/>
                <w:lang w:val="en-US" w:eastAsia="zh-CN"/>
              </w:rPr>
              <w:t>公司</w:t>
            </w:r>
            <w:r>
              <w:rPr>
                <w:rFonts w:hint="eastAsia" w:ascii="宋体" w:hAnsi="宋体" w:eastAsia="宋体" w:cs="宋体"/>
                <w:sz w:val="21"/>
                <w:lang w:val="en-US"/>
              </w:rPr>
              <w:t>驻地。</w:t>
            </w:r>
          </w:p>
        </w:tc>
      </w:tr>
      <w:tr w14:paraId="3CB317B4">
        <w:tblPrEx>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108" w:type="dxa"/>
            <w:bottom w:w="0" w:type="dxa"/>
            <w:right w:w="108" w:type="dxa"/>
          </w:tblCellMar>
        </w:tblPrEx>
        <w:trPr>
          <w:trHeight w:val="870" w:hRule="atLeast"/>
          <w:jc w:val="center"/>
        </w:trPr>
        <w:tc>
          <w:tcPr>
            <w:tcW w:w="2385" w:type="dxa"/>
            <w:shd w:val="clear" w:color="auto" w:fill="DAEEF3"/>
            <w:vAlign w:val="center"/>
          </w:tcPr>
          <w:p w14:paraId="20BCA9AA">
            <w:pPr>
              <w:pStyle w:val="67"/>
              <w:ind w:firstLine="0" w:firstLineChars="0"/>
              <w:rPr>
                <w:rFonts w:hint="eastAsia" w:ascii="宋体" w:hAnsi="宋体" w:eastAsia="宋体" w:cs="宋体"/>
                <w:sz w:val="21"/>
                <w:lang w:val="en-US"/>
              </w:rPr>
            </w:pPr>
            <w:r>
              <w:rPr>
                <w:rFonts w:hint="eastAsia" w:ascii="宋体" w:hAnsi="宋体" w:eastAsia="宋体" w:cs="宋体"/>
                <w:sz w:val="21"/>
                <w:lang w:val="en-US"/>
              </w:rPr>
              <w:drawing>
                <wp:inline distT="0" distB="0" distL="0" distR="0">
                  <wp:extent cx="952500" cy="781050"/>
                  <wp:effectExtent l="0" t="0" r="7620" b="11430"/>
                  <wp:docPr id="1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952500" cy="781050"/>
                          </a:xfrm>
                          <a:prstGeom prst="rect">
                            <a:avLst/>
                          </a:prstGeom>
                          <a:noFill/>
                          <a:ln>
                            <a:noFill/>
                          </a:ln>
                        </pic:spPr>
                      </pic:pic>
                    </a:graphicData>
                  </a:graphic>
                </wp:inline>
              </w:drawing>
            </w:r>
          </w:p>
        </w:tc>
        <w:tc>
          <w:tcPr>
            <w:tcW w:w="2266" w:type="dxa"/>
            <w:shd w:val="clear" w:color="auto" w:fill="DAEEF3"/>
            <w:vAlign w:val="center"/>
          </w:tcPr>
          <w:p w14:paraId="3F37097F">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Ⅰ级响应标准：2小时内可能出现能见度小于50米的雾，或者已经出现能见度小于50米的雾并将持</w:t>
            </w:r>
            <w:bookmarkStart w:id="415" w:name="6253351-6466763-3_2"/>
            <w:bookmarkEnd w:id="415"/>
          </w:p>
        </w:tc>
        <w:tc>
          <w:tcPr>
            <w:tcW w:w="4749" w:type="dxa"/>
            <w:shd w:val="clear" w:color="auto" w:fill="DAEEF3"/>
            <w:vAlign w:val="center"/>
          </w:tcPr>
          <w:p w14:paraId="14CE6F18">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（1）各部门（班组）按照职责做好防能见度不良的应急和抢险工作；</w:t>
            </w:r>
          </w:p>
          <w:p w14:paraId="4E919624">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（2）应急领导小组组长在岗指挥，组织24小时应急值班；</w:t>
            </w:r>
          </w:p>
          <w:p w14:paraId="6E9060AC">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（3）停止各作业点一切施工作业活动；</w:t>
            </w:r>
          </w:p>
          <w:p w14:paraId="775B73DB">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（4）确保全部人员撤离至安置点并严格管理；</w:t>
            </w:r>
          </w:p>
          <w:p w14:paraId="1FCE5EC9">
            <w:pPr>
              <w:pStyle w:val="67"/>
              <w:ind w:firstLine="0" w:firstLineChars="0"/>
              <w:jc w:val="left"/>
              <w:rPr>
                <w:rFonts w:hint="eastAsia" w:ascii="宋体" w:hAnsi="宋体" w:eastAsia="宋体" w:cs="宋体"/>
                <w:sz w:val="21"/>
                <w:lang w:val="en-US"/>
              </w:rPr>
            </w:pPr>
            <w:r>
              <w:rPr>
                <w:rFonts w:hint="eastAsia" w:ascii="宋体" w:hAnsi="宋体" w:eastAsia="宋体" w:cs="宋体"/>
                <w:sz w:val="21"/>
                <w:lang w:val="en-US"/>
              </w:rPr>
              <w:t>（5）各应急小组人员保持信息畅通及时反馈情况。</w:t>
            </w:r>
          </w:p>
        </w:tc>
      </w:tr>
      <w:bookmarkEnd w:id="412"/>
      <w:bookmarkEnd w:id="413"/>
      <w:bookmarkEnd w:id="414"/>
    </w:tbl>
    <w:p w14:paraId="129E1076">
      <w:pPr>
        <w:keepNext/>
        <w:keepLines/>
        <w:spacing w:after="156" w:line="360" w:lineRule="auto"/>
        <w:ind w:firstLine="0" w:firstLineChars="0"/>
        <w:jc w:val="both"/>
        <w:outlineLvl w:val="9"/>
        <w:rPr>
          <w:rFonts w:hint="eastAsia" w:ascii="宋体" w:hAnsi="宋体" w:eastAsia="宋体" w:cs="宋体"/>
          <w:kern w:val="44"/>
          <w:sz w:val="28"/>
          <w:szCs w:val="44"/>
        </w:rPr>
        <w:sectPr>
          <w:footerReference r:id="rId13" w:type="default"/>
          <w:pgSz w:w="11906" w:h="16838"/>
          <w:pgMar w:top="1174" w:right="1174" w:bottom="1174" w:left="1174" w:header="680" w:footer="227" w:gutter="0"/>
          <w:pgNumType w:fmt="decimal" w:start="1"/>
          <w:cols w:space="0" w:num="1"/>
          <w:docGrid w:linePitch="312" w:charSpace="0"/>
        </w:sectPr>
      </w:pPr>
      <w:bookmarkStart w:id="416" w:name="_Toc3790"/>
      <w:bookmarkStart w:id="417" w:name="_Toc31936"/>
    </w:p>
    <w:p w14:paraId="5AB26CDC">
      <w:pPr>
        <w:pStyle w:val="3"/>
        <w:bidi w:val="0"/>
        <w:rPr>
          <w:rFonts w:hint="eastAsia"/>
        </w:rPr>
      </w:pPr>
      <w:bookmarkStart w:id="418" w:name="_Toc22715"/>
      <w:bookmarkStart w:id="419" w:name="_Toc32160"/>
      <w:r>
        <w:rPr>
          <w:rFonts w:hint="eastAsia"/>
        </w:rPr>
        <w:t>8.安全检查与验收</w:t>
      </w:r>
      <w:bookmarkEnd w:id="227"/>
      <w:bookmarkEnd w:id="228"/>
      <w:bookmarkEnd w:id="416"/>
      <w:bookmarkEnd w:id="417"/>
      <w:bookmarkEnd w:id="418"/>
      <w:bookmarkEnd w:id="419"/>
    </w:p>
    <w:bookmarkEnd w:id="229"/>
    <w:p w14:paraId="408B29BE">
      <w:pPr>
        <w:pStyle w:val="4"/>
        <w:bidi w:val="0"/>
        <w:rPr>
          <w:rFonts w:hint="eastAsia"/>
        </w:rPr>
      </w:pPr>
      <w:bookmarkStart w:id="420" w:name="_Toc24734"/>
      <w:bookmarkStart w:id="421" w:name="_Toc515971591"/>
      <w:bookmarkStart w:id="422" w:name="_Toc528139737"/>
      <w:bookmarkStart w:id="423" w:name="_Toc23111"/>
      <w:bookmarkStart w:id="424" w:name="_Toc23428"/>
      <w:bookmarkStart w:id="425" w:name="_Toc1145"/>
      <w:r>
        <w:rPr>
          <w:rFonts w:hint="eastAsia"/>
        </w:rPr>
        <w:t>8.1检查的方法</w:t>
      </w:r>
      <w:bookmarkEnd w:id="420"/>
      <w:bookmarkEnd w:id="421"/>
      <w:bookmarkEnd w:id="422"/>
      <w:bookmarkEnd w:id="423"/>
      <w:bookmarkEnd w:id="424"/>
      <w:bookmarkEnd w:id="425"/>
    </w:p>
    <w:p w14:paraId="60649416">
      <w:pPr>
        <w:bidi w:val="0"/>
        <w:rPr>
          <w:rFonts w:hint="eastAsia"/>
        </w:rPr>
      </w:pPr>
      <w:r>
        <w:rPr>
          <w:rFonts w:hint="eastAsia"/>
        </w:rPr>
        <w:t>（1）安全检查工作由</w:t>
      </w:r>
      <w:r>
        <w:rPr>
          <w:rFonts w:hint="eastAsia"/>
          <w:lang w:eastAsia="zh-CN"/>
        </w:rPr>
        <w:t>公司</w:t>
      </w:r>
      <w:r>
        <w:rPr>
          <w:rFonts w:hint="eastAsia"/>
        </w:rPr>
        <w:t>主管领导组织，小组成员和专职人员及现场负责人参加，认真检查施工现场存在的问题，并接受现场作业人员反映施工生产存在的安全问题，及时加以协调和解决。</w:t>
      </w:r>
    </w:p>
    <w:p w14:paraId="7798E848">
      <w:pPr>
        <w:bidi w:val="0"/>
        <w:rPr>
          <w:rFonts w:hint="eastAsia"/>
        </w:rPr>
      </w:pPr>
      <w:r>
        <w:rPr>
          <w:rFonts w:hint="eastAsia"/>
        </w:rPr>
        <w:t>（2）坚持定期进行安全检查，将检查出的问题汇总成安全检查记录表，并建立安全隐患检查登记台账，同时检查结束后，召开安全生产检查专题会议，由检查负责人签发隐患整改意见书，要求定人、定期、定措施整改，并对要求整改的内容进行复检。</w:t>
      </w:r>
    </w:p>
    <w:p w14:paraId="7A79A322">
      <w:pPr>
        <w:bidi w:val="0"/>
        <w:rPr>
          <w:rFonts w:hint="eastAsia"/>
        </w:rPr>
      </w:pPr>
      <w:r>
        <w:rPr>
          <w:rFonts w:hint="eastAsia"/>
        </w:rPr>
        <w:t>（3）做好班前、中、后和节假日前、后的安全检查，特别是作业前必须对作业环境进行认真检查，发现问题要立即解决或及时上报，确保施工作业安全。</w:t>
      </w:r>
    </w:p>
    <w:p w14:paraId="2B81A15D">
      <w:pPr>
        <w:bidi w:val="0"/>
        <w:rPr>
          <w:rFonts w:hint="eastAsia"/>
        </w:rPr>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25AB3CAD">
      <w:pPr>
        <w:pStyle w:val="4"/>
        <w:bidi w:val="0"/>
        <w:rPr>
          <w:rFonts w:hint="eastAsia"/>
        </w:rPr>
      </w:pPr>
      <w:bookmarkStart w:id="426" w:name="_Toc528139738"/>
      <w:bookmarkStart w:id="427" w:name="_Toc19737"/>
      <w:bookmarkStart w:id="428" w:name="_Toc6725"/>
      <w:bookmarkStart w:id="429" w:name="_Toc27685"/>
      <w:bookmarkStart w:id="430" w:name="_Toc553"/>
      <w:bookmarkStart w:id="431" w:name="_Toc515971592"/>
      <w:bookmarkStart w:id="432" w:name="_Hlk518245572"/>
      <w:r>
        <w:rPr>
          <w:rFonts w:hint="eastAsia"/>
        </w:rPr>
        <w:t>8.2检查的内容</w:t>
      </w:r>
      <w:bookmarkEnd w:id="426"/>
      <w:bookmarkEnd w:id="427"/>
      <w:bookmarkEnd w:id="428"/>
      <w:bookmarkEnd w:id="429"/>
      <w:bookmarkEnd w:id="430"/>
      <w:bookmarkEnd w:id="431"/>
    </w:p>
    <w:bookmarkEnd w:id="432"/>
    <w:p w14:paraId="572399B9">
      <w:pPr>
        <w:pStyle w:val="5"/>
        <w:bidi w:val="0"/>
        <w:rPr>
          <w:rFonts w:hint="eastAsia"/>
        </w:rPr>
      </w:pPr>
      <w:bookmarkStart w:id="433" w:name="_Toc528139739"/>
      <w:bookmarkStart w:id="434" w:name="_Toc11709"/>
      <w:r>
        <w:rPr>
          <w:rFonts w:hint="eastAsia"/>
        </w:rPr>
        <w:t>8.2.1设备投入使用前检查</w:t>
      </w:r>
      <w:bookmarkEnd w:id="433"/>
      <w:bookmarkEnd w:id="434"/>
    </w:p>
    <w:p w14:paraId="37F8905D">
      <w:pPr>
        <w:bidi w:val="0"/>
        <w:rPr>
          <w:rFonts w:hint="eastAsia"/>
        </w:rPr>
      </w:pPr>
      <w:r>
        <w:rPr>
          <w:rFonts w:hint="eastAsia"/>
        </w:rPr>
        <w:t>设备投入使用前由</w:t>
      </w:r>
      <w:r>
        <w:rPr>
          <w:rFonts w:hint="eastAsia"/>
          <w:lang w:eastAsia="zh-CN"/>
        </w:rPr>
        <w:t>公司</w:t>
      </w:r>
      <w:r>
        <w:rPr>
          <w:rFonts w:hint="eastAsia"/>
        </w:rPr>
        <w:t>组织有关人员对相关内容进行检查验收，验收合格后方可使用。</w:t>
      </w:r>
    </w:p>
    <w:p w14:paraId="3B73624B">
      <w:pPr>
        <w:bidi w:val="0"/>
        <w:rPr>
          <w:rFonts w:hint="eastAsia"/>
        </w:rPr>
      </w:pPr>
      <w:r>
        <w:rPr>
          <w:rFonts w:hint="eastAsia"/>
        </w:rPr>
        <w:t>主要检查以下内容：</w:t>
      </w:r>
    </w:p>
    <w:p w14:paraId="2B17557A">
      <w:pPr>
        <w:bidi w:val="0"/>
        <w:rPr>
          <w:rFonts w:hint="eastAsia"/>
        </w:rPr>
      </w:pPr>
      <w:r>
        <w:rPr>
          <w:rFonts w:hint="eastAsia"/>
        </w:rPr>
        <w:t>（1）保证运行机构电气连接良好。</w:t>
      </w:r>
    </w:p>
    <w:p w14:paraId="561BFFF8">
      <w:pPr>
        <w:bidi w:val="0"/>
        <w:rPr>
          <w:rFonts w:hint="eastAsia"/>
        </w:rPr>
      </w:pPr>
      <w:r>
        <w:rPr>
          <w:rFonts w:hint="eastAsia"/>
        </w:rPr>
        <w:t>（2）检查底盘下的电力是否顺畅，以防损坏。</w:t>
      </w:r>
    </w:p>
    <w:p w14:paraId="50FE3681">
      <w:pPr>
        <w:bidi w:val="0"/>
        <w:rPr>
          <w:rFonts w:hint="eastAsia"/>
        </w:rPr>
      </w:pPr>
      <w:r>
        <w:rPr>
          <w:rFonts w:hint="eastAsia"/>
        </w:rPr>
        <w:t>（3）检查塔身连接销轴是否固定到位，安全销是否开口。</w:t>
      </w:r>
    </w:p>
    <w:p w14:paraId="10F617AC">
      <w:pPr>
        <w:bidi w:val="0"/>
        <w:rPr>
          <w:rFonts w:hint="eastAsia"/>
        </w:rPr>
      </w:pPr>
      <w:r>
        <w:rPr>
          <w:rFonts w:hint="eastAsia"/>
        </w:rPr>
        <w:t>（4）检查标准节扶梯延伸部分的安装情况。</w:t>
      </w:r>
    </w:p>
    <w:p w14:paraId="49B2CFF5">
      <w:pPr>
        <w:bidi w:val="0"/>
        <w:rPr>
          <w:rFonts w:hint="eastAsia"/>
        </w:rPr>
      </w:pPr>
      <w:r>
        <w:rPr>
          <w:rFonts w:hint="eastAsia"/>
        </w:rPr>
        <w:t>（5）检查小车检修平台是否安装就位。</w:t>
      </w:r>
    </w:p>
    <w:p w14:paraId="30BC592B">
      <w:pPr>
        <w:bidi w:val="0"/>
        <w:rPr>
          <w:rFonts w:hint="eastAsia"/>
        </w:rPr>
      </w:pPr>
      <w:r>
        <w:rPr>
          <w:rFonts w:hint="eastAsia"/>
        </w:rPr>
        <w:t>（6）检查平衡臂上走道与护栏的固定情况。</w:t>
      </w:r>
    </w:p>
    <w:p w14:paraId="3DD15C55">
      <w:pPr>
        <w:bidi w:val="0"/>
        <w:rPr>
          <w:rFonts w:hint="eastAsia"/>
        </w:rPr>
      </w:pPr>
      <w:r>
        <w:rPr>
          <w:rFonts w:hint="eastAsia"/>
        </w:rPr>
        <w:t>（7）检查起升和变幅钢丝绳穿绕是否正确。</w:t>
      </w:r>
    </w:p>
    <w:p w14:paraId="7684F27B">
      <w:pPr>
        <w:bidi w:val="0"/>
        <w:rPr>
          <w:rFonts w:hint="eastAsia"/>
        </w:rPr>
      </w:pPr>
      <w:r>
        <w:rPr>
          <w:rFonts w:hint="eastAsia"/>
        </w:rPr>
        <w:t>（8）检查平衡臂配重的固定情况。</w:t>
      </w:r>
    </w:p>
    <w:p w14:paraId="437F2B79">
      <w:pPr>
        <w:bidi w:val="0"/>
        <w:rPr>
          <w:rFonts w:hint="eastAsia"/>
        </w:rPr>
      </w:pPr>
      <w:r>
        <w:rPr>
          <w:rFonts w:hint="eastAsia"/>
        </w:rPr>
        <w:t>（9）检查各润滑点和面的润滑情况。</w:t>
      </w:r>
    </w:p>
    <w:p w14:paraId="33A51DA8">
      <w:pPr>
        <w:bidi w:val="0"/>
        <w:rPr>
          <w:rFonts w:hint="eastAsia" w:ascii="宋体" w:hAnsi="宋体" w:eastAsia="宋体" w:cs="宋体"/>
        </w:rPr>
      </w:pPr>
      <w:r>
        <w:rPr>
          <w:rFonts w:hint="eastAsia"/>
        </w:rPr>
        <w:t>（10）检查监控系统是否正常，各安全限位是否有效。</w:t>
      </w:r>
    </w:p>
    <w:p w14:paraId="4E529F0C">
      <w:pPr>
        <w:pStyle w:val="5"/>
        <w:bidi w:val="0"/>
        <w:rPr>
          <w:rFonts w:hint="eastAsia"/>
        </w:rPr>
      </w:pPr>
      <w:bookmarkStart w:id="435" w:name="_Toc16920"/>
      <w:bookmarkStart w:id="436" w:name="_Toc528139740"/>
      <w:r>
        <w:rPr>
          <w:rFonts w:hint="eastAsia"/>
        </w:rPr>
        <w:t>8.2.2正常使用阶段检查</w:t>
      </w:r>
      <w:bookmarkEnd w:id="435"/>
      <w:bookmarkEnd w:id="436"/>
    </w:p>
    <w:p w14:paraId="2756A22C">
      <w:pPr>
        <w:bidi w:val="0"/>
        <w:rPr>
          <w:rFonts w:hint="eastAsia"/>
        </w:rPr>
      </w:pPr>
      <w:r>
        <w:rPr>
          <w:rFonts w:hint="eastAsia"/>
        </w:rPr>
        <w:t>（1）施工现场劳动条件、安全装置、安全设施是否符合安全生产要求；</w:t>
      </w:r>
    </w:p>
    <w:p w14:paraId="3A7DE2B2">
      <w:pPr>
        <w:bidi w:val="0"/>
        <w:rPr>
          <w:rFonts w:hint="eastAsia"/>
        </w:rPr>
      </w:pPr>
      <w:r>
        <w:rPr>
          <w:rFonts w:hint="eastAsia"/>
        </w:rPr>
        <w:t>（2）塔吊的安全装置是够齐全、灵活可靠，各机械设备的运作保养情况，是否定期检测保养；</w:t>
      </w:r>
    </w:p>
    <w:p w14:paraId="3298E587">
      <w:pPr>
        <w:bidi w:val="0"/>
        <w:rPr>
          <w:rFonts w:hint="eastAsia"/>
        </w:rPr>
      </w:pPr>
      <w:r>
        <w:rPr>
          <w:rFonts w:hint="eastAsia"/>
        </w:rPr>
        <w:t>（3）特种作业人员的作业情况，是否按操作规程作业，有无培训及培训记录，持证上岗情况；</w:t>
      </w:r>
    </w:p>
    <w:p w14:paraId="2421B7A7">
      <w:pPr>
        <w:bidi w:val="0"/>
        <w:rPr>
          <w:rFonts w:hint="eastAsia"/>
        </w:rPr>
      </w:pPr>
      <w:r>
        <w:rPr>
          <w:rFonts w:hint="eastAsia"/>
        </w:rPr>
        <w:t>（4）劳动防护用品的发放、使用以及登记台帐情况等；</w:t>
      </w:r>
    </w:p>
    <w:p w14:paraId="7512041C">
      <w:pPr>
        <w:bidi w:val="0"/>
        <w:rPr>
          <w:rFonts w:hint="eastAsia"/>
        </w:rPr>
      </w:pPr>
      <w:r>
        <w:rPr>
          <w:rFonts w:hint="eastAsia"/>
        </w:rPr>
        <w:t>（5）各项安全管理制度落实情况。</w:t>
      </w:r>
    </w:p>
    <w:p w14:paraId="4FA71691">
      <w:pPr>
        <w:pStyle w:val="5"/>
        <w:bidi w:val="0"/>
        <w:rPr>
          <w:rFonts w:hint="eastAsia"/>
        </w:rPr>
      </w:pPr>
      <w:bookmarkStart w:id="437" w:name="_Toc7905"/>
      <w:bookmarkStart w:id="438" w:name="_Toc528139741"/>
      <w:r>
        <w:rPr>
          <w:rFonts w:hint="eastAsia"/>
        </w:rPr>
        <w:t>8.2.3安全检查方法</w:t>
      </w:r>
      <w:bookmarkEnd w:id="437"/>
      <w:bookmarkEnd w:id="438"/>
    </w:p>
    <w:p w14:paraId="081E6C9E">
      <w:pPr>
        <w:bidi w:val="0"/>
        <w:rPr>
          <w:rFonts w:hint="eastAsia"/>
        </w:rPr>
      </w:pPr>
      <w:r>
        <w:rPr>
          <w:rFonts w:hint="eastAsia"/>
        </w:rPr>
        <w:t>（1）安全检查工作由</w:t>
      </w:r>
      <w:r>
        <w:rPr>
          <w:rFonts w:hint="eastAsia"/>
          <w:lang w:eastAsia="zh-CN"/>
        </w:rPr>
        <w:t>公司</w:t>
      </w:r>
      <w:r>
        <w:rPr>
          <w:rFonts w:hint="eastAsia"/>
        </w:rPr>
        <w:t>主管领导组织，小组成员和专职人员及现场负责人参加，认真检查施工现场存在的问题，并接受现场作业人员反映施工生产存在的安全问题，及时加以协调和解决。</w:t>
      </w:r>
    </w:p>
    <w:p w14:paraId="57258096">
      <w:pPr>
        <w:bidi w:val="0"/>
        <w:rPr>
          <w:rFonts w:hint="eastAsia"/>
        </w:rPr>
      </w:pPr>
      <w:r>
        <w:rPr>
          <w:rFonts w:hint="eastAsia"/>
        </w:rPr>
        <w:t>（2）坚持定期进行安全检查，将检查出的问题汇总成安全检查记录表，并建立安全隐患检查登记台账，同时检查结束后，由检查负责人签发隐患整改意见书，要求定人、定期、定措施整改，并对要求整改的内容进行复检。</w:t>
      </w:r>
    </w:p>
    <w:p w14:paraId="6E0FAC59">
      <w:pPr>
        <w:bidi w:val="0"/>
        <w:rPr>
          <w:rFonts w:hint="eastAsia"/>
        </w:rPr>
      </w:pPr>
      <w:r>
        <w:rPr>
          <w:rFonts w:hint="eastAsia"/>
        </w:rPr>
        <w:t>（3）做好班前、中、后和节假日前、后的安全检查，特别是作业前必须对作业环境进行认真检查，发现问题要立即解决或及时上报，确保施工作业安全。</w:t>
      </w:r>
    </w:p>
    <w:p w14:paraId="7237AA8B">
      <w:pPr>
        <w:bidi w:val="0"/>
        <w:rPr>
          <w:rFonts w:hint="eastAsia"/>
        </w:rPr>
      </w:pPr>
      <w:r>
        <w:rPr>
          <w:rFonts w:hint="eastAsia"/>
        </w:rPr>
        <w:t>（4）专职安全生产管理人员在检查过程中，根据安全生产管理制度和安全技术规程等，及时对违章人员进行制止和处理。每月将全生产情况予以通报，受到通报的班组和个人予以相应奖励或处罚。</w:t>
      </w:r>
    </w:p>
    <w:p w14:paraId="5AFAF17F">
      <w:pPr>
        <w:pStyle w:val="5"/>
        <w:bidi w:val="0"/>
        <w:rPr>
          <w:rFonts w:hint="eastAsia"/>
        </w:rPr>
      </w:pPr>
      <w:bookmarkStart w:id="439" w:name="_Toc17640"/>
      <w:bookmarkStart w:id="440" w:name="_Toc528139742"/>
      <w:r>
        <w:rPr>
          <w:rFonts w:hint="eastAsia"/>
        </w:rPr>
        <w:t>8.2.4塔吊日常使用检查表</w:t>
      </w:r>
      <w:bookmarkEnd w:id="439"/>
      <w:bookmarkEnd w:id="440"/>
    </w:p>
    <w:p w14:paraId="6F6F2F69">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表8.2-1 安全检查表</w:t>
      </w:r>
    </w:p>
    <w:tbl>
      <w:tblPr>
        <w:tblStyle w:val="35"/>
        <w:tblW w:w="4999" w:type="pct"/>
        <w:jc w:val="center"/>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Layout w:type="autofit"/>
        <w:tblCellMar>
          <w:top w:w="0" w:type="dxa"/>
          <w:left w:w="108" w:type="dxa"/>
          <w:bottom w:w="0" w:type="dxa"/>
          <w:right w:w="108" w:type="dxa"/>
        </w:tblCellMar>
      </w:tblPr>
      <w:tblGrid>
        <w:gridCol w:w="1659"/>
        <w:gridCol w:w="2482"/>
        <w:gridCol w:w="3967"/>
        <w:gridCol w:w="1664"/>
      </w:tblGrid>
      <w:tr w14:paraId="62439F9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836C9A7">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工程名称</w:t>
            </w:r>
          </w:p>
        </w:tc>
        <w:tc>
          <w:tcPr>
            <w:tcW w:w="1270" w:type="pct"/>
            <w:shd w:val="clear" w:color="auto" w:fill="auto"/>
            <w:vAlign w:val="center"/>
          </w:tcPr>
          <w:p w14:paraId="5485EAB0">
            <w:pPr>
              <w:pStyle w:val="73"/>
              <w:adjustRightInd w:val="0"/>
              <w:snapToGrid w:val="0"/>
              <w:rPr>
                <w:rFonts w:hint="eastAsia" w:ascii="宋体" w:hAnsi="宋体" w:eastAsia="宋体" w:cs="宋体"/>
                <w:kern w:val="2"/>
                <w:sz w:val="21"/>
                <w:szCs w:val="21"/>
              </w:rPr>
            </w:pPr>
          </w:p>
        </w:tc>
        <w:tc>
          <w:tcPr>
            <w:tcW w:w="2030" w:type="pct"/>
            <w:shd w:val="clear" w:color="auto" w:fill="auto"/>
            <w:vAlign w:val="center"/>
          </w:tcPr>
          <w:p w14:paraId="0A54C58E">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塔机型号</w:t>
            </w:r>
          </w:p>
        </w:tc>
        <w:tc>
          <w:tcPr>
            <w:tcW w:w="849" w:type="pct"/>
            <w:shd w:val="clear" w:color="auto" w:fill="auto"/>
            <w:vAlign w:val="center"/>
          </w:tcPr>
          <w:p w14:paraId="62633924">
            <w:pPr>
              <w:pStyle w:val="73"/>
              <w:adjustRightInd w:val="0"/>
              <w:snapToGrid w:val="0"/>
              <w:rPr>
                <w:rFonts w:hint="eastAsia" w:ascii="宋体" w:hAnsi="宋体" w:eastAsia="宋体" w:cs="宋体"/>
                <w:kern w:val="2"/>
                <w:sz w:val="21"/>
                <w:szCs w:val="21"/>
              </w:rPr>
            </w:pPr>
          </w:p>
        </w:tc>
      </w:tr>
      <w:tr w14:paraId="6C26D11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BF08BC7">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墩号</w:t>
            </w:r>
          </w:p>
        </w:tc>
        <w:tc>
          <w:tcPr>
            <w:tcW w:w="1270" w:type="pct"/>
            <w:shd w:val="clear" w:color="auto" w:fill="auto"/>
            <w:vAlign w:val="center"/>
          </w:tcPr>
          <w:p w14:paraId="7920EE27">
            <w:pPr>
              <w:pStyle w:val="73"/>
              <w:adjustRightInd w:val="0"/>
              <w:snapToGrid w:val="0"/>
              <w:rPr>
                <w:rFonts w:hint="eastAsia" w:ascii="宋体" w:hAnsi="宋体" w:eastAsia="宋体" w:cs="宋体"/>
                <w:kern w:val="2"/>
                <w:sz w:val="21"/>
                <w:szCs w:val="21"/>
              </w:rPr>
            </w:pPr>
          </w:p>
        </w:tc>
        <w:tc>
          <w:tcPr>
            <w:tcW w:w="2030" w:type="pct"/>
            <w:shd w:val="clear" w:color="auto" w:fill="auto"/>
            <w:vAlign w:val="center"/>
          </w:tcPr>
          <w:p w14:paraId="6FFF4AA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安装高度</w:t>
            </w:r>
          </w:p>
        </w:tc>
        <w:tc>
          <w:tcPr>
            <w:tcW w:w="849" w:type="pct"/>
            <w:shd w:val="clear" w:color="auto" w:fill="auto"/>
            <w:vAlign w:val="center"/>
          </w:tcPr>
          <w:p w14:paraId="62A16E5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米</w:t>
            </w:r>
          </w:p>
        </w:tc>
      </w:tr>
      <w:tr w14:paraId="04364A4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78F58BB0">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序号</w:t>
            </w:r>
          </w:p>
        </w:tc>
        <w:tc>
          <w:tcPr>
            <w:tcW w:w="1270" w:type="pct"/>
            <w:shd w:val="clear" w:color="auto" w:fill="auto"/>
            <w:vAlign w:val="center"/>
          </w:tcPr>
          <w:p w14:paraId="58380044">
            <w:pPr>
              <w:pStyle w:val="73"/>
              <w:adjustRightInd w:val="0"/>
              <w:snapToGrid w:val="0"/>
              <w:rPr>
                <w:rFonts w:hint="eastAsia" w:ascii="宋体" w:hAnsi="宋体" w:eastAsia="宋体" w:cs="宋体"/>
                <w:kern w:val="2"/>
                <w:sz w:val="21"/>
                <w:szCs w:val="21"/>
                <w:lang w:eastAsia="zh-CN"/>
              </w:rPr>
            </w:pPr>
            <w:r>
              <w:rPr>
                <w:rFonts w:hint="eastAsia" w:ascii="宋体" w:hAnsi="宋体" w:eastAsia="宋体" w:cs="宋体"/>
                <w:kern w:val="2"/>
                <w:sz w:val="21"/>
                <w:szCs w:val="21"/>
              </w:rPr>
              <w:t>主检</w:t>
            </w:r>
            <w:r>
              <w:rPr>
                <w:rFonts w:hint="eastAsia" w:hAnsi="宋体" w:eastAsia="宋体" w:cs="宋体"/>
                <w:kern w:val="2"/>
                <w:sz w:val="21"/>
                <w:szCs w:val="21"/>
                <w:lang w:eastAsia="zh-CN"/>
              </w:rPr>
              <w:t>公司</w:t>
            </w:r>
          </w:p>
        </w:tc>
        <w:tc>
          <w:tcPr>
            <w:tcW w:w="2030" w:type="pct"/>
            <w:shd w:val="clear" w:color="auto" w:fill="auto"/>
            <w:vAlign w:val="center"/>
          </w:tcPr>
          <w:p w14:paraId="669F9CF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标准要求</w:t>
            </w:r>
          </w:p>
        </w:tc>
        <w:tc>
          <w:tcPr>
            <w:tcW w:w="849" w:type="pct"/>
            <w:shd w:val="clear" w:color="auto" w:fill="auto"/>
            <w:vAlign w:val="center"/>
          </w:tcPr>
          <w:p w14:paraId="3BC1D91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检查结果</w:t>
            </w:r>
          </w:p>
        </w:tc>
      </w:tr>
      <w:tr w14:paraId="2F3DFF5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0CC07C8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w:t>
            </w:r>
          </w:p>
        </w:tc>
        <w:tc>
          <w:tcPr>
            <w:tcW w:w="1270" w:type="pct"/>
            <w:shd w:val="clear" w:color="auto" w:fill="auto"/>
            <w:vAlign w:val="center"/>
          </w:tcPr>
          <w:p w14:paraId="75C10DE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基础工程</w:t>
            </w:r>
          </w:p>
        </w:tc>
        <w:tc>
          <w:tcPr>
            <w:tcW w:w="2030" w:type="pct"/>
            <w:shd w:val="clear" w:color="auto" w:fill="auto"/>
            <w:vAlign w:val="center"/>
          </w:tcPr>
          <w:p w14:paraId="4017D85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尺寸检验合格</w:t>
            </w:r>
          </w:p>
        </w:tc>
        <w:tc>
          <w:tcPr>
            <w:tcW w:w="849" w:type="pct"/>
            <w:shd w:val="clear" w:color="auto" w:fill="auto"/>
            <w:vAlign w:val="center"/>
          </w:tcPr>
          <w:p w14:paraId="577329E9">
            <w:pPr>
              <w:pStyle w:val="73"/>
              <w:adjustRightInd w:val="0"/>
              <w:snapToGrid w:val="0"/>
              <w:rPr>
                <w:rFonts w:hint="eastAsia" w:ascii="宋体" w:hAnsi="宋体" w:eastAsia="宋体" w:cs="宋体"/>
                <w:kern w:val="2"/>
                <w:sz w:val="21"/>
                <w:szCs w:val="21"/>
              </w:rPr>
            </w:pPr>
          </w:p>
        </w:tc>
      </w:tr>
      <w:tr w14:paraId="433E671F">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378C78D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2</w:t>
            </w:r>
          </w:p>
        </w:tc>
        <w:tc>
          <w:tcPr>
            <w:tcW w:w="1270" w:type="pct"/>
            <w:shd w:val="clear" w:color="auto" w:fill="auto"/>
            <w:vAlign w:val="center"/>
          </w:tcPr>
          <w:p w14:paraId="4399E1F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接地电阻</w:t>
            </w:r>
          </w:p>
        </w:tc>
        <w:tc>
          <w:tcPr>
            <w:tcW w:w="2030" w:type="pct"/>
            <w:shd w:val="clear" w:color="auto" w:fill="auto"/>
            <w:vAlign w:val="center"/>
          </w:tcPr>
          <w:p w14:paraId="7E299DB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电阻值须在4欧以下</w:t>
            </w:r>
          </w:p>
        </w:tc>
        <w:tc>
          <w:tcPr>
            <w:tcW w:w="849" w:type="pct"/>
            <w:shd w:val="clear" w:color="auto" w:fill="auto"/>
            <w:vAlign w:val="center"/>
          </w:tcPr>
          <w:p w14:paraId="436D51F8">
            <w:pPr>
              <w:pStyle w:val="73"/>
              <w:adjustRightInd w:val="0"/>
              <w:snapToGrid w:val="0"/>
              <w:rPr>
                <w:rFonts w:hint="eastAsia" w:ascii="宋体" w:hAnsi="宋体" w:eastAsia="宋体" w:cs="宋体"/>
                <w:kern w:val="2"/>
                <w:sz w:val="21"/>
                <w:szCs w:val="21"/>
              </w:rPr>
            </w:pPr>
          </w:p>
        </w:tc>
      </w:tr>
      <w:tr w14:paraId="3C867A0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C9DEE4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3</w:t>
            </w:r>
          </w:p>
        </w:tc>
        <w:tc>
          <w:tcPr>
            <w:tcW w:w="1270" w:type="pct"/>
            <w:shd w:val="clear" w:color="auto" w:fill="auto"/>
            <w:vAlign w:val="center"/>
          </w:tcPr>
          <w:p w14:paraId="49E2B97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金属结构件</w:t>
            </w:r>
          </w:p>
        </w:tc>
        <w:tc>
          <w:tcPr>
            <w:tcW w:w="2030" w:type="pct"/>
            <w:shd w:val="clear" w:color="auto" w:fill="auto"/>
            <w:vAlign w:val="center"/>
          </w:tcPr>
          <w:p w14:paraId="1E511FB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应无变形/无弯曲/无开裂</w:t>
            </w:r>
          </w:p>
        </w:tc>
        <w:tc>
          <w:tcPr>
            <w:tcW w:w="849" w:type="pct"/>
            <w:shd w:val="clear" w:color="auto" w:fill="auto"/>
            <w:vAlign w:val="center"/>
          </w:tcPr>
          <w:p w14:paraId="44EDE02B">
            <w:pPr>
              <w:pStyle w:val="73"/>
              <w:adjustRightInd w:val="0"/>
              <w:snapToGrid w:val="0"/>
              <w:rPr>
                <w:rFonts w:hint="eastAsia" w:ascii="宋体" w:hAnsi="宋体" w:eastAsia="宋体" w:cs="宋体"/>
                <w:kern w:val="2"/>
                <w:sz w:val="21"/>
                <w:szCs w:val="21"/>
              </w:rPr>
            </w:pPr>
          </w:p>
        </w:tc>
      </w:tr>
      <w:tr w14:paraId="053A646C">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1F93E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4</w:t>
            </w:r>
          </w:p>
        </w:tc>
        <w:tc>
          <w:tcPr>
            <w:tcW w:w="1270" w:type="pct"/>
            <w:shd w:val="clear" w:color="auto" w:fill="auto"/>
            <w:vAlign w:val="center"/>
          </w:tcPr>
          <w:p w14:paraId="56920FE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小车牵引机构</w:t>
            </w:r>
          </w:p>
        </w:tc>
        <w:tc>
          <w:tcPr>
            <w:tcW w:w="2030" w:type="pct"/>
            <w:shd w:val="clear" w:color="auto" w:fill="auto"/>
            <w:vAlign w:val="center"/>
          </w:tcPr>
          <w:p w14:paraId="56CC9E8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521DF957">
            <w:pPr>
              <w:pStyle w:val="73"/>
              <w:adjustRightInd w:val="0"/>
              <w:snapToGrid w:val="0"/>
              <w:rPr>
                <w:rFonts w:hint="eastAsia" w:ascii="宋体" w:hAnsi="宋体" w:eastAsia="宋体" w:cs="宋体"/>
                <w:kern w:val="2"/>
                <w:sz w:val="21"/>
                <w:szCs w:val="21"/>
              </w:rPr>
            </w:pPr>
          </w:p>
        </w:tc>
      </w:tr>
      <w:tr w14:paraId="002F5D17">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BEEC13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5</w:t>
            </w:r>
          </w:p>
        </w:tc>
        <w:tc>
          <w:tcPr>
            <w:tcW w:w="1270" w:type="pct"/>
            <w:shd w:val="clear" w:color="auto" w:fill="auto"/>
            <w:vAlign w:val="center"/>
          </w:tcPr>
          <w:p w14:paraId="3CC7ACD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起升机构</w:t>
            </w:r>
          </w:p>
        </w:tc>
        <w:tc>
          <w:tcPr>
            <w:tcW w:w="2030" w:type="pct"/>
            <w:shd w:val="clear" w:color="auto" w:fill="auto"/>
            <w:vAlign w:val="center"/>
          </w:tcPr>
          <w:p w14:paraId="5496BF9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0C86A3A0">
            <w:pPr>
              <w:pStyle w:val="73"/>
              <w:adjustRightInd w:val="0"/>
              <w:snapToGrid w:val="0"/>
              <w:rPr>
                <w:rFonts w:hint="eastAsia" w:ascii="宋体" w:hAnsi="宋体" w:eastAsia="宋体" w:cs="宋体"/>
                <w:kern w:val="2"/>
                <w:sz w:val="21"/>
                <w:szCs w:val="21"/>
              </w:rPr>
            </w:pPr>
          </w:p>
        </w:tc>
      </w:tr>
      <w:tr w14:paraId="6DBF014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0DF811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6</w:t>
            </w:r>
          </w:p>
        </w:tc>
        <w:tc>
          <w:tcPr>
            <w:tcW w:w="1270" w:type="pct"/>
            <w:shd w:val="clear" w:color="auto" w:fill="auto"/>
            <w:vAlign w:val="center"/>
          </w:tcPr>
          <w:p w14:paraId="59777AAC">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回转机构</w:t>
            </w:r>
          </w:p>
        </w:tc>
        <w:tc>
          <w:tcPr>
            <w:tcW w:w="2030" w:type="pct"/>
            <w:shd w:val="clear" w:color="auto" w:fill="auto"/>
            <w:vAlign w:val="center"/>
          </w:tcPr>
          <w:p w14:paraId="61125E1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手盘轻松无卡阻现象</w:t>
            </w:r>
          </w:p>
        </w:tc>
        <w:tc>
          <w:tcPr>
            <w:tcW w:w="849" w:type="pct"/>
            <w:shd w:val="clear" w:color="auto" w:fill="auto"/>
            <w:vAlign w:val="center"/>
          </w:tcPr>
          <w:p w14:paraId="6C67F6BF">
            <w:pPr>
              <w:pStyle w:val="73"/>
              <w:adjustRightInd w:val="0"/>
              <w:snapToGrid w:val="0"/>
              <w:rPr>
                <w:rFonts w:hint="eastAsia" w:ascii="宋体" w:hAnsi="宋体" w:eastAsia="宋体" w:cs="宋体"/>
                <w:kern w:val="2"/>
                <w:sz w:val="21"/>
                <w:szCs w:val="21"/>
              </w:rPr>
            </w:pPr>
          </w:p>
        </w:tc>
      </w:tr>
      <w:tr w14:paraId="39624E09">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47D7B7C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7</w:t>
            </w:r>
          </w:p>
        </w:tc>
        <w:tc>
          <w:tcPr>
            <w:tcW w:w="1270" w:type="pct"/>
            <w:shd w:val="clear" w:color="auto" w:fill="auto"/>
            <w:vAlign w:val="center"/>
          </w:tcPr>
          <w:p w14:paraId="1785409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液压顶升装置</w:t>
            </w:r>
          </w:p>
        </w:tc>
        <w:tc>
          <w:tcPr>
            <w:tcW w:w="2030" w:type="pct"/>
            <w:shd w:val="clear" w:color="auto" w:fill="auto"/>
            <w:vAlign w:val="center"/>
          </w:tcPr>
          <w:p w14:paraId="6E78D05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压力符合无漏油/无空转</w:t>
            </w:r>
          </w:p>
        </w:tc>
        <w:tc>
          <w:tcPr>
            <w:tcW w:w="849" w:type="pct"/>
            <w:shd w:val="clear" w:color="auto" w:fill="auto"/>
            <w:vAlign w:val="center"/>
          </w:tcPr>
          <w:p w14:paraId="09FA7FC6">
            <w:pPr>
              <w:pStyle w:val="73"/>
              <w:adjustRightInd w:val="0"/>
              <w:snapToGrid w:val="0"/>
              <w:rPr>
                <w:rFonts w:hint="eastAsia" w:ascii="宋体" w:hAnsi="宋体" w:eastAsia="宋体" w:cs="宋体"/>
                <w:kern w:val="2"/>
                <w:sz w:val="21"/>
                <w:szCs w:val="21"/>
              </w:rPr>
            </w:pPr>
          </w:p>
        </w:tc>
      </w:tr>
      <w:tr w14:paraId="43459C78">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1DD6C5F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8</w:t>
            </w:r>
          </w:p>
        </w:tc>
        <w:tc>
          <w:tcPr>
            <w:tcW w:w="1270" w:type="pct"/>
            <w:shd w:val="clear" w:color="auto" w:fill="auto"/>
            <w:vAlign w:val="center"/>
          </w:tcPr>
          <w:p w14:paraId="0458F9FA">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各钢丝绳</w:t>
            </w:r>
          </w:p>
        </w:tc>
        <w:tc>
          <w:tcPr>
            <w:tcW w:w="2030" w:type="pct"/>
            <w:shd w:val="clear" w:color="auto" w:fill="auto"/>
            <w:vAlign w:val="center"/>
          </w:tcPr>
          <w:p w14:paraId="575E414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无拉毛断丝扭曲变形现象</w:t>
            </w:r>
          </w:p>
        </w:tc>
        <w:tc>
          <w:tcPr>
            <w:tcW w:w="849" w:type="pct"/>
            <w:shd w:val="clear" w:color="auto" w:fill="auto"/>
            <w:vAlign w:val="center"/>
          </w:tcPr>
          <w:p w14:paraId="64013298">
            <w:pPr>
              <w:pStyle w:val="73"/>
              <w:adjustRightInd w:val="0"/>
              <w:snapToGrid w:val="0"/>
              <w:rPr>
                <w:rFonts w:hint="eastAsia" w:ascii="宋体" w:hAnsi="宋体" w:eastAsia="宋体" w:cs="宋体"/>
                <w:kern w:val="2"/>
                <w:sz w:val="21"/>
                <w:szCs w:val="21"/>
              </w:rPr>
            </w:pPr>
          </w:p>
        </w:tc>
      </w:tr>
      <w:tr w14:paraId="10E952FA">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361BF4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9</w:t>
            </w:r>
          </w:p>
        </w:tc>
        <w:tc>
          <w:tcPr>
            <w:tcW w:w="1270" w:type="pct"/>
            <w:shd w:val="clear" w:color="auto" w:fill="auto"/>
            <w:vAlign w:val="center"/>
          </w:tcPr>
          <w:p w14:paraId="2A2F7DFF">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各滑轮/滚轮</w:t>
            </w:r>
          </w:p>
        </w:tc>
        <w:tc>
          <w:tcPr>
            <w:tcW w:w="2030" w:type="pct"/>
            <w:shd w:val="clear" w:color="auto" w:fill="auto"/>
            <w:vAlign w:val="center"/>
          </w:tcPr>
          <w:p w14:paraId="1BB51325">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转动灵活无卡阻现象</w:t>
            </w:r>
          </w:p>
        </w:tc>
        <w:tc>
          <w:tcPr>
            <w:tcW w:w="849" w:type="pct"/>
            <w:shd w:val="clear" w:color="auto" w:fill="auto"/>
            <w:vAlign w:val="center"/>
          </w:tcPr>
          <w:p w14:paraId="2EC2724C">
            <w:pPr>
              <w:pStyle w:val="73"/>
              <w:adjustRightInd w:val="0"/>
              <w:snapToGrid w:val="0"/>
              <w:rPr>
                <w:rFonts w:hint="eastAsia" w:ascii="宋体" w:hAnsi="宋体" w:eastAsia="宋体" w:cs="宋体"/>
                <w:kern w:val="2"/>
                <w:sz w:val="21"/>
                <w:szCs w:val="21"/>
              </w:rPr>
            </w:pPr>
          </w:p>
        </w:tc>
      </w:tr>
      <w:tr w14:paraId="37E4BC8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6FD546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10</w:t>
            </w:r>
          </w:p>
        </w:tc>
        <w:tc>
          <w:tcPr>
            <w:tcW w:w="1270" w:type="pct"/>
            <w:shd w:val="clear" w:color="auto" w:fill="auto"/>
            <w:vAlign w:val="center"/>
          </w:tcPr>
          <w:p w14:paraId="58AE4982">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连接固定螺栓</w:t>
            </w:r>
          </w:p>
        </w:tc>
        <w:tc>
          <w:tcPr>
            <w:tcW w:w="2030" w:type="pct"/>
            <w:shd w:val="clear" w:color="auto" w:fill="auto"/>
            <w:vAlign w:val="center"/>
          </w:tcPr>
          <w:p w14:paraId="3228EBE3">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齐全紧固无松动</w:t>
            </w:r>
          </w:p>
        </w:tc>
        <w:tc>
          <w:tcPr>
            <w:tcW w:w="849" w:type="pct"/>
            <w:shd w:val="clear" w:color="auto" w:fill="auto"/>
            <w:vAlign w:val="center"/>
          </w:tcPr>
          <w:p w14:paraId="32BD9A1D">
            <w:pPr>
              <w:pStyle w:val="73"/>
              <w:adjustRightInd w:val="0"/>
              <w:snapToGrid w:val="0"/>
              <w:rPr>
                <w:rFonts w:hint="eastAsia" w:ascii="宋体" w:hAnsi="宋体" w:eastAsia="宋体" w:cs="宋体"/>
                <w:kern w:val="2"/>
                <w:sz w:val="21"/>
                <w:szCs w:val="21"/>
              </w:rPr>
            </w:pPr>
          </w:p>
        </w:tc>
      </w:tr>
      <w:tr w14:paraId="27C94450">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59ED70C6">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11</w:t>
            </w:r>
          </w:p>
        </w:tc>
        <w:tc>
          <w:tcPr>
            <w:tcW w:w="1270" w:type="pct"/>
            <w:shd w:val="clear" w:color="auto" w:fill="auto"/>
            <w:vAlign w:val="center"/>
          </w:tcPr>
          <w:p w14:paraId="1233576C">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电气设备</w:t>
            </w:r>
          </w:p>
        </w:tc>
        <w:tc>
          <w:tcPr>
            <w:tcW w:w="2030" w:type="pct"/>
            <w:shd w:val="clear" w:color="auto" w:fill="auto"/>
            <w:vAlign w:val="center"/>
          </w:tcPr>
          <w:p w14:paraId="2EC72930">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动作灵敏无尘垢</w:t>
            </w:r>
          </w:p>
        </w:tc>
        <w:tc>
          <w:tcPr>
            <w:tcW w:w="849" w:type="pct"/>
            <w:shd w:val="clear" w:color="auto" w:fill="auto"/>
            <w:vAlign w:val="center"/>
          </w:tcPr>
          <w:p w14:paraId="40776257">
            <w:pPr>
              <w:pStyle w:val="73"/>
              <w:adjustRightInd w:val="0"/>
              <w:snapToGrid w:val="0"/>
              <w:rPr>
                <w:rFonts w:hint="eastAsia" w:ascii="宋体" w:hAnsi="宋体" w:eastAsia="宋体" w:cs="宋体"/>
                <w:kern w:val="2"/>
                <w:sz w:val="21"/>
                <w:szCs w:val="21"/>
              </w:rPr>
            </w:pPr>
          </w:p>
        </w:tc>
      </w:tr>
      <w:tr w14:paraId="2C3B23F1">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66C0B16B">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12</w:t>
            </w:r>
          </w:p>
        </w:tc>
        <w:tc>
          <w:tcPr>
            <w:tcW w:w="1270" w:type="pct"/>
            <w:shd w:val="clear" w:color="auto" w:fill="auto"/>
            <w:vAlign w:val="center"/>
          </w:tcPr>
          <w:p w14:paraId="5A79831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安全限位装置</w:t>
            </w:r>
          </w:p>
        </w:tc>
        <w:tc>
          <w:tcPr>
            <w:tcW w:w="2030" w:type="pct"/>
            <w:shd w:val="clear" w:color="auto" w:fill="auto"/>
            <w:vAlign w:val="center"/>
          </w:tcPr>
          <w:p w14:paraId="5DFE21B9">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灵敏可靠</w:t>
            </w:r>
          </w:p>
        </w:tc>
        <w:tc>
          <w:tcPr>
            <w:tcW w:w="849" w:type="pct"/>
            <w:shd w:val="clear" w:color="auto" w:fill="auto"/>
            <w:vAlign w:val="center"/>
          </w:tcPr>
          <w:p w14:paraId="4AD8D08B">
            <w:pPr>
              <w:pStyle w:val="73"/>
              <w:adjustRightInd w:val="0"/>
              <w:snapToGrid w:val="0"/>
              <w:rPr>
                <w:rFonts w:hint="eastAsia" w:ascii="宋体" w:hAnsi="宋体" w:eastAsia="宋体" w:cs="宋体"/>
                <w:kern w:val="2"/>
                <w:sz w:val="21"/>
                <w:szCs w:val="21"/>
              </w:rPr>
            </w:pPr>
          </w:p>
        </w:tc>
      </w:tr>
      <w:tr w14:paraId="6A9A35B2">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849" w:type="pct"/>
            <w:shd w:val="clear" w:color="auto" w:fill="auto"/>
            <w:vAlign w:val="center"/>
          </w:tcPr>
          <w:p w14:paraId="2221BC18">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13</w:t>
            </w:r>
          </w:p>
        </w:tc>
        <w:tc>
          <w:tcPr>
            <w:tcW w:w="1270" w:type="pct"/>
            <w:shd w:val="clear" w:color="auto" w:fill="auto"/>
            <w:vAlign w:val="center"/>
          </w:tcPr>
          <w:p w14:paraId="3A7B101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其它</w:t>
            </w:r>
          </w:p>
        </w:tc>
        <w:tc>
          <w:tcPr>
            <w:tcW w:w="2030" w:type="pct"/>
            <w:shd w:val="clear" w:color="auto" w:fill="auto"/>
            <w:vAlign w:val="center"/>
          </w:tcPr>
          <w:p w14:paraId="0E4E611D">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符合安装要求</w:t>
            </w:r>
          </w:p>
        </w:tc>
        <w:tc>
          <w:tcPr>
            <w:tcW w:w="849" w:type="pct"/>
            <w:shd w:val="clear" w:color="auto" w:fill="auto"/>
            <w:vAlign w:val="center"/>
          </w:tcPr>
          <w:p w14:paraId="35AFDB3D">
            <w:pPr>
              <w:pStyle w:val="73"/>
              <w:adjustRightInd w:val="0"/>
              <w:snapToGrid w:val="0"/>
              <w:rPr>
                <w:rFonts w:hint="eastAsia" w:ascii="宋体" w:hAnsi="宋体" w:eastAsia="宋体" w:cs="宋体"/>
                <w:kern w:val="2"/>
                <w:sz w:val="21"/>
                <w:szCs w:val="21"/>
              </w:rPr>
            </w:pPr>
          </w:p>
        </w:tc>
      </w:tr>
      <w:tr w14:paraId="4536EF3B">
        <w:tblPrEx>
          <w:tblBorders>
            <w:top w:val="single" w:color="auto" w:sz="12" w:space="0"/>
            <w:left w:val="single" w:color="auto" w:sz="12" w:space="0"/>
            <w:bottom w:val="single" w:color="auto" w:sz="12" w:space="0"/>
            <w:right w:val="single" w:color="auto" w:sz="12" w:space="0"/>
            <w:insideH w:val="single" w:color="0070C0" w:sz="6" w:space="0"/>
            <w:insideV w:val="single" w:color="0070C0" w:sz="6" w:space="0"/>
          </w:tblBorders>
          <w:tblCellMar>
            <w:top w:w="0" w:type="dxa"/>
            <w:left w:w="108" w:type="dxa"/>
            <w:bottom w:w="0" w:type="dxa"/>
            <w:right w:w="108" w:type="dxa"/>
          </w:tblCellMar>
        </w:tblPrEx>
        <w:trPr>
          <w:trHeight w:val="283" w:hRule="atLeast"/>
          <w:jc w:val="center"/>
        </w:trPr>
        <w:tc>
          <w:tcPr>
            <w:tcW w:w="5000" w:type="pct"/>
            <w:gridSpan w:val="4"/>
            <w:shd w:val="clear" w:color="auto" w:fill="auto"/>
            <w:vAlign w:val="center"/>
          </w:tcPr>
          <w:p w14:paraId="72035539">
            <w:pPr>
              <w:pStyle w:val="73"/>
              <w:adjustRightInd w:val="0"/>
              <w:snapToGrid w:val="0"/>
              <w:rPr>
                <w:rFonts w:hint="eastAsia" w:ascii="宋体" w:hAnsi="宋体" w:eastAsia="宋体" w:cs="宋体"/>
                <w:kern w:val="2"/>
                <w:sz w:val="21"/>
                <w:szCs w:val="21"/>
              </w:rPr>
            </w:pPr>
          </w:p>
          <w:p w14:paraId="37D4C934">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w:t>
            </w:r>
          </w:p>
          <w:p w14:paraId="0F1E3611">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检查人：                   </w:t>
            </w:r>
          </w:p>
          <w:p w14:paraId="3E3FCBC1">
            <w:pPr>
              <w:pStyle w:val="73"/>
              <w:adjustRightInd w:val="0"/>
              <w:snapToGrid w:val="0"/>
              <w:rPr>
                <w:rFonts w:hint="eastAsia" w:ascii="宋体" w:hAnsi="宋体" w:eastAsia="宋体" w:cs="宋体"/>
                <w:kern w:val="2"/>
                <w:sz w:val="21"/>
                <w:szCs w:val="21"/>
              </w:rPr>
            </w:pPr>
          </w:p>
          <w:p w14:paraId="6671F4BE">
            <w:pPr>
              <w:pStyle w:val="73"/>
              <w:adjustRightInd w:val="0"/>
              <w:snapToGrid w:val="0"/>
              <w:rPr>
                <w:rFonts w:hint="eastAsia" w:ascii="宋体" w:hAnsi="宋体" w:eastAsia="宋体" w:cs="宋体"/>
                <w:kern w:val="2"/>
                <w:sz w:val="21"/>
                <w:szCs w:val="21"/>
              </w:rPr>
            </w:pPr>
            <w:r>
              <w:rPr>
                <w:rFonts w:hint="eastAsia" w:ascii="宋体" w:hAnsi="宋体" w:eastAsia="宋体" w:cs="宋体"/>
                <w:kern w:val="2"/>
                <w:sz w:val="21"/>
                <w:szCs w:val="21"/>
              </w:rPr>
              <w:t xml:space="preserve">                                                 年     月    日</w:t>
            </w:r>
          </w:p>
        </w:tc>
      </w:tr>
    </w:tbl>
    <w:p w14:paraId="0EFECC30">
      <w:pPr>
        <w:pStyle w:val="5"/>
        <w:bidi w:val="0"/>
        <w:rPr>
          <w:rFonts w:hint="eastAsia"/>
        </w:rPr>
      </w:pPr>
      <w:bookmarkStart w:id="441" w:name="_Toc16347"/>
      <w:bookmarkStart w:id="442" w:name="_Toc528139743"/>
      <w:bookmarkStart w:id="443" w:name="_Toc515971593"/>
      <w:r>
        <w:rPr>
          <w:rFonts w:hint="eastAsia"/>
        </w:rPr>
        <w:t>8.2.5塔吊月度安全检查表</w:t>
      </w:r>
      <w:bookmarkEnd w:id="441"/>
      <w:bookmarkEnd w:id="442"/>
    </w:p>
    <w:p w14:paraId="0237EBFF">
      <w:pPr>
        <w:spacing w:after="0" w:afterLines="0" w:line="360" w:lineRule="auto"/>
        <w:ind w:firstLine="480"/>
        <w:jc w:val="both"/>
        <w:rPr>
          <w:rFonts w:hint="eastAsia" w:ascii="宋体" w:hAnsi="宋体" w:eastAsia="宋体" w:cs="宋体"/>
        </w:rPr>
      </w:pPr>
      <w:r>
        <w:rPr>
          <w:rFonts w:hint="eastAsia" w:ascii="宋体" w:hAnsi="宋体" w:eastAsia="宋体" w:cs="宋体"/>
        </w:rPr>
        <w:t>每月对塔机进行两次安全检查。</w:t>
      </w:r>
    </w:p>
    <w:p w14:paraId="23C041E1">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表8.2-2 塔吊月度安全检查表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220"/>
        <w:gridCol w:w="1652"/>
        <w:gridCol w:w="516"/>
        <w:gridCol w:w="515"/>
        <w:gridCol w:w="1581"/>
        <w:gridCol w:w="630"/>
      </w:tblGrid>
      <w:tr w14:paraId="6E9D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0DAF891">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工程名称</w:t>
            </w:r>
          </w:p>
        </w:tc>
        <w:tc>
          <w:tcPr>
            <w:tcW w:w="0" w:type="auto"/>
            <w:gridSpan w:val="4"/>
            <w:vAlign w:val="center"/>
          </w:tcPr>
          <w:p w14:paraId="378CF211">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6C9E62D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施工地址</w:t>
            </w:r>
          </w:p>
        </w:tc>
        <w:tc>
          <w:tcPr>
            <w:tcW w:w="0" w:type="auto"/>
            <w:vAlign w:val="center"/>
          </w:tcPr>
          <w:p w14:paraId="1E477EDA">
            <w:pPr>
              <w:spacing w:after="0" w:afterLines="0"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佛山仓库</w:t>
            </w:r>
          </w:p>
        </w:tc>
      </w:tr>
      <w:tr w14:paraId="72DC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B90BE2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lang w:eastAsia="zh-CN"/>
              </w:rPr>
              <w:t>安装</w:t>
            </w:r>
            <w:r>
              <w:rPr>
                <w:rFonts w:hint="eastAsia" w:ascii="宋体" w:hAnsi="宋体" w:eastAsia="宋体" w:cs="宋体"/>
                <w:sz w:val="21"/>
                <w:szCs w:val="21"/>
              </w:rPr>
              <w:t>单位</w:t>
            </w:r>
          </w:p>
        </w:tc>
        <w:tc>
          <w:tcPr>
            <w:tcW w:w="0" w:type="auto"/>
            <w:gridSpan w:val="6"/>
            <w:vAlign w:val="center"/>
          </w:tcPr>
          <w:p w14:paraId="2B1F0AE7">
            <w:pPr>
              <w:spacing w:after="0" w:afterLines="0" w:line="240" w:lineRule="auto"/>
              <w:ind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重庆桥渝工程机械租赁有限公司</w:t>
            </w:r>
          </w:p>
        </w:tc>
      </w:tr>
      <w:tr w14:paraId="5B0A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4585C1F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型号</w:t>
            </w:r>
          </w:p>
        </w:tc>
        <w:tc>
          <w:tcPr>
            <w:tcW w:w="0" w:type="auto"/>
            <w:vAlign w:val="center"/>
          </w:tcPr>
          <w:p w14:paraId="187F8CC4">
            <w:pPr>
              <w:spacing w:after="0" w:afterLines="0" w:line="240" w:lineRule="auto"/>
              <w:ind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XGT8040-25</w:t>
            </w:r>
          </w:p>
        </w:tc>
        <w:tc>
          <w:tcPr>
            <w:tcW w:w="0" w:type="auto"/>
            <w:vAlign w:val="center"/>
          </w:tcPr>
          <w:p w14:paraId="709BC4CA">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设备编号</w:t>
            </w:r>
          </w:p>
        </w:tc>
        <w:tc>
          <w:tcPr>
            <w:tcW w:w="0" w:type="auto"/>
            <w:gridSpan w:val="2"/>
            <w:vAlign w:val="center"/>
          </w:tcPr>
          <w:p w14:paraId="21E6A643">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0976098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施工高度</w:t>
            </w:r>
          </w:p>
        </w:tc>
        <w:tc>
          <w:tcPr>
            <w:tcW w:w="0" w:type="auto"/>
            <w:vAlign w:val="center"/>
          </w:tcPr>
          <w:p w14:paraId="5C4FD2C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 </w:t>
            </w:r>
          </w:p>
        </w:tc>
      </w:tr>
      <w:tr w14:paraId="1886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508" w:type="dxa"/>
            <w:vAlign w:val="center"/>
          </w:tcPr>
          <w:p w14:paraId="2B61051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附墙个数</w:t>
            </w:r>
          </w:p>
        </w:tc>
        <w:tc>
          <w:tcPr>
            <w:tcW w:w="0" w:type="auto"/>
            <w:vAlign w:val="center"/>
          </w:tcPr>
          <w:p w14:paraId="565D2976">
            <w:pPr>
              <w:spacing w:after="0" w:afterLines="0" w:line="240" w:lineRule="auto"/>
              <w:ind w:firstLine="0" w:firstLineChars="0"/>
              <w:jc w:val="center"/>
              <w:rPr>
                <w:rFonts w:hint="eastAsia" w:ascii="宋体" w:hAnsi="宋体" w:eastAsia="宋体" w:cs="宋体"/>
                <w:sz w:val="21"/>
                <w:szCs w:val="21"/>
              </w:rPr>
            </w:pPr>
          </w:p>
        </w:tc>
        <w:tc>
          <w:tcPr>
            <w:tcW w:w="0" w:type="auto"/>
            <w:vAlign w:val="center"/>
          </w:tcPr>
          <w:p w14:paraId="474CC34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最大载重量</w:t>
            </w:r>
          </w:p>
        </w:tc>
        <w:tc>
          <w:tcPr>
            <w:tcW w:w="0" w:type="auto"/>
            <w:gridSpan w:val="2"/>
            <w:vAlign w:val="center"/>
          </w:tcPr>
          <w:p w14:paraId="17388D2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吨</w:t>
            </w:r>
          </w:p>
        </w:tc>
        <w:tc>
          <w:tcPr>
            <w:tcW w:w="0" w:type="auto"/>
            <w:vAlign w:val="center"/>
          </w:tcPr>
          <w:p w14:paraId="4FAFCB6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检查日期</w:t>
            </w:r>
          </w:p>
        </w:tc>
        <w:tc>
          <w:tcPr>
            <w:tcW w:w="0" w:type="auto"/>
            <w:vAlign w:val="center"/>
          </w:tcPr>
          <w:p w14:paraId="3157F69D">
            <w:pPr>
              <w:spacing w:after="0" w:afterLines="0" w:line="240" w:lineRule="auto"/>
              <w:ind w:firstLine="0" w:firstLineChars="0"/>
              <w:jc w:val="center"/>
              <w:rPr>
                <w:rFonts w:hint="eastAsia" w:ascii="宋体" w:hAnsi="宋体" w:eastAsia="宋体" w:cs="宋体"/>
                <w:sz w:val="21"/>
                <w:szCs w:val="21"/>
              </w:rPr>
            </w:pPr>
          </w:p>
        </w:tc>
      </w:tr>
      <w:tr w14:paraId="206C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343" w:type="dxa"/>
            <w:gridSpan w:val="5"/>
            <w:vAlign w:val="center"/>
          </w:tcPr>
          <w:p w14:paraId="43C9ADAA">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       查      内      容</w:t>
            </w:r>
          </w:p>
        </w:tc>
        <w:tc>
          <w:tcPr>
            <w:tcW w:w="0" w:type="auto"/>
            <w:vAlign w:val="center"/>
          </w:tcPr>
          <w:p w14:paraId="5316174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参照标准</w:t>
            </w:r>
          </w:p>
        </w:tc>
        <w:tc>
          <w:tcPr>
            <w:tcW w:w="0" w:type="auto"/>
            <w:vAlign w:val="center"/>
          </w:tcPr>
          <w:p w14:paraId="3A38F79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检查结果</w:t>
            </w:r>
          </w:p>
        </w:tc>
      </w:tr>
      <w:tr w14:paraId="14BC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08" w:type="dxa"/>
            <w:vMerge w:val="restart"/>
            <w:vAlign w:val="center"/>
          </w:tcPr>
          <w:p w14:paraId="7356C45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（一）基</w:t>
            </w:r>
          </w:p>
          <w:p w14:paraId="36E4710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础</w:t>
            </w:r>
          </w:p>
        </w:tc>
        <w:tc>
          <w:tcPr>
            <w:tcW w:w="0" w:type="auto"/>
            <w:gridSpan w:val="4"/>
            <w:vAlign w:val="center"/>
          </w:tcPr>
          <w:p w14:paraId="07221B3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1.稳定性；</w:t>
            </w:r>
          </w:p>
        </w:tc>
        <w:tc>
          <w:tcPr>
            <w:tcW w:w="0" w:type="auto"/>
            <w:vMerge w:val="restart"/>
            <w:vAlign w:val="center"/>
          </w:tcPr>
          <w:p w14:paraId="63A02FA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JBJ/T187-2009</w:t>
            </w:r>
          </w:p>
        </w:tc>
        <w:tc>
          <w:tcPr>
            <w:tcW w:w="0" w:type="auto"/>
            <w:vAlign w:val="center"/>
          </w:tcPr>
          <w:p w14:paraId="77D593E0">
            <w:pPr>
              <w:spacing w:after="0" w:afterLines="0" w:line="240" w:lineRule="auto"/>
              <w:ind w:firstLine="0" w:firstLineChars="0"/>
              <w:jc w:val="both"/>
              <w:rPr>
                <w:rFonts w:hint="eastAsia" w:ascii="宋体" w:hAnsi="宋体" w:eastAsia="宋体" w:cs="宋体"/>
                <w:sz w:val="21"/>
                <w:szCs w:val="21"/>
              </w:rPr>
            </w:pPr>
          </w:p>
        </w:tc>
      </w:tr>
      <w:tr w14:paraId="2D22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1B25B83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B00733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2.排水措施；</w:t>
            </w:r>
          </w:p>
        </w:tc>
        <w:tc>
          <w:tcPr>
            <w:tcW w:w="0" w:type="auto"/>
            <w:vMerge w:val="continue"/>
            <w:vAlign w:val="center"/>
          </w:tcPr>
          <w:p w14:paraId="1B6B29A7">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C4A4E52">
            <w:pPr>
              <w:spacing w:after="0" w:afterLines="0" w:line="240" w:lineRule="auto"/>
              <w:ind w:firstLine="0" w:firstLineChars="0"/>
              <w:jc w:val="both"/>
              <w:rPr>
                <w:rFonts w:hint="eastAsia" w:ascii="宋体" w:hAnsi="宋体" w:eastAsia="宋体" w:cs="宋体"/>
                <w:sz w:val="21"/>
                <w:szCs w:val="21"/>
              </w:rPr>
            </w:pPr>
          </w:p>
        </w:tc>
      </w:tr>
      <w:tr w14:paraId="0999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3EFA4FB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34526AB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3.沉降量不大于50mm。</w:t>
            </w:r>
          </w:p>
        </w:tc>
        <w:tc>
          <w:tcPr>
            <w:tcW w:w="0" w:type="auto"/>
            <w:vMerge w:val="continue"/>
            <w:vAlign w:val="center"/>
          </w:tcPr>
          <w:p w14:paraId="226A532D">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4F8C585">
            <w:pPr>
              <w:spacing w:after="0" w:afterLines="0" w:line="240" w:lineRule="auto"/>
              <w:ind w:firstLine="0" w:firstLineChars="0"/>
              <w:jc w:val="both"/>
              <w:rPr>
                <w:rFonts w:hint="eastAsia" w:ascii="宋体" w:hAnsi="宋体" w:eastAsia="宋体" w:cs="宋体"/>
                <w:sz w:val="21"/>
                <w:szCs w:val="21"/>
              </w:rPr>
            </w:pPr>
          </w:p>
        </w:tc>
      </w:tr>
      <w:tr w14:paraId="13F1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508" w:type="dxa"/>
            <w:vMerge w:val="restart"/>
            <w:vAlign w:val="center"/>
          </w:tcPr>
          <w:p w14:paraId="6D073C9C">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（二）塔</w:t>
            </w:r>
          </w:p>
          <w:p w14:paraId="5B1BC4E9">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身</w:t>
            </w:r>
          </w:p>
          <w:p w14:paraId="5E02FC1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结</w:t>
            </w:r>
          </w:p>
          <w:p w14:paraId="5B98C65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构</w:t>
            </w:r>
          </w:p>
        </w:tc>
        <w:tc>
          <w:tcPr>
            <w:tcW w:w="0" w:type="auto"/>
            <w:gridSpan w:val="4"/>
            <w:vAlign w:val="center"/>
          </w:tcPr>
          <w:p w14:paraId="2DB02B0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1.结构无变形、开焊、裂纹；</w:t>
            </w:r>
          </w:p>
        </w:tc>
        <w:tc>
          <w:tcPr>
            <w:tcW w:w="0" w:type="auto"/>
            <w:vMerge w:val="restart"/>
            <w:vAlign w:val="center"/>
          </w:tcPr>
          <w:p w14:paraId="726E4F8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404333D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A2A2904">
            <w:pPr>
              <w:spacing w:after="0" w:afterLines="0" w:line="240" w:lineRule="auto"/>
              <w:ind w:firstLine="0" w:firstLineChars="0"/>
              <w:jc w:val="both"/>
              <w:rPr>
                <w:rFonts w:hint="eastAsia" w:ascii="宋体" w:hAnsi="宋体" w:eastAsia="宋体" w:cs="宋体"/>
                <w:sz w:val="21"/>
                <w:szCs w:val="21"/>
              </w:rPr>
            </w:pPr>
          </w:p>
        </w:tc>
      </w:tr>
      <w:tr w14:paraId="47FB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203D92BD">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E7523D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2.过渡节、销轴、高强度螺栓等零部件配置齐全、无松动、缺损、无严重锈蚀；</w:t>
            </w:r>
          </w:p>
        </w:tc>
        <w:tc>
          <w:tcPr>
            <w:tcW w:w="0" w:type="auto"/>
            <w:vMerge w:val="continue"/>
            <w:vAlign w:val="center"/>
          </w:tcPr>
          <w:p w14:paraId="1849D6B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62F4461">
            <w:pPr>
              <w:spacing w:after="0" w:afterLines="0" w:line="240" w:lineRule="auto"/>
              <w:ind w:firstLine="0" w:firstLineChars="0"/>
              <w:jc w:val="both"/>
              <w:rPr>
                <w:rFonts w:hint="eastAsia" w:ascii="宋体" w:hAnsi="宋体" w:eastAsia="宋体" w:cs="宋体"/>
                <w:sz w:val="21"/>
                <w:szCs w:val="21"/>
              </w:rPr>
            </w:pPr>
          </w:p>
        </w:tc>
      </w:tr>
      <w:tr w14:paraId="04CC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5F8CB13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3F5E0E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3.垂直度≤3‰；</w:t>
            </w:r>
          </w:p>
        </w:tc>
        <w:tc>
          <w:tcPr>
            <w:tcW w:w="0" w:type="auto"/>
            <w:vMerge w:val="continue"/>
            <w:vAlign w:val="center"/>
          </w:tcPr>
          <w:p w14:paraId="51B15BDA">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00A07D3">
            <w:pPr>
              <w:spacing w:after="0" w:afterLines="0" w:line="240" w:lineRule="auto"/>
              <w:ind w:firstLine="0" w:firstLineChars="0"/>
              <w:jc w:val="both"/>
              <w:rPr>
                <w:rFonts w:hint="eastAsia" w:ascii="宋体" w:hAnsi="宋体" w:eastAsia="宋体" w:cs="宋体"/>
                <w:sz w:val="21"/>
                <w:szCs w:val="21"/>
              </w:rPr>
            </w:pPr>
          </w:p>
        </w:tc>
      </w:tr>
      <w:tr w14:paraId="6617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14F9EC4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643A6D7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4.爬梯设置防护圈应符合国家标准；</w:t>
            </w:r>
          </w:p>
        </w:tc>
        <w:tc>
          <w:tcPr>
            <w:tcW w:w="0" w:type="auto"/>
            <w:vMerge w:val="continue"/>
            <w:vAlign w:val="center"/>
          </w:tcPr>
          <w:p w14:paraId="0836F7C7">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702B3E5">
            <w:pPr>
              <w:spacing w:after="0" w:afterLines="0" w:line="240" w:lineRule="auto"/>
              <w:ind w:firstLine="0" w:firstLineChars="0"/>
              <w:jc w:val="both"/>
              <w:rPr>
                <w:rFonts w:hint="eastAsia" w:ascii="宋体" w:hAnsi="宋体" w:eastAsia="宋体" w:cs="宋体"/>
                <w:sz w:val="21"/>
                <w:szCs w:val="21"/>
              </w:rPr>
            </w:pPr>
          </w:p>
        </w:tc>
      </w:tr>
      <w:tr w14:paraId="50F6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continue"/>
            <w:vAlign w:val="center"/>
          </w:tcPr>
          <w:p w14:paraId="38DC890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3435C1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5.开口销不得用金属丝等代替。</w:t>
            </w:r>
          </w:p>
        </w:tc>
        <w:tc>
          <w:tcPr>
            <w:tcW w:w="0" w:type="auto"/>
            <w:vMerge w:val="continue"/>
            <w:vAlign w:val="center"/>
          </w:tcPr>
          <w:p w14:paraId="2219F9E4">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D7EC53D">
            <w:pPr>
              <w:spacing w:after="0" w:afterLines="0" w:line="240" w:lineRule="auto"/>
              <w:ind w:firstLine="0" w:firstLineChars="0"/>
              <w:jc w:val="both"/>
              <w:rPr>
                <w:rFonts w:hint="eastAsia" w:ascii="宋体" w:hAnsi="宋体" w:eastAsia="宋体" w:cs="宋体"/>
                <w:sz w:val="21"/>
                <w:szCs w:val="21"/>
              </w:rPr>
            </w:pPr>
          </w:p>
        </w:tc>
      </w:tr>
      <w:tr w14:paraId="69DE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508" w:type="dxa"/>
            <w:vMerge w:val="restart"/>
            <w:vAlign w:val="center"/>
          </w:tcPr>
          <w:p w14:paraId="4D94B93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（三）钢</w:t>
            </w:r>
          </w:p>
          <w:p w14:paraId="3AF505D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丝</w:t>
            </w:r>
          </w:p>
          <w:p w14:paraId="5F630B9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绳</w:t>
            </w:r>
          </w:p>
        </w:tc>
        <w:tc>
          <w:tcPr>
            <w:tcW w:w="0" w:type="auto"/>
            <w:gridSpan w:val="4"/>
            <w:vAlign w:val="center"/>
          </w:tcPr>
          <w:p w14:paraId="1C8F2DE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1.完好、无断股；</w:t>
            </w:r>
          </w:p>
        </w:tc>
        <w:tc>
          <w:tcPr>
            <w:tcW w:w="0" w:type="auto"/>
            <w:vMerge w:val="restart"/>
            <w:vAlign w:val="center"/>
          </w:tcPr>
          <w:p w14:paraId="33D7877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GBT5972-2009</w:t>
            </w:r>
          </w:p>
          <w:p w14:paraId="2AB2F19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1E1A9459">
            <w:pPr>
              <w:spacing w:after="0" w:afterLines="0" w:line="240" w:lineRule="auto"/>
              <w:ind w:firstLine="0" w:firstLineChars="0"/>
              <w:jc w:val="both"/>
              <w:rPr>
                <w:rFonts w:hint="eastAsia" w:ascii="宋体" w:hAnsi="宋体" w:eastAsia="宋体" w:cs="宋体"/>
                <w:sz w:val="21"/>
                <w:szCs w:val="21"/>
              </w:rPr>
            </w:pPr>
          </w:p>
        </w:tc>
      </w:tr>
      <w:tr w14:paraId="267C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679BA7B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43E029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2.断丝不超过10％；</w:t>
            </w:r>
          </w:p>
        </w:tc>
        <w:tc>
          <w:tcPr>
            <w:tcW w:w="0" w:type="auto"/>
            <w:vMerge w:val="continue"/>
            <w:vAlign w:val="center"/>
          </w:tcPr>
          <w:p w14:paraId="3A101EA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0FEA6121">
            <w:pPr>
              <w:spacing w:after="0" w:afterLines="0" w:line="240" w:lineRule="auto"/>
              <w:ind w:firstLine="0" w:firstLineChars="0"/>
              <w:jc w:val="both"/>
              <w:rPr>
                <w:rFonts w:hint="eastAsia" w:ascii="宋体" w:hAnsi="宋体" w:eastAsia="宋体" w:cs="宋体"/>
                <w:sz w:val="21"/>
                <w:szCs w:val="21"/>
              </w:rPr>
            </w:pPr>
          </w:p>
        </w:tc>
      </w:tr>
      <w:tr w14:paraId="56AB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5BA9125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841817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3.型号、规格、长度符合本机说明书规定；</w:t>
            </w:r>
          </w:p>
        </w:tc>
        <w:tc>
          <w:tcPr>
            <w:tcW w:w="0" w:type="auto"/>
            <w:vMerge w:val="continue"/>
            <w:vAlign w:val="center"/>
          </w:tcPr>
          <w:p w14:paraId="04E619D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57690F9">
            <w:pPr>
              <w:spacing w:after="0" w:afterLines="0" w:line="240" w:lineRule="auto"/>
              <w:ind w:firstLine="0" w:firstLineChars="0"/>
              <w:jc w:val="both"/>
              <w:rPr>
                <w:rFonts w:hint="eastAsia" w:ascii="宋体" w:hAnsi="宋体" w:eastAsia="宋体" w:cs="宋体"/>
                <w:sz w:val="21"/>
                <w:szCs w:val="21"/>
              </w:rPr>
            </w:pPr>
          </w:p>
        </w:tc>
      </w:tr>
      <w:tr w14:paraId="2565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239CBBE3">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681AB4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4.固定绳卡数量与绳径匹配，卡间距为6-7倍绳径；</w:t>
            </w:r>
          </w:p>
        </w:tc>
        <w:tc>
          <w:tcPr>
            <w:tcW w:w="0" w:type="auto"/>
            <w:vMerge w:val="continue"/>
            <w:vAlign w:val="center"/>
          </w:tcPr>
          <w:p w14:paraId="78E0A093">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6ACA43C">
            <w:pPr>
              <w:spacing w:after="0" w:afterLines="0" w:line="240" w:lineRule="auto"/>
              <w:ind w:firstLine="0" w:firstLineChars="0"/>
              <w:jc w:val="both"/>
              <w:rPr>
                <w:rFonts w:hint="eastAsia" w:ascii="宋体" w:hAnsi="宋体" w:eastAsia="宋体" w:cs="宋体"/>
                <w:sz w:val="21"/>
                <w:szCs w:val="21"/>
              </w:rPr>
            </w:pPr>
          </w:p>
        </w:tc>
      </w:tr>
      <w:tr w14:paraId="6FD9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508" w:type="dxa"/>
            <w:vMerge w:val="continue"/>
            <w:vAlign w:val="center"/>
          </w:tcPr>
          <w:p w14:paraId="627B91D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2D95CB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5.钢绳磨损量不超过钢丝绳的10%；</w:t>
            </w:r>
          </w:p>
        </w:tc>
        <w:tc>
          <w:tcPr>
            <w:tcW w:w="0" w:type="auto"/>
            <w:vMerge w:val="continue"/>
            <w:vAlign w:val="center"/>
          </w:tcPr>
          <w:p w14:paraId="6B917A41">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A596B3F">
            <w:pPr>
              <w:spacing w:after="0" w:afterLines="0" w:line="240" w:lineRule="auto"/>
              <w:ind w:firstLine="0" w:firstLineChars="0"/>
              <w:jc w:val="both"/>
              <w:rPr>
                <w:rFonts w:hint="eastAsia" w:ascii="宋体" w:hAnsi="宋体" w:eastAsia="宋体" w:cs="宋体"/>
                <w:sz w:val="21"/>
                <w:szCs w:val="21"/>
              </w:rPr>
            </w:pPr>
          </w:p>
        </w:tc>
      </w:tr>
      <w:tr w14:paraId="0EE0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43F1999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117375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6.捆绑起重索具符合要求。</w:t>
            </w:r>
          </w:p>
        </w:tc>
        <w:tc>
          <w:tcPr>
            <w:tcW w:w="0" w:type="auto"/>
            <w:vMerge w:val="continue"/>
            <w:vAlign w:val="center"/>
          </w:tcPr>
          <w:p w14:paraId="6CBE44BA">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DAAD898">
            <w:pPr>
              <w:spacing w:after="0" w:afterLines="0" w:line="240" w:lineRule="auto"/>
              <w:ind w:firstLine="0" w:firstLineChars="0"/>
              <w:jc w:val="both"/>
              <w:rPr>
                <w:rFonts w:hint="eastAsia" w:ascii="宋体" w:hAnsi="宋体" w:eastAsia="宋体" w:cs="宋体"/>
                <w:sz w:val="21"/>
                <w:szCs w:val="21"/>
              </w:rPr>
            </w:pPr>
          </w:p>
        </w:tc>
      </w:tr>
      <w:tr w14:paraId="3F37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1508" w:type="dxa"/>
            <w:vMerge w:val="restart"/>
            <w:vAlign w:val="center"/>
          </w:tcPr>
          <w:p w14:paraId="09722C07">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（四）吊</w:t>
            </w:r>
          </w:p>
          <w:p w14:paraId="65413EA9">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钩</w:t>
            </w:r>
          </w:p>
        </w:tc>
        <w:tc>
          <w:tcPr>
            <w:tcW w:w="0" w:type="auto"/>
            <w:gridSpan w:val="4"/>
            <w:vAlign w:val="center"/>
          </w:tcPr>
          <w:p w14:paraId="71EA567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1.无裂纹、变形、严重磨损；</w:t>
            </w:r>
          </w:p>
        </w:tc>
        <w:tc>
          <w:tcPr>
            <w:tcW w:w="0" w:type="auto"/>
            <w:vMerge w:val="restart"/>
            <w:vAlign w:val="center"/>
          </w:tcPr>
          <w:p w14:paraId="7CAA44F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65D27EE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616E3D67">
            <w:pPr>
              <w:spacing w:after="0" w:afterLines="0" w:line="240" w:lineRule="auto"/>
              <w:ind w:firstLine="0" w:firstLineChars="0"/>
              <w:jc w:val="both"/>
              <w:rPr>
                <w:rFonts w:hint="eastAsia" w:ascii="宋体" w:hAnsi="宋体" w:eastAsia="宋体" w:cs="宋体"/>
                <w:sz w:val="21"/>
                <w:szCs w:val="21"/>
              </w:rPr>
            </w:pPr>
          </w:p>
        </w:tc>
      </w:tr>
      <w:tr w14:paraId="2371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508" w:type="dxa"/>
            <w:vMerge w:val="continue"/>
            <w:vAlign w:val="center"/>
          </w:tcPr>
          <w:p w14:paraId="69ED5C0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449606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2.钩身无补焊、钻孔现象；</w:t>
            </w:r>
          </w:p>
        </w:tc>
        <w:tc>
          <w:tcPr>
            <w:tcW w:w="0" w:type="auto"/>
            <w:vMerge w:val="continue"/>
            <w:vAlign w:val="center"/>
          </w:tcPr>
          <w:p w14:paraId="30AF78B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A0AA52D">
            <w:pPr>
              <w:spacing w:after="0" w:afterLines="0" w:line="240" w:lineRule="auto"/>
              <w:ind w:firstLine="0" w:firstLineChars="0"/>
              <w:jc w:val="both"/>
              <w:rPr>
                <w:rFonts w:hint="eastAsia" w:ascii="宋体" w:hAnsi="宋体" w:eastAsia="宋体" w:cs="宋体"/>
                <w:sz w:val="21"/>
                <w:szCs w:val="21"/>
              </w:rPr>
            </w:pPr>
          </w:p>
        </w:tc>
      </w:tr>
      <w:tr w14:paraId="6C94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4FB5125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98FEB2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3.具有防脱装置;</w:t>
            </w:r>
            <w:r>
              <w:rPr>
                <w:rFonts w:hint="eastAsia" w:ascii="宋体" w:hAnsi="宋体" w:eastAsia="宋体" w:cs="宋体"/>
                <w:kern w:val="0"/>
                <w:sz w:val="21"/>
                <w:szCs w:val="21"/>
              </w:rPr>
              <w:t xml:space="preserve"> </w:t>
            </w:r>
          </w:p>
        </w:tc>
        <w:tc>
          <w:tcPr>
            <w:tcW w:w="0" w:type="auto"/>
            <w:vMerge w:val="continue"/>
            <w:vAlign w:val="center"/>
          </w:tcPr>
          <w:p w14:paraId="7AB68AB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4CFDAF3">
            <w:pPr>
              <w:spacing w:after="0" w:afterLines="0" w:line="240" w:lineRule="auto"/>
              <w:ind w:firstLine="0" w:firstLineChars="0"/>
              <w:jc w:val="both"/>
              <w:rPr>
                <w:rFonts w:hint="eastAsia" w:ascii="宋体" w:hAnsi="宋体" w:eastAsia="宋体" w:cs="宋体"/>
                <w:sz w:val="21"/>
                <w:szCs w:val="21"/>
              </w:rPr>
            </w:pPr>
          </w:p>
        </w:tc>
      </w:tr>
      <w:tr w14:paraId="4F34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4CE1FD8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5A347A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4.挂绳处截面磨损量不超过原高度的10%；</w:t>
            </w:r>
          </w:p>
        </w:tc>
        <w:tc>
          <w:tcPr>
            <w:tcW w:w="0" w:type="auto"/>
            <w:vMerge w:val="continue"/>
            <w:vAlign w:val="center"/>
          </w:tcPr>
          <w:p w14:paraId="616D75ED">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42BFE155">
            <w:pPr>
              <w:spacing w:after="0" w:afterLines="0" w:line="240" w:lineRule="auto"/>
              <w:ind w:firstLine="0" w:firstLineChars="0"/>
              <w:jc w:val="both"/>
              <w:rPr>
                <w:rFonts w:hint="eastAsia" w:ascii="宋体" w:hAnsi="宋体" w:eastAsia="宋体" w:cs="宋体"/>
                <w:sz w:val="21"/>
                <w:szCs w:val="21"/>
              </w:rPr>
            </w:pPr>
          </w:p>
        </w:tc>
      </w:tr>
      <w:tr w14:paraId="3244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1508" w:type="dxa"/>
            <w:vMerge w:val="restart"/>
            <w:vAlign w:val="center"/>
          </w:tcPr>
          <w:p w14:paraId="61C7521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（五）高度限位</w:t>
            </w:r>
          </w:p>
        </w:tc>
        <w:tc>
          <w:tcPr>
            <w:tcW w:w="0" w:type="auto"/>
            <w:gridSpan w:val="4"/>
            <w:vAlign w:val="center"/>
          </w:tcPr>
          <w:p w14:paraId="4D159BA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1.吊钩顶部距起重臂下端800mm，能立即停止起升，但有向下、向内变幅运动；</w:t>
            </w:r>
          </w:p>
        </w:tc>
        <w:tc>
          <w:tcPr>
            <w:tcW w:w="0" w:type="auto"/>
            <w:vMerge w:val="restart"/>
            <w:vAlign w:val="center"/>
          </w:tcPr>
          <w:p w14:paraId="0B508D6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tc>
        <w:tc>
          <w:tcPr>
            <w:tcW w:w="0" w:type="auto"/>
            <w:vAlign w:val="center"/>
          </w:tcPr>
          <w:p w14:paraId="18317095">
            <w:pPr>
              <w:spacing w:after="0" w:afterLines="0" w:line="240" w:lineRule="auto"/>
              <w:ind w:firstLine="0" w:firstLineChars="0"/>
              <w:jc w:val="both"/>
              <w:rPr>
                <w:rFonts w:hint="eastAsia" w:ascii="宋体" w:hAnsi="宋体" w:eastAsia="宋体" w:cs="宋体"/>
                <w:sz w:val="21"/>
                <w:szCs w:val="21"/>
              </w:rPr>
            </w:pPr>
          </w:p>
        </w:tc>
      </w:tr>
      <w:tr w14:paraId="5C37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1508" w:type="dxa"/>
            <w:vMerge w:val="continue"/>
            <w:vAlign w:val="center"/>
          </w:tcPr>
          <w:p w14:paraId="24DE340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ABC93F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2.吊钩不能再下降或卷筒上钢丝绳只剩3圈时，应能立即停止下降运动；</w:t>
            </w:r>
          </w:p>
        </w:tc>
        <w:tc>
          <w:tcPr>
            <w:tcW w:w="0" w:type="auto"/>
            <w:vMerge w:val="continue"/>
            <w:vAlign w:val="center"/>
          </w:tcPr>
          <w:p w14:paraId="26673DB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15FD1BF">
            <w:pPr>
              <w:spacing w:after="0" w:afterLines="0" w:line="240" w:lineRule="auto"/>
              <w:ind w:firstLine="0" w:firstLineChars="0"/>
              <w:jc w:val="both"/>
              <w:rPr>
                <w:rFonts w:hint="eastAsia" w:ascii="宋体" w:hAnsi="宋体" w:eastAsia="宋体" w:cs="宋体"/>
                <w:sz w:val="21"/>
                <w:szCs w:val="21"/>
              </w:rPr>
            </w:pPr>
          </w:p>
        </w:tc>
      </w:tr>
      <w:tr w14:paraId="0D07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508" w:type="dxa"/>
            <w:vMerge w:val="continue"/>
            <w:vAlign w:val="center"/>
          </w:tcPr>
          <w:p w14:paraId="4B521DC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AFA1F6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3.钢丝绳松弛可能造成卷筒上钢丝绳乱绳或反卷，设置下限位。</w:t>
            </w:r>
          </w:p>
        </w:tc>
        <w:tc>
          <w:tcPr>
            <w:tcW w:w="0" w:type="auto"/>
            <w:vMerge w:val="continue"/>
            <w:vAlign w:val="center"/>
          </w:tcPr>
          <w:p w14:paraId="4765841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7918DC1">
            <w:pPr>
              <w:spacing w:after="0" w:afterLines="0" w:line="240" w:lineRule="auto"/>
              <w:ind w:firstLine="0" w:firstLineChars="0"/>
              <w:jc w:val="both"/>
              <w:rPr>
                <w:rFonts w:hint="eastAsia" w:ascii="宋体" w:hAnsi="宋体" w:eastAsia="宋体" w:cs="宋体"/>
                <w:sz w:val="21"/>
                <w:szCs w:val="21"/>
              </w:rPr>
            </w:pPr>
          </w:p>
        </w:tc>
      </w:tr>
      <w:tr w14:paraId="7A7A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508" w:type="dxa"/>
            <w:vMerge w:val="restart"/>
            <w:vAlign w:val="center"/>
          </w:tcPr>
          <w:p w14:paraId="6A226B7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（六）幅度限位装置</w:t>
            </w:r>
          </w:p>
        </w:tc>
        <w:tc>
          <w:tcPr>
            <w:tcW w:w="0" w:type="auto"/>
            <w:gridSpan w:val="4"/>
            <w:vAlign w:val="center"/>
          </w:tcPr>
          <w:p w14:paraId="64C2F92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1.小车前后两端应设置限位开关和缓冲装置；</w:t>
            </w:r>
          </w:p>
        </w:tc>
        <w:tc>
          <w:tcPr>
            <w:tcW w:w="0" w:type="auto"/>
            <w:vMerge w:val="restart"/>
            <w:vAlign w:val="center"/>
          </w:tcPr>
          <w:p w14:paraId="5C92850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tc>
        <w:tc>
          <w:tcPr>
            <w:tcW w:w="0" w:type="auto"/>
            <w:vAlign w:val="center"/>
          </w:tcPr>
          <w:p w14:paraId="64D54B86">
            <w:pPr>
              <w:spacing w:after="0" w:afterLines="0" w:line="240" w:lineRule="auto"/>
              <w:ind w:firstLine="0" w:firstLineChars="0"/>
              <w:jc w:val="both"/>
              <w:rPr>
                <w:rFonts w:hint="eastAsia" w:ascii="宋体" w:hAnsi="宋体" w:eastAsia="宋体" w:cs="宋体"/>
                <w:sz w:val="21"/>
                <w:szCs w:val="21"/>
              </w:rPr>
            </w:pPr>
          </w:p>
        </w:tc>
      </w:tr>
      <w:tr w14:paraId="20B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508" w:type="dxa"/>
            <w:vMerge w:val="continue"/>
            <w:vAlign w:val="center"/>
          </w:tcPr>
          <w:p w14:paraId="72829E3F">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A83454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2.限位开关距小车停车时其端部缓冲装置最小距离200mm。</w:t>
            </w:r>
          </w:p>
        </w:tc>
        <w:tc>
          <w:tcPr>
            <w:tcW w:w="0" w:type="auto"/>
            <w:vMerge w:val="continue"/>
            <w:vAlign w:val="center"/>
          </w:tcPr>
          <w:p w14:paraId="7F75AA9C">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56E820D">
            <w:pPr>
              <w:spacing w:after="0" w:afterLines="0" w:line="240" w:lineRule="auto"/>
              <w:ind w:firstLine="0" w:firstLineChars="0"/>
              <w:jc w:val="both"/>
              <w:rPr>
                <w:rFonts w:hint="eastAsia" w:ascii="宋体" w:hAnsi="宋体" w:eastAsia="宋体" w:cs="宋体"/>
                <w:sz w:val="21"/>
                <w:szCs w:val="21"/>
              </w:rPr>
            </w:pPr>
          </w:p>
        </w:tc>
      </w:tr>
      <w:tr w14:paraId="48BF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restart"/>
            <w:vAlign w:val="center"/>
          </w:tcPr>
          <w:p w14:paraId="1A4B576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（七）力矩限制器</w:t>
            </w:r>
          </w:p>
        </w:tc>
        <w:tc>
          <w:tcPr>
            <w:tcW w:w="0" w:type="auto"/>
            <w:gridSpan w:val="4"/>
            <w:vAlign w:val="center"/>
          </w:tcPr>
          <w:p w14:paraId="2E415BC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1.应设置力矩限制器；</w:t>
            </w:r>
          </w:p>
        </w:tc>
        <w:tc>
          <w:tcPr>
            <w:tcW w:w="0" w:type="auto"/>
            <w:vMerge w:val="restart"/>
            <w:vAlign w:val="center"/>
          </w:tcPr>
          <w:p w14:paraId="6D95014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GB12602-2009</w:t>
            </w:r>
          </w:p>
        </w:tc>
        <w:tc>
          <w:tcPr>
            <w:tcW w:w="0" w:type="auto"/>
            <w:vAlign w:val="center"/>
          </w:tcPr>
          <w:p w14:paraId="401D2824">
            <w:pPr>
              <w:spacing w:after="0" w:afterLines="0" w:line="240" w:lineRule="auto"/>
              <w:ind w:firstLine="0" w:firstLineChars="0"/>
              <w:jc w:val="both"/>
              <w:rPr>
                <w:rFonts w:hint="eastAsia" w:ascii="宋体" w:hAnsi="宋体" w:eastAsia="宋体" w:cs="宋体"/>
                <w:sz w:val="21"/>
                <w:szCs w:val="21"/>
              </w:rPr>
            </w:pPr>
          </w:p>
        </w:tc>
      </w:tr>
      <w:tr w14:paraId="113B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4215C05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2BB133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2.起重量达到90%-95%时，能发出报警信号；</w:t>
            </w:r>
          </w:p>
        </w:tc>
        <w:tc>
          <w:tcPr>
            <w:tcW w:w="0" w:type="auto"/>
            <w:vMerge w:val="continue"/>
            <w:vAlign w:val="center"/>
          </w:tcPr>
          <w:p w14:paraId="5C325100">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34BACFB">
            <w:pPr>
              <w:spacing w:after="0" w:afterLines="0" w:line="240" w:lineRule="auto"/>
              <w:ind w:firstLine="0" w:firstLineChars="0"/>
              <w:jc w:val="both"/>
              <w:rPr>
                <w:rFonts w:hint="eastAsia" w:ascii="宋体" w:hAnsi="宋体" w:eastAsia="宋体" w:cs="宋体"/>
                <w:sz w:val="21"/>
                <w:szCs w:val="21"/>
              </w:rPr>
            </w:pPr>
          </w:p>
        </w:tc>
      </w:tr>
      <w:tr w14:paraId="26F0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08" w:type="dxa"/>
            <w:vMerge w:val="continue"/>
            <w:vAlign w:val="center"/>
          </w:tcPr>
          <w:p w14:paraId="1E3B4537">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64DEB8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3.起重量达到105%-110%时，能停止向不安全方向继续动作。</w:t>
            </w:r>
          </w:p>
        </w:tc>
        <w:tc>
          <w:tcPr>
            <w:tcW w:w="0" w:type="auto"/>
            <w:vMerge w:val="continue"/>
            <w:vAlign w:val="center"/>
          </w:tcPr>
          <w:p w14:paraId="0696C43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849A29C">
            <w:pPr>
              <w:spacing w:after="0" w:afterLines="0" w:line="240" w:lineRule="auto"/>
              <w:ind w:firstLine="0" w:firstLineChars="0"/>
              <w:jc w:val="both"/>
              <w:rPr>
                <w:rFonts w:hint="eastAsia" w:ascii="宋体" w:hAnsi="宋体" w:eastAsia="宋体" w:cs="宋体"/>
                <w:sz w:val="21"/>
                <w:szCs w:val="21"/>
              </w:rPr>
            </w:pPr>
          </w:p>
        </w:tc>
      </w:tr>
      <w:tr w14:paraId="75BD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508" w:type="dxa"/>
            <w:vMerge w:val="continue"/>
            <w:vAlign w:val="center"/>
          </w:tcPr>
          <w:p w14:paraId="0272D5AE">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10ABE3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4.力矩限制器综合误差不超过±8%。</w:t>
            </w:r>
          </w:p>
        </w:tc>
        <w:tc>
          <w:tcPr>
            <w:tcW w:w="0" w:type="auto"/>
            <w:vMerge w:val="continue"/>
            <w:vAlign w:val="center"/>
          </w:tcPr>
          <w:p w14:paraId="2524BC4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962B8A1">
            <w:pPr>
              <w:spacing w:after="0" w:afterLines="0" w:line="240" w:lineRule="auto"/>
              <w:ind w:firstLine="0" w:firstLineChars="0"/>
              <w:jc w:val="both"/>
              <w:rPr>
                <w:rFonts w:hint="eastAsia" w:ascii="宋体" w:hAnsi="宋体" w:eastAsia="宋体" w:cs="宋体"/>
                <w:sz w:val="21"/>
                <w:szCs w:val="21"/>
              </w:rPr>
            </w:pPr>
          </w:p>
        </w:tc>
      </w:tr>
      <w:tr w14:paraId="1362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restart"/>
            <w:vAlign w:val="center"/>
          </w:tcPr>
          <w:p w14:paraId="38A6F86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（八）附</w:t>
            </w:r>
          </w:p>
          <w:p w14:paraId="06DA2B7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着</w:t>
            </w:r>
          </w:p>
          <w:p w14:paraId="43056C5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架</w:t>
            </w:r>
          </w:p>
        </w:tc>
        <w:tc>
          <w:tcPr>
            <w:tcW w:w="0" w:type="auto"/>
            <w:gridSpan w:val="4"/>
            <w:vAlign w:val="center"/>
          </w:tcPr>
          <w:p w14:paraId="3FBB27E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1.框架、附着杆安装正确、牢固；无开焊、变形、裂纹；</w:t>
            </w:r>
          </w:p>
        </w:tc>
        <w:tc>
          <w:tcPr>
            <w:tcW w:w="0" w:type="auto"/>
            <w:vMerge w:val="restart"/>
            <w:vAlign w:val="center"/>
          </w:tcPr>
          <w:p w14:paraId="2D1B2E2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tc>
        <w:tc>
          <w:tcPr>
            <w:tcW w:w="0" w:type="auto"/>
            <w:vAlign w:val="center"/>
          </w:tcPr>
          <w:p w14:paraId="57B9619C">
            <w:pPr>
              <w:spacing w:after="0" w:afterLines="0" w:line="240" w:lineRule="auto"/>
              <w:ind w:firstLine="0" w:firstLineChars="0"/>
              <w:jc w:val="both"/>
              <w:rPr>
                <w:rFonts w:hint="eastAsia" w:ascii="宋体" w:hAnsi="宋体" w:eastAsia="宋体" w:cs="宋体"/>
                <w:sz w:val="21"/>
                <w:szCs w:val="21"/>
              </w:rPr>
            </w:pPr>
          </w:p>
        </w:tc>
      </w:tr>
      <w:tr w14:paraId="1731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48A5468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87059C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2.各处螺栓、轴销齐全牢固；</w:t>
            </w:r>
          </w:p>
        </w:tc>
        <w:tc>
          <w:tcPr>
            <w:tcW w:w="0" w:type="auto"/>
            <w:vMerge w:val="continue"/>
            <w:vAlign w:val="center"/>
          </w:tcPr>
          <w:p w14:paraId="54CC610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214B18A">
            <w:pPr>
              <w:spacing w:after="0" w:afterLines="0" w:line="240" w:lineRule="auto"/>
              <w:ind w:firstLine="0" w:firstLineChars="0"/>
              <w:jc w:val="both"/>
              <w:rPr>
                <w:rFonts w:hint="eastAsia" w:ascii="宋体" w:hAnsi="宋体" w:eastAsia="宋体" w:cs="宋体"/>
                <w:sz w:val="21"/>
                <w:szCs w:val="21"/>
              </w:rPr>
            </w:pPr>
          </w:p>
        </w:tc>
      </w:tr>
      <w:tr w14:paraId="1DF0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74355BA9">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5D7A08F">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3.间距、数量、安装固定符合说明书要求；</w:t>
            </w:r>
          </w:p>
        </w:tc>
        <w:tc>
          <w:tcPr>
            <w:tcW w:w="0" w:type="auto"/>
            <w:vMerge w:val="continue"/>
            <w:vAlign w:val="center"/>
          </w:tcPr>
          <w:p w14:paraId="70D740C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81AA6F">
            <w:pPr>
              <w:spacing w:after="0" w:afterLines="0" w:line="240" w:lineRule="auto"/>
              <w:ind w:firstLine="0" w:firstLineChars="0"/>
              <w:jc w:val="both"/>
              <w:rPr>
                <w:rFonts w:hint="eastAsia" w:ascii="宋体" w:hAnsi="宋体" w:eastAsia="宋体" w:cs="宋体"/>
                <w:sz w:val="21"/>
                <w:szCs w:val="21"/>
              </w:rPr>
            </w:pPr>
          </w:p>
        </w:tc>
      </w:tr>
      <w:tr w14:paraId="3A08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4E27F3CD">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917353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4.架体不得擅自改动。</w:t>
            </w:r>
          </w:p>
        </w:tc>
        <w:tc>
          <w:tcPr>
            <w:tcW w:w="0" w:type="auto"/>
            <w:vMerge w:val="continue"/>
            <w:vAlign w:val="center"/>
          </w:tcPr>
          <w:p w14:paraId="2F73696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76009A3">
            <w:pPr>
              <w:spacing w:after="0" w:afterLines="0" w:line="240" w:lineRule="auto"/>
              <w:ind w:firstLine="0" w:firstLineChars="0"/>
              <w:jc w:val="both"/>
              <w:rPr>
                <w:rFonts w:hint="eastAsia" w:ascii="宋体" w:hAnsi="宋体" w:eastAsia="宋体" w:cs="宋体"/>
                <w:sz w:val="21"/>
                <w:szCs w:val="21"/>
              </w:rPr>
            </w:pPr>
          </w:p>
        </w:tc>
      </w:tr>
      <w:tr w14:paraId="2503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restart"/>
            <w:vAlign w:val="center"/>
          </w:tcPr>
          <w:p w14:paraId="4E5F84D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（九）电</w:t>
            </w:r>
          </w:p>
          <w:p w14:paraId="572C324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气</w:t>
            </w:r>
          </w:p>
        </w:tc>
        <w:tc>
          <w:tcPr>
            <w:tcW w:w="0" w:type="auto"/>
            <w:gridSpan w:val="4"/>
            <w:vAlign w:val="center"/>
          </w:tcPr>
          <w:p w14:paraId="56DAE1A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1.电缆无破损，无老化；</w:t>
            </w:r>
          </w:p>
        </w:tc>
        <w:tc>
          <w:tcPr>
            <w:tcW w:w="0" w:type="auto"/>
            <w:vMerge w:val="restart"/>
            <w:vAlign w:val="center"/>
          </w:tcPr>
          <w:p w14:paraId="79AE67F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GB5226-2002</w:t>
            </w:r>
          </w:p>
          <w:p w14:paraId="3359F15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p w14:paraId="4DEDE4A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GBT5031-2008</w:t>
            </w:r>
          </w:p>
        </w:tc>
        <w:tc>
          <w:tcPr>
            <w:tcW w:w="0" w:type="auto"/>
            <w:vAlign w:val="center"/>
          </w:tcPr>
          <w:p w14:paraId="4E9B10D6">
            <w:pPr>
              <w:spacing w:after="0" w:afterLines="0" w:line="240" w:lineRule="auto"/>
              <w:ind w:firstLine="0" w:firstLineChars="0"/>
              <w:jc w:val="both"/>
              <w:rPr>
                <w:rFonts w:hint="eastAsia" w:ascii="宋体" w:hAnsi="宋体" w:eastAsia="宋体" w:cs="宋体"/>
                <w:sz w:val="21"/>
                <w:szCs w:val="21"/>
              </w:rPr>
            </w:pPr>
          </w:p>
        </w:tc>
      </w:tr>
      <w:tr w14:paraId="5103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1508" w:type="dxa"/>
            <w:vMerge w:val="continue"/>
            <w:vAlign w:val="center"/>
          </w:tcPr>
          <w:p w14:paraId="7CB400E7">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704D8F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2.各接地、接零保护装置符合要求；</w:t>
            </w:r>
          </w:p>
        </w:tc>
        <w:tc>
          <w:tcPr>
            <w:tcW w:w="0" w:type="auto"/>
            <w:vMerge w:val="continue"/>
            <w:vAlign w:val="center"/>
          </w:tcPr>
          <w:p w14:paraId="2C9D3606">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11A455">
            <w:pPr>
              <w:spacing w:after="0" w:afterLines="0" w:line="240" w:lineRule="auto"/>
              <w:ind w:firstLine="0" w:firstLineChars="0"/>
              <w:jc w:val="both"/>
              <w:rPr>
                <w:rFonts w:hint="eastAsia" w:ascii="宋体" w:hAnsi="宋体" w:eastAsia="宋体" w:cs="宋体"/>
                <w:sz w:val="21"/>
                <w:szCs w:val="21"/>
              </w:rPr>
            </w:pPr>
          </w:p>
        </w:tc>
      </w:tr>
      <w:tr w14:paraId="3D51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43769B2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61A5E6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3.开关等配电装置齐全有效；</w:t>
            </w:r>
          </w:p>
        </w:tc>
        <w:tc>
          <w:tcPr>
            <w:tcW w:w="0" w:type="auto"/>
            <w:vMerge w:val="continue"/>
            <w:vAlign w:val="center"/>
          </w:tcPr>
          <w:p w14:paraId="1DDBD46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7A69961">
            <w:pPr>
              <w:spacing w:after="0" w:afterLines="0" w:line="240" w:lineRule="auto"/>
              <w:ind w:firstLine="0" w:firstLineChars="0"/>
              <w:jc w:val="both"/>
              <w:rPr>
                <w:rFonts w:hint="eastAsia" w:ascii="宋体" w:hAnsi="宋体" w:eastAsia="宋体" w:cs="宋体"/>
                <w:sz w:val="21"/>
                <w:szCs w:val="21"/>
              </w:rPr>
            </w:pPr>
          </w:p>
        </w:tc>
      </w:tr>
      <w:tr w14:paraId="3AF4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44C0D4EF">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38D664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4.绝缘良好；</w:t>
            </w:r>
          </w:p>
        </w:tc>
        <w:tc>
          <w:tcPr>
            <w:tcW w:w="0" w:type="auto"/>
            <w:vMerge w:val="continue"/>
            <w:vAlign w:val="center"/>
          </w:tcPr>
          <w:p w14:paraId="25243565">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5B2C654">
            <w:pPr>
              <w:spacing w:after="0" w:afterLines="0" w:line="240" w:lineRule="auto"/>
              <w:ind w:firstLine="0" w:firstLineChars="0"/>
              <w:jc w:val="both"/>
              <w:rPr>
                <w:rFonts w:hint="eastAsia" w:ascii="宋体" w:hAnsi="宋体" w:eastAsia="宋体" w:cs="宋体"/>
                <w:sz w:val="21"/>
                <w:szCs w:val="21"/>
              </w:rPr>
            </w:pPr>
          </w:p>
        </w:tc>
      </w:tr>
      <w:tr w14:paraId="1713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3CA2D896">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6F39676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5.接闪器、避雷等接地装置良好,；</w:t>
            </w:r>
          </w:p>
        </w:tc>
        <w:tc>
          <w:tcPr>
            <w:tcW w:w="0" w:type="auto"/>
            <w:vMerge w:val="continue"/>
            <w:vAlign w:val="center"/>
          </w:tcPr>
          <w:p w14:paraId="11FAC3C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B0B666A">
            <w:pPr>
              <w:spacing w:after="0" w:afterLines="0" w:line="240" w:lineRule="auto"/>
              <w:ind w:firstLine="0" w:firstLineChars="0"/>
              <w:jc w:val="both"/>
              <w:rPr>
                <w:rFonts w:hint="eastAsia" w:ascii="宋体" w:hAnsi="宋体" w:eastAsia="宋体" w:cs="宋体"/>
                <w:sz w:val="21"/>
                <w:szCs w:val="21"/>
              </w:rPr>
            </w:pPr>
          </w:p>
        </w:tc>
      </w:tr>
      <w:tr w14:paraId="7A48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08" w:type="dxa"/>
            <w:vMerge w:val="continue"/>
            <w:vAlign w:val="center"/>
          </w:tcPr>
          <w:p w14:paraId="31CDC764">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0A1FDEE">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6.动力电路和控制电路对地绝缘值不超过0.5兆欧；</w:t>
            </w:r>
          </w:p>
        </w:tc>
        <w:tc>
          <w:tcPr>
            <w:tcW w:w="0" w:type="auto"/>
            <w:vMerge w:val="continue"/>
            <w:vAlign w:val="center"/>
          </w:tcPr>
          <w:p w14:paraId="6A983048">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B414B95">
            <w:pPr>
              <w:spacing w:after="0" w:afterLines="0" w:line="240" w:lineRule="auto"/>
              <w:ind w:firstLine="0" w:firstLineChars="0"/>
              <w:jc w:val="both"/>
              <w:rPr>
                <w:rFonts w:hint="eastAsia" w:ascii="宋体" w:hAnsi="宋体" w:eastAsia="宋体" w:cs="宋体"/>
                <w:sz w:val="21"/>
                <w:szCs w:val="21"/>
              </w:rPr>
            </w:pPr>
          </w:p>
        </w:tc>
      </w:tr>
      <w:tr w14:paraId="00AB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1508" w:type="dxa"/>
            <w:vMerge w:val="restart"/>
            <w:vAlign w:val="center"/>
          </w:tcPr>
          <w:p w14:paraId="40A586C6">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（十）机构油类</w:t>
            </w:r>
          </w:p>
        </w:tc>
        <w:tc>
          <w:tcPr>
            <w:tcW w:w="0" w:type="auto"/>
            <w:gridSpan w:val="4"/>
            <w:vAlign w:val="center"/>
          </w:tcPr>
          <w:p w14:paraId="5A7D7FE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1.减速机、卷扬机、回转机构、液压顶升系统部件齐全、工作正常；</w:t>
            </w:r>
          </w:p>
        </w:tc>
        <w:tc>
          <w:tcPr>
            <w:tcW w:w="0" w:type="auto"/>
            <w:vMerge w:val="restart"/>
            <w:vAlign w:val="center"/>
          </w:tcPr>
          <w:p w14:paraId="3B9A2EF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GBT5051-2008</w:t>
            </w:r>
          </w:p>
          <w:p w14:paraId="5EC87F7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6C022574">
            <w:pPr>
              <w:spacing w:after="0" w:afterLines="0" w:line="240" w:lineRule="auto"/>
              <w:ind w:firstLine="0" w:firstLineChars="0"/>
              <w:jc w:val="both"/>
              <w:rPr>
                <w:rFonts w:hint="eastAsia" w:ascii="宋体" w:hAnsi="宋体" w:eastAsia="宋体" w:cs="宋体"/>
                <w:sz w:val="21"/>
                <w:szCs w:val="21"/>
              </w:rPr>
            </w:pPr>
          </w:p>
        </w:tc>
      </w:tr>
      <w:tr w14:paraId="5E71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508" w:type="dxa"/>
            <w:vMerge w:val="continue"/>
            <w:vAlign w:val="center"/>
          </w:tcPr>
          <w:p w14:paraId="003877B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2FD0D30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2.传动部位有防护罩；</w:t>
            </w:r>
          </w:p>
        </w:tc>
        <w:tc>
          <w:tcPr>
            <w:tcW w:w="0" w:type="auto"/>
            <w:vMerge w:val="continue"/>
            <w:vAlign w:val="center"/>
          </w:tcPr>
          <w:p w14:paraId="2CDF1A22">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2203967C">
            <w:pPr>
              <w:spacing w:after="0" w:afterLines="0" w:line="240" w:lineRule="auto"/>
              <w:ind w:firstLine="0" w:firstLineChars="0"/>
              <w:jc w:val="both"/>
              <w:rPr>
                <w:rFonts w:hint="eastAsia" w:ascii="宋体" w:hAnsi="宋体" w:eastAsia="宋体" w:cs="宋体"/>
                <w:sz w:val="21"/>
                <w:szCs w:val="21"/>
              </w:rPr>
            </w:pPr>
          </w:p>
        </w:tc>
      </w:tr>
      <w:tr w14:paraId="5373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continue"/>
            <w:vAlign w:val="center"/>
          </w:tcPr>
          <w:p w14:paraId="56F75759">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73FC4AC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3.油箱有足够容量；</w:t>
            </w:r>
          </w:p>
        </w:tc>
        <w:tc>
          <w:tcPr>
            <w:tcW w:w="0" w:type="auto"/>
            <w:vMerge w:val="continue"/>
            <w:vAlign w:val="center"/>
          </w:tcPr>
          <w:p w14:paraId="3852784C">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BF871E2">
            <w:pPr>
              <w:spacing w:after="0" w:afterLines="0" w:line="240" w:lineRule="auto"/>
              <w:ind w:firstLine="0" w:firstLineChars="0"/>
              <w:jc w:val="both"/>
              <w:rPr>
                <w:rFonts w:hint="eastAsia" w:ascii="宋体" w:hAnsi="宋体" w:eastAsia="宋体" w:cs="宋体"/>
                <w:sz w:val="21"/>
                <w:szCs w:val="21"/>
              </w:rPr>
            </w:pPr>
          </w:p>
        </w:tc>
      </w:tr>
      <w:tr w14:paraId="4C0D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3E17849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7DEE74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 xml:space="preserve">4.油路无泄露、堵塞现象。 </w:t>
            </w:r>
          </w:p>
        </w:tc>
        <w:tc>
          <w:tcPr>
            <w:tcW w:w="0" w:type="auto"/>
            <w:vMerge w:val="continue"/>
            <w:vAlign w:val="center"/>
          </w:tcPr>
          <w:p w14:paraId="617E3E19">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1D20DD9">
            <w:pPr>
              <w:spacing w:after="0" w:afterLines="0" w:line="240" w:lineRule="auto"/>
              <w:ind w:firstLine="0" w:firstLineChars="0"/>
              <w:jc w:val="both"/>
              <w:rPr>
                <w:rFonts w:hint="eastAsia" w:ascii="宋体" w:hAnsi="宋体" w:eastAsia="宋体" w:cs="宋体"/>
                <w:sz w:val="21"/>
                <w:szCs w:val="21"/>
              </w:rPr>
            </w:pPr>
          </w:p>
        </w:tc>
      </w:tr>
      <w:tr w14:paraId="08DF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restart"/>
            <w:vAlign w:val="center"/>
          </w:tcPr>
          <w:p w14:paraId="59448B64">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十一</w:t>
            </w:r>
          </w:p>
          <w:p w14:paraId="45795CDC">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制</w:t>
            </w:r>
          </w:p>
          <w:p w14:paraId="034E001E">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动</w:t>
            </w:r>
          </w:p>
          <w:p w14:paraId="7BB188DD">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器</w:t>
            </w:r>
          </w:p>
        </w:tc>
        <w:tc>
          <w:tcPr>
            <w:tcW w:w="0" w:type="auto"/>
            <w:gridSpan w:val="4"/>
            <w:vAlign w:val="center"/>
          </w:tcPr>
          <w:p w14:paraId="0CD6F13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1.无可见裂纹;</w:t>
            </w:r>
          </w:p>
        </w:tc>
        <w:tc>
          <w:tcPr>
            <w:tcW w:w="0" w:type="auto"/>
            <w:vMerge w:val="restart"/>
            <w:vAlign w:val="center"/>
          </w:tcPr>
          <w:p w14:paraId="2843246B">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GB5144-2006</w:t>
            </w:r>
          </w:p>
          <w:p w14:paraId="30AB0D5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8FE3087">
            <w:pPr>
              <w:spacing w:after="0" w:afterLines="0" w:line="240" w:lineRule="auto"/>
              <w:ind w:firstLine="0" w:firstLineChars="0"/>
              <w:jc w:val="both"/>
              <w:rPr>
                <w:rFonts w:hint="eastAsia" w:ascii="宋体" w:hAnsi="宋体" w:eastAsia="宋体" w:cs="宋体"/>
                <w:sz w:val="21"/>
                <w:szCs w:val="21"/>
              </w:rPr>
            </w:pPr>
          </w:p>
        </w:tc>
      </w:tr>
      <w:tr w14:paraId="4968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508" w:type="dxa"/>
            <w:vMerge w:val="continue"/>
            <w:vAlign w:val="center"/>
          </w:tcPr>
          <w:p w14:paraId="4AB08162">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267E69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2.制动块摩擦衬垫磨损量未达原厚度的50%;</w:t>
            </w:r>
          </w:p>
        </w:tc>
        <w:tc>
          <w:tcPr>
            <w:tcW w:w="0" w:type="auto"/>
            <w:vMerge w:val="continue"/>
            <w:vAlign w:val="center"/>
          </w:tcPr>
          <w:p w14:paraId="2D1A7101">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11A4720C">
            <w:pPr>
              <w:spacing w:after="0" w:afterLines="0" w:line="240" w:lineRule="auto"/>
              <w:ind w:firstLine="0" w:firstLineChars="0"/>
              <w:jc w:val="both"/>
              <w:rPr>
                <w:rFonts w:hint="eastAsia" w:ascii="宋体" w:hAnsi="宋体" w:eastAsia="宋体" w:cs="宋体"/>
                <w:sz w:val="21"/>
                <w:szCs w:val="21"/>
              </w:rPr>
            </w:pPr>
          </w:p>
        </w:tc>
      </w:tr>
      <w:tr w14:paraId="6C30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continue"/>
            <w:vAlign w:val="center"/>
          </w:tcPr>
          <w:p w14:paraId="4E6F36B5">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A74327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3.制动轮表面磨损量未达1.5 mm ~2mm;</w:t>
            </w:r>
          </w:p>
        </w:tc>
        <w:tc>
          <w:tcPr>
            <w:tcW w:w="0" w:type="auto"/>
            <w:vMerge w:val="continue"/>
            <w:vAlign w:val="center"/>
          </w:tcPr>
          <w:p w14:paraId="6668022B">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E1AAF57">
            <w:pPr>
              <w:spacing w:after="0" w:afterLines="0" w:line="240" w:lineRule="auto"/>
              <w:ind w:firstLine="0" w:firstLineChars="0"/>
              <w:jc w:val="both"/>
              <w:rPr>
                <w:rFonts w:hint="eastAsia" w:ascii="宋体" w:hAnsi="宋体" w:eastAsia="宋体" w:cs="宋体"/>
                <w:sz w:val="21"/>
                <w:szCs w:val="21"/>
              </w:rPr>
            </w:pPr>
          </w:p>
        </w:tc>
      </w:tr>
      <w:tr w14:paraId="1588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1508" w:type="dxa"/>
            <w:vMerge w:val="continue"/>
            <w:vAlign w:val="center"/>
          </w:tcPr>
          <w:p w14:paraId="09ACDE28">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50C5D9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4.弹簧未出现塑性变形;</w:t>
            </w:r>
          </w:p>
        </w:tc>
        <w:tc>
          <w:tcPr>
            <w:tcW w:w="0" w:type="auto"/>
            <w:vMerge w:val="continue"/>
            <w:vAlign w:val="center"/>
          </w:tcPr>
          <w:p w14:paraId="68A8FB58">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976CDF0">
            <w:pPr>
              <w:spacing w:after="0" w:afterLines="0" w:line="240" w:lineRule="auto"/>
              <w:ind w:firstLine="0" w:firstLineChars="0"/>
              <w:jc w:val="both"/>
              <w:rPr>
                <w:rFonts w:hint="eastAsia" w:ascii="宋体" w:hAnsi="宋体" w:eastAsia="宋体" w:cs="宋体"/>
                <w:sz w:val="21"/>
                <w:szCs w:val="21"/>
              </w:rPr>
            </w:pPr>
          </w:p>
        </w:tc>
      </w:tr>
      <w:tr w14:paraId="414B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1508" w:type="dxa"/>
            <w:vMerge w:val="restart"/>
            <w:vAlign w:val="center"/>
          </w:tcPr>
          <w:p w14:paraId="6E57677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十二</w:t>
            </w:r>
          </w:p>
          <w:p w14:paraId="4C10B341">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安</w:t>
            </w:r>
          </w:p>
          <w:p w14:paraId="1FA0B1C0">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全</w:t>
            </w:r>
          </w:p>
          <w:p w14:paraId="4CC757D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距</w:t>
            </w:r>
          </w:p>
          <w:p w14:paraId="496A6DA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离</w:t>
            </w:r>
          </w:p>
        </w:tc>
        <w:tc>
          <w:tcPr>
            <w:tcW w:w="0" w:type="auto"/>
            <w:gridSpan w:val="4"/>
            <w:vAlign w:val="center"/>
          </w:tcPr>
          <w:p w14:paraId="5FEB5AF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1.与建筑物周围施工设施之间距离≥0.5米；</w:t>
            </w:r>
          </w:p>
        </w:tc>
        <w:tc>
          <w:tcPr>
            <w:tcW w:w="0" w:type="auto"/>
            <w:vMerge w:val="restart"/>
            <w:vAlign w:val="center"/>
          </w:tcPr>
          <w:p w14:paraId="3D2FA779">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p w14:paraId="1D23EFBD">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4351DCA9">
            <w:pPr>
              <w:spacing w:after="0" w:afterLines="0" w:line="240" w:lineRule="auto"/>
              <w:ind w:firstLine="0" w:firstLineChars="0"/>
              <w:jc w:val="both"/>
              <w:rPr>
                <w:rFonts w:hint="eastAsia" w:ascii="宋体" w:hAnsi="宋体" w:eastAsia="宋体" w:cs="宋体"/>
                <w:sz w:val="21"/>
                <w:szCs w:val="21"/>
              </w:rPr>
            </w:pPr>
          </w:p>
        </w:tc>
      </w:tr>
      <w:tr w14:paraId="019B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508" w:type="dxa"/>
            <w:vMerge w:val="continue"/>
            <w:vAlign w:val="center"/>
          </w:tcPr>
          <w:p w14:paraId="221EF80B">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37D479C7">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2.多塔作业相互间应符合要求，有防碰撞措施；</w:t>
            </w:r>
          </w:p>
        </w:tc>
        <w:tc>
          <w:tcPr>
            <w:tcW w:w="0" w:type="auto"/>
            <w:vMerge w:val="continue"/>
            <w:vAlign w:val="center"/>
          </w:tcPr>
          <w:p w14:paraId="325C0F00">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32F1100F">
            <w:pPr>
              <w:spacing w:after="0" w:afterLines="0" w:line="240" w:lineRule="auto"/>
              <w:ind w:firstLine="0" w:firstLineChars="0"/>
              <w:jc w:val="both"/>
              <w:rPr>
                <w:rFonts w:hint="eastAsia" w:ascii="宋体" w:hAnsi="宋体" w:eastAsia="宋体" w:cs="宋体"/>
                <w:sz w:val="21"/>
                <w:szCs w:val="21"/>
              </w:rPr>
            </w:pPr>
          </w:p>
        </w:tc>
      </w:tr>
      <w:tr w14:paraId="4BDF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1508" w:type="dxa"/>
            <w:vMerge w:val="continue"/>
            <w:vAlign w:val="center"/>
          </w:tcPr>
          <w:p w14:paraId="2076F43A">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40047902">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3.各部位与外电线路保持安全距离，达不到要求的必须按规定采取防护措施，防护措施应达到电业部门规定要求。</w:t>
            </w:r>
          </w:p>
        </w:tc>
        <w:tc>
          <w:tcPr>
            <w:tcW w:w="0" w:type="auto"/>
            <w:vMerge w:val="continue"/>
            <w:vAlign w:val="center"/>
          </w:tcPr>
          <w:p w14:paraId="35EE8BC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61FF1C6">
            <w:pPr>
              <w:spacing w:after="0" w:afterLines="0" w:line="240" w:lineRule="auto"/>
              <w:ind w:firstLine="0" w:firstLineChars="0"/>
              <w:jc w:val="both"/>
              <w:rPr>
                <w:rFonts w:hint="eastAsia" w:ascii="宋体" w:hAnsi="宋体" w:eastAsia="宋体" w:cs="宋体"/>
                <w:sz w:val="21"/>
                <w:szCs w:val="21"/>
              </w:rPr>
            </w:pPr>
          </w:p>
        </w:tc>
      </w:tr>
      <w:tr w14:paraId="615A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1508" w:type="dxa"/>
            <w:vMerge w:val="restart"/>
            <w:vAlign w:val="center"/>
          </w:tcPr>
          <w:p w14:paraId="54A01F3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十三</w:t>
            </w:r>
          </w:p>
          <w:p w14:paraId="0C0711D3">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卷</w:t>
            </w:r>
          </w:p>
          <w:p w14:paraId="75349442">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筒</w:t>
            </w:r>
          </w:p>
          <w:p w14:paraId="30659478">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滑</w:t>
            </w:r>
          </w:p>
          <w:p w14:paraId="1DA5957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轮</w:t>
            </w:r>
          </w:p>
        </w:tc>
        <w:tc>
          <w:tcPr>
            <w:tcW w:w="0" w:type="auto"/>
            <w:gridSpan w:val="4"/>
            <w:vAlign w:val="center"/>
          </w:tcPr>
          <w:p w14:paraId="245D06F6">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1.卷筒两侧边沿的高度大于钢丝绳直径2倍；</w:t>
            </w:r>
          </w:p>
        </w:tc>
        <w:tc>
          <w:tcPr>
            <w:tcW w:w="0" w:type="auto"/>
            <w:vMerge w:val="restart"/>
            <w:vAlign w:val="center"/>
          </w:tcPr>
          <w:p w14:paraId="20173D68">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GBT13752</w:t>
            </w:r>
          </w:p>
          <w:p w14:paraId="3667260C">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JGJ160-2008</w:t>
            </w:r>
          </w:p>
        </w:tc>
        <w:tc>
          <w:tcPr>
            <w:tcW w:w="0" w:type="auto"/>
            <w:vAlign w:val="center"/>
          </w:tcPr>
          <w:p w14:paraId="29755542">
            <w:pPr>
              <w:spacing w:after="0" w:afterLines="0" w:line="240" w:lineRule="auto"/>
              <w:ind w:firstLine="0" w:firstLineChars="0"/>
              <w:jc w:val="both"/>
              <w:rPr>
                <w:rFonts w:hint="eastAsia" w:ascii="宋体" w:hAnsi="宋体" w:eastAsia="宋体" w:cs="宋体"/>
                <w:sz w:val="21"/>
                <w:szCs w:val="21"/>
              </w:rPr>
            </w:pPr>
          </w:p>
        </w:tc>
      </w:tr>
      <w:tr w14:paraId="7514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508" w:type="dxa"/>
            <w:vMerge w:val="continue"/>
            <w:vAlign w:val="center"/>
          </w:tcPr>
          <w:p w14:paraId="70FF087C">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5F459190">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2.卷筒上的钢丝绳至少保留3圈；</w:t>
            </w:r>
          </w:p>
        </w:tc>
        <w:tc>
          <w:tcPr>
            <w:tcW w:w="0" w:type="auto"/>
            <w:vMerge w:val="continue"/>
            <w:vAlign w:val="center"/>
          </w:tcPr>
          <w:p w14:paraId="1E805B2E">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652A297A">
            <w:pPr>
              <w:spacing w:after="0" w:afterLines="0" w:line="240" w:lineRule="auto"/>
              <w:ind w:firstLine="0" w:firstLineChars="0"/>
              <w:jc w:val="both"/>
              <w:rPr>
                <w:rFonts w:hint="eastAsia" w:ascii="宋体" w:hAnsi="宋体" w:eastAsia="宋体" w:cs="宋体"/>
                <w:sz w:val="21"/>
                <w:szCs w:val="21"/>
              </w:rPr>
            </w:pPr>
          </w:p>
        </w:tc>
      </w:tr>
      <w:tr w14:paraId="1D37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508" w:type="dxa"/>
            <w:vMerge w:val="continue"/>
            <w:vAlign w:val="center"/>
          </w:tcPr>
          <w:p w14:paraId="0BEE9420">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00871B1A">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3.滑轮应设有防绳跳槽装置，且与滑轮最外沿间隙不得超过钢丝绳直径的20％；</w:t>
            </w:r>
          </w:p>
        </w:tc>
        <w:tc>
          <w:tcPr>
            <w:tcW w:w="0" w:type="auto"/>
            <w:vMerge w:val="continue"/>
            <w:vAlign w:val="center"/>
          </w:tcPr>
          <w:p w14:paraId="7D1EA1A6">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7055D986">
            <w:pPr>
              <w:spacing w:after="0" w:afterLines="0" w:line="240" w:lineRule="auto"/>
              <w:ind w:firstLine="0" w:firstLineChars="0"/>
              <w:jc w:val="both"/>
              <w:rPr>
                <w:rFonts w:hint="eastAsia" w:ascii="宋体" w:hAnsi="宋体" w:eastAsia="宋体" w:cs="宋体"/>
                <w:sz w:val="21"/>
                <w:szCs w:val="21"/>
              </w:rPr>
            </w:pPr>
          </w:p>
        </w:tc>
      </w:tr>
      <w:tr w14:paraId="73E5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508" w:type="dxa"/>
            <w:vMerge w:val="continue"/>
            <w:vAlign w:val="center"/>
          </w:tcPr>
          <w:p w14:paraId="6AEDADB1">
            <w:pPr>
              <w:spacing w:after="0" w:afterLines="0" w:line="240" w:lineRule="auto"/>
              <w:ind w:firstLine="0" w:firstLineChars="0"/>
              <w:jc w:val="center"/>
              <w:rPr>
                <w:rFonts w:hint="eastAsia" w:ascii="宋体" w:hAnsi="宋体" w:eastAsia="宋体" w:cs="宋体"/>
                <w:sz w:val="21"/>
                <w:szCs w:val="21"/>
              </w:rPr>
            </w:pPr>
          </w:p>
        </w:tc>
        <w:tc>
          <w:tcPr>
            <w:tcW w:w="0" w:type="auto"/>
            <w:gridSpan w:val="4"/>
            <w:vAlign w:val="center"/>
          </w:tcPr>
          <w:p w14:paraId="104BFA34">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4.滑轮转动灵活、无卡塞现象。</w:t>
            </w:r>
          </w:p>
        </w:tc>
        <w:tc>
          <w:tcPr>
            <w:tcW w:w="0" w:type="auto"/>
            <w:vMerge w:val="continue"/>
            <w:vAlign w:val="center"/>
          </w:tcPr>
          <w:p w14:paraId="3140099F">
            <w:pPr>
              <w:spacing w:after="0" w:afterLines="0" w:line="240" w:lineRule="auto"/>
              <w:ind w:firstLine="0" w:firstLineChars="0"/>
              <w:jc w:val="both"/>
              <w:rPr>
                <w:rFonts w:hint="eastAsia" w:ascii="宋体" w:hAnsi="宋体" w:eastAsia="宋体" w:cs="宋体"/>
                <w:sz w:val="21"/>
                <w:szCs w:val="21"/>
              </w:rPr>
            </w:pPr>
          </w:p>
        </w:tc>
        <w:tc>
          <w:tcPr>
            <w:tcW w:w="0" w:type="auto"/>
            <w:vAlign w:val="center"/>
          </w:tcPr>
          <w:p w14:paraId="5A9C2357">
            <w:pPr>
              <w:spacing w:after="0" w:afterLines="0" w:line="240" w:lineRule="auto"/>
              <w:ind w:firstLine="0" w:firstLineChars="0"/>
              <w:jc w:val="both"/>
              <w:rPr>
                <w:rFonts w:hint="eastAsia" w:ascii="宋体" w:hAnsi="宋体" w:eastAsia="宋体" w:cs="宋体"/>
                <w:sz w:val="21"/>
                <w:szCs w:val="21"/>
              </w:rPr>
            </w:pPr>
          </w:p>
        </w:tc>
      </w:tr>
      <w:tr w14:paraId="6DA6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1508" w:type="dxa"/>
            <w:vAlign w:val="center"/>
          </w:tcPr>
          <w:p w14:paraId="17FFB5C5">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十四</w:t>
            </w:r>
          </w:p>
          <w:p w14:paraId="5967820B">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持证上岗</w:t>
            </w:r>
          </w:p>
        </w:tc>
        <w:tc>
          <w:tcPr>
            <w:tcW w:w="0" w:type="auto"/>
            <w:gridSpan w:val="3"/>
            <w:vAlign w:val="center"/>
          </w:tcPr>
          <w:p w14:paraId="16C31763">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1.使用过程中塔吊司机必须持证上岗。</w:t>
            </w:r>
          </w:p>
        </w:tc>
        <w:tc>
          <w:tcPr>
            <w:tcW w:w="0" w:type="auto"/>
            <w:gridSpan w:val="2"/>
            <w:vAlign w:val="center"/>
          </w:tcPr>
          <w:p w14:paraId="6B1CD5E5">
            <w:pPr>
              <w:spacing w:after="0" w:afterLines="0" w:line="240" w:lineRule="auto"/>
              <w:ind w:firstLine="0" w:firstLineChars="0"/>
              <w:jc w:val="both"/>
              <w:rPr>
                <w:rFonts w:hint="eastAsia" w:ascii="宋体" w:hAnsi="宋体" w:eastAsia="宋体" w:cs="宋体"/>
                <w:sz w:val="21"/>
                <w:szCs w:val="21"/>
              </w:rPr>
            </w:pPr>
            <w:r>
              <w:rPr>
                <w:rFonts w:hint="eastAsia" w:ascii="宋体" w:hAnsi="宋体" w:eastAsia="宋体" w:cs="宋体"/>
                <w:sz w:val="21"/>
                <w:szCs w:val="21"/>
              </w:rPr>
              <w:t>JGJ196-2010</w:t>
            </w:r>
          </w:p>
        </w:tc>
        <w:tc>
          <w:tcPr>
            <w:tcW w:w="0" w:type="auto"/>
            <w:vAlign w:val="center"/>
          </w:tcPr>
          <w:p w14:paraId="1009669E">
            <w:pPr>
              <w:spacing w:after="0" w:afterLines="0" w:line="240" w:lineRule="auto"/>
              <w:ind w:firstLine="0" w:firstLineChars="0"/>
              <w:jc w:val="both"/>
              <w:rPr>
                <w:rFonts w:hint="eastAsia" w:ascii="宋体" w:hAnsi="宋体" w:eastAsia="宋体" w:cs="宋体"/>
                <w:sz w:val="21"/>
                <w:szCs w:val="21"/>
              </w:rPr>
            </w:pPr>
          </w:p>
        </w:tc>
      </w:tr>
      <w:tr w14:paraId="131D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1508" w:type="dxa"/>
            <w:tcBorders>
              <w:bottom w:val="single" w:color="auto" w:sz="4" w:space="0"/>
            </w:tcBorders>
            <w:vAlign w:val="center"/>
          </w:tcPr>
          <w:p w14:paraId="0B1A5428">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十五</w:t>
            </w:r>
          </w:p>
          <w:p w14:paraId="7EC16BAF">
            <w:pPr>
              <w:spacing w:after="0" w:afterLines="0" w:line="240" w:lineRule="auto"/>
              <w:ind w:firstLine="0" w:firstLineChars="0"/>
              <w:jc w:val="center"/>
              <w:rPr>
                <w:rFonts w:hint="eastAsia" w:ascii="宋体" w:hAnsi="宋体" w:eastAsia="宋体" w:cs="宋体"/>
                <w:sz w:val="21"/>
                <w:szCs w:val="21"/>
              </w:rPr>
            </w:pPr>
            <w:r>
              <w:rPr>
                <w:rFonts w:hint="eastAsia" w:ascii="宋体" w:hAnsi="宋体" w:eastAsia="宋体" w:cs="宋体"/>
                <w:sz w:val="21"/>
                <w:szCs w:val="21"/>
              </w:rPr>
              <w:t>检查结论及整改措施</w:t>
            </w:r>
          </w:p>
        </w:tc>
        <w:tc>
          <w:tcPr>
            <w:tcW w:w="0" w:type="auto"/>
            <w:gridSpan w:val="6"/>
            <w:tcBorders>
              <w:bottom w:val="single" w:color="auto" w:sz="4" w:space="0"/>
            </w:tcBorders>
            <w:vAlign w:val="center"/>
          </w:tcPr>
          <w:p w14:paraId="38111A18">
            <w:pPr>
              <w:spacing w:after="0" w:afterLines="0" w:line="240" w:lineRule="auto"/>
              <w:ind w:firstLine="0" w:firstLineChars="0"/>
              <w:jc w:val="both"/>
              <w:rPr>
                <w:rFonts w:hint="eastAsia" w:ascii="宋体" w:hAnsi="宋体" w:eastAsia="宋体" w:cs="宋体"/>
                <w:sz w:val="21"/>
                <w:szCs w:val="21"/>
              </w:rPr>
            </w:pPr>
          </w:p>
          <w:p w14:paraId="6D982DDA">
            <w:pPr>
              <w:spacing w:after="0" w:afterLines="0" w:line="240" w:lineRule="auto"/>
              <w:ind w:firstLine="0" w:firstLineChars="0"/>
              <w:jc w:val="both"/>
              <w:rPr>
                <w:rFonts w:hint="eastAsia" w:ascii="宋体" w:hAnsi="宋体" w:eastAsia="宋体" w:cs="宋体"/>
                <w:sz w:val="21"/>
                <w:szCs w:val="21"/>
              </w:rPr>
            </w:pPr>
          </w:p>
          <w:p w14:paraId="174B0F83">
            <w:pPr>
              <w:spacing w:after="0" w:afterLines="0" w:line="240" w:lineRule="auto"/>
              <w:ind w:firstLine="0" w:firstLineChars="0"/>
              <w:jc w:val="both"/>
              <w:rPr>
                <w:rFonts w:hint="eastAsia" w:ascii="宋体" w:hAnsi="宋体" w:eastAsia="宋体" w:cs="宋体"/>
                <w:sz w:val="21"/>
                <w:szCs w:val="21"/>
              </w:rPr>
            </w:pPr>
          </w:p>
          <w:p w14:paraId="7C4D427C">
            <w:pPr>
              <w:spacing w:after="0" w:afterLines="0" w:line="240" w:lineRule="auto"/>
              <w:ind w:firstLine="0" w:firstLineChars="0"/>
              <w:jc w:val="both"/>
              <w:rPr>
                <w:rFonts w:hint="eastAsia" w:ascii="宋体" w:hAnsi="宋体" w:eastAsia="宋体" w:cs="宋体"/>
                <w:sz w:val="21"/>
                <w:szCs w:val="21"/>
              </w:rPr>
            </w:pPr>
          </w:p>
          <w:p w14:paraId="1725F204">
            <w:pPr>
              <w:spacing w:after="0" w:afterLines="0" w:line="240" w:lineRule="auto"/>
              <w:ind w:firstLine="0" w:firstLineChars="0"/>
              <w:jc w:val="both"/>
              <w:rPr>
                <w:rFonts w:hint="eastAsia" w:ascii="宋体" w:hAnsi="宋体" w:eastAsia="宋体" w:cs="宋体"/>
                <w:sz w:val="21"/>
                <w:szCs w:val="21"/>
              </w:rPr>
            </w:pPr>
          </w:p>
        </w:tc>
      </w:tr>
    </w:tbl>
    <w:p w14:paraId="35286BA5">
      <w:pPr>
        <w:pStyle w:val="4"/>
        <w:bidi w:val="0"/>
        <w:rPr>
          <w:rFonts w:hint="eastAsia"/>
        </w:rPr>
      </w:pPr>
      <w:bookmarkStart w:id="444" w:name="_Toc528139744"/>
      <w:bookmarkEnd w:id="444"/>
      <w:bookmarkStart w:id="445" w:name="_Toc31098"/>
      <w:bookmarkStart w:id="446" w:name="_Toc24924"/>
      <w:bookmarkStart w:id="447" w:name="_Toc8297"/>
      <w:bookmarkStart w:id="448" w:name="_Toc25873"/>
      <w:bookmarkStart w:id="449" w:name="_Toc528139745"/>
      <w:r>
        <w:rPr>
          <w:rFonts w:hint="eastAsia"/>
        </w:rPr>
        <w:t>8.3安全检查的整改</w:t>
      </w:r>
      <w:bookmarkEnd w:id="443"/>
      <w:bookmarkEnd w:id="445"/>
      <w:bookmarkEnd w:id="446"/>
      <w:bookmarkEnd w:id="447"/>
      <w:bookmarkEnd w:id="448"/>
      <w:bookmarkEnd w:id="449"/>
    </w:p>
    <w:p w14:paraId="1531F325">
      <w:pPr>
        <w:bidi w:val="0"/>
        <w:rPr>
          <w:rFonts w:hint="eastAsia"/>
        </w:rPr>
      </w:pPr>
      <w:r>
        <w:rPr>
          <w:rFonts w:hint="eastAsia"/>
        </w:rPr>
        <w:t>安全隐患整改验收工作主要包括：隐患登记、整改、复查、销案。对检查出的安全隐患在安全隐患检查督查登记台账中登记，作为安全隐患整改复查依据，同时下发安全隐患整改意见书，要求隐患责任作业队定期、定人、定措施进行整改落实；对有可能即将发生的安全隐患，立即下令停工整改；对于现场违章作业、违章指挥行为，现场检查人员当场指出进行整改；负责整改的作业队、人员在整改完成后及时向本</w:t>
      </w:r>
      <w:r>
        <w:rPr>
          <w:rFonts w:hint="eastAsia"/>
          <w:lang w:eastAsia="zh-CN"/>
        </w:rPr>
        <w:t>公司</w:t>
      </w:r>
      <w:r>
        <w:rPr>
          <w:rFonts w:hint="eastAsia"/>
        </w:rPr>
        <w:t>安全部门进行反馈信息，本</w:t>
      </w:r>
      <w:r>
        <w:rPr>
          <w:rFonts w:hint="eastAsia"/>
          <w:lang w:eastAsia="zh-CN"/>
        </w:rPr>
        <w:t>公司</w:t>
      </w:r>
      <w:r>
        <w:rPr>
          <w:rFonts w:hint="eastAsia"/>
        </w:rPr>
        <w:t>安全部门立即进行复查，经复查合格后，进行销案。</w:t>
      </w:r>
    </w:p>
    <w:p w14:paraId="66B7F31B">
      <w:pPr>
        <w:bidi w:val="0"/>
        <w:rPr>
          <w:rFonts w:hint="eastAsia"/>
        </w:rPr>
      </w:pPr>
      <w:r>
        <w:rPr>
          <w:rFonts w:hint="eastAsia"/>
        </w:rPr>
        <w:t>每阶段检查过程均拍摄影像资料，不同期相同部位进行影像析对比，给出销案依据，正常安全施工。</w:t>
      </w:r>
    </w:p>
    <w:p w14:paraId="0C73F3A3">
      <w:pPr>
        <w:pStyle w:val="4"/>
        <w:bidi w:val="0"/>
        <w:rPr>
          <w:rFonts w:hint="eastAsia"/>
        </w:rPr>
      </w:pPr>
      <w:bookmarkStart w:id="450" w:name="_Toc11024"/>
      <w:bookmarkStart w:id="451" w:name="_Toc528139746"/>
      <w:bookmarkStart w:id="452" w:name="_Toc6369"/>
      <w:bookmarkStart w:id="453" w:name="_Toc31100"/>
      <w:bookmarkStart w:id="454" w:name="_Toc25071"/>
      <w:r>
        <w:rPr>
          <w:rFonts w:hint="eastAsia"/>
        </w:rPr>
        <w:t>8.4塔机验收</w:t>
      </w:r>
      <w:bookmarkEnd w:id="450"/>
      <w:bookmarkEnd w:id="451"/>
      <w:bookmarkEnd w:id="452"/>
      <w:bookmarkEnd w:id="453"/>
      <w:bookmarkEnd w:id="454"/>
    </w:p>
    <w:p w14:paraId="59546709">
      <w:pPr>
        <w:pStyle w:val="5"/>
        <w:bidi w:val="0"/>
        <w:rPr>
          <w:rFonts w:hint="eastAsia"/>
        </w:rPr>
      </w:pPr>
      <w:bookmarkStart w:id="455" w:name="_Toc24607"/>
      <w:bookmarkStart w:id="456" w:name="_Toc528139747"/>
      <w:r>
        <w:rPr>
          <w:rFonts w:hint="eastAsia"/>
        </w:rPr>
        <w:t>8.4.1验收内容</w:t>
      </w:r>
      <w:bookmarkEnd w:id="455"/>
      <w:bookmarkEnd w:id="456"/>
    </w:p>
    <w:p w14:paraId="18EBB905">
      <w:pPr>
        <w:pStyle w:val="2"/>
        <w:jc w:val="center"/>
        <w:rPr>
          <w:rFonts w:hint="eastAsia" w:ascii="仿宋" w:hAnsi="仿宋" w:eastAsia="仿宋" w:cstheme="minorBidi"/>
          <w:kern w:val="2"/>
          <w:sz w:val="24"/>
          <w:szCs w:val="24"/>
          <w:lang w:val="en-US" w:eastAsia="zh-CN" w:bidi="ar-SA"/>
        </w:rPr>
      </w:pPr>
      <w:r>
        <w:rPr>
          <w:rFonts w:hint="eastAsia" w:ascii="仿宋" w:hAnsi="仿宋" w:eastAsia="仿宋" w:cstheme="minorBidi"/>
          <w:kern w:val="2"/>
          <w:sz w:val="24"/>
          <w:szCs w:val="24"/>
          <w:lang w:val="en-US" w:eastAsia="zh-CN" w:bidi="ar-SA"/>
        </w:rPr>
        <w:t>表8.4－1 塔机验收表</w:t>
      </w:r>
    </w:p>
    <w:tbl>
      <w:tblPr>
        <w:tblStyle w:val="35"/>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716"/>
        <w:gridCol w:w="3544"/>
        <w:gridCol w:w="3660"/>
        <w:gridCol w:w="930"/>
      </w:tblGrid>
      <w:tr w14:paraId="5418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Align w:val="center"/>
          </w:tcPr>
          <w:p w14:paraId="176A93B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名称</w:t>
            </w:r>
          </w:p>
        </w:tc>
        <w:tc>
          <w:tcPr>
            <w:tcW w:w="716" w:type="dxa"/>
            <w:vAlign w:val="center"/>
          </w:tcPr>
          <w:p w14:paraId="47AF260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序号</w:t>
            </w:r>
          </w:p>
        </w:tc>
        <w:tc>
          <w:tcPr>
            <w:tcW w:w="3544" w:type="dxa"/>
            <w:vAlign w:val="center"/>
          </w:tcPr>
          <w:p w14:paraId="7C323D16">
            <w:pPr>
              <w:spacing w:after="0" w:afterLines="0" w:line="240" w:lineRule="auto"/>
              <w:ind w:firstLine="0" w:firstLineChars="0"/>
              <w:jc w:val="center"/>
              <w:rPr>
                <w:rFonts w:hint="eastAsia" w:ascii="宋体" w:hAnsi="宋体" w:eastAsia="宋体" w:cs="宋体"/>
                <w:sz w:val="22"/>
                <w:lang w:eastAsia="zh-CN"/>
              </w:rPr>
            </w:pPr>
            <w:r>
              <w:rPr>
                <w:rFonts w:hint="eastAsia" w:ascii="宋体" w:hAnsi="宋体" w:eastAsia="宋体" w:cs="宋体"/>
                <w:sz w:val="22"/>
                <w:lang w:eastAsia="zh-CN"/>
              </w:rPr>
              <w:t>公司</w:t>
            </w:r>
          </w:p>
        </w:tc>
        <w:tc>
          <w:tcPr>
            <w:tcW w:w="3660" w:type="dxa"/>
            <w:vAlign w:val="center"/>
          </w:tcPr>
          <w:p w14:paraId="4223997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要求</w:t>
            </w:r>
          </w:p>
        </w:tc>
        <w:tc>
          <w:tcPr>
            <w:tcW w:w="930" w:type="dxa"/>
            <w:vAlign w:val="center"/>
          </w:tcPr>
          <w:p w14:paraId="016B534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结果</w:t>
            </w:r>
          </w:p>
        </w:tc>
      </w:tr>
      <w:tr w14:paraId="1854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29667AF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金属结构件</w:t>
            </w:r>
          </w:p>
        </w:tc>
        <w:tc>
          <w:tcPr>
            <w:tcW w:w="716" w:type="dxa"/>
            <w:vAlign w:val="center"/>
          </w:tcPr>
          <w:p w14:paraId="4465E64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1A979B6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主要结构件</w:t>
            </w:r>
          </w:p>
        </w:tc>
        <w:tc>
          <w:tcPr>
            <w:tcW w:w="3660" w:type="dxa"/>
            <w:vAlign w:val="center"/>
          </w:tcPr>
          <w:p w14:paraId="169E3FF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外观无明显裂纹、变形、严重磨损 与锈蚀</w:t>
            </w:r>
          </w:p>
        </w:tc>
        <w:tc>
          <w:tcPr>
            <w:tcW w:w="930" w:type="dxa"/>
            <w:vAlign w:val="center"/>
          </w:tcPr>
          <w:p w14:paraId="22CD7F36">
            <w:pPr>
              <w:spacing w:after="0" w:afterLines="0" w:line="240" w:lineRule="auto"/>
              <w:ind w:firstLine="0" w:firstLineChars="0"/>
              <w:jc w:val="center"/>
              <w:rPr>
                <w:rFonts w:hint="eastAsia" w:ascii="宋体" w:hAnsi="宋体" w:eastAsia="宋体" w:cs="宋体"/>
                <w:sz w:val="22"/>
              </w:rPr>
            </w:pPr>
          </w:p>
        </w:tc>
      </w:tr>
      <w:tr w14:paraId="347B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EEE689C">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D5E4D2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D9E825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主要连接螺栓</w:t>
            </w:r>
          </w:p>
        </w:tc>
        <w:tc>
          <w:tcPr>
            <w:tcW w:w="3660" w:type="dxa"/>
            <w:vAlign w:val="center"/>
          </w:tcPr>
          <w:p w14:paraId="1C8204B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齐全、紧固</w:t>
            </w:r>
          </w:p>
        </w:tc>
        <w:tc>
          <w:tcPr>
            <w:tcW w:w="930" w:type="dxa"/>
            <w:vAlign w:val="center"/>
          </w:tcPr>
          <w:p w14:paraId="1EA6B4A1">
            <w:pPr>
              <w:spacing w:after="0" w:afterLines="0" w:line="240" w:lineRule="auto"/>
              <w:ind w:firstLine="0" w:firstLineChars="0"/>
              <w:jc w:val="center"/>
              <w:rPr>
                <w:rFonts w:hint="eastAsia" w:ascii="宋体" w:hAnsi="宋体" w:eastAsia="宋体" w:cs="宋体"/>
                <w:sz w:val="22"/>
              </w:rPr>
            </w:pPr>
          </w:p>
        </w:tc>
      </w:tr>
      <w:tr w14:paraId="6F4D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B489A68">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256984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3AC6A80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主要连接销轴</w:t>
            </w:r>
          </w:p>
        </w:tc>
        <w:tc>
          <w:tcPr>
            <w:tcW w:w="3660" w:type="dxa"/>
            <w:vAlign w:val="center"/>
          </w:tcPr>
          <w:p w14:paraId="68B02FF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连接可靠</w:t>
            </w:r>
          </w:p>
        </w:tc>
        <w:tc>
          <w:tcPr>
            <w:tcW w:w="930" w:type="dxa"/>
            <w:vAlign w:val="center"/>
          </w:tcPr>
          <w:p w14:paraId="43BA2BD1">
            <w:pPr>
              <w:spacing w:after="0" w:afterLines="0" w:line="240" w:lineRule="auto"/>
              <w:ind w:firstLine="0" w:firstLineChars="0"/>
              <w:jc w:val="center"/>
              <w:rPr>
                <w:rFonts w:hint="eastAsia" w:ascii="宋体" w:hAnsi="宋体" w:eastAsia="宋体" w:cs="宋体"/>
                <w:sz w:val="22"/>
              </w:rPr>
            </w:pPr>
          </w:p>
        </w:tc>
      </w:tr>
      <w:tr w14:paraId="50CD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88C57F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4ED8DCF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40D772E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过渡节、塔身节、附着装置、过道、平台、栏杆、踏板等</w:t>
            </w:r>
          </w:p>
        </w:tc>
        <w:tc>
          <w:tcPr>
            <w:tcW w:w="3660" w:type="dxa"/>
            <w:vAlign w:val="center"/>
          </w:tcPr>
          <w:p w14:paraId="558CB31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无严重锈蚀、缺损；栏杆高度符合要求</w:t>
            </w:r>
          </w:p>
        </w:tc>
        <w:tc>
          <w:tcPr>
            <w:tcW w:w="930" w:type="dxa"/>
            <w:vAlign w:val="center"/>
          </w:tcPr>
          <w:p w14:paraId="04FDF6B5">
            <w:pPr>
              <w:spacing w:after="0" w:afterLines="0" w:line="240" w:lineRule="auto"/>
              <w:ind w:firstLine="0" w:firstLineChars="0"/>
              <w:jc w:val="center"/>
              <w:rPr>
                <w:rFonts w:hint="eastAsia" w:ascii="宋体" w:hAnsi="宋体" w:eastAsia="宋体" w:cs="宋体"/>
                <w:sz w:val="22"/>
              </w:rPr>
            </w:pPr>
          </w:p>
        </w:tc>
      </w:tr>
      <w:tr w14:paraId="71EE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BA1C7BC">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A8D7BE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24C71FA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梯子、护圈、休息平台</w:t>
            </w:r>
          </w:p>
        </w:tc>
        <w:tc>
          <w:tcPr>
            <w:tcW w:w="3660" w:type="dxa"/>
            <w:vAlign w:val="center"/>
          </w:tcPr>
          <w:p w14:paraId="15C7F46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梯子尺寸符合要求，外观完好无损</w:t>
            </w:r>
          </w:p>
        </w:tc>
        <w:tc>
          <w:tcPr>
            <w:tcW w:w="930" w:type="dxa"/>
            <w:vAlign w:val="center"/>
          </w:tcPr>
          <w:p w14:paraId="4249EBA2">
            <w:pPr>
              <w:spacing w:after="0" w:afterLines="0" w:line="240" w:lineRule="auto"/>
              <w:ind w:firstLine="0" w:firstLineChars="0"/>
              <w:jc w:val="center"/>
              <w:rPr>
                <w:rFonts w:hint="eastAsia" w:ascii="宋体" w:hAnsi="宋体" w:eastAsia="宋体" w:cs="宋体"/>
                <w:sz w:val="22"/>
              </w:rPr>
            </w:pPr>
          </w:p>
        </w:tc>
      </w:tr>
      <w:tr w14:paraId="42FF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2941C8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爬升与回转</w:t>
            </w:r>
          </w:p>
        </w:tc>
        <w:tc>
          <w:tcPr>
            <w:tcW w:w="716" w:type="dxa"/>
            <w:vAlign w:val="center"/>
          </w:tcPr>
          <w:p w14:paraId="72EEE4A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9434F1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平衡阀或液压锁与油缸间连接</w:t>
            </w:r>
          </w:p>
        </w:tc>
        <w:tc>
          <w:tcPr>
            <w:tcW w:w="3660" w:type="dxa"/>
            <w:vAlign w:val="center"/>
          </w:tcPr>
          <w:p w14:paraId="60FC4C7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平衡阀或液压锁且与油缸用硬管连接</w:t>
            </w:r>
          </w:p>
        </w:tc>
        <w:tc>
          <w:tcPr>
            <w:tcW w:w="930" w:type="dxa"/>
            <w:vAlign w:val="center"/>
          </w:tcPr>
          <w:p w14:paraId="54E26A1E">
            <w:pPr>
              <w:spacing w:after="0" w:afterLines="0" w:line="240" w:lineRule="auto"/>
              <w:ind w:firstLine="0" w:firstLineChars="0"/>
              <w:jc w:val="center"/>
              <w:rPr>
                <w:rFonts w:hint="eastAsia" w:ascii="宋体" w:hAnsi="宋体" w:eastAsia="宋体" w:cs="宋体"/>
                <w:sz w:val="22"/>
              </w:rPr>
            </w:pPr>
          </w:p>
        </w:tc>
      </w:tr>
      <w:tr w14:paraId="19C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1A238BD">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7E6DA7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1546BA3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回转限位</w:t>
            </w:r>
          </w:p>
        </w:tc>
        <w:tc>
          <w:tcPr>
            <w:tcW w:w="3660" w:type="dxa"/>
            <w:vAlign w:val="center"/>
          </w:tcPr>
          <w:p w14:paraId="29E3AA5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274D750A">
            <w:pPr>
              <w:spacing w:after="0" w:afterLines="0" w:line="240" w:lineRule="auto"/>
              <w:ind w:firstLine="0" w:firstLineChars="0"/>
              <w:jc w:val="center"/>
              <w:rPr>
                <w:rFonts w:hint="eastAsia" w:ascii="宋体" w:hAnsi="宋体" w:eastAsia="宋体" w:cs="宋体"/>
                <w:sz w:val="22"/>
              </w:rPr>
            </w:pPr>
          </w:p>
        </w:tc>
      </w:tr>
      <w:tr w14:paraId="29D9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4475B06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吊钩</w:t>
            </w:r>
          </w:p>
        </w:tc>
        <w:tc>
          <w:tcPr>
            <w:tcW w:w="716" w:type="dxa"/>
            <w:vAlign w:val="center"/>
          </w:tcPr>
          <w:p w14:paraId="6CE43F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97B3B3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防脱钩保险装置</w:t>
            </w:r>
          </w:p>
        </w:tc>
        <w:tc>
          <w:tcPr>
            <w:tcW w:w="3660" w:type="dxa"/>
            <w:vAlign w:val="center"/>
          </w:tcPr>
          <w:p w14:paraId="3779530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应完整、灵敏可靠</w:t>
            </w:r>
          </w:p>
        </w:tc>
        <w:tc>
          <w:tcPr>
            <w:tcW w:w="930" w:type="dxa"/>
            <w:vAlign w:val="center"/>
          </w:tcPr>
          <w:p w14:paraId="75ED82F8">
            <w:pPr>
              <w:spacing w:after="0" w:afterLines="0" w:line="240" w:lineRule="auto"/>
              <w:ind w:firstLine="0" w:firstLineChars="0"/>
              <w:jc w:val="center"/>
              <w:rPr>
                <w:rFonts w:hint="eastAsia" w:ascii="宋体" w:hAnsi="宋体" w:eastAsia="宋体" w:cs="宋体"/>
                <w:sz w:val="22"/>
              </w:rPr>
            </w:pPr>
          </w:p>
        </w:tc>
      </w:tr>
      <w:tr w14:paraId="13BB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146D103">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7E5333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2D0E8B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钩体（裂纹、磨损、补焊、变形）</w:t>
            </w:r>
          </w:p>
        </w:tc>
        <w:tc>
          <w:tcPr>
            <w:tcW w:w="3660" w:type="dxa"/>
            <w:vAlign w:val="center"/>
          </w:tcPr>
          <w:p w14:paraId="1D2DACF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磨损≤10%；开口变形≤15%；无裂纹、补焊</w:t>
            </w:r>
          </w:p>
        </w:tc>
        <w:tc>
          <w:tcPr>
            <w:tcW w:w="930" w:type="dxa"/>
            <w:vAlign w:val="center"/>
          </w:tcPr>
          <w:p w14:paraId="12AEC891">
            <w:pPr>
              <w:spacing w:after="0" w:afterLines="0" w:line="240" w:lineRule="auto"/>
              <w:ind w:firstLine="0" w:firstLineChars="0"/>
              <w:jc w:val="center"/>
              <w:rPr>
                <w:rFonts w:hint="eastAsia" w:ascii="宋体" w:hAnsi="宋体" w:eastAsia="宋体" w:cs="宋体"/>
                <w:sz w:val="22"/>
              </w:rPr>
            </w:pPr>
          </w:p>
        </w:tc>
      </w:tr>
      <w:tr w14:paraId="3B28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01FD489">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CC34C8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0935EDB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滑轮及防钢丝绳跳绳装置</w:t>
            </w:r>
          </w:p>
        </w:tc>
        <w:tc>
          <w:tcPr>
            <w:tcW w:w="3660" w:type="dxa"/>
            <w:vAlign w:val="center"/>
          </w:tcPr>
          <w:p w14:paraId="70E2F76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1F94AFD">
            <w:pPr>
              <w:spacing w:after="0" w:afterLines="0" w:line="240" w:lineRule="auto"/>
              <w:ind w:firstLine="0" w:firstLineChars="0"/>
              <w:jc w:val="center"/>
              <w:rPr>
                <w:rFonts w:hint="eastAsia" w:ascii="宋体" w:hAnsi="宋体" w:eastAsia="宋体" w:cs="宋体"/>
                <w:sz w:val="22"/>
              </w:rPr>
            </w:pPr>
          </w:p>
        </w:tc>
      </w:tr>
      <w:tr w14:paraId="2B37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706E990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起升系统</w:t>
            </w:r>
          </w:p>
        </w:tc>
        <w:tc>
          <w:tcPr>
            <w:tcW w:w="716" w:type="dxa"/>
            <w:vAlign w:val="center"/>
          </w:tcPr>
          <w:p w14:paraId="5F9D537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59BCEE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力矩限制器</w:t>
            </w:r>
          </w:p>
        </w:tc>
        <w:tc>
          <w:tcPr>
            <w:tcW w:w="3660" w:type="dxa"/>
            <w:vAlign w:val="center"/>
          </w:tcPr>
          <w:p w14:paraId="3A9375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196C2B62">
            <w:pPr>
              <w:spacing w:after="0" w:afterLines="0" w:line="240" w:lineRule="auto"/>
              <w:ind w:firstLine="0" w:firstLineChars="0"/>
              <w:jc w:val="center"/>
              <w:rPr>
                <w:rFonts w:hint="eastAsia" w:ascii="宋体" w:hAnsi="宋体" w:eastAsia="宋体" w:cs="宋体"/>
                <w:sz w:val="22"/>
              </w:rPr>
            </w:pPr>
          </w:p>
        </w:tc>
      </w:tr>
      <w:tr w14:paraId="02EF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8BBE6E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E70F45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3B0218C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起升高度限位</w:t>
            </w:r>
          </w:p>
        </w:tc>
        <w:tc>
          <w:tcPr>
            <w:tcW w:w="3660" w:type="dxa"/>
            <w:vAlign w:val="center"/>
          </w:tcPr>
          <w:p w14:paraId="7859E30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574F44C4">
            <w:pPr>
              <w:spacing w:after="0" w:afterLines="0" w:line="240" w:lineRule="auto"/>
              <w:ind w:firstLine="0" w:firstLineChars="0"/>
              <w:jc w:val="center"/>
              <w:rPr>
                <w:rFonts w:hint="eastAsia" w:ascii="宋体" w:hAnsi="宋体" w:eastAsia="宋体" w:cs="宋体"/>
                <w:sz w:val="22"/>
              </w:rPr>
            </w:pPr>
          </w:p>
        </w:tc>
      </w:tr>
      <w:tr w14:paraId="7DE5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7913D61">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3448671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304925A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钢丝绳完好度</w:t>
            </w:r>
          </w:p>
        </w:tc>
        <w:tc>
          <w:tcPr>
            <w:tcW w:w="3660" w:type="dxa"/>
            <w:vAlign w:val="center"/>
          </w:tcPr>
          <w:p w14:paraId="0D6E4D6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符合GB/T5972-2006第3.5条</w:t>
            </w:r>
          </w:p>
        </w:tc>
        <w:tc>
          <w:tcPr>
            <w:tcW w:w="930" w:type="dxa"/>
            <w:vAlign w:val="center"/>
          </w:tcPr>
          <w:p w14:paraId="0E4B76DB">
            <w:pPr>
              <w:spacing w:after="0" w:afterLines="0" w:line="240" w:lineRule="auto"/>
              <w:ind w:firstLine="0" w:firstLineChars="0"/>
              <w:jc w:val="center"/>
              <w:rPr>
                <w:rFonts w:hint="eastAsia" w:ascii="宋体" w:hAnsi="宋体" w:eastAsia="宋体" w:cs="宋体"/>
                <w:sz w:val="22"/>
              </w:rPr>
            </w:pPr>
          </w:p>
        </w:tc>
      </w:tr>
      <w:tr w14:paraId="65CF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E41DCF6">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8A5803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6D2EDF6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超重量限制器</w:t>
            </w:r>
          </w:p>
        </w:tc>
        <w:tc>
          <w:tcPr>
            <w:tcW w:w="3660" w:type="dxa"/>
            <w:vAlign w:val="center"/>
          </w:tcPr>
          <w:p w14:paraId="767B6CC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079FC1CF">
            <w:pPr>
              <w:spacing w:after="0" w:afterLines="0" w:line="240" w:lineRule="auto"/>
              <w:ind w:firstLine="0" w:firstLineChars="0"/>
              <w:jc w:val="center"/>
              <w:rPr>
                <w:rFonts w:hint="eastAsia" w:ascii="宋体" w:hAnsi="宋体" w:eastAsia="宋体" w:cs="宋体"/>
                <w:sz w:val="22"/>
              </w:rPr>
            </w:pPr>
          </w:p>
        </w:tc>
      </w:tr>
      <w:tr w14:paraId="5756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D999A1D">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8FF13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4EFF392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滑轮防钢丝绳跳槽装置</w:t>
            </w:r>
          </w:p>
        </w:tc>
        <w:tc>
          <w:tcPr>
            <w:tcW w:w="3660" w:type="dxa"/>
            <w:vAlign w:val="center"/>
          </w:tcPr>
          <w:p w14:paraId="2066B5B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79C77E5E">
            <w:pPr>
              <w:spacing w:after="0" w:afterLines="0" w:line="240" w:lineRule="auto"/>
              <w:ind w:firstLine="0" w:firstLineChars="0"/>
              <w:jc w:val="center"/>
              <w:rPr>
                <w:rFonts w:hint="eastAsia" w:ascii="宋体" w:hAnsi="宋体" w:eastAsia="宋体" w:cs="宋体"/>
                <w:sz w:val="22"/>
              </w:rPr>
            </w:pPr>
          </w:p>
        </w:tc>
      </w:tr>
      <w:tr w14:paraId="768E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61D0E4E">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FA78B1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6</w:t>
            </w:r>
          </w:p>
        </w:tc>
        <w:tc>
          <w:tcPr>
            <w:tcW w:w="3544" w:type="dxa"/>
            <w:vAlign w:val="center"/>
          </w:tcPr>
          <w:p w14:paraId="3D76457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防脱钩装置</w:t>
            </w:r>
          </w:p>
        </w:tc>
        <w:tc>
          <w:tcPr>
            <w:tcW w:w="3660" w:type="dxa"/>
            <w:vAlign w:val="center"/>
          </w:tcPr>
          <w:p w14:paraId="3651359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7D892165">
            <w:pPr>
              <w:spacing w:after="0" w:afterLines="0" w:line="240" w:lineRule="auto"/>
              <w:ind w:firstLine="0" w:firstLineChars="0"/>
              <w:jc w:val="center"/>
              <w:rPr>
                <w:rFonts w:hint="eastAsia" w:ascii="宋体" w:hAnsi="宋体" w:eastAsia="宋体" w:cs="宋体"/>
                <w:sz w:val="22"/>
              </w:rPr>
            </w:pPr>
          </w:p>
        </w:tc>
      </w:tr>
      <w:tr w14:paraId="1968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D261E1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2E1313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7</w:t>
            </w:r>
          </w:p>
        </w:tc>
        <w:tc>
          <w:tcPr>
            <w:tcW w:w="3544" w:type="dxa"/>
            <w:vAlign w:val="center"/>
          </w:tcPr>
          <w:p w14:paraId="56EBB4E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绳筒两侧的边缘高度</w:t>
            </w:r>
          </w:p>
        </w:tc>
        <w:tc>
          <w:tcPr>
            <w:tcW w:w="3660" w:type="dxa"/>
            <w:vAlign w:val="center"/>
          </w:tcPr>
          <w:p w14:paraId="4A7E31A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超过外层钢丝绳两倍直径</w:t>
            </w:r>
          </w:p>
        </w:tc>
        <w:tc>
          <w:tcPr>
            <w:tcW w:w="930" w:type="dxa"/>
            <w:vAlign w:val="center"/>
          </w:tcPr>
          <w:p w14:paraId="188C940F">
            <w:pPr>
              <w:spacing w:after="0" w:afterLines="0" w:line="240" w:lineRule="auto"/>
              <w:ind w:firstLine="0" w:firstLineChars="0"/>
              <w:jc w:val="center"/>
              <w:rPr>
                <w:rFonts w:hint="eastAsia" w:ascii="宋体" w:hAnsi="宋体" w:eastAsia="宋体" w:cs="宋体"/>
                <w:sz w:val="22"/>
              </w:rPr>
            </w:pPr>
          </w:p>
        </w:tc>
      </w:tr>
      <w:tr w14:paraId="257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7144D7F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变幅系统</w:t>
            </w:r>
          </w:p>
        </w:tc>
        <w:tc>
          <w:tcPr>
            <w:tcW w:w="716" w:type="dxa"/>
            <w:vAlign w:val="center"/>
          </w:tcPr>
          <w:p w14:paraId="42F412A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3DC80D7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变幅限位</w:t>
            </w:r>
          </w:p>
        </w:tc>
        <w:tc>
          <w:tcPr>
            <w:tcW w:w="3660" w:type="dxa"/>
            <w:vAlign w:val="center"/>
          </w:tcPr>
          <w:p w14:paraId="402B3D3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22780DC9">
            <w:pPr>
              <w:spacing w:after="0" w:afterLines="0" w:line="240" w:lineRule="auto"/>
              <w:ind w:firstLine="0" w:firstLineChars="0"/>
              <w:jc w:val="center"/>
              <w:rPr>
                <w:rFonts w:hint="eastAsia" w:ascii="宋体" w:hAnsi="宋体" w:eastAsia="宋体" w:cs="宋体"/>
                <w:sz w:val="22"/>
              </w:rPr>
            </w:pPr>
          </w:p>
        </w:tc>
      </w:tr>
      <w:tr w14:paraId="1780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6C7B7F3">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EE5416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5106D3E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钢丝绳完好度</w:t>
            </w:r>
          </w:p>
        </w:tc>
        <w:tc>
          <w:tcPr>
            <w:tcW w:w="3660" w:type="dxa"/>
            <w:vAlign w:val="center"/>
          </w:tcPr>
          <w:p w14:paraId="6F6B4F3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符合GB/T5972-2006第3.5条</w:t>
            </w:r>
          </w:p>
        </w:tc>
        <w:tc>
          <w:tcPr>
            <w:tcW w:w="930" w:type="dxa"/>
            <w:vAlign w:val="center"/>
          </w:tcPr>
          <w:p w14:paraId="2E70E4C0">
            <w:pPr>
              <w:spacing w:after="0" w:afterLines="0" w:line="240" w:lineRule="auto"/>
              <w:ind w:firstLine="0" w:firstLineChars="0"/>
              <w:jc w:val="center"/>
              <w:rPr>
                <w:rFonts w:hint="eastAsia" w:ascii="宋体" w:hAnsi="宋体" w:eastAsia="宋体" w:cs="宋体"/>
                <w:sz w:val="22"/>
              </w:rPr>
            </w:pPr>
          </w:p>
        </w:tc>
      </w:tr>
      <w:tr w14:paraId="6198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65DBB4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6964458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2A814F8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防变幅绳断绳装置</w:t>
            </w:r>
          </w:p>
        </w:tc>
        <w:tc>
          <w:tcPr>
            <w:tcW w:w="3660" w:type="dxa"/>
            <w:vAlign w:val="center"/>
          </w:tcPr>
          <w:p w14:paraId="3674669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完好有效</w:t>
            </w:r>
          </w:p>
        </w:tc>
        <w:tc>
          <w:tcPr>
            <w:tcW w:w="930" w:type="dxa"/>
            <w:vAlign w:val="center"/>
          </w:tcPr>
          <w:p w14:paraId="201C010F">
            <w:pPr>
              <w:spacing w:after="0" w:afterLines="0" w:line="240" w:lineRule="auto"/>
              <w:ind w:firstLine="0" w:firstLineChars="0"/>
              <w:jc w:val="center"/>
              <w:rPr>
                <w:rFonts w:hint="eastAsia" w:ascii="宋体" w:hAnsi="宋体" w:eastAsia="宋体" w:cs="宋体"/>
                <w:sz w:val="22"/>
              </w:rPr>
            </w:pPr>
          </w:p>
        </w:tc>
      </w:tr>
      <w:tr w14:paraId="4C3E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1F41A28E">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76555B2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2003505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钢丝绳端部固定</w:t>
            </w:r>
          </w:p>
        </w:tc>
        <w:tc>
          <w:tcPr>
            <w:tcW w:w="3660" w:type="dxa"/>
            <w:vAlign w:val="center"/>
          </w:tcPr>
          <w:p w14:paraId="01F264D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完好有效</w:t>
            </w:r>
          </w:p>
        </w:tc>
        <w:tc>
          <w:tcPr>
            <w:tcW w:w="930" w:type="dxa"/>
            <w:vAlign w:val="center"/>
          </w:tcPr>
          <w:p w14:paraId="59AE8687">
            <w:pPr>
              <w:spacing w:after="0" w:afterLines="0" w:line="240" w:lineRule="auto"/>
              <w:ind w:firstLine="0" w:firstLineChars="0"/>
              <w:jc w:val="center"/>
              <w:rPr>
                <w:rFonts w:hint="eastAsia" w:ascii="宋体" w:hAnsi="宋体" w:eastAsia="宋体" w:cs="宋体"/>
                <w:sz w:val="22"/>
              </w:rPr>
            </w:pPr>
          </w:p>
        </w:tc>
      </w:tr>
      <w:tr w14:paraId="79BF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D3C1DCA">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3D47FDCD">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17CD023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滑轮防跳绳装置</w:t>
            </w:r>
          </w:p>
        </w:tc>
        <w:tc>
          <w:tcPr>
            <w:tcW w:w="3660" w:type="dxa"/>
            <w:vAlign w:val="center"/>
          </w:tcPr>
          <w:p w14:paraId="2B26136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E88944E">
            <w:pPr>
              <w:spacing w:after="0" w:afterLines="0" w:line="240" w:lineRule="auto"/>
              <w:ind w:firstLine="0" w:firstLineChars="0"/>
              <w:jc w:val="center"/>
              <w:rPr>
                <w:rFonts w:hint="eastAsia" w:ascii="宋体" w:hAnsi="宋体" w:eastAsia="宋体" w:cs="宋体"/>
                <w:sz w:val="22"/>
              </w:rPr>
            </w:pPr>
          </w:p>
        </w:tc>
      </w:tr>
      <w:tr w14:paraId="0E2D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34AC4B6F">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8AC453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6</w:t>
            </w:r>
          </w:p>
        </w:tc>
        <w:tc>
          <w:tcPr>
            <w:tcW w:w="3544" w:type="dxa"/>
            <w:vAlign w:val="center"/>
          </w:tcPr>
          <w:p w14:paraId="3C342AD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小车防坠落保护</w:t>
            </w:r>
          </w:p>
        </w:tc>
        <w:tc>
          <w:tcPr>
            <w:tcW w:w="3660" w:type="dxa"/>
            <w:vAlign w:val="center"/>
          </w:tcPr>
          <w:p w14:paraId="454E809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64AF3957">
            <w:pPr>
              <w:spacing w:after="0" w:afterLines="0" w:line="240" w:lineRule="auto"/>
              <w:ind w:firstLine="0" w:firstLineChars="0"/>
              <w:jc w:val="center"/>
              <w:rPr>
                <w:rFonts w:hint="eastAsia" w:ascii="宋体" w:hAnsi="宋体" w:eastAsia="宋体" w:cs="宋体"/>
                <w:sz w:val="22"/>
              </w:rPr>
            </w:pPr>
          </w:p>
        </w:tc>
      </w:tr>
      <w:tr w14:paraId="29A1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9DEF70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4CAA5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7</w:t>
            </w:r>
          </w:p>
        </w:tc>
        <w:tc>
          <w:tcPr>
            <w:tcW w:w="3544" w:type="dxa"/>
            <w:vAlign w:val="center"/>
          </w:tcPr>
          <w:p w14:paraId="46CE9F3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小车断绳保护装置</w:t>
            </w:r>
          </w:p>
        </w:tc>
        <w:tc>
          <w:tcPr>
            <w:tcW w:w="3660" w:type="dxa"/>
            <w:vAlign w:val="center"/>
          </w:tcPr>
          <w:p w14:paraId="070D15F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1DDEB878">
            <w:pPr>
              <w:spacing w:after="0" w:afterLines="0" w:line="240" w:lineRule="auto"/>
              <w:ind w:firstLine="0" w:firstLineChars="0"/>
              <w:jc w:val="center"/>
              <w:rPr>
                <w:rFonts w:hint="eastAsia" w:ascii="宋体" w:hAnsi="宋体" w:eastAsia="宋体" w:cs="宋体"/>
                <w:sz w:val="22"/>
              </w:rPr>
            </w:pPr>
          </w:p>
        </w:tc>
      </w:tr>
      <w:tr w14:paraId="0007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ED57BC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9114D46">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8</w:t>
            </w:r>
          </w:p>
        </w:tc>
        <w:tc>
          <w:tcPr>
            <w:tcW w:w="3544" w:type="dxa"/>
            <w:vAlign w:val="center"/>
          </w:tcPr>
          <w:p w14:paraId="2ED39A9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小车行走端部挡架与缓冲</w:t>
            </w:r>
          </w:p>
        </w:tc>
        <w:tc>
          <w:tcPr>
            <w:tcW w:w="3660" w:type="dxa"/>
            <w:vAlign w:val="center"/>
          </w:tcPr>
          <w:p w14:paraId="3DB87C8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350EB301">
            <w:pPr>
              <w:spacing w:after="0" w:afterLines="0" w:line="240" w:lineRule="auto"/>
              <w:ind w:firstLine="0" w:firstLineChars="0"/>
              <w:jc w:val="center"/>
              <w:rPr>
                <w:rFonts w:hint="eastAsia" w:ascii="宋体" w:hAnsi="宋体" w:eastAsia="宋体" w:cs="宋体"/>
                <w:sz w:val="22"/>
              </w:rPr>
            </w:pPr>
          </w:p>
        </w:tc>
      </w:tr>
      <w:tr w14:paraId="6444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5991432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C75199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9</w:t>
            </w:r>
          </w:p>
        </w:tc>
        <w:tc>
          <w:tcPr>
            <w:tcW w:w="3544" w:type="dxa"/>
            <w:vAlign w:val="center"/>
          </w:tcPr>
          <w:p w14:paraId="0CD54CF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检修挂蓝</w:t>
            </w:r>
          </w:p>
        </w:tc>
        <w:tc>
          <w:tcPr>
            <w:tcW w:w="3660" w:type="dxa"/>
            <w:vAlign w:val="center"/>
          </w:tcPr>
          <w:p w14:paraId="0E6262D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525D29C4">
            <w:pPr>
              <w:spacing w:after="0" w:afterLines="0" w:line="240" w:lineRule="auto"/>
              <w:ind w:firstLine="0" w:firstLineChars="0"/>
              <w:jc w:val="center"/>
              <w:rPr>
                <w:rFonts w:hint="eastAsia" w:ascii="宋体" w:hAnsi="宋体" w:eastAsia="宋体" w:cs="宋体"/>
                <w:sz w:val="22"/>
              </w:rPr>
            </w:pPr>
          </w:p>
        </w:tc>
      </w:tr>
      <w:tr w14:paraId="2B3E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003C22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电气及保护</w:t>
            </w:r>
          </w:p>
        </w:tc>
        <w:tc>
          <w:tcPr>
            <w:tcW w:w="716" w:type="dxa"/>
            <w:vAlign w:val="center"/>
          </w:tcPr>
          <w:p w14:paraId="79C6D2A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72C39B8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紧急断电开关</w:t>
            </w:r>
          </w:p>
        </w:tc>
        <w:tc>
          <w:tcPr>
            <w:tcW w:w="3660" w:type="dxa"/>
            <w:vAlign w:val="center"/>
          </w:tcPr>
          <w:p w14:paraId="396EB82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非自动复位，且便于司机操作</w:t>
            </w:r>
          </w:p>
        </w:tc>
        <w:tc>
          <w:tcPr>
            <w:tcW w:w="930" w:type="dxa"/>
            <w:vAlign w:val="center"/>
          </w:tcPr>
          <w:p w14:paraId="412D6A8D">
            <w:pPr>
              <w:spacing w:after="0" w:afterLines="0" w:line="240" w:lineRule="auto"/>
              <w:ind w:firstLine="0" w:firstLineChars="0"/>
              <w:jc w:val="center"/>
              <w:rPr>
                <w:rFonts w:hint="eastAsia" w:ascii="宋体" w:hAnsi="宋体" w:eastAsia="宋体" w:cs="宋体"/>
                <w:sz w:val="22"/>
              </w:rPr>
            </w:pPr>
          </w:p>
        </w:tc>
      </w:tr>
      <w:tr w14:paraId="14BB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471A2A84">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5451B9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57ED611A">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塔机专用开关箱</w:t>
            </w:r>
          </w:p>
        </w:tc>
        <w:tc>
          <w:tcPr>
            <w:tcW w:w="3660" w:type="dxa"/>
            <w:vAlign w:val="center"/>
          </w:tcPr>
          <w:p w14:paraId="06210B6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完好无损</w:t>
            </w:r>
          </w:p>
        </w:tc>
        <w:tc>
          <w:tcPr>
            <w:tcW w:w="930" w:type="dxa"/>
            <w:vAlign w:val="center"/>
          </w:tcPr>
          <w:p w14:paraId="42534F05">
            <w:pPr>
              <w:spacing w:after="0" w:afterLines="0" w:line="240" w:lineRule="auto"/>
              <w:ind w:firstLine="0" w:firstLineChars="0"/>
              <w:jc w:val="center"/>
              <w:rPr>
                <w:rFonts w:hint="eastAsia" w:ascii="宋体" w:hAnsi="宋体" w:eastAsia="宋体" w:cs="宋体"/>
                <w:sz w:val="22"/>
              </w:rPr>
            </w:pPr>
          </w:p>
        </w:tc>
      </w:tr>
      <w:tr w14:paraId="7C9A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ED1817B">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40EA2CA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0C352584">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安全装置的指示信号或声响报警信号</w:t>
            </w:r>
          </w:p>
        </w:tc>
        <w:tc>
          <w:tcPr>
            <w:tcW w:w="3660" w:type="dxa"/>
            <w:vAlign w:val="center"/>
          </w:tcPr>
          <w:p w14:paraId="2FC5A08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完好可靠</w:t>
            </w:r>
          </w:p>
        </w:tc>
        <w:tc>
          <w:tcPr>
            <w:tcW w:w="930" w:type="dxa"/>
            <w:vAlign w:val="center"/>
          </w:tcPr>
          <w:p w14:paraId="11149160">
            <w:pPr>
              <w:spacing w:after="0" w:afterLines="0" w:line="240" w:lineRule="auto"/>
              <w:ind w:firstLine="0" w:firstLineChars="0"/>
              <w:jc w:val="center"/>
              <w:rPr>
                <w:rFonts w:hint="eastAsia" w:ascii="宋体" w:hAnsi="宋体" w:eastAsia="宋体" w:cs="宋体"/>
                <w:sz w:val="22"/>
              </w:rPr>
            </w:pPr>
          </w:p>
        </w:tc>
      </w:tr>
      <w:tr w14:paraId="73D3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69514DE0">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1E73B39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1806E508">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电源电缆与电缆保护</w:t>
            </w:r>
          </w:p>
        </w:tc>
        <w:tc>
          <w:tcPr>
            <w:tcW w:w="3660" w:type="dxa"/>
            <w:vAlign w:val="center"/>
          </w:tcPr>
          <w:p w14:paraId="5BC727A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电缆无破损、老化。电缆保护完好无损</w:t>
            </w:r>
          </w:p>
        </w:tc>
        <w:tc>
          <w:tcPr>
            <w:tcW w:w="930" w:type="dxa"/>
            <w:vAlign w:val="center"/>
          </w:tcPr>
          <w:p w14:paraId="7F4C381F">
            <w:pPr>
              <w:spacing w:after="0" w:afterLines="0" w:line="240" w:lineRule="auto"/>
              <w:ind w:firstLine="0" w:firstLineChars="0"/>
              <w:jc w:val="center"/>
              <w:rPr>
                <w:rFonts w:hint="eastAsia" w:ascii="宋体" w:hAnsi="宋体" w:eastAsia="宋体" w:cs="宋体"/>
                <w:sz w:val="22"/>
              </w:rPr>
            </w:pPr>
          </w:p>
        </w:tc>
      </w:tr>
      <w:tr w14:paraId="7F2F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0EBF8595">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2C97B5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5</w:t>
            </w:r>
          </w:p>
        </w:tc>
        <w:tc>
          <w:tcPr>
            <w:tcW w:w="3544" w:type="dxa"/>
            <w:vAlign w:val="center"/>
          </w:tcPr>
          <w:p w14:paraId="0F3FECC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风速仪</w:t>
            </w:r>
          </w:p>
        </w:tc>
        <w:tc>
          <w:tcPr>
            <w:tcW w:w="3660" w:type="dxa"/>
            <w:vAlign w:val="center"/>
          </w:tcPr>
          <w:p w14:paraId="6BE26E99">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完好</w:t>
            </w:r>
          </w:p>
        </w:tc>
        <w:tc>
          <w:tcPr>
            <w:tcW w:w="930" w:type="dxa"/>
            <w:vAlign w:val="center"/>
          </w:tcPr>
          <w:p w14:paraId="5D748084">
            <w:pPr>
              <w:spacing w:after="0" w:afterLines="0" w:line="240" w:lineRule="auto"/>
              <w:ind w:firstLine="0" w:firstLineChars="0"/>
              <w:jc w:val="center"/>
              <w:rPr>
                <w:rFonts w:hint="eastAsia" w:ascii="宋体" w:hAnsi="宋体" w:eastAsia="宋体" w:cs="宋体"/>
                <w:sz w:val="22"/>
              </w:rPr>
            </w:pPr>
          </w:p>
        </w:tc>
      </w:tr>
      <w:tr w14:paraId="4387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vAlign w:val="center"/>
          </w:tcPr>
          <w:p w14:paraId="342368E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其它</w:t>
            </w:r>
          </w:p>
        </w:tc>
        <w:tc>
          <w:tcPr>
            <w:tcW w:w="716" w:type="dxa"/>
            <w:vAlign w:val="center"/>
          </w:tcPr>
          <w:p w14:paraId="5B5217A3">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1</w:t>
            </w:r>
          </w:p>
        </w:tc>
        <w:tc>
          <w:tcPr>
            <w:tcW w:w="3544" w:type="dxa"/>
            <w:vAlign w:val="center"/>
          </w:tcPr>
          <w:p w14:paraId="012BCF12">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制动器</w:t>
            </w:r>
          </w:p>
        </w:tc>
        <w:tc>
          <w:tcPr>
            <w:tcW w:w="3660" w:type="dxa"/>
            <w:vAlign w:val="center"/>
          </w:tcPr>
          <w:p w14:paraId="4E5AF44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符合要求</w:t>
            </w:r>
          </w:p>
        </w:tc>
        <w:tc>
          <w:tcPr>
            <w:tcW w:w="930" w:type="dxa"/>
            <w:vAlign w:val="center"/>
          </w:tcPr>
          <w:p w14:paraId="33DDF506">
            <w:pPr>
              <w:spacing w:after="0" w:afterLines="0" w:line="240" w:lineRule="auto"/>
              <w:ind w:firstLine="0" w:firstLineChars="0"/>
              <w:jc w:val="center"/>
              <w:rPr>
                <w:rFonts w:hint="eastAsia" w:ascii="宋体" w:hAnsi="宋体" w:eastAsia="宋体" w:cs="宋体"/>
                <w:sz w:val="22"/>
              </w:rPr>
            </w:pPr>
          </w:p>
        </w:tc>
      </w:tr>
      <w:tr w14:paraId="62B2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F242F32">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22B8158F">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2</w:t>
            </w:r>
          </w:p>
        </w:tc>
        <w:tc>
          <w:tcPr>
            <w:tcW w:w="3544" w:type="dxa"/>
            <w:vAlign w:val="center"/>
          </w:tcPr>
          <w:p w14:paraId="0F9523F1">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滑轮</w:t>
            </w:r>
          </w:p>
        </w:tc>
        <w:tc>
          <w:tcPr>
            <w:tcW w:w="3660" w:type="dxa"/>
            <w:vAlign w:val="center"/>
          </w:tcPr>
          <w:p w14:paraId="66E29D8C">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外观无破损、裂纹，无严重磨损</w:t>
            </w:r>
          </w:p>
        </w:tc>
        <w:tc>
          <w:tcPr>
            <w:tcW w:w="930" w:type="dxa"/>
            <w:vAlign w:val="center"/>
          </w:tcPr>
          <w:p w14:paraId="14EBC2E3">
            <w:pPr>
              <w:spacing w:after="0" w:afterLines="0" w:line="240" w:lineRule="auto"/>
              <w:ind w:firstLine="0" w:firstLineChars="0"/>
              <w:jc w:val="center"/>
              <w:rPr>
                <w:rFonts w:hint="eastAsia" w:ascii="宋体" w:hAnsi="宋体" w:eastAsia="宋体" w:cs="宋体"/>
                <w:sz w:val="22"/>
              </w:rPr>
            </w:pPr>
          </w:p>
        </w:tc>
      </w:tr>
      <w:tr w14:paraId="7209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7B4C0ED7">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09FD8A9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3</w:t>
            </w:r>
          </w:p>
        </w:tc>
        <w:tc>
          <w:tcPr>
            <w:tcW w:w="3544" w:type="dxa"/>
            <w:vAlign w:val="center"/>
          </w:tcPr>
          <w:p w14:paraId="7E097BD0">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卷筒</w:t>
            </w:r>
          </w:p>
        </w:tc>
        <w:tc>
          <w:tcPr>
            <w:tcW w:w="3660" w:type="dxa"/>
            <w:vAlign w:val="center"/>
          </w:tcPr>
          <w:p w14:paraId="0815A877">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外观无破损、裂纹，无严重磨损</w:t>
            </w:r>
          </w:p>
        </w:tc>
        <w:tc>
          <w:tcPr>
            <w:tcW w:w="930" w:type="dxa"/>
            <w:vAlign w:val="center"/>
          </w:tcPr>
          <w:p w14:paraId="07E05A59">
            <w:pPr>
              <w:spacing w:after="0" w:afterLines="0" w:line="240" w:lineRule="auto"/>
              <w:ind w:firstLine="0" w:firstLineChars="0"/>
              <w:jc w:val="center"/>
              <w:rPr>
                <w:rFonts w:hint="eastAsia" w:ascii="宋体" w:hAnsi="宋体" w:eastAsia="宋体" w:cs="宋体"/>
                <w:sz w:val="22"/>
              </w:rPr>
            </w:pPr>
          </w:p>
        </w:tc>
      </w:tr>
      <w:tr w14:paraId="17CF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vAlign w:val="center"/>
          </w:tcPr>
          <w:p w14:paraId="2FA54138">
            <w:pPr>
              <w:spacing w:after="0" w:afterLines="0" w:line="240" w:lineRule="auto"/>
              <w:ind w:firstLine="0" w:firstLineChars="0"/>
              <w:jc w:val="center"/>
              <w:rPr>
                <w:rFonts w:hint="eastAsia" w:ascii="宋体" w:hAnsi="宋体" w:eastAsia="宋体" w:cs="宋体"/>
                <w:sz w:val="22"/>
              </w:rPr>
            </w:pPr>
          </w:p>
        </w:tc>
        <w:tc>
          <w:tcPr>
            <w:tcW w:w="716" w:type="dxa"/>
            <w:vAlign w:val="center"/>
          </w:tcPr>
          <w:p w14:paraId="5CD2296E">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4</w:t>
            </w:r>
          </w:p>
        </w:tc>
        <w:tc>
          <w:tcPr>
            <w:tcW w:w="3544" w:type="dxa"/>
            <w:vAlign w:val="center"/>
          </w:tcPr>
          <w:p w14:paraId="2CE8DB0B">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有可能伤人的活动零部件外露部分</w:t>
            </w:r>
          </w:p>
        </w:tc>
        <w:tc>
          <w:tcPr>
            <w:tcW w:w="3660" w:type="dxa"/>
            <w:vAlign w:val="center"/>
          </w:tcPr>
          <w:p w14:paraId="184BD7C5">
            <w:pPr>
              <w:spacing w:after="0" w:afterLines="0" w:line="240" w:lineRule="auto"/>
              <w:ind w:firstLine="0" w:firstLineChars="0"/>
              <w:jc w:val="center"/>
              <w:rPr>
                <w:rFonts w:hint="eastAsia" w:ascii="宋体" w:hAnsi="宋体" w:eastAsia="宋体" w:cs="宋体"/>
                <w:sz w:val="22"/>
              </w:rPr>
            </w:pPr>
            <w:r>
              <w:rPr>
                <w:rFonts w:hint="eastAsia" w:ascii="宋体" w:hAnsi="宋体" w:eastAsia="宋体" w:cs="宋体"/>
                <w:sz w:val="22"/>
              </w:rPr>
              <w:t>设防护罩</w:t>
            </w:r>
          </w:p>
        </w:tc>
        <w:tc>
          <w:tcPr>
            <w:tcW w:w="930" w:type="dxa"/>
            <w:vAlign w:val="center"/>
          </w:tcPr>
          <w:p w14:paraId="165978EB">
            <w:pPr>
              <w:spacing w:after="0" w:afterLines="0" w:line="240" w:lineRule="auto"/>
              <w:ind w:firstLine="0" w:firstLineChars="0"/>
              <w:jc w:val="center"/>
              <w:rPr>
                <w:rFonts w:hint="eastAsia" w:ascii="宋体" w:hAnsi="宋体" w:eastAsia="宋体" w:cs="宋体"/>
                <w:sz w:val="22"/>
              </w:rPr>
            </w:pPr>
          </w:p>
        </w:tc>
      </w:tr>
      <w:bookmarkEnd w:id="95"/>
    </w:tbl>
    <w:p w14:paraId="294D8DAB">
      <w:pPr>
        <w:widowControl/>
        <w:spacing w:after="0" w:afterLines="0" w:line="240" w:lineRule="auto"/>
        <w:ind w:firstLine="0" w:firstLineChars="0"/>
        <w:rPr>
          <w:rFonts w:hint="eastAsia" w:ascii="宋体" w:hAnsi="宋体" w:eastAsia="宋体" w:cs="宋体"/>
          <w:bCs/>
          <w:color w:val="000000" w:themeColor="text1"/>
          <w:lang w:val="en-US" w:eastAsia="zh-CN"/>
          <w14:textFill>
            <w14:solidFill>
              <w14:schemeClr w14:val="tx1"/>
            </w14:solidFill>
          </w14:textFill>
        </w:rPr>
      </w:pPr>
    </w:p>
    <w:sectPr>
      <w:pgSz w:w="11906" w:h="16838"/>
      <w:pgMar w:top="1174" w:right="1174" w:bottom="1174" w:left="1174" w:header="624" w:footer="227"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文鼎书宋简">
    <w:altName w:val="宋体"/>
    <w:panose1 w:val="00000000000000000000"/>
    <w:charset w:val="86"/>
    <w:family w:val="auto"/>
    <w:pitch w:val="default"/>
    <w:sig w:usb0="00000000" w:usb1="00000000" w:usb2="0000001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方正仿宋_GB18030">
    <w:altName w:val="仿宋"/>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CF158">
    <w:pPr>
      <w:pStyle w:val="24"/>
      <w:spacing w:before="120" w:after="120"/>
      <w:ind w:firstLine="0" w:firstLineChars="0"/>
      <w:jc w:val="both"/>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C7E4B">
    <w:pPr>
      <w:pStyle w:val="2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BA1BC">
    <w:pPr>
      <w:pStyle w:val="24"/>
      <w:spacing w:before="120"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76444">
    <w:pPr>
      <w:pStyle w:val="24"/>
      <w:spacing w:after="12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6239">
    <w:pPr>
      <w:pStyle w:val="24"/>
      <w:spacing w:after="120"/>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2CBD9">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82CBD9">
                    <w:pPr>
                      <w:pStyle w:val="2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ind w:firstLine="480"/>
      </w:pPr>
      <w:r>
        <w:separator/>
      </w:r>
    </w:p>
  </w:footnote>
  <w:footnote w:type="continuationSeparator" w:id="1">
    <w:p>
      <w:pPr>
        <w:spacing w:before="0" w:after="0"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1315D">
    <w:pPr>
      <w:adjustRightInd w:val="0"/>
      <w:spacing w:before="120" w:after="120" w:line="240" w:lineRule="auto"/>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8D657">
    <w:pPr>
      <w:pStyle w:val="2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8040C">
    <w:pPr>
      <w:pStyle w:val="25"/>
      <w:spacing w:before="120" w:after="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B02E">
    <w:pPr>
      <w:pBdr>
        <w:bottom w:val="single" w:color="auto" w:sz="4" w:space="0"/>
      </w:pBdr>
      <w:tabs>
        <w:tab w:val="left" w:pos="6276"/>
      </w:tabs>
      <w:spacing w:before="172" w:after="0" w:afterLines="0" w:line="228" w:lineRule="auto"/>
      <w:ind w:left="0" w:leftChars="0" w:firstLine="0" w:firstLineChars="0"/>
      <w:jc w:val="both"/>
      <w:rPr>
        <w:rFonts w:hint="default" w:ascii="宋体" w:hAnsi="宋体" w:eastAsia="宋体" w:cs="宋体"/>
        <w:sz w:val="18"/>
        <w:szCs w:val="18"/>
        <w:lang w:val="en-US" w:eastAsia="zh-CN"/>
      </w:rPr>
    </w:pPr>
    <w:r>
      <w:rPr>
        <w:rFonts w:hint="eastAsia" w:ascii="宋体" w:hAnsi="宋体" w:eastAsia="宋体" w:cs="Times New Roman"/>
        <w:sz w:val="22"/>
        <w:szCs w:val="22"/>
        <w:lang w:eastAsia="zh-CN"/>
      </w:rPr>
      <w:t>重庆桥</w:t>
    </w:r>
    <w:r>
      <w:rPr>
        <w:rFonts w:hint="eastAsia" w:ascii="宋体" w:hAnsi="宋体" w:eastAsia="宋体" w:cs="Times New Roman"/>
        <w:sz w:val="22"/>
        <w:szCs w:val="22"/>
        <w:lang w:val="en-US" w:eastAsia="zh-CN"/>
      </w:rPr>
      <w:t>渝工程机械</w:t>
    </w:r>
    <w:r>
      <w:rPr>
        <w:rFonts w:hint="eastAsia" w:ascii="宋体" w:hAnsi="宋体" w:eastAsia="宋体" w:cs="Times New Roman"/>
        <w:sz w:val="22"/>
        <w:szCs w:val="22"/>
        <w:lang w:eastAsia="zh-CN"/>
      </w:rPr>
      <w:t>租赁有限公司</w:t>
    </w:r>
    <w:r>
      <w:rPr>
        <w:rFonts w:hint="eastAsia" w:ascii="宋体" w:hAnsi="宋体" w:eastAsia="宋体" w:cs="Times New Roman"/>
        <w:sz w:val="22"/>
        <w:szCs w:val="22"/>
        <w:lang w:val="en-US" w:eastAsia="zh-CN"/>
      </w:rPr>
      <w:t xml:space="preserve">       武汉</w:t>
    </w:r>
    <w:r>
      <w:rPr>
        <w:rFonts w:hint="eastAsia" w:ascii="宋体" w:hAnsi="宋体" w:eastAsia="宋体" w:cs="Times New Roman"/>
        <w:sz w:val="22"/>
        <w:szCs w:val="22"/>
        <w:lang w:eastAsia="zh-CN"/>
      </w:rPr>
      <w:t>仓库堆场</w:t>
    </w:r>
    <w:r>
      <w:rPr>
        <w:rFonts w:hint="eastAsia" w:ascii="宋体" w:hAnsi="宋体" w:eastAsia="宋体" w:cs="Times New Roman"/>
        <w:sz w:val="22"/>
        <w:szCs w:val="22"/>
        <w:lang w:val="en-US" w:eastAsia="zh-CN"/>
      </w:rPr>
      <w:t>XGT8040-25塔式起重机安装、拆卸专项方案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B1C73"/>
    <w:multiLevelType w:val="singleLevel"/>
    <w:tmpl w:val="8AEB1C73"/>
    <w:lvl w:ilvl="0" w:tentative="0">
      <w:start w:val="1"/>
      <w:numFmt w:val="decimal"/>
      <w:lvlText w:val="%1."/>
      <w:lvlJc w:val="left"/>
      <w:pPr>
        <w:tabs>
          <w:tab w:val="left" w:pos="312"/>
        </w:tabs>
      </w:pPr>
    </w:lvl>
  </w:abstractNum>
  <w:abstractNum w:abstractNumId="1">
    <w:nsid w:val="A7F66CBE"/>
    <w:multiLevelType w:val="singleLevel"/>
    <w:tmpl w:val="A7F66CBE"/>
    <w:lvl w:ilvl="0" w:tentative="0">
      <w:start w:val="1"/>
      <w:numFmt w:val="decimal"/>
      <w:lvlText w:val="5.2.%1"/>
      <w:lvlJc w:val="left"/>
      <w:pPr>
        <w:tabs>
          <w:tab w:val="left" w:pos="420"/>
        </w:tabs>
        <w:ind w:left="425" w:hanging="425"/>
      </w:pPr>
      <w:rPr>
        <w:rFonts w:hint="default" w:eastAsia="仿宋"/>
        <w:sz w:val="24"/>
      </w:rPr>
    </w:lvl>
  </w:abstractNum>
  <w:abstractNum w:abstractNumId="2">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70"/>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ADCA5039"/>
    <w:multiLevelType w:val="singleLevel"/>
    <w:tmpl w:val="ADCA5039"/>
    <w:lvl w:ilvl="0" w:tentative="0">
      <w:start w:val="1"/>
      <w:numFmt w:val="chineseCounting"/>
      <w:suff w:val="nothing"/>
      <w:lvlText w:val="（%1）"/>
      <w:lvlJc w:val="left"/>
      <w:pPr>
        <w:ind w:left="0" w:firstLine="420"/>
      </w:pPr>
      <w:rPr>
        <w:rFonts w:hint="eastAsia"/>
      </w:rPr>
    </w:lvl>
  </w:abstractNum>
  <w:abstractNum w:abstractNumId="4">
    <w:nsid w:val="CB78304C"/>
    <w:multiLevelType w:val="singleLevel"/>
    <w:tmpl w:val="CB78304C"/>
    <w:lvl w:ilvl="0" w:tentative="0">
      <w:start w:val="1"/>
      <w:numFmt w:val="chineseCounting"/>
      <w:suff w:val="nothing"/>
      <w:lvlText w:val="（%1）"/>
      <w:lvlJc w:val="left"/>
      <w:pPr>
        <w:ind w:left="0" w:firstLine="420"/>
      </w:pPr>
      <w:rPr>
        <w:rFonts w:hint="eastAsia"/>
      </w:rPr>
    </w:lvl>
  </w:abstractNum>
  <w:abstractNum w:abstractNumId="5">
    <w:nsid w:val="DAD05D52"/>
    <w:multiLevelType w:val="singleLevel"/>
    <w:tmpl w:val="DAD05D52"/>
    <w:lvl w:ilvl="0" w:tentative="0">
      <w:start w:val="1"/>
      <w:numFmt w:val="decimal"/>
      <w:suff w:val="nothing"/>
      <w:lvlText w:val="（%1）"/>
      <w:lvlJc w:val="left"/>
    </w:lvl>
  </w:abstractNum>
  <w:abstractNum w:abstractNumId="6">
    <w:nsid w:val="E6039D65"/>
    <w:multiLevelType w:val="singleLevel"/>
    <w:tmpl w:val="E6039D65"/>
    <w:lvl w:ilvl="0" w:tentative="0">
      <w:start w:val="1"/>
      <w:numFmt w:val="decimal"/>
      <w:lvlText w:val="(%1)"/>
      <w:lvlJc w:val="left"/>
      <w:pPr>
        <w:ind w:left="425" w:hanging="425"/>
      </w:pPr>
      <w:rPr>
        <w:rFonts w:hint="default"/>
      </w:rPr>
    </w:lvl>
  </w:abstractNum>
  <w:abstractNum w:abstractNumId="7">
    <w:nsid w:val="0F0606AD"/>
    <w:multiLevelType w:val="multilevel"/>
    <w:tmpl w:val="0F0606AD"/>
    <w:lvl w:ilvl="0" w:tentative="0">
      <w:start w:val="1"/>
      <w:numFmt w:val="decimal"/>
      <w:suff w:val="space"/>
      <w:lvlText w:val="%1 "/>
      <w:lvlJc w:val="left"/>
      <w:pPr>
        <w:ind w:left="3120" w:firstLine="0"/>
      </w:pPr>
      <w:rPr>
        <w:rFonts w:hint="eastAsia"/>
      </w:rPr>
    </w:lvl>
    <w:lvl w:ilvl="1" w:tentative="0">
      <w:start w:val="1"/>
      <w:numFmt w:val="decimal"/>
      <w:suff w:val="space"/>
      <w:lvlText w:val="%1.%2"/>
      <w:lvlJc w:val="left"/>
      <w:pPr>
        <w:ind w:left="567"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4）"/>
      <w:lvlJc w:val="left"/>
      <w:pPr>
        <w:ind w:left="9353" w:firstLine="0"/>
      </w:pPr>
      <w:rPr>
        <w:rFonts w:hint="eastAsia"/>
      </w:rPr>
    </w:lvl>
    <w:lvl w:ilvl="4" w:tentative="0">
      <w:start w:val="1"/>
      <w:numFmt w:val="decimal"/>
      <w:suff w:val="space"/>
      <w:lvlText w:val="%5）"/>
      <w:lvlJc w:val="left"/>
      <w:pPr>
        <w:ind w:left="0" w:firstLine="0"/>
      </w:pPr>
      <w:rPr>
        <w:rFonts w:hint="eastAsia"/>
      </w:rPr>
    </w:lvl>
    <w:lvl w:ilvl="5" w:tentative="0">
      <w:start w:val="1"/>
      <w:numFmt w:val="bullet"/>
      <w:suff w:val="space"/>
      <w:lvlText w:val="①"/>
      <w:lvlJc w:val="left"/>
      <w:pPr>
        <w:ind w:left="0" w:firstLine="0"/>
      </w:pPr>
      <w:rPr>
        <w:rFonts w:hint="eastAsia" w:ascii="等线" w:hAnsi="等线" w:eastAsia="等线"/>
        <w:color w:val="auto"/>
      </w:rPr>
    </w:lvl>
    <w:lvl w:ilvl="6" w:tentative="0">
      <w:start w:val="1"/>
      <w:numFmt w:val="upperLetter"/>
      <w:suff w:val="space"/>
      <w:lvlText w:val="%7、"/>
      <w:lvlJc w:val="left"/>
      <w:pPr>
        <w:ind w:left="0" w:firstLine="0"/>
      </w:pPr>
      <w:rPr>
        <w:rFonts w:hint="eastAsia"/>
      </w:rPr>
    </w:lvl>
    <w:lvl w:ilvl="7" w:tentative="0">
      <w:start w:val="1"/>
      <w:numFmt w:val="lowerLetter"/>
      <w:suff w:val="space"/>
      <w:lvlText w:val="%8、"/>
      <w:lvlJc w:val="left"/>
      <w:pPr>
        <w:ind w:left="0" w:firstLine="0"/>
      </w:pPr>
      <w:rPr>
        <w:rFonts w:hint="default"/>
      </w:rPr>
    </w:lvl>
    <w:lvl w:ilvl="8" w:tentative="0">
      <w:start w:val="1"/>
      <w:numFmt w:val="lowerRoman"/>
      <w:lvlText w:val="%9"/>
      <w:lvlJc w:val="left"/>
      <w:pPr>
        <w:ind w:left="0" w:firstLine="0"/>
      </w:pPr>
      <w:rPr>
        <w:rFonts w:hint="eastAsia"/>
      </w:rPr>
    </w:lvl>
  </w:abstractNum>
  <w:abstractNum w:abstractNumId="8">
    <w:nsid w:val="12EA14CF"/>
    <w:multiLevelType w:val="singleLevel"/>
    <w:tmpl w:val="12EA14CF"/>
    <w:lvl w:ilvl="0" w:tentative="0">
      <w:start w:val="1"/>
      <w:numFmt w:val="lowerLetter"/>
      <w:lvlText w:val="%1."/>
      <w:lvlJc w:val="left"/>
      <w:pPr>
        <w:ind w:left="425" w:hanging="425"/>
      </w:pPr>
      <w:rPr>
        <w:rFonts w:hint="default"/>
      </w:rPr>
    </w:lvl>
  </w:abstractNum>
  <w:abstractNum w:abstractNumId="9">
    <w:nsid w:val="40497ED7"/>
    <w:multiLevelType w:val="singleLevel"/>
    <w:tmpl w:val="40497ED7"/>
    <w:lvl w:ilvl="0" w:tentative="0">
      <w:start w:val="1"/>
      <w:numFmt w:val="decimal"/>
      <w:suff w:val="nothing"/>
      <w:lvlText w:val="（%1）"/>
      <w:lvlJc w:val="left"/>
    </w:lvl>
  </w:abstractNum>
  <w:abstractNum w:abstractNumId="10">
    <w:nsid w:val="4378CC6C"/>
    <w:multiLevelType w:val="singleLevel"/>
    <w:tmpl w:val="4378CC6C"/>
    <w:lvl w:ilvl="0" w:tentative="0">
      <w:start w:val="1"/>
      <w:numFmt w:val="decimal"/>
      <w:suff w:val="nothing"/>
      <w:lvlText w:val="%1．"/>
      <w:lvlJc w:val="left"/>
      <w:pPr>
        <w:ind w:left="0" w:firstLine="403"/>
      </w:pPr>
      <w:rPr>
        <w:rFonts w:hint="default"/>
      </w:rPr>
    </w:lvl>
  </w:abstractNum>
  <w:abstractNum w:abstractNumId="11">
    <w:nsid w:val="43BF8FFF"/>
    <w:multiLevelType w:val="singleLevel"/>
    <w:tmpl w:val="43BF8FFF"/>
    <w:lvl w:ilvl="0" w:tentative="0">
      <w:start w:val="1"/>
      <w:numFmt w:val="decimal"/>
      <w:suff w:val="nothing"/>
      <w:lvlText w:val="（%1）"/>
      <w:lvlJc w:val="left"/>
      <w:pPr>
        <w:ind w:left="-80"/>
      </w:pPr>
    </w:lvl>
  </w:abstractNum>
  <w:abstractNum w:abstractNumId="12">
    <w:nsid w:val="79016C5C"/>
    <w:multiLevelType w:val="singleLevel"/>
    <w:tmpl w:val="79016C5C"/>
    <w:lvl w:ilvl="0" w:tentative="0">
      <w:start w:val="1"/>
      <w:numFmt w:val="chineseCounting"/>
      <w:suff w:val="nothing"/>
      <w:lvlText w:val="（%1）"/>
      <w:lvlJc w:val="left"/>
      <w:pPr>
        <w:ind w:left="0" w:firstLine="420"/>
      </w:pPr>
      <w:rPr>
        <w:rFonts w:hint="eastAsia"/>
      </w:rPr>
    </w:lvl>
  </w:abstractNum>
  <w:abstractNum w:abstractNumId="13">
    <w:nsid w:val="79318AD1"/>
    <w:multiLevelType w:val="singleLevel"/>
    <w:tmpl w:val="79318AD1"/>
    <w:lvl w:ilvl="0" w:tentative="0">
      <w:start w:val="1"/>
      <w:numFmt w:val="decimal"/>
      <w:lvlText w:val="5.1.%1"/>
      <w:lvlJc w:val="left"/>
      <w:pPr>
        <w:tabs>
          <w:tab w:val="left" w:pos="420"/>
        </w:tabs>
        <w:ind w:left="425" w:hanging="425"/>
      </w:pPr>
      <w:rPr>
        <w:rFonts w:hint="default" w:eastAsia="仿宋"/>
        <w:sz w:val="24"/>
      </w:rPr>
    </w:lvl>
  </w:abstractNum>
  <w:num w:numId="1">
    <w:abstractNumId w:val="2"/>
  </w:num>
  <w:num w:numId="2">
    <w:abstractNumId w:val="0"/>
  </w:num>
  <w:num w:numId="3">
    <w:abstractNumId w:val="7"/>
  </w:num>
  <w:num w:numId="4">
    <w:abstractNumId w:val="11"/>
  </w:num>
  <w:num w:numId="5">
    <w:abstractNumId w:val="5"/>
  </w:num>
  <w:num w:numId="6">
    <w:abstractNumId w:val="9"/>
  </w:num>
  <w:num w:numId="7">
    <w:abstractNumId w:val="13"/>
  </w:num>
  <w:num w:numId="8">
    <w:abstractNumId w:val="1"/>
  </w:num>
  <w:num w:numId="9">
    <w:abstractNumId w:val="8"/>
  </w:num>
  <w:num w:numId="10">
    <w:abstractNumId w:val="10"/>
  </w:num>
  <w:num w:numId="11">
    <w:abstractNumId w:val="6"/>
  </w:num>
  <w:num w:numId="12">
    <w:abstractNumId w:val="3"/>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hhNWQzZmZmZDBhMTQ3YjFlNWZiZGJmNTQxY2Y1MzcifQ=="/>
  </w:docVars>
  <w:rsids>
    <w:rsidRoot w:val="00172A27"/>
    <w:rsid w:val="000042E8"/>
    <w:rsid w:val="0002030F"/>
    <w:rsid w:val="000256F7"/>
    <w:rsid w:val="00025E72"/>
    <w:rsid w:val="00040A57"/>
    <w:rsid w:val="000720BE"/>
    <w:rsid w:val="0007651B"/>
    <w:rsid w:val="000937AB"/>
    <w:rsid w:val="000F2B65"/>
    <w:rsid w:val="00106C77"/>
    <w:rsid w:val="0012472B"/>
    <w:rsid w:val="00140E3F"/>
    <w:rsid w:val="00147858"/>
    <w:rsid w:val="001517C7"/>
    <w:rsid w:val="00163DCB"/>
    <w:rsid w:val="0016612F"/>
    <w:rsid w:val="00172A27"/>
    <w:rsid w:val="001921F3"/>
    <w:rsid w:val="00195F2E"/>
    <w:rsid w:val="001B13BE"/>
    <w:rsid w:val="001B71FB"/>
    <w:rsid w:val="001D159D"/>
    <w:rsid w:val="001D3C06"/>
    <w:rsid w:val="001E75EB"/>
    <w:rsid w:val="00202254"/>
    <w:rsid w:val="00215CC1"/>
    <w:rsid w:val="002464E3"/>
    <w:rsid w:val="0025384D"/>
    <w:rsid w:val="002629DC"/>
    <w:rsid w:val="00265B55"/>
    <w:rsid w:val="00266041"/>
    <w:rsid w:val="002858E1"/>
    <w:rsid w:val="00294ED9"/>
    <w:rsid w:val="00296BCB"/>
    <w:rsid w:val="002A00B3"/>
    <w:rsid w:val="002A4629"/>
    <w:rsid w:val="002D0917"/>
    <w:rsid w:val="002D165D"/>
    <w:rsid w:val="002E661A"/>
    <w:rsid w:val="00301C9C"/>
    <w:rsid w:val="0035182A"/>
    <w:rsid w:val="003564D1"/>
    <w:rsid w:val="003636AA"/>
    <w:rsid w:val="0036566F"/>
    <w:rsid w:val="0036681A"/>
    <w:rsid w:val="00371403"/>
    <w:rsid w:val="00375B20"/>
    <w:rsid w:val="004114F3"/>
    <w:rsid w:val="004236B8"/>
    <w:rsid w:val="00424751"/>
    <w:rsid w:val="004343DD"/>
    <w:rsid w:val="004353B4"/>
    <w:rsid w:val="00436A88"/>
    <w:rsid w:val="00454E38"/>
    <w:rsid w:val="00466660"/>
    <w:rsid w:val="00473BBE"/>
    <w:rsid w:val="004806B8"/>
    <w:rsid w:val="00484A47"/>
    <w:rsid w:val="004A3B68"/>
    <w:rsid w:val="004A6897"/>
    <w:rsid w:val="004A7C9A"/>
    <w:rsid w:val="004B2696"/>
    <w:rsid w:val="004C0FED"/>
    <w:rsid w:val="004F0C08"/>
    <w:rsid w:val="004F2648"/>
    <w:rsid w:val="00503A17"/>
    <w:rsid w:val="00506F8D"/>
    <w:rsid w:val="00514A41"/>
    <w:rsid w:val="00525B05"/>
    <w:rsid w:val="0052753C"/>
    <w:rsid w:val="005464F9"/>
    <w:rsid w:val="00583143"/>
    <w:rsid w:val="005B1E5E"/>
    <w:rsid w:val="005B398F"/>
    <w:rsid w:val="005C7288"/>
    <w:rsid w:val="005E4660"/>
    <w:rsid w:val="005F7F5E"/>
    <w:rsid w:val="00606B16"/>
    <w:rsid w:val="006529C3"/>
    <w:rsid w:val="00663E4D"/>
    <w:rsid w:val="006678C8"/>
    <w:rsid w:val="006929E2"/>
    <w:rsid w:val="00695AF2"/>
    <w:rsid w:val="00697C65"/>
    <w:rsid w:val="006A4E19"/>
    <w:rsid w:val="006A6EDD"/>
    <w:rsid w:val="006B204F"/>
    <w:rsid w:val="006E1CBD"/>
    <w:rsid w:val="006F2A3B"/>
    <w:rsid w:val="00703866"/>
    <w:rsid w:val="00706CF7"/>
    <w:rsid w:val="00740CB8"/>
    <w:rsid w:val="00752062"/>
    <w:rsid w:val="00762633"/>
    <w:rsid w:val="007C6B21"/>
    <w:rsid w:val="007C706C"/>
    <w:rsid w:val="007E5B1A"/>
    <w:rsid w:val="007F4BFD"/>
    <w:rsid w:val="00815677"/>
    <w:rsid w:val="0083433C"/>
    <w:rsid w:val="00861644"/>
    <w:rsid w:val="008920B7"/>
    <w:rsid w:val="00892844"/>
    <w:rsid w:val="00897198"/>
    <w:rsid w:val="008A4589"/>
    <w:rsid w:val="008A49DC"/>
    <w:rsid w:val="008B1FE9"/>
    <w:rsid w:val="008C592F"/>
    <w:rsid w:val="009112C8"/>
    <w:rsid w:val="00921E72"/>
    <w:rsid w:val="00946F94"/>
    <w:rsid w:val="00952697"/>
    <w:rsid w:val="00953075"/>
    <w:rsid w:val="0096159D"/>
    <w:rsid w:val="00977C3B"/>
    <w:rsid w:val="009853D0"/>
    <w:rsid w:val="009955E0"/>
    <w:rsid w:val="009A540C"/>
    <w:rsid w:val="009A70EE"/>
    <w:rsid w:val="009C138F"/>
    <w:rsid w:val="009C2C95"/>
    <w:rsid w:val="009C6695"/>
    <w:rsid w:val="009C7DBA"/>
    <w:rsid w:val="009E707B"/>
    <w:rsid w:val="009F4A48"/>
    <w:rsid w:val="009F74E6"/>
    <w:rsid w:val="00A00FA8"/>
    <w:rsid w:val="00A11612"/>
    <w:rsid w:val="00A20D0F"/>
    <w:rsid w:val="00A2287B"/>
    <w:rsid w:val="00A25F4A"/>
    <w:rsid w:val="00A57609"/>
    <w:rsid w:val="00A8005D"/>
    <w:rsid w:val="00A8768D"/>
    <w:rsid w:val="00AA32F7"/>
    <w:rsid w:val="00AB020A"/>
    <w:rsid w:val="00AB12AB"/>
    <w:rsid w:val="00AE285F"/>
    <w:rsid w:val="00B11924"/>
    <w:rsid w:val="00B443D8"/>
    <w:rsid w:val="00B5479A"/>
    <w:rsid w:val="00BA4098"/>
    <w:rsid w:val="00BD07D7"/>
    <w:rsid w:val="00BF6495"/>
    <w:rsid w:val="00C222B8"/>
    <w:rsid w:val="00C32B53"/>
    <w:rsid w:val="00C36557"/>
    <w:rsid w:val="00C510D1"/>
    <w:rsid w:val="00C6142E"/>
    <w:rsid w:val="00C62933"/>
    <w:rsid w:val="00C70C80"/>
    <w:rsid w:val="00C973BE"/>
    <w:rsid w:val="00D21EDC"/>
    <w:rsid w:val="00D24FA7"/>
    <w:rsid w:val="00D26583"/>
    <w:rsid w:val="00D442F1"/>
    <w:rsid w:val="00D4513F"/>
    <w:rsid w:val="00D637AA"/>
    <w:rsid w:val="00D92597"/>
    <w:rsid w:val="00DB4426"/>
    <w:rsid w:val="00DC6D38"/>
    <w:rsid w:val="00DE3D82"/>
    <w:rsid w:val="00E04D15"/>
    <w:rsid w:val="00E124F6"/>
    <w:rsid w:val="00E128BE"/>
    <w:rsid w:val="00E265BC"/>
    <w:rsid w:val="00E57A6E"/>
    <w:rsid w:val="00E71833"/>
    <w:rsid w:val="00E75819"/>
    <w:rsid w:val="00EF3984"/>
    <w:rsid w:val="00F03849"/>
    <w:rsid w:val="00F10450"/>
    <w:rsid w:val="00F91457"/>
    <w:rsid w:val="00F91CC0"/>
    <w:rsid w:val="00F93BC5"/>
    <w:rsid w:val="00FA1379"/>
    <w:rsid w:val="00FB2ACF"/>
    <w:rsid w:val="00FC67A0"/>
    <w:rsid w:val="00FD5623"/>
    <w:rsid w:val="00FF6724"/>
    <w:rsid w:val="01072D16"/>
    <w:rsid w:val="011D0B6B"/>
    <w:rsid w:val="018502B5"/>
    <w:rsid w:val="019575CB"/>
    <w:rsid w:val="01AC3A93"/>
    <w:rsid w:val="01FE039C"/>
    <w:rsid w:val="01FE7C1C"/>
    <w:rsid w:val="025204B1"/>
    <w:rsid w:val="02580207"/>
    <w:rsid w:val="02605942"/>
    <w:rsid w:val="02842376"/>
    <w:rsid w:val="02A02B52"/>
    <w:rsid w:val="02B12546"/>
    <w:rsid w:val="02E651A7"/>
    <w:rsid w:val="032E06E6"/>
    <w:rsid w:val="03364348"/>
    <w:rsid w:val="036C27AB"/>
    <w:rsid w:val="03936DB7"/>
    <w:rsid w:val="03F828FE"/>
    <w:rsid w:val="040B4260"/>
    <w:rsid w:val="040D531E"/>
    <w:rsid w:val="044079F6"/>
    <w:rsid w:val="044A4F10"/>
    <w:rsid w:val="044A5026"/>
    <w:rsid w:val="04517489"/>
    <w:rsid w:val="04536CB9"/>
    <w:rsid w:val="04662A96"/>
    <w:rsid w:val="04A21CE1"/>
    <w:rsid w:val="04BB69F7"/>
    <w:rsid w:val="04C66843"/>
    <w:rsid w:val="04E97DD1"/>
    <w:rsid w:val="050261FD"/>
    <w:rsid w:val="053D27E9"/>
    <w:rsid w:val="053E29D4"/>
    <w:rsid w:val="0545150E"/>
    <w:rsid w:val="0556403E"/>
    <w:rsid w:val="056727A7"/>
    <w:rsid w:val="05726E8E"/>
    <w:rsid w:val="05997E8B"/>
    <w:rsid w:val="05C86D6B"/>
    <w:rsid w:val="05FD524F"/>
    <w:rsid w:val="060942E6"/>
    <w:rsid w:val="062C0CB9"/>
    <w:rsid w:val="06415503"/>
    <w:rsid w:val="065B11F4"/>
    <w:rsid w:val="06785914"/>
    <w:rsid w:val="06794304"/>
    <w:rsid w:val="068E5516"/>
    <w:rsid w:val="069D7DD0"/>
    <w:rsid w:val="069E4405"/>
    <w:rsid w:val="06B22D6B"/>
    <w:rsid w:val="06B74CAA"/>
    <w:rsid w:val="0712326D"/>
    <w:rsid w:val="07362E66"/>
    <w:rsid w:val="07476428"/>
    <w:rsid w:val="076A755F"/>
    <w:rsid w:val="077706A0"/>
    <w:rsid w:val="07A74BA2"/>
    <w:rsid w:val="07B144CD"/>
    <w:rsid w:val="07BD504A"/>
    <w:rsid w:val="07CB1548"/>
    <w:rsid w:val="07DD7296"/>
    <w:rsid w:val="08027F2B"/>
    <w:rsid w:val="0804039E"/>
    <w:rsid w:val="08291486"/>
    <w:rsid w:val="08471DF1"/>
    <w:rsid w:val="085F0F7F"/>
    <w:rsid w:val="0898570C"/>
    <w:rsid w:val="089966D8"/>
    <w:rsid w:val="08A67433"/>
    <w:rsid w:val="08C47915"/>
    <w:rsid w:val="08E3744D"/>
    <w:rsid w:val="08ED6E6B"/>
    <w:rsid w:val="08F40C99"/>
    <w:rsid w:val="091361A6"/>
    <w:rsid w:val="09151F1E"/>
    <w:rsid w:val="091D3E95"/>
    <w:rsid w:val="092A0CE9"/>
    <w:rsid w:val="092C46B5"/>
    <w:rsid w:val="09512E6F"/>
    <w:rsid w:val="096F78B2"/>
    <w:rsid w:val="0971521E"/>
    <w:rsid w:val="097924AD"/>
    <w:rsid w:val="09850219"/>
    <w:rsid w:val="0985269B"/>
    <w:rsid w:val="09901075"/>
    <w:rsid w:val="09D5431E"/>
    <w:rsid w:val="09DB1442"/>
    <w:rsid w:val="0A18591B"/>
    <w:rsid w:val="0A2165B2"/>
    <w:rsid w:val="0A6A26F8"/>
    <w:rsid w:val="0A7E741F"/>
    <w:rsid w:val="0A8F07C5"/>
    <w:rsid w:val="0A8F212A"/>
    <w:rsid w:val="0AA508F8"/>
    <w:rsid w:val="0AD44B48"/>
    <w:rsid w:val="0ADC2637"/>
    <w:rsid w:val="0AE343A5"/>
    <w:rsid w:val="0B0569B9"/>
    <w:rsid w:val="0B286EB5"/>
    <w:rsid w:val="0B301859"/>
    <w:rsid w:val="0B560CBF"/>
    <w:rsid w:val="0B5C2086"/>
    <w:rsid w:val="0B677B39"/>
    <w:rsid w:val="0B7F4D45"/>
    <w:rsid w:val="0B8D6546"/>
    <w:rsid w:val="0C171FE8"/>
    <w:rsid w:val="0C2F0489"/>
    <w:rsid w:val="0C397A50"/>
    <w:rsid w:val="0C3B6140"/>
    <w:rsid w:val="0C504FA3"/>
    <w:rsid w:val="0C736572"/>
    <w:rsid w:val="0CBD1E0E"/>
    <w:rsid w:val="0D1E54D6"/>
    <w:rsid w:val="0D232A02"/>
    <w:rsid w:val="0D250129"/>
    <w:rsid w:val="0D6A7D59"/>
    <w:rsid w:val="0D7E561A"/>
    <w:rsid w:val="0D821591"/>
    <w:rsid w:val="0D861BFE"/>
    <w:rsid w:val="0D865056"/>
    <w:rsid w:val="0DCC46D6"/>
    <w:rsid w:val="0DE156CC"/>
    <w:rsid w:val="0DFB5D4E"/>
    <w:rsid w:val="0E16243F"/>
    <w:rsid w:val="0E373120"/>
    <w:rsid w:val="0E3D0A22"/>
    <w:rsid w:val="0E600804"/>
    <w:rsid w:val="0E9F3886"/>
    <w:rsid w:val="0EA46DAB"/>
    <w:rsid w:val="0EE263EA"/>
    <w:rsid w:val="0EFA7C1B"/>
    <w:rsid w:val="0EFF04A0"/>
    <w:rsid w:val="0EFF4BA7"/>
    <w:rsid w:val="0F260D7E"/>
    <w:rsid w:val="0F2731F8"/>
    <w:rsid w:val="0F2F6775"/>
    <w:rsid w:val="0F3B16F7"/>
    <w:rsid w:val="0F456226"/>
    <w:rsid w:val="0F516919"/>
    <w:rsid w:val="0F7B5E89"/>
    <w:rsid w:val="0F9372FD"/>
    <w:rsid w:val="0F996C2A"/>
    <w:rsid w:val="0F9C1EBE"/>
    <w:rsid w:val="0FA80B29"/>
    <w:rsid w:val="0FAA4CE5"/>
    <w:rsid w:val="0FC65E43"/>
    <w:rsid w:val="0FD06B9F"/>
    <w:rsid w:val="0FF26B15"/>
    <w:rsid w:val="10134CDE"/>
    <w:rsid w:val="10137F6B"/>
    <w:rsid w:val="102C5AF7"/>
    <w:rsid w:val="10523EAD"/>
    <w:rsid w:val="105F7543"/>
    <w:rsid w:val="107F2C6C"/>
    <w:rsid w:val="10C80358"/>
    <w:rsid w:val="10D61860"/>
    <w:rsid w:val="10F22B45"/>
    <w:rsid w:val="11052E0C"/>
    <w:rsid w:val="118B63A3"/>
    <w:rsid w:val="11C6545A"/>
    <w:rsid w:val="11CA7B9A"/>
    <w:rsid w:val="11DE7416"/>
    <w:rsid w:val="11E86AA1"/>
    <w:rsid w:val="11FE1E47"/>
    <w:rsid w:val="12322403"/>
    <w:rsid w:val="12365310"/>
    <w:rsid w:val="124764F9"/>
    <w:rsid w:val="12917284"/>
    <w:rsid w:val="12FC3238"/>
    <w:rsid w:val="13013C3A"/>
    <w:rsid w:val="134471D5"/>
    <w:rsid w:val="13845DB1"/>
    <w:rsid w:val="13A03014"/>
    <w:rsid w:val="13B66651"/>
    <w:rsid w:val="13BD522B"/>
    <w:rsid w:val="13CF4504"/>
    <w:rsid w:val="13D030EF"/>
    <w:rsid w:val="13E1763C"/>
    <w:rsid w:val="13EB0CF7"/>
    <w:rsid w:val="13ED7BF2"/>
    <w:rsid w:val="13F511D1"/>
    <w:rsid w:val="142014E8"/>
    <w:rsid w:val="142E716D"/>
    <w:rsid w:val="144A7CAE"/>
    <w:rsid w:val="1452344C"/>
    <w:rsid w:val="14830C08"/>
    <w:rsid w:val="14A8633C"/>
    <w:rsid w:val="14AD6898"/>
    <w:rsid w:val="14B44787"/>
    <w:rsid w:val="14EE7587"/>
    <w:rsid w:val="15070D03"/>
    <w:rsid w:val="151552DC"/>
    <w:rsid w:val="153B4CDB"/>
    <w:rsid w:val="155932CB"/>
    <w:rsid w:val="15934BCB"/>
    <w:rsid w:val="15B95B4B"/>
    <w:rsid w:val="15D867AD"/>
    <w:rsid w:val="15FC4DE0"/>
    <w:rsid w:val="16161084"/>
    <w:rsid w:val="16175F45"/>
    <w:rsid w:val="16587554"/>
    <w:rsid w:val="16765738"/>
    <w:rsid w:val="16784A93"/>
    <w:rsid w:val="16803490"/>
    <w:rsid w:val="16890584"/>
    <w:rsid w:val="16A92E75"/>
    <w:rsid w:val="16B63740"/>
    <w:rsid w:val="16D771BC"/>
    <w:rsid w:val="16E473F0"/>
    <w:rsid w:val="16EE70AB"/>
    <w:rsid w:val="16F43B2C"/>
    <w:rsid w:val="17001735"/>
    <w:rsid w:val="170A76C6"/>
    <w:rsid w:val="17875642"/>
    <w:rsid w:val="179504FD"/>
    <w:rsid w:val="17DC4F97"/>
    <w:rsid w:val="1823119E"/>
    <w:rsid w:val="183822D8"/>
    <w:rsid w:val="1839137E"/>
    <w:rsid w:val="18412D58"/>
    <w:rsid w:val="18590B34"/>
    <w:rsid w:val="187712C0"/>
    <w:rsid w:val="188E6348"/>
    <w:rsid w:val="18AA72E4"/>
    <w:rsid w:val="18B13D26"/>
    <w:rsid w:val="18CD1F79"/>
    <w:rsid w:val="18D02352"/>
    <w:rsid w:val="18D52A55"/>
    <w:rsid w:val="193A2F2A"/>
    <w:rsid w:val="193E5D82"/>
    <w:rsid w:val="19410F4F"/>
    <w:rsid w:val="194F2FAA"/>
    <w:rsid w:val="1950253A"/>
    <w:rsid w:val="198E2E15"/>
    <w:rsid w:val="19BD77BA"/>
    <w:rsid w:val="19E20785"/>
    <w:rsid w:val="19F52497"/>
    <w:rsid w:val="1A2977C4"/>
    <w:rsid w:val="1A300044"/>
    <w:rsid w:val="1A327054"/>
    <w:rsid w:val="1A373060"/>
    <w:rsid w:val="1A3753C4"/>
    <w:rsid w:val="1A4C5F44"/>
    <w:rsid w:val="1A5412D0"/>
    <w:rsid w:val="1A5A4ECC"/>
    <w:rsid w:val="1A8912AC"/>
    <w:rsid w:val="1A8E38DF"/>
    <w:rsid w:val="1AD00D05"/>
    <w:rsid w:val="1AE4114C"/>
    <w:rsid w:val="1AFB2BF5"/>
    <w:rsid w:val="1B202A13"/>
    <w:rsid w:val="1B3627A4"/>
    <w:rsid w:val="1B432E6A"/>
    <w:rsid w:val="1B44318F"/>
    <w:rsid w:val="1B460CBD"/>
    <w:rsid w:val="1B7746A4"/>
    <w:rsid w:val="1B7B0874"/>
    <w:rsid w:val="1B8976CD"/>
    <w:rsid w:val="1BAF4A6A"/>
    <w:rsid w:val="1BB03906"/>
    <w:rsid w:val="1BE32EB7"/>
    <w:rsid w:val="1BE81A46"/>
    <w:rsid w:val="1BEB41FC"/>
    <w:rsid w:val="1BEB5CE4"/>
    <w:rsid w:val="1BF07270"/>
    <w:rsid w:val="1C000D12"/>
    <w:rsid w:val="1C314E90"/>
    <w:rsid w:val="1C3B68EA"/>
    <w:rsid w:val="1C4146C4"/>
    <w:rsid w:val="1C6F6999"/>
    <w:rsid w:val="1C7D7ABA"/>
    <w:rsid w:val="1C84143D"/>
    <w:rsid w:val="1C953D72"/>
    <w:rsid w:val="1C9E7B23"/>
    <w:rsid w:val="1CA6517B"/>
    <w:rsid w:val="1CC57934"/>
    <w:rsid w:val="1D0B1216"/>
    <w:rsid w:val="1D2013C5"/>
    <w:rsid w:val="1D345168"/>
    <w:rsid w:val="1D363E63"/>
    <w:rsid w:val="1D3707F3"/>
    <w:rsid w:val="1D414062"/>
    <w:rsid w:val="1D4F6B4C"/>
    <w:rsid w:val="1D7F7DE9"/>
    <w:rsid w:val="1D920D8E"/>
    <w:rsid w:val="1DB83599"/>
    <w:rsid w:val="1E802B7F"/>
    <w:rsid w:val="1E816369"/>
    <w:rsid w:val="1E8B74EE"/>
    <w:rsid w:val="1EA50DBA"/>
    <w:rsid w:val="1EA53575"/>
    <w:rsid w:val="1EA95C98"/>
    <w:rsid w:val="1ECC0501"/>
    <w:rsid w:val="1ECC051D"/>
    <w:rsid w:val="1EFB272A"/>
    <w:rsid w:val="1F0508BE"/>
    <w:rsid w:val="1F0B25D2"/>
    <w:rsid w:val="1F351ECC"/>
    <w:rsid w:val="1F3A64F6"/>
    <w:rsid w:val="1F4D1E22"/>
    <w:rsid w:val="1F5538EF"/>
    <w:rsid w:val="1F7F0343"/>
    <w:rsid w:val="1FA40E10"/>
    <w:rsid w:val="1FBB0B1A"/>
    <w:rsid w:val="2009286E"/>
    <w:rsid w:val="20330F12"/>
    <w:rsid w:val="203A5AB4"/>
    <w:rsid w:val="205A0A0D"/>
    <w:rsid w:val="20657B97"/>
    <w:rsid w:val="208732AA"/>
    <w:rsid w:val="208D5F71"/>
    <w:rsid w:val="20C73DEA"/>
    <w:rsid w:val="21462B48"/>
    <w:rsid w:val="21710DF1"/>
    <w:rsid w:val="217B7A01"/>
    <w:rsid w:val="21B75D7E"/>
    <w:rsid w:val="21BC1149"/>
    <w:rsid w:val="21E806C8"/>
    <w:rsid w:val="21F30ECB"/>
    <w:rsid w:val="220523D6"/>
    <w:rsid w:val="22443F19"/>
    <w:rsid w:val="22487203"/>
    <w:rsid w:val="225942E7"/>
    <w:rsid w:val="226507B2"/>
    <w:rsid w:val="226E559A"/>
    <w:rsid w:val="228C020F"/>
    <w:rsid w:val="22C34F9D"/>
    <w:rsid w:val="233E6C99"/>
    <w:rsid w:val="2362598E"/>
    <w:rsid w:val="23716524"/>
    <w:rsid w:val="238F59B9"/>
    <w:rsid w:val="23970B4E"/>
    <w:rsid w:val="23AE27BD"/>
    <w:rsid w:val="23B61305"/>
    <w:rsid w:val="23B86870"/>
    <w:rsid w:val="23BF6EDA"/>
    <w:rsid w:val="23C80A17"/>
    <w:rsid w:val="23E73B5D"/>
    <w:rsid w:val="23F20620"/>
    <w:rsid w:val="24030878"/>
    <w:rsid w:val="24174945"/>
    <w:rsid w:val="24194B61"/>
    <w:rsid w:val="246956F4"/>
    <w:rsid w:val="246B2393"/>
    <w:rsid w:val="24751173"/>
    <w:rsid w:val="248879CA"/>
    <w:rsid w:val="249A76D1"/>
    <w:rsid w:val="24B861D2"/>
    <w:rsid w:val="24CF577E"/>
    <w:rsid w:val="24E04D0A"/>
    <w:rsid w:val="24F552C4"/>
    <w:rsid w:val="24F90B21"/>
    <w:rsid w:val="25074D52"/>
    <w:rsid w:val="251C637B"/>
    <w:rsid w:val="253644F4"/>
    <w:rsid w:val="25540030"/>
    <w:rsid w:val="256303FC"/>
    <w:rsid w:val="25A55F80"/>
    <w:rsid w:val="25AC304C"/>
    <w:rsid w:val="25B409D0"/>
    <w:rsid w:val="25EB15C1"/>
    <w:rsid w:val="26086C17"/>
    <w:rsid w:val="260D3539"/>
    <w:rsid w:val="26276007"/>
    <w:rsid w:val="262A0564"/>
    <w:rsid w:val="263011DF"/>
    <w:rsid w:val="26491104"/>
    <w:rsid w:val="26561DBA"/>
    <w:rsid w:val="265C38A4"/>
    <w:rsid w:val="2678331D"/>
    <w:rsid w:val="26A273AA"/>
    <w:rsid w:val="26CD7504"/>
    <w:rsid w:val="26E50B3A"/>
    <w:rsid w:val="270F7B55"/>
    <w:rsid w:val="275332AD"/>
    <w:rsid w:val="27581A1E"/>
    <w:rsid w:val="276F41EC"/>
    <w:rsid w:val="279F3168"/>
    <w:rsid w:val="27D02541"/>
    <w:rsid w:val="27ED7D03"/>
    <w:rsid w:val="27F80049"/>
    <w:rsid w:val="28051A46"/>
    <w:rsid w:val="28064BAB"/>
    <w:rsid w:val="283A2877"/>
    <w:rsid w:val="286948BF"/>
    <w:rsid w:val="28726D71"/>
    <w:rsid w:val="287F3BA9"/>
    <w:rsid w:val="288A7467"/>
    <w:rsid w:val="288C7E18"/>
    <w:rsid w:val="289B3D96"/>
    <w:rsid w:val="28A10A62"/>
    <w:rsid w:val="28A40C14"/>
    <w:rsid w:val="28FC65B4"/>
    <w:rsid w:val="29094989"/>
    <w:rsid w:val="294F5AB7"/>
    <w:rsid w:val="29515F14"/>
    <w:rsid w:val="29536EBA"/>
    <w:rsid w:val="298368AC"/>
    <w:rsid w:val="29C44350"/>
    <w:rsid w:val="29EE7763"/>
    <w:rsid w:val="2A020E30"/>
    <w:rsid w:val="2A0B6CFA"/>
    <w:rsid w:val="2A1469E2"/>
    <w:rsid w:val="2A1C134D"/>
    <w:rsid w:val="2A3C2E27"/>
    <w:rsid w:val="2A4D3705"/>
    <w:rsid w:val="2A856534"/>
    <w:rsid w:val="2A9650C9"/>
    <w:rsid w:val="2A9B1106"/>
    <w:rsid w:val="2AB61404"/>
    <w:rsid w:val="2ABA01AB"/>
    <w:rsid w:val="2AC64AB3"/>
    <w:rsid w:val="2ADB5C36"/>
    <w:rsid w:val="2ADE472A"/>
    <w:rsid w:val="2AFB5665"/>
    <w:rsid w:val="2B0873EF"/>
    <w:rsid w:val="2B2C61BB"/>
    <w:rsid w:val="2B771F1B"/>
    <w:rsid w:val="2B843C14"/>
    <w:rsid w:val="2B8F2D6B"/>
    <w:rsid w:val="2B9B6D10"/>
    <w:rsid w:val="2BC144F7"/>
    <w:rsid w:val="2BE57D76"/>
    <w:rsid w:val="2C17367B"/>
    <w:rsid w:val="2C1B16F6"/>
    <w:rsid w:val="2C284DFF"/>
    <w:rsid w:val="2C304054"/>
    <w:rsid w:val="2C387018"/>
    <w:rsid w:val="2C5C49D4"/>
    <w:rsid w:val="2C6F72CA"/>
    <w:rsid w:val="2C803D25"/>
    <w:rsid w:val="2C876115"/>
    <w:rsid w:val="2C902C9E"/>
    <w:rsid w:val="2C9662FB"/>
    <w:rsid w:val="2CD129AC"/>
    <w:rsid w:val="2CE83AAE"/>
    <w:rsid w:val="2D0B3F48"/>
    <w:rsid w:val="2D1C63D5"/>
    <w:rsid w:val="2D283AEB"/>
    <w:rsid w:val="2D2B206D"/>
    <w:rsid w:val="2D2E420C"/>
    <w:rsid w:val="2D340315"/>
    <w:rsid w:val="2D3D22E5"/>
    <w:rsid w:val="2D3D6D5C"/>
    <w:rsid w:val="2D6C29F3"/>
    <w:rsid w:val="2DA7390B"/>
    <w:rsid w:val="2DB41B98"/>
    <w:rsid w:val="2DEA1F30"/>
    <w:rsid w:val="2E226A50"/>
    <w:rsid w:val="2E2B2D7C"/>
    <w:rsid w:val="2E5839D0"/>
    <w:rsid w:val="2E707FD2"/>
    <w:rsid w:val="2E8C2E7E"/>
    <w:rsid w:val="2ED93075"/>
    <w:rsid w:val="2EE249A1"/>
    <w:rsid w:val="2F0723C5"/>
    <w:rsid w:val="2F4D2D02"/>
    <w:rsid w:val="2F5811C7"/>
    <w:rsid w:val="2F6914AB"/>
    <w:rsid w:val="2F6B4141"/>
    <w:rsid w:val="2F6E1082"/>
    <w:rsid w:val="2F7565E0"/>
    <w:rsid w:val="2F803235"/>
    <w:rsid w:val="2F8D3322"/>
    <w:rsid w:val="2F956BCE"/>
    <w:rsid w:val="2FA943AE"/>
    <w:rsid w:val="2FB81E18"/>
    <w:rsid w:val="2FC95CB7"/>
    <w:rsid w:val="2FE341C7"/>
    <w:rsid w:val="2FF57743"/>
    <w:rsid w:val="30253D7E"/>
    <w:rsid w:val="302A0406"/>
    <w:rsid w:val="303F07CC"/>
    <w:rsid w:val="306A0B4D"/>
    <w:rsid w:val="30796F97"/>
    <w:rsid w:val="30840FAE"/>
    <w:rsid w:val="30BA6D84"/>
    <w:rsid w:val="30DB411F"/>
    <w:rsid w:val="30EE1BC4"/>
    <w:rsid w:val="31210BB1"/>
    <w:rsid w:val="312732D7"/>
    <w:rsid w:val="31BB4D36"/>
    <w:rsid w:val="31E83DC4"/>
    <w:rsid w:val="32142E21"/>
    <w:rsid w:val="3216116F"/>
    <w:rsid w:val="32516ED6"/>
    <w:rsid w:val="327A5831"/>
    <w:rsid w:val="328A20F5"/>
    <w:rsid w:val="32B70BB6"/>
    <w:rsid w:val="32CE79D0"/>
    <w:rsid w:val="32E62982"/>
    <w:rsid w:val="330F2DE4"/>
    <w:rsid w:val="334E1D68"/>
    <w:rsid w:val="33507FBD"/>
    <w:rsid w:val="33B4737C"/>
    <w:rsid w:val="33BB1197"/>
    <w:rsid w:val="33C87205"/>
    <w:rsid w:val="33D02178"/>
    <w:rsid w:val="33E573B0"/>
    <w:rsid w:val="33E94B22"/>
    <w:rsid w:val="341F1701"/>
    <w:rsid w:val="3432696A"/>
    <w:rsid w:val="343B279A"/>
    <w:rsid w:val="344E233D"/>
    <w:rsid w:val="345B6AD0"/>
    <w:rsid w:val="348C21C6"/>
    <w:rsid w:val="34B70DA5"/>
    <w:rsid w:val="34C72E2C"/>
    <w:rsid w:val="34D9213D"/>
    <w:rsid w:val="34E77870"/>
    <w:rsid w:val="34E91ACD"/>
    <w:rsid w:val="354953AC"/>
    <w:rsid w:val="354F1E7E"/>
    <w:rsid w:val="35641A4E"/>
    <w:rsid w:val="35712D3C"/>
    <w:rsid w:val="357953BB"/>
    <w:rsid w:val="359528C1"/>
    <w:rsid w:val="36057B72"/>
    <w:rsid w:val="361619CF"/>
    <w:rsid w:val="362F76E0"/>
    <w:rsid w:val="363037E9"/>
    <w:rsid w:val="366F3C64"/>
    <w:rsid w:val="368D6CD5"/>
    <w:rsid w:val="36BB0C1B"/>
    <w:rsid w:val="36BD3C5F"/>
    <w:rsid w:val="36CF0D04"/>
    <w:rsid w:val="36DF7544"/>
    <w:rsid w:val="36F771B3"/>
    <w:rsid w:val="3727375B"/>
    <w:rsid w:val="37557793"/>
    <w:rsid w:val="37730434"/>
    <w:rsid w:val="377A2DE4"/>
    <w:rsid w:val="37806055"/>
    <w:rsid w:val="37886BFF"/>
    <w:rsid w:val="37A31295"/>
    <w:rsid w:val="37CB0502"/>
    <w:rsid w:val="37D327CF"/>
    <w:rsid w:val="3838742F"/>
    <w:rsid w:val="3870241E"/>
    <w:rsid w:val="38A81F28"/>
    <w:rsid w:val="38AD5420"/>
    <w:rsid w:val="38CC49AF"/>
    <w:rsid w:val="38D911E3"/>
    <w:rsid w:val="392457C8"/>
    <w:rsid w:val="3993425D"/>
    <w:rsid w:val="39AA538A"/>
    <w:rsid w:val="39D73CB1"/>
    <w:rsid w:val="39D82F14"/>
    <w:rsid w:val="3A222913"/>
    <w:rsid w:val="3A24027E"/>
    <w:rsid w:val="3A366406"/>
    <w:rsid w:val="3AC81582"/>
    <w:rsid w:val="3AFD779C"/>
    <w:rsid w:val="3B34652F"/>
    <w:rsid w:val="3B3908D0"/>
    <w:rsid w:val="3B3B0810"/>
    <w:rsid w:val="3B4B40A5"/>
    <w:rsid w:val="3B9F68DB"/>
    <w:rsid w:val="3BB45E27"/>
    <w:rsid w:val="3BDF249E"/>
    <w:rsid w:val="3BEF239E"/>
    <w:rsid w:val="3C081A40"/>
    <w:rsid w:val="3C173155"/>
    <w:rsid w:val="3C28564E"/>
    <w:rsid w:val="3C3F278C"/>
    <w:rsid w:val="3C602E17"/>
    <w:rsid w:val="3C756E43"/>
    <w:rsid w:val="3C9A38DF"/>
    <w:rsid w:val="3CA14E6A"/>
    <w:rsid w:val="3CC26639"/>
    <w:rsid w:val="3CDC5B18"/>
    <w:rsid w:val="3D023F8C"/>
    <w:rsid w:val="3D1706C3"/>
    <w:rsid w:val="3D207F30"/>
    <w:rsid w:val="3D274FD7"/>
    <w:rsid w:val="3D4E112E"/>
    <w:rsid w:val="3D52399A"/>
    <w:rsid w:val="3D977083"/>
    <w:rsid w:val="3D9F66A0"/>
    <w:rsid w:val="3DA6768F"/>
    <w:rsid w:val="3DD73C67"/>
    <w:rsid w:val="3DE64387"/>
    <w:rsid w:val="3DEE1192"/>
    <w:rsid w:val="3DFF156B"/>
    <w:rsid w:val="3E24128D"/>
    <w:rsid w:val="3E260836"/>
    <w:rsid w:val="3E5A656F"/>
    <w:rsid w:val="3EAC29A7"/>
    <w:rsid w:val="3EC14C3B"/>
    <w:rsid w:val="3EC4280D"/>
    <w:rsid w:val="3ECA5746"/>
    <w:rsid w:val="3F056363"/>
    <w:rsid w:val="3F3D42F1"/>
    <w:rsid w:val="3F8A2017"/>
    <w:rsid w:val="3FB74413"/>
    <w:rsid w:val="3FC84E79"/>
    <w:rsid w:val="3FCF18EF"/>
    <w:rsid w:val="3FD400DD"/>
    <w:rsid w:val="3FD43705"/>
    <w:rsid w:val="3FDF2363"/>
    <w:rsid w:val="3FFD682C"/>
    <w:rsid w:val="402E1517"/>
    <w:rsid w:val="402E64C6"/>
    <w:rsid w:val="403B2A0C"/>
    <w:rsid w:val="403B5BB6"/>
    <w:rsid w:val="403C0929"/>
    <w:rsid w:val="40442BD5"/>
    <w:rsid w:val="406300BA"/>
    <w:rsid w:val="408D6263"/>
    <w:rsid w:val="40A92971"/>
    <w:rsid w:val="40B1743F"/>
    <w:rsid w:val="40C37BB7"/>
    <w:rsid w:val="40C50B3C"/>
    <w:rsid w:val="40FB5A2D"/>
    <w:rsid w:val="410238CC"/>
    <w:rsid w:val="41032CF0"/>
    <w:rsid w:val="410C74B7"/>
    <w:rsid w:val="411F2132"/>
    <w:rsid w:val="415F7C42"/>
    <w:rsid w:val="416B7053"/>
    <w:rsid w:val="41706642"/>
    <w:rsid w:val="41770EDE"/>
    <w:rsid w:val="419929D9"/>
    <w:rsid w:val="41B40A3C"/>
    <w:rsid w:val="41D5006A"/>
    <w:rsid w:val="41D57573"/>
    <w:rsid w:val="41FB4247"/>
    <w:rsid w:val="422A5CE9"/>
    <w:rsid w:val="422A7C66"/>
    <w:rsid w:val="423C0698"/>
    <w:rsid w:val="423E4241"/>
    <w:rsid w:val="425E5002"/>
    <w:rsid w:val="42BC2FBE"/>
    <w:rsid w:val="42CB4E20"/>
    <w:rsid w:val="42F139EC"/>
    <w:rsid w:val="42F80640"/>
    <w:rsid w:val="42FF081D"/>
    <w:rsid w:val="43471FD5"/>
    <w:rsid w:val="436F63F9"/>
    <w:rsid w:val="437043F6"/>
    <w:rsid w:val="437D35A4"/>
    <w:rsid w:val="4396596F"/>
    <w:rsid w:val="43B557EA"/>
    <w:rsid w:val="43F93E87"/>
    <w:rsid w:val="441D0665"/>
    <w:rsid w:val="442E4A20"/>
    <w:rsid w:val="44662630"/>
    <w:rsid w:val="44E2529F"/>
    <w:rsid w:val="4504217E"/>
    <w:rsid w:val="45120E5C"/>
    <w:rsid w:val="454C0BF5"/>
    <w:rsid w:val="458072B2"/>
    <w:rsid w:val="45827808"/>
    <w:rsid w:val="45926A47"/>
    <w:rsid w:val="45C23883"/>
    <w:rsid w:val="45D735DA"/>
    <w:rsid w:val="46045C59"/>
    <w:rsid w:val="460B6B55"/>
    <w:rsid w:val="460F771A"/>
    <w:rsid w:val="462E6024"/>
    <w:rsid w:val="46324630"/>
    <w:rsid w:val="46530576"/>
    <w:rsid w:val="467B190C"/>
    <w:rsid w:val="468A4E4A"/>
    <w:rsid w:val="4694077D"/>
    <w:rsid w:val="46D501BB"/>
    <w:rsid w:val="46DB6A5C"/>
    <w:rsid w:val="46E06B42"/>
    <w:rsid w:val="46E217C6"/>
    <w:rsid w:val="472A4D95"/>
    <w:rsid w:val="478B1022"/>
    <w:rsid w:val="47964C70"/>
    <w:rsid w:val="47B22324"/>
    <w:rsid w:val="47B83392"/>
    <w:rsid w:val="47BB51EB"/>
    <w:rsid w:val="47ED32E5"/>
    <w:rsid w:val="48092606"/>
    <w:rsid w:val="4823168B"/>
    <w:rsid w:val="4843509B"/>
    <w:rsid w:val="48926CF3"/>
    <w:rsid w:val="48A531BC"/>
    <w:rsid w:val="48D403A1"/>
    <w:rsid w:val="48ED5F6D"/>
    <w:rsid w:val="48F2557C"/>
    <w:rsid w:val="48F26A87"/>
    <w:rsid w:val="49305724"/>
    <w:rsid w:val="4931481F"/>
    <w:rsid w:val="49473CF3"/>
    <w:rsid w:val="49A07007"/>
    <w:rsid w:val="49A4046C"/>
    <w:rsid w:val="49AB5F60"/>
    <w:rsid w:val="49DF7F3B"/>
    <w:rsid w:val="4A1177FC"/>
    <w:rsid w:val="4A297457"/>
    <w:rsid w:val="4A336FA7"/>
    <w:rsid w:val="4A506A7B"/>
    <w:rsid w:val="4A7736B5"/>
    <w:rsid w:val="4A8C14E2"/>
    <w:rsid w:val="4ABF34BD"/>
    <w:rsid w:val="4AFC61BB"/>
    <w:rsid w:val="4B193909"/>
    <w:rsid w:val="4B594C15"/>
    <w:rsid w:val="4B5C0E42"/>
    <w:rsid w:val="4B8211F8"/>
    <w:rsid w:val="4BD40107"/>
    <w:rsid w:val="4BF03B45"/>
    <w:rsid w:val="4C0E61F6"/>
    <w:rsid w:val="4C37194B"/>
    <w:rsid w:val="4C407515"/>
    <w:rsid w:val="4C4D1CEF"/>
    <w:rsid w:val="4C7369D6"/>
    <w:rsid w:val="4C8F685D"/>
    <w:rsid w:val="4C9668A4"/>
    <w:rsid w:val="4CCD3DBB"/>
    <w:rsid w:val="4CDA29FB"/>
    <w:rsid w:val="4D115B26"/>
    <w:rsid w:val="4D262FF1"/>
    <w:rsid w:val="4D263B96"/>
    <w:rsid w:val="4D286D89"/>
    <w:rsid w:val="4D2C45B4"/>
    <w:rsid w:val="4D4A33F8"/>
    <w:rsid w:val="4D7E2DA8"/>
    <w:rsid w:val="4DB419C0"/>
    <w:rsid w:val="4DC941DA"/>
    <w:rsid w:val="4DEC425D"/>
    <w:rsid w:val="4E1B35C4"/>
    <w:rsid w:val="4E3F1383"/>
    <w:rsid w:val="4E6858D3"/>
    <w:rsid w:val="4E6A0517"/>
    <w:rsid w:val="4EBD778F"/>
    <w:rsid w:val="4EC268BF"/>
    <w:rsid w:val="4F051D0F"/>
    <w:rsid w:val="4F077D68"/>
    <w:rsid w:val="4F1E1F2D"/>
    <w:rsid w:val="4F25291A"/>
    <w:rsid w:val="4F526998"/>
    <w:rsid w:val="4F5368C9"/>
    <w:rsid w:val="4F74024B"/>
    <w:rsid w:val="4F9C7A64"/>
    <w:rsid w:val="4FA93450"/>
    <w:rsid w:val="4FBC0BE1"/>
    <w:rsid w:val="4FCE5833"/>
    <w:rsid w:val="4FCF6914"/>
    <w:rsid w:val="4FEA114F"/>
    <w:rsid w:val="50401350"/>
    <w:rsid w:val="505E6A9E"/>
    <w:rsid w:val="50C652E9"/>
    <w:rsid w:val="50C66DEA"/>
    <w:rsid w:val="512438D0"/>
    <w:rsid w:val="51254194"/>
    <w:rsid w:val="51272A94"/>
    <w:rsid w:val="5157768E"/>
    <w:rsid w:val="51600E2A"/>
    <w:rsid w:val="518E119C"/>
    <w:rsid w:val="51A771E0"/>
    <w:rsid w:val="51AE7DE7"/>
    <w:rsid w:val="51ED338B"/>
    <w:rsid w:val="51F60A51"/>
    <w:rsid w:val="52100545"/>
    <w:rsid w:val="525766EF"/>
    <w:rsid w:val="526E1A25"/>
    <w:rsid w:val="52A42F98"/>
    <w:rsid w:val="52AC3DC5"/>
    <w:rsid w:val="52BB63E1"/>
    <w:rsid w:val="52CC4967"/>
    <w:rsid w:val="52DA35C6"/>
    <w:rsid w:val="530B7354"/>
    <w:rsid w:val="53130F72"/>
    <w:rsid w:val="53200B21"/>
    <w:rsid w:val="5343364B"/>
    <w:rsid w:val="53A72636"/>
    <w:rsid w:val="53B20651"/>
    <w:rsid w:val="53BC6DCE"/>
    <w:rsid w:val="53D56537"/>
    <w:rsid w:val="53DF4487"/>
    <w:rsid w:val="53FF6292"/>
    <w:rsid w:val="5420178E"/>
    <w:rsid w:val="544967CB"/>
    <w:rsid w:val="546463D8"/>
    <w:rsid w:val="546A0B4F"/>
    <w:rsid w:val="546B0211"/>
    <w:rsid w:val="54D858AB"/>
    <w:rsid w:val="54F55D2D"/>
    <w:rsid w:val="54F851C8"/>
    <w:rsid w:val="54FE1085"/>
    <w:rsid w:val="55173218"/>
    <w:rsid w:val="554143B3"/>
    <w:rsid w:val="554A7758"/>
    <w:rsid w:val="554C0BBC"/>
    <w:rsid w:val="55921F4A"/>
    <w:rsid w:val="55C36E43"/>
    <w:rsid w:val="55D20AC1"/>
    <w:rsid w:val="55D72E3B"/>
    <w:rsid w:val="55F32BD4"/>
    <w:rsid w:val="563E5473"/>
    <w:rsid w:val="565E3DEE"/>
    <w:rsid w:val="566B21F1"/>
    <w:rsid w:val="56B934B6"/>
    <w:rsid w:val="57014E5D"/>
    <w:rsid w:val="57156E3E"/>
    <w:rsid w:val="571D48AF"/>
    <w:rsid w:val="57211FD5"/>
    <w:rsid w:val="57364B06"/>
    <w:rsid w:val="5748615E"/>
    <w:rsid w:val="575E4A81"/>
    <w:rsid w:val="576B0C96"/>
    <w:rsid w:val="57704EC8"/>
    <w:rsid w:val="57B77C19"/>
    <w:rsid w:val="57BD583E"/>
    <w:rsid w:val="57FC21DB"/>
    <w:rsid w:val="58273A30"/>
    <w:rsid w:val="58315F63"/>
    <w:rsid w:val="583203B4"/>
    <w:rsid w:val="58626171"/>
    <w:rsid w:val="58692CBA"/>
    <w:rsid w:val="586C1BA4"/>
    <w:rsid w:val="58762BA5"/>
    <w:rsid w:val="58795964"/>
    <w:rsid w:val="587A11EB"/>
    <w:rsid w:val="587B0885"/>
    <w:rsid w:val="58A04BBA"/>
    <w:rsid w:val="58A649F2"/>
    <w:rsid w:val="58A767AC"/>
    <w:rsid w:val="58BF1CF0"/>
    <w:rsid w:val="58E31F41"/>
    <w:rsid w:val="591A1572"/>
    <w:rsid w:val="598D0C58"/>
    <w:rsid w:val="59A510C1"/>
    <w:rsid w:val="59AE34E4"/>
    <w:rsid w:val="59C23F20"/>
    <w:rsid w:val="59CA62D9"/>
    <w:rsid w:val="59E7033A"/>
    <w:rsid w:val="5A0940B0"/>
    <w:rsid w:val="5A23582B"/>
    <w:rsid w:val="5A235989"/>
    <w:rsid w:val="5A256750"/>
    <w:rsid w:val="5A2849CF"/>
    <w:rsid w:val="5A3D1B93"/>
    <w:rsid w:val="5A3E6328"/>
    <w:rsid w:val="5A460C39"/>
    <w:rsid w:val="5A687A42"/>
    <w:rsid w:val="5A756480"/>
    <w:rsid w:val="5A83205A"/>
    <w:rsid w:val="5AAC3A8E"/>
    <w:rsid w:val="5ADC7773"/>
    <w:rsid w:val="5AF15F1D"/>
    <w:rsid w:val="5AF56A87"/>
    <w:rsid w:val="5B195FCF"/>
    <w:rsid w:val="5B2F1839"/>
    <w:rsid w:val="5B6A1223"/>
    <w:rsid w:val="5B742030"/>
    <w:rsid w:val="5BB76D84"/>
    <w:rsid w:val="5BBA59C2"/>
    <w:rsid w:val="5BE2022E"/>
    <w:rsid w:val="5BE537C3"/>
    <w:rsid w:val="5BF36A90"/>
    <w:rsid w:val="5BFA2CB2"/>
    <w:rsid w:val="5C0C7C03"/>
    <w:rsid w:val="5C254364"/>
    <w:rsid w:val="5C357339"/>
    <w:rsid w:val="5C550D5E"/>
    <w:rsid w:val="5C6D4AF5"/>
    <w:rsid w:val="5C822645"/>
    <w:rsid w:val="5CC86E35"/>
    <w:rsid w:val="5CEA2840"/>
    <w:rsid w:val="5CEC7C2B"/>
    <w:rsid w:val="5D09028C"/>
    <w:rsid w:val="5D137697"/>
    <w:rsid w:val="5D820EA5"/>
    <w:rsid w:val="5DA4778E"/>
    <w:rsid w:val="5DAF7A40"/>
    <w:rsid w:val="5DB449D7"/>
    <w:rsid w:val="5E2F27C4"/>
    <w:rsid w:val="5E58314B"/>
    <w:rsid w:val="5E60690D"/>
    <w:rsid w:val="5E6E576B"/>
    <w:rsid w:val="5E7423B8"/>
    <w:rsid w:val="5E884CAE"/>
    <w:rsid w:val="5E9254BE"/>
    <w:rsid w:val="5EAC0661"/>
    <w:rsid w:val="5EC40F6B"/>
    <w:rsid w:val="5ECC6A71"/>
    <w:rsid w:val="5F0229D5"/>
    <w:rsid w:val="5F7228F3"/>
    <w:rsid w:val="5FDD7D5E"/>
    <w:rsid w:val="5FF50BE3"/>
    <w:rsid w:val="600D5043"/>
    <w:rsid w:val="602558B6"/>
    <w:rsid w:val="60530B5A"/>
    <w:rsid w:val="606A12B5"/>
    <w:rsid w:val="606D57BE"/>
    <w:rsid w:val="60793CB6"/>
    <w:rsid w:val="607940A4"/>
    <w:rsid w:val="607C32B9"/>
    <w:rsid w:val="60864778"/>
    <w:rsid w:val="60875C32"/>
    <w:rsid w:val="60A34DA4"/>
    <w:rsid w:val="60CF3ADA"/>
    <w:rsid w:val="60D507BE"/>
    <w:rsid w:val="60D95374"/>
    <w:rsid w:val="61141D04"/>
    <w:rsid w:val="61165FF0"/>
    <w:rsid w:val="614E7402"/>
    <w:rsid w:val="61573193"/>
    <w:rsid w:val="615943EC"/>
    <w:rsid w:val="61612977"/>
    <w:rsid w:val="617C2B93"/>
    <w:rsid w:val="617D52DE"/>
    <w:rsid w:val="618A7526"/>
    <w:rsid w:val="618F19E3"/>
    <w:rsid w:val="61A209AB"/>
    <w:rsid w:val="61E07902"/>
    <w:rsid w:val="61F109D0"/>
    <w:rsid w:val="61F96D9A"/>
    <w:rsid w:val="62086AA6"/>
    <w:rsid w:val="62684AD5"/>
    <w:rsid w:val="62724B05"/>
    <w:rsid w:val="62775FD3"/>
    <w:rsid w:val="627806C9"/>
    <w:rsid w:val="627A1D7E"/>
    <w:rsid w:val="629E7BD7"/>
    <w:rsid w:val="62EA130F"/>
    <w:rsid w:val="62F11F57"/>
    <w:rsid w:val="631E087B"/>
    <w:rsid w:val="63476A4B"/>
    <w:rsid w:val="635D1ED6"/>
    <w:rsid w:val="636B3FC8"/>
    <w:rsid w:val="638C1E1F"/>
    <w:rsid w:val="63B514A9"/>
    <w:rsid w:val="63BA0A51"/>
    <w:rsid w:val="63E137D0"/>
    <w:rsid w:val="63E36F1A"/>
    <w:rsid w:val="63EE20BE"/>
    <w:rsid w:val="63F85592"/>
    <w:rsid w:val="6418742B"/>
    <w:rsid w:val="641D7A6F"/>
    <w:rsid w:val="64234664"/>
    <w:rsid w:val="648F7B43"/>
    <w:rsid w:val="64932A43"/>
    <w:rsid w:val="64A04A6E"/>
    <w:rsid w:val="64A67390"/>
    <w:rsid w:val="65105350"/>
    <w:rsid w:val="65586590"/>
    <w:rsid w:val="65610CAE"/>
    <w:rsid w:val="656A5627"/>
    <w:rsid w:val="65953DAB"/>
    <w:rsid w:val="65B17A4E"/>
    <w:rsid w:val="66080961"/>
    <w:rsid w:val="660D21C5"/>
    <w:rsid w:val="66187D5F"/>
    <w:rsid w:val="663B48C0"/>
    <w:rsid w:val="665A78B6"/>
    <w:rsid w:val="665C57AA"/>
    <w:rsid w:val="668E3AC5"/>
    <w:rsid w:val="66996E60"/>
    <w:rsid w:val="66D15D4D"/>
    <w:rsid w:val="66EE7955"/>
    <w:rsid w:val="670C42B0"/>
    <w:rsid w:val="672327F4"/>
    <w:rsid w:val="676034DA"/>
    <w:rsid w:val="678418BE"/>
    <w:rsid w:val="67C219D2"/>
    <w:rsid w:val="67CF684F"/>
    <w:rsid w:val="67DD328C"/>
    <w:rsid w:val="67F17EDA"/>
    <w:rsid w:val="67F25523"/>
    <w:rsid w:val="6803397A"/>
    <w:rsid w:val="68387ED8"/>
    <w:rsid w:val="685F1C03"/>
    <w:rsid w:val="685F5701"/>
    <w:rsid w:val="687E59EC"/>
    <w:rsid w:val="68AD1D88"/>
    <w:rsid w:val="68E41AE1"/>
    <w:rsid w:val="690C003F"/>
    <w:rsid w:val="692B55E8"/>
    <w:rsid w:val="693F770B"/>
    <w:rsid w:val="69650420"/>
    <w:rsid w:val="698542B2"/>
    <w:rsid w:val="69DB3C30"/>
    <w:rsid w:val="6A103383"/>
    <w:rsid w:val="6A362D48"/>
    <w:rsid w:val="6A681023"/>
    <w:rsid w:val="6A884B85"/>
    <w:rsid w:val="6AAB2D0E"/>
    <w:rsid w:val="6AB97CDD"/>
    <w:rsid w:val="6AC774C3"/>
    <w:rsid w:val="6ACE4215"/>
    <w:rsid w:val="6B0110A2"/>
    <w:rsid w:val="6B275A11"/>
    <w:rsid w:val="6B2C69F3"/>
    <w:rsid w:val="6B3844C9"/>
    <w:rsid w:val="6B8771F0"/>
    <w:rsid w:val="6B8F585B"/>
    <w:rsid w:val="6BD24299"/>
    <w:rsid w:val="6BE5555D"/>
    <w:rsid w:val="6C1C1DAC"/>
    <w:rsid w:val="6C1D408F"/>
    <w:rsid w:val="6C343193"/>
    <w:rsid w:val="6C4B637C"/>
    <w:rsid w:val="6C635F46"/>
    <w:rsid w:val="6C941E1D"/>
    <w:rsid w:val="6CAF04D4"/>
    <w:rsid w:val="6CB52DC2"/>
    <w:rsid w:val="6D0B446A"/>
    <w:rsid w:val="6D393B87"/>
    <w:rsid w:val="6D45564C"/>
    <w:rsid w:val="6D4F0744"/>
    <w:rsid w:val="6D875C64"/>
    <w:rsid w:val="6DBE7F60"/>
    <w:rsid w:val="6DC67B7D"/>
    <w:rsid w:val="6DF01700"/>
    <w:rsid w:val="6E0E76C9"/>
    <w:rsid w:val="6E1458DF"/>
    <w:rsid w:val="6E4A3E9B"/>
    <w:rsid w:val="6E5748C4"/>
    <w:rsid w:val="6E6E48BA"/>
    <w:rsid w:val="6ECA1F58"/>
    <w:rsid w:val="6ED31708"/>
    <w:rsid w:val="6ED51A3F"/>
    <w:rsid w:val="6EF26CB1"/>
    <w:rsid w:val="6F1B3519"/>
    <w:rsid w:val="6F2430A7"/>
    <w:rsid w:val="6F603C0C"/>
    <w:rsid w:val="6FAC445A"/>
    <w:rsid w:val="6FB50A17"/>
    <w:rsid w:val="6FD777A6"/>
    <w:rsid w:val="6FEB6D38"/>
    <w:rsid w:val="6FF0530B"/>
    <w:rsid w:val="7038437E"/>
    <w:rsid w:val="703A5210"/>
    <w:rsid w:val="70542A67"/>
    <w:rsid w:val="70762ABF"/>
    <w:rsid w:val="70786B4E"/>
    <w:rsid w:val="707970C2"/>
    <w:rsid w:val="708144AD"/>
    <w:rsid w:val="708B3598"/>
    <w:rsid w:val="70AB5A2B"/>
    <w:rsid w:val="70AF7185"/>
    <w:rsid w:val="70C218E4"/>
    <w:rsid w:val="70D34F84"/>
    <w:rsid w:val="70D41BEF"/>
    <w:rsid w:val="70D63069"/>
    <w:rsid w:val="70D951F8"/>
    <w:rsid w:val="70F41B5F"/>
    <w:rsid w:val="710270A0"/>
    <w:rsid w:val="7116647D"/>
    <w:rsid w:val="711941AF"/>
    <w:rsid w:val="712C6FCD"/>
    <w:rsid w:val="714E0D53"/>
    <w:rsid w:val="715E72BC"/>
    <w:rsid w:val="716D5171"/>
    <w:rsid w:val="71B2150C"/>
    <w:rsid w:val="71CC6370"/>
    <w:rsid w:val="71EE1771"/>
    <w:rsid w:val="71F72A35"/>
    <w:rsid w:val="7200434D"/>
    <w:rsid w:val="720061A2"/>
    <w:rsid w:val="7222617A"/>
    <w:rsid w:val="72421543"/>
    <w:rsid w:val="72460908"/>
    <w:rsid w:val="72531906"/>
    <w:rsid w:val="726E11A1"/>
    <w:rsid w:val="72856C52"/>
    <w:rsid w:val="730464B0"/>
    <w:rsid w:val="733A4193"/>
    <w:rsid w:val="73424E40"/>
    <w:rsid w:val="734414AE"/>
    <w:rsid w:val="734A7646"/>
    <w:rsid w:val="735D3FB1"/>
    <w:rsid w:val="73C80796"/>
    <w:rsid w:val="73D16E2D"/>
    <w:rsid w:val="73E63B99"/>
    <w:rsid w:val="741C721A"/>
    <w:rsid w:val="74562CED"/>
    <w:rsid w:val="749D5BFB"/>
    <w:rsid w:val="74B0139B"/>
    <w:rsid w:val="74D22B50"/>
    <w:rsid w:val="74DA6544"/>
    <w:rsid w:val="74F33324"/>
    <w:rsid w:val="754B78AE"/>
    <w:rsid w:val="758104C3"/>
    <w:rsid w:val="75A35D97"/>
    <w:rsid w:val="75B1742F"/>
    <w:rsid w:val="75BB0E76"/>
    <w:rsid w:val="75C9597F"/>
    <w:rsid w:val="75E874BC"/>
    <w:rsid w:val="75ED3686"/>
    <w:rsid w:val="75F31D1A"/>
    <w:rsid w:val="76521843"/>
    <w:rsid w:val="766E61B2"/>
    <w:rsid w:val="76BB6C79"/>
    <w:rsid w:val="76C71439"/>
    <w:rsid w:val="76D27098"/>
    <w:rsid w:val="76E36A87"/>
    <w:rsid w:val="76EC7343"/>
    <w:rsid w:val="76F71F72"/>
    <w:rsid w:val="770831FB"/>
    <w:rsid w:val="771941B0"/>
    <w:rsid w:val="77474D2A"/>
    <w:rsid w:val="77585F7B"/>
    <w:rsid w:val="775F4E15"/>
    <w:rsid w:val="776131A0"/>
    <w:rsid w:val="7779155B"/>
    <w:rsid w:val="77943EBF"/>
    <w:rsid w:val="77DD6905"/>
    <w:rsid w:val="77DF1F7E"/>
    <w:rsid w:val="77EB2510"/>
    <w:rsid w:val="77F75583"/>
    <w:rsid w:val="780315BC"/>
    <w:rsid w:val="78216CB5"/>
    <w:rsid w:val="78431EB9"/>
    <w:rsid w:val="786E31C5"/>
    <w:rsid w:val="789906F3"/>
    <w:rsid w:val="78BB4A14"/>
    <w:rsid w:val="78DC3215"/>
    <w:rsid w:val="794D0A2D"/>
    <w:rsid w:val="795502DE"/>
    <w:rsid w:val="795D38D0"/>
    <w:rsid w:val="799A0C43"/>
    <w:rsid w:val="79B64AD7"/>
    <w:rsid w:val="79BF0AE8"/>
    <w:rsid w:val="79D54859"/>
    <w:rsid w:val="79D62B6C"/>
    <w:rsid w:val="79DC6DE3"/>
    <w:rsid w:val="79E628A8"/>
    <w:rsid w:val="79F5735F"/>
    <w:rsid w:val="79FA33B9"/>
    <w:rsid w:val="79FA5BE2"/>
    <w:rsid w:val="7A157E90"/>
    <w:rsid w:val="7A4D4A34"/>
    <w:rsid w:val="7A4F098E"/>
    <w:rsid w:val="7A4F0E44"/>
    <w:rsid w:val="7A5E63FB"/>
    <w:rsid w:val="7A935435"/>
    <w:rsid w:val="7AA50EE9"/>
    <w:rsid w:val="7AA65434"/>
    <w:rsid w:val="7ABA0048"/>
    <w:rsid w:val="7AC01176"/>
    <w:rsid w:val="7AC81081"/>
    <w:rsid w:val="7ACA53E2"/>
    <w:rsid w:val="7ACB698B"/>
    <w:rsid w:val="7AE244DA"/>
    <w:rsid w:val="7AF94EAC"/>
    <w:rsid w:val="7B5E221C"/>
    <w:rsid w:val="7B61729C"/>
    <w:rsid w:val="7B786BEC"/>
    <w:rsid w:val="7BA55A70"/>
    <w:rsid w:val="7BBB10E2"/>
    <w:rsid w:val="7BC814C8"/>
    <w:rsid w:val="7BD34697"/>
    <w:rsid w:val="7C037805"/>
    <w:rsid w:val="7C044017"/>
    <w:rsid w:val="7C185DBB"/>
    <w:rsid w:val="7C6C7A09"/>
    <w:rsid w:val="7C985F1C"/>
    <w:rsid w:val="7CCF152D"/>
    <w:rsid w:val="7CDC7163"/>
    <w:rsid w:val="7CDD632B"/>
    <w:rsid w:val="7D2D1B3F"/>
    <w:rsid w:val="7D4E21B7"/>
    <w:rsid w:val="7D51005D"/>
    <w:rsid w:val="7D526D4C"/>
    <w:rsid w:val="7D5B4A17"/>
    <w:rsid w:val="7D8D669D"/>
    <w:rsid w:val="7D9236D0"/>
    <w:rsid w:val="7D935CBD"/>
    <w:rsid w:val="7D9F5436"/>
    <w:rsid w:val="7DA069F7"/>
    <w:rsid w:val="7DC23F72"/>
    <w:rsid w:val="7DD30A52"/>
    <w:rsid w:val="7DDA3D9C"/>
    <w:rsid w:val="7DF84014"/>
    <w:rsid w:val="7E493A04"/>
    <w:rsid w:val="7E4C66DD"/>
    <w:rsid w:val="7E531332"/>
    <w:rsid w:val="7EC21C17"/>
    <w:rsid w:val="7F2328F0"/>
    <w:rsid w:val="7FE26758"/>
    <w:rsid w:val="7FE44AE6"/>
    <w:rsid w:val="7FE616B2"/>
    <w:rsid w:val="7FF02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50" w:afterLines="50" w:line="300" w:lineRule="auto"/>
      <w:ind w:firstLine="420" w:firstLineChars="200"/>
    </w:pPr>
    <w:rPr>
      <w:rFonts w:ascii="仿宋" w:hAnsi="仿宋" w:eastAsia="仿宋" w:cstheme="minorBidi"/>
      <w:kern w:val="2"/>
      <w:sz w:val="24"/>
      <w:szCs w:val="24"/>
      <w:lang w:val="en-US" w:eastAsia="zh-CN" w:bidi="ar-SA"/>
    </w:rPr>
  </w:style>
  <w:style w:type="paragraph" w:styleId="3">
    <w:name w:val="heading 1"/>
    <w:next w:val="1"/>
    <w:link w:val="89"/>
    <w:autoRedefine/>
    <w:qFormat/>
    <w:uiPriority w:val="9"/>
    <w:pPr>
      <w:keepNext/>
      <w:keepLines/>
      <w:spacing w:before="50" w:beforeLines="50" w:after="50" w:afterLines="50" w:line="360" w:lineRule="auto"/>
      <w:outlineLvl w:val="0"/>
    </w:pPr>
    <w:rPr>
      <w:rFonts w:ascii="仿宋" w:hAnsi="仿宋" w:eastAsia="仿宋" w:cs="仿宋"/>
      <w:b/>
      <w:sz w:val="30"/>
      <w:lang w:val="en-US" w:eastAsia="zh-CN" w:bidi="ar-SA"/>
    </w:rPr>
  </w:style>
  <w:style w:type="paragraph" w:styleId="4">
    <w:name w:val="heading 2"/>
    <w:basedOn w:val="1"/>
    <w:next w:val="1"/>
    <w:link w:val="90"/>
    <w:unhideWhenUsed/>
    <w:qFormat/>
    <w:uiPriority w:val="9"/>
    <w:pPr>
      <w:keepNext/>
      <w:keepLines/>
      <w:spacing w:before="50" w:beforeLines="50" w:line="360" w:lineRule="auto"/>
      <w:ind w:firstLine="0" w:firstLineChars="0"/>
      <w:outlineLvl w:val="1"/>
    </w:pPr>
    <w:rPr>
      <w:sz w:val="28"/>
    </w:rPr>
  </w:style>
  <w:style w:type="paragraph" w:styleId="5">
    <w:name w:val="heading 3"/>
    <w:basedOn w:val="4"/>
    <w:next w:val="1"/>
    <w:link w:val="91"/>
    <w:unhideWhenUsed/>
    <w:qFormat/>
    <w:uiPriority w:val="0"/>
    <w:pPr>
      <w:keepNext/>
      <w:keepLines/>
      <w:spacing w:before="50" w:beforeLines="50" w:line="360" w:lineRule="auto"/>
      <w:ind w:firstLine="0" w:firstLineChars="0"/>
      <w:outlineLvl w:val="2"/>
    </w:pPr>
  </w:style>
  <w:style w:type="paragraph" w:styleId="6">
    <w:name w:val="heading 4"/>
    <w:basedOn w:val="1"/>
    <w:next w:val="1"/>
    <w:link w:val="92"/>
    <w:autoRedefine/>
    <w:unhideWhenUsed/>
    <w:qFormat/>
    <w:uiPriority w:val="99"/>
    <w:pPr>
      <w:keepNext/>
      <w:keepLines/>
      <w:widowControl w:val="0"/>
      <w:spacing w:line="360" w:lineRule="auto"/>
      <w:ind w:firstLine="200" w:firstLineChars="200"/>
      <w:jc w:val="both"/>
      <w:outlineLvl w:val="3"/>
    </w:pPr>
    <w:rPr>
      <w:rFonts w:ascii="宋体" w:hAnsi="宋体" w:eastAsia="宋体" w:cs="Times New Roman"/>
      <w:b/>
      <w:bCs/>
      <w:kern w:val="2"/>
      <w:sz w:val="24"/>
      <w:szCs w:val="28"/>
      <w:lang w:val="en-US" w:eastAsia="zh-CN" w:bidi="ar-SA"/>
    </w:rPr>
  </w:style>
  <w:style w:type="paragraph" w:styleId="7">
    <w:name w:val="heading 5"/>
    <w:basedOn w:val="1"/>
    <w:next w:val="1"/>
    <w:link w:val="84"/>
    <w:autoRedefine/>
    <w:qFormat/>
    <w:uiPriority w:val="0"/>
    <w:pPr>
      <w:keepNext/>
      <w:keepLines/>
      <w:tabs>
        <w:tab w:val="left" w:pos="0"/>
      </w:tabs>
      <w:adjustRightInd w:val="0"/>
      <w:snapToGrid w:val="0"/>
      <w:spacing w:after="0" w:afterLines="0" w:line="360" w:lineRule="auto"/>
      <w:ind w:firstLine="0" w:firstLineChars="0"/>
      <w:jc w:val="both"/>
      <w:outlineLvl w:val="4"/>
    </w:pPr>
    <w:rPr>
      <w:rFonts w:ascii="Times New Roman" w:hAnsi="Times New Roman" w:eastAsia="宋体" w:cs="Times New Roman"/>
      <w:b/>
      <w:bCs/>
      <w:szCs w:val="21"/>
    </w:rPr>
  </w:style>
  <w:style w:type="paragraph" w:styleId="8">
    <w:name w:val="heading 6"/>
    <w:basedOn w:val="1"/>
    <w:next w:val="1"/>
    <w:link w:val="85"/>
    <w:autoRedefine/>
    <w:qFormat/>
    <w:uiPriority w:val="0"/>
    <w:pPr>
      <w:keepNext/>
      <w:keepLines/>
      <w:tabs>
        <w:tab w:val="left" w:pos="0"/>
      </w:tabs>
      <w:adjustRightInd w:val="0"/>
      <w:snapToGrid w:val="0"/>
      <w:spacing w:before="240" w:after="64" w:afterLines="0" w:line="317" w:lineRule="auto"/>
      <w:ind w:left="1151" w:firstLine="0" w:firstLineChars="0"/>
      <w:jc w:val="both"/>
      <w:outlineLvl w:val="5"/>
    </w:pPr>
    <w:rPr>
      <w:rFonts w:ascii="Arial" w:hAnsi="Arial" w:eastAsia="黑体" w:cs="Times New Roman"/>
      <w:b/>
    </w:rPr>
  </w:style>
  <w:style w:type="paragraph" w:styleId="9">
    <w:name w:val="heading 7"/>
    <w:basedOn w:val="1"/>
    <w:next w:val="1"/>
    <w:link w:val="86"/>
    <w:autoRedefine/>
    <w:qFormat/>
    <w:uiPriority w:val="0"/>
    <w:pPr>
      <w:keepNext/>
      <w:keepLines/>
      <w:tabs>
        <w:tab w:val="left" w:pos="0"/>
      </w:tabs>
      <w:adjustRightInd w:val="0"/>
      <w:snapToGrid w:val="0"/>
      <w:spacing w:before="240" w:after="64" w:afterLines="0" w:line="317" w:lineRule="auto"/>
      <w:ind w:left="1296" w:firstLine="0" w:firstLineChars="0"/>
      <w:jc w:val="both"/>
      <w:outlineLvl w:val="6"/>
    </w:pPr>
    <w:rPr>
      <w:rFonts w:ascii="Times New Roman" w:hAnsi="Times New Roman" w:eastAsia="宋体" w:cs="Times New Roman"/>
      <w:b/>
    </w:rPr>
  </w:style>
  <w:style w:type="paragraph" w:styleId="10">
    <w:name w:val="heading 8"/>
    <w:basedOn w:val="1"/>
    <w:next w:val="1"/>
    <w:link w:val="87"/>
    <w:autoRedefine/>
    <w:qFormat/>
    <w:uiPriority w:val="0"/>
    <w:pPr>
      <w:keepNext/>
      <w:keepLines/>
      <w:tabs>
        <w:tab w:val="left" w:pos="0"/>
      </w:tabs>
      <w:adjustRightInd w:val="0"/>
      <w:snapToGrid w:val="0"/>
      <w:spacing w:before="240" w:after="64" w:afterLines="0" w:line="317" w:lineRule="auto"/>
      <w:ind w:left="1440" w:firstLine="0" w:firstLineChars="0"/>
      <w:jc w:val="both"/>
      <w:outlineLvl w:val="7"/>
    </w:pPr>
    <w:rPr>
      <w:rFonts w:ascii="Arial" w:hAnsi="Arial" w:eastAsia="黑体" w:cs="Times New Roman"/>
    </w:rPr>
  </w:style>
  <w:style w:type="paragraph" w:styleId="11">
    <w:name w:val="heading 9"/>
    <w:basedOn w:val="1"/>
    <w:next w:val="1"/>
    <w:link w:val="88"/>
    <w:autoRedefine/>
    <w:qFormat/>
    <w:uiPriority w:val="0"/>
    <w:pPr>
      <w:keepNext/>
      <w:keepLines/>
      <w:tabs>
        <w:tab w:val="left" w:pos="0"/>
      </w:tabs>
      <w:adjustRightInd w:val="0"/>
      <w:snapToGrid w:val="0"/>
      <w:spacing w:before="240" w:after="64" w:afterLines="0" w:line="317" w:lineRule="auto"/>
      <w:ind w:left="1583" w:firstLine="0" w:firstLineChars="0"/>
      <w:jc w:val="both"/>
      <w:outlineLvl w:val="8"/>
    </w:pPr>
    <w:rPr>
      <w:rFonts w:ascii="Arial" w:hAnsi="Arial" w:eastAsia="黑体" w:cs="Times New Roman"/>
      <w:sz w:val="21"/>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18"/>
    <w:autoRedefine/>
    <w:qFormat/>
    <w:uiPriority w:val="0"/>
    <w:pPr>
      <w:widowControl w:val="0"/>
    </w:pPr>
    <w:rPr>
      <w:rFonts w:ascii="Calibri" w:hAnsi="Calibri" w:eastAsia="仿宋" w:cs="仿宋"/>
      <w:kern w:val="3"/>
      <w:sz w:val="28"/>
      <w:szCs w:val="24"/>
      <w:lang w:val="en-US" w:eastAsia="zh-CN" w:bidi="ar-SA"/>
    </w:rPr>
  </w:style>
  <w:style w:type="paragraph" w:styleId="12">
    <w:name w:val="Normal Indent"/>
    <w:basedOn w:val="1"/>
    <w:next w:val="13"/>
    <w:link w:val="202"/>
    <w:autoRedefine/>
    <w:unhideWhenUsed/>
    <w:qFormat/>
    <w:uiPriority w:val="0"/>
    <w:pPr>
      <w:spacing w:after="0" w:afterLines="0" w:line="360" w:lineRule="auto"/>
      <w:jc w:val="both"/>
    </w:pPr>
    <w:rPr>
      <w:rFonts w:ascii="Times New Roman" w:hAnsi="Times New Roman" w:eastAsia="宋体" w:cs="Times New Roman"/>
      <w:szCs w:val="21"/>
    </w:rPr>
  </w:style>
  <w:style w:type="paragraph" w:styleId="13">
    <w:name w:val="Body Text First Indent"/>
    <w:basedOn w:val="2"/>
    <w:link w:val="83"/>
    <w:autoRedefine/>
    <w:qFormat/>
    <w:uiPriority w:val="0"/>
    <w:pPr>
      <w:widowControl w:val="0"/>
      <w:spacing w:line="312" w:lineRule="auto"/>
      <w:ind w:firstLine="420"/>
      <w:jc w:val="both"/>
    </w:pPr>
    <w:rPr>
      <w:rFonts w:ascii="Times New Roman" w:hAnsi="Times New Roman" w:eastAsia="宋体" w:cs="Times New Roman"/>
      <w:kern w:val="2"/>
      <w:sz w:val="28"/>
      <w:szCs w:val="24"/>
      <w:lang w:val="en-US" w:eastAsia="zh-CN" w:bidi="ar-SA"/>
    </w:rPr>
  </w:style>
  <w:style w:type="paragraph" w:styleId="14">
    <w:name w:val="caption"/>
    <w:basedOn w:val="1"/>
    <w:next w:val="1"/>
    <w:link w:val="170"/>
    <w:autoRedefine/>
    <w:qFormat/>
    <w:uiPriority w:val="0"/>
    <w:pPr>
      <w:widowControl w:val="0"/>
      <w:spacing w:line="300" w:lineRule="auto"/>
      <w:jc w:val="center"/>
    </w:pPr>
    <w:rPr>
      <w:rFonts w:ascii="仿宋" w:hAnsi="仿宋" w:eastAsia="仿宋" w:cs="仿宋"/>
      <w:b/>
      <w:kern w:val="3"/>
      <w:sz w:val="24"/>
      <w:szCs w:val="21"/>
      <w:lang w:val="en-US" w:eastAsia="zh-CN" w:bidi="ar-SA"/>
    </w:rPr>
  </w:style>
  <w:style w:type="paragraph" w:styleId="15">
    <w:name w:val="Document Map"/>
    <w:basedOn w:val="1"/>
    <w:link w:val="195"/>
    <w:autoRedefine/>
    <w:unhideWhenUsed/>
    <w:qFormat/>
    <w:uiPriority w:val="99"/>
    <w:pPr>
      <w:spacing w:after="0" w:afterLines="0" w:line="360" w:lineRule="auto"/>
      <w:ind w:firstLine="200"/>
      <w:jc w:val="both"/>
    </w:pPr>
    <w:rPr>
      <w:rFonts w:ascii="Microsoft YaHei UI" w:hAnsi="Times New Roman" w:eastAsia="Microsoft YaHei UI" w:cs="Times New Roman"/>
      <w:sz w:val="18"/>
      <w:szCs w:val="18"/>
    </w:rPr>
  </w:style>
  <w:style w:type="paragraph" w:styleId="16">
    <w:name w:val="annotation text"/>
    <w:basedOn w:val="1"/>
    <w:link w:val="52"/>
    <w:autoRedefine/>
    <w:qFormat/>
    <w:uiPriority w:val="0"/>
  </w:style>
  <w:style w:type="paragraph" w:styleId="17">
    <w:name w:val="Body Text 3"/>
    <w:basedOn w:val="1"/>
    <w:link w:val="237"/>
    <w:autoRedefine/>
    <w:qFormat/>
    <w:uiPriority w:val="0"/>
    <w:pPr>
      <w:adjustRightInd w:val="0"/>
      <w:snapToGrid w:val="0"/>
      <w:spacing w:after="0" w:afterLines="0" w:line="360" w:lineRule="auto"/>
      <w:ind w:firstLine="663" w:firstLineChars="150"/>
    </w:pPr>
    <w:rPr>
      <w:rFonts w:ascii="Times New Roman" w:hAnsi="Times New Roman" w:eastAsia="宋体" w:cs="Times New Roman"/>
    </w:rPr>
  </w:style>
  <w:style w:type="paragraph" w:styleId="18">
    <w:name w:val="Body Text Indent"/>
    <w:basedOn w:val="1"/>
    <w:link w:val="222"/>
    <w:autoRedefine/>
    <w:qFormat/>
    <w:uiPriority w:val="0"/>
    <w:pPr>
      <w:widowControl w:val="0"/>
      <w:spacing w:line="360" w:lineRule="auto"/>
      <w:ind w:firstLine="570" w:firstLineChars="200"/>
    </w:pPr>
    <w:rPr>
      <w:rFonts w:ascii="宋体" w:hAnsi="宋体" w:eastAsia="仿宋" w:cs="宋体"/>
      <w:color w:val="000000"/>
      <w:sz w:val="28"/>
      <w:szCs w:val="28"/>
      <w:lang w:val="en-US" w:eastAsia="zh-CN" w:bidi="ar-SA"/>
    </w:rPr>
  </w:style>
  <w:style w:type="paragraph" w:styleId="19">
    <w:name w:val="toc 3"/>
    <w:basedOn w:val="1"/>
    <w:next w:val="1"/>
    <w:autoRedefine/>
    <w:qFormat/>
    <w:uiPriority w:val="39"/>
    <w:pPr>
      <w:adjustRightInd w:val="0"/>
      <w:snapToGrid w:val="0"/>
      <w:spacing w:after="0" w:afterLines="0" w:line="312" w:lineRule="auto"/>
      <w:ind w:firstLine="1325" w:firstLineChars="300"/>
      <w:jc w:val="both"/>
    </w:pPr>
    <w:rPr>
      <w:rFonts w:ascii="Times New Roman" w:hAnsi="Times New Roman" w:eastAsia="宋体" w:cs="Times New Roman"/>
      <w:sz w:val="21"/>
    </w:rPr>
  </w:style>
  <w:style w:type="paragraph" w:styleId="20">
    <w:name w:val="Plain Text"/>
    <w:basedOn w:val="1"/>
    <w:link w:val="54"/>
    <w:autoRedefine/>
    <w:qFormat/>
    <w:uiPriority w:val="99"/>
    <w:pPr>
      <w:spacing w:line="240" w:lineRule="auto"/>
      <w:ind w:firstLine="0" w:firstLineChars="0"/>
    </w:pPr>
    <w:rPr>
      <w:rFonts w:ascii="宋体" w:hAnsi="宋体"/>
    </w:rPr>
  </w:style>
  <w:style w:type="paragraph" w:styleId="21">
    <w:name w:val="Date"/>
    <w:basedOn w:val="1"/>
    <w:next w:val="1"/>
    <w:link w:val="57"/>
    <w:autoRedefine/>
    <w:qFormat/>
    <w:uiPriority w:val="0"/>
    <w:pPr>
      <w:ind w:left="100" w:leftChars="2500"/>
    </w:pPr>
  </w:style>
  <w:style w:type="paragraph" w:styleId="22">
    <w:name w:val="Body Text Indent 2"/>
    <w:basedOn w:val="1"/>
    <w:link w:val="238"/>
    <w:autoRedefine/>
    <w:qFormat/>
    <w:uiPriority w:val="99"/>
    <w:pPr>
      <w:ind w:firstLine="927" w:firstLineChars="331"/>
    </w:pPr>
    <w:rPr>
      <w:rFonts w:ascii="仿宋_GB2312" w:hAnsi="宋体" w:eastAsia="仿宋_GB2312"/>
      <w:sz w:val="28"/>
    </w:rPr>
  </w:style>
  <w:style w:type="paragraph" w:styleId="23">
    <w:name w:val="Balloon Text"/>
    <w:basedOn w:val="1"/>
    <w:link w:val="239"/>
    <w:autoRedefine/>
    <w:qFormat/>
    <w:uiPriority w:val="0"/>
    <w:pPr>
      <w:adjustRightInd w:val="0"/>
      <w:snapToGrid w:val="0"/>
      <w:spacing w:after="0" w:afterLines="0" w:line="360" w:lineRule="auto"/>
      <w:ind w:firstLine="883"/>
      <w:jc w:val="both"/>
    </w:pPr>
    <w:rPr>
      <w:rFonts w:ascii="Times New Roman" w:hAnsi="Times New Roman" w:eastAsia="宋体" w:cs="Times New Roman"/>
      <w:sz w:val="18"/>
      <w:szCs w:val="18"/>
    </w:rPr>
  </w:style>
  <w:style w:type="paragraph" w:styleId="24">
    <w:name w:val="footer"/>
    <w:basedOn w:val="1"/>
    <w:link w:val="82"/>
    <w:autoRedefine/>
    <w:qFormat/>
    <w:uiPriority w:val="99"/>
    <w:pPr>
      <w:tabs>
        <w:tab w:val="center" w:pos="4153"/>
        <w:tab w:val="right" w:pos="8306"/>
      </w:tabs>
      <w:snapToGrid w:val="0"/>
    </w:pPr>
    <w:rPr>
      <w:sz w:val="18"/>
    </w:rPr>
  </w:style>
  <w:style w:type="paragraph" w:styleId="25">
    <w:name w:val="header"/>
    <w:basedOn w:val="1"/>
    <w:link w:val="9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6">
    <w:name w:val="toc 1"/>
    <w:basedOn w:val="1"/>
    <w:next w:val="1"/>
    <w:link w:val="101"/>
    <w:autoRedefine/>
    <w:qFormat/>
    <w:uiPriority w:val="39"/>
  </w:style>
  <w:style w:type="paragraph" w:styleId="27">
    <w:name w:val="Subtitle"/>
    <w:basedOn w:val="1"/>
    <w:next w:val="1"/>
    <w:link w:val="240"/>
    <w:autoRedefine/>
    <w:qFormat/>
    <w:uiPriority w:val="11"/>
    <w:pPr>
      <w:adjustRightInd w:val="0"/>
      <w:snapToGrid w:val="0"/>
      <w:spacing w:before="240" w:after="60" w:afterLines="0" w:line="312" w:lineRule="auto"/>
      <w:ind w:firstLine="883"/>
      <w:jc w:val="center"/>
      <w:outlineLvl w:val="1"/>
    </w:pPr>
    <w:rPr>
      <w:rFonts w:ascii="Cambria" w:hAnsi="Cambria" w:eastAsia="宋体" w:cs="Times New Roman"/>
      <w:b/>
      <w:bCs/>
      <w:kern w:val="28"/>
      <w:sz w:val="32"/>
      <w:szCs w:val="32"/>
    </w:rPr>
  </w:style>
  <w:style w:type="paragraph" w:styleId="28">
    <w:name w:val="Body Text Indent 3"/>
    <w:basedOn w:val="1"/>
    <w:link w:val="241"/>
    <w:autoRedefine/>
    <w:qFormat/>
    <w:uiPriority w:val="0"/>
    <w:pPr>
      <w:adjustRightInd w:val="0"/>
      <w:snapToGrid w:val="0"/>
      <w:spacing w:after="120" w:afterLines="0" w:line="360" w:lineRule="auto"/>
      <w:ind w:left="420" w:leftChars="200" w:firstLine="883"/>
      <w:jc w:val="both"/>
    </w:pPr>
    <w:rPr>
      <w:rFonts w:ascii="Times New Roman" w:hAnsi="Times New Roman" w:eastAsia="宋体" w:cs="Times New Roman"/>
      <w:sz w:val="16"/>
      <w:szCs w:val="16"/>
    </w:rPr>
  </w:style>
  <w:style w:type="paragraph" w:styleId="29">
    <w:name w:val="toc 2"/>
    <w:basedOn w:val="1"/>
    <w:next w:val="1"/>
    <w:autoRedefine/>
    <w:qFormat/>
    <w:uiPriority w:val="39"/>
    <w:pPr>
      <w:ind w:left="420" w:leftChars="200"/>
    </w:pPr>
  </w:style>
  <w:style w:type="paragraph" w:styleId="30">
    <w:name w:val="Body Text 2"/>
    <w:basedOn w:val="1"/>
    <w:link w:val="242"/>
    <w:autoRedefine/>
    <w:qFormat/>
    <w:uiPriority w:val="0"/>
    <w:pPr>
      <w:adjustRightInd w:val="0"/>
      <w:snapToGrid w:val="0"/>
      <w:spacing w:after="120" w:afterLines="0" w:line="480" w:lineRule="auto"/>
      <w:ind w:firstLine="883"/>
      <w:jc w:val="both"/>
    </w:pPr>
    <w:rPr>
      <w:rFonts w:ascii="Times New Roman" w:hAnsi="Times New Roman" w:eastAsia="宋体" w:cs="Times New Roman"/>
    </w:rPr>
  </w:style>
  <w:style w:type="paragraph" w:styleId="31">
    <w:name w:val="Normal (Web)"/>
    <w:link w:val="216"/>
    <w:autoRedefine/>
    <w:unhideWhenUsed/>
    <w:qFormat/>
    <w:uiPriority w:val="99"/>
    <w:pPr>
      <w:spacing w:before="100" w:beforeAutospacing="1" w:after="100" w:afterAutospacing="1" w:line="360" w:lineRule="auto"/>
      <w:ind w:firstLine="200" w:firstLineChars="200"/>
    </w:pPr>
    <w:rPr>
      <w:rFonts w:cs="Times New Roman" w:asciiTheme="minorHAnsi" w:hAnsiTheme="minorHAnsi" w:eastAsiaTheme="minorEastAsia"/>
      <w:sz w:val="24"/>
      <w:szCs w:val="24"/>
      <w:lang w:val="en-US" w:eastAsia="zh-CN" w:bidi="ar-SA"/>
    </w:rPr>
  </w:style>
  <w:style w:type="paragraph" w:styleId="32">
    <w:name w:val="Title"/>
    <w:basedOn w:val="1"/>
    <w:next w:val="1"/>
    <w:link w:val="199"/>
    <w:autoRedefine/>
    <w:qFormat/>
    <w:uiPriority w:val="10"/>
    <w:pPr>
      <w:spacing w:before="240" w:after="60" w:afterLines="0" w:line="360" w:lineRule="auto"/>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33">
    <w:name w:val="annotation subject"/>
    <w:basedOn w:val="16"/>
    <w:next w:val="16"/>
    <w:link w:val="53"/>
    <w:autoRedefine/>
    <w:qFormat/>
    <w:uiPriority w:val="0"/>
    <w:rPr>
      <w:b/>
      <w:bCs/>
    </w:rPr>
  </w:style>
  <w:style w:type="paragraph" w:styleId="34">
    <w:name w:val="Body Text First Indent 2"/>
    <w:basedOn w:val="18"/>
    <w:next w:val="2"/>
    <w:link w:val="223"/>
    <w:autoRedefine/>
    <w:qFormat/>
    <w:uiPriority w:val="0"/>
    <w:pPr>
      <w:widowControl w:val="0"/>
      <w:spacing w:line="360" w:lineRule="auto"/>
      <w:ind w:firstLine="420" w:firstLineChars="200"/>
    </w:pPr>
    <w:rPr>
      <w:rFonts w:ascii="文鼎书宋简" w:hAnsi="宋体" w:eastAsia="文鼎书宋简" w:cs="宋体"/>
      <w:color w:val="000000"/>
      <w:spacing w:val="12"/>
      <w:sz w:val="24"/>
      <w:szCs w:val="28"/>
      <w:lang w:val="en-US" w:eastAsia="zh-CN" w:bidi="ar-SA"/>
    </w:rPr>
  </w:style>
  <w:style w:type="table" w:styleId="36">
    <w:name w:val="Table Grid"/>
    <w:basedOn w:val="3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0"/>
    <w:rPr>
      <w:b/>
    </w:rPr>
  </w:style>
  <w:style w:type="character" w:styleId="39">
    <w:name w:val="page number"/>
    <w:basedOn w:val="37"/>
    <w:autoRedefine/>
    <w:qFormat/>
    <w:uiPriority w:val="0"/>
  </w:style>
  <w:style w:type="character" w:styleId="40">
    <w:name w:val="FollowedHyperlink"/>
    <w:basedOn w:val="37"/>
    <w:autoRedefine/>
    <w:unhideWhenUsed/>
    <w:qFormat/>
    <w:uiPriority w:val="99"/>
    <w:rPr>
      <w:color w:val="954F72"/>
      <w:u w:val="single"/>
    </w:rPr>
  </w:style>
  <w:style w:type="character" w:styleId="41">
    <w:name w:val="Hyperlink"/>
    <w:basedOn w:val="37"/>
    <w:autoRedefine/>
    <w:unhideWhenUsed/>
    <w:qFormat/>
    <w:uiPriority w:val="99"/>
    <w:rPr>
      <w:color w:val="0563C1" w:themeColor="hyperlink"/>
      <w:u w:val="single"/>
      <w14:textFill>
        <w14:solidFill>
          <w14:schemeClr w14:val="hlink"/>
        </w14:solidFill>
      </w14:textFill>
    </w:rPr>
  </w:style>
  <w:style w:type="character" w:styleId="42">
    <w:name w:val="annotation reference"/>
    <w:basedOn w:val="37"/>
    <w:autoRedefine/>
    <w:qFormat/>
    <w:uiPriority w:val="0"/>
    <w:rPr>
      <w:sz w:val="21"/>
      <w:szCs w:val="21"/>
    </w:rPr>
  </w:style>
  <w:style w:type="paragraph" w:customStyle="1" w:styleId="43">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paragraph" w:customStyle="1" w:styleId="44">
    <w:name w:val="K正文"/>
    <w:link w:val="201"/>
    <w:autoRedefine/>
    <w:qFormat/>
    <w:uiPriority w:val="0"/>
    <w:pPr>
      <w:widowControl w:val="0"/>
      <w:spacing w:line="360" w:lineRule="auto"/>
      <w:ind w:firstLine="200" w:firstLineChars="200"/>
    </w:pPr>
    <w:rPr>
      <w:rFonts w:ascii="仿宋" w:hAnsi="仿宋" w:eastAsia="仿宋" w:cs="仿宋"/>
      <w:kern w:val="3"/>
      <w:sz w:val="28"/>
      <w:szCs w:val="28"/>
      <w:lang w:val="en-US" w:eastAsia="zh-CN" w:bidi="ar-SA"/>
    </w:rPr>
  </w:style>
  <w:style w:type="paragraph" w:customStyle="1" w:styleId="45">
    <w:name w:val="表格内容"/>
    <w:link w:val="292"/>
    <w:autoRedefine/>
    <w:qFormat/>
    <w:uiPriority w:val="0"/>
    <w:pPr>
      <w:jc w:val="center"/>
    </w:pPr>
    <w:rPr>
      <w:rFonts w:ascii="楷体_GB2312" w:hAnsi="Times New Roman" w:eastAsia="楷体_GB2312" w:cs="Times New Roman"/>
      <w:sz w:val="24"/>
      <w:lang w:val="en-US" w:eastAsia="zh-CN" w:bidi="ar-SA"/>
    </w:rPr>
  </w:style>
  <w:style w:type="character" w:customStyle="1" w:styleId="46">
    <w:name w:val="font01"/>
    <w:basedOn w:val="37"/>
    <w:autoRedefine/>
    <w:qFormat/>
    <w:uiPriority w:val="0"/>
    <w:rPr>
      <w:rFonts w:hint="eastAsia" w:ascii="宋体" w:hAnsi="宋体" w:eastAsia="宋体" w:cs="宋体"/>
      <w:b/>
      <w:color w:val="000000"/>
      <w:sz w:val="20"/>
      <w:szCs w:val="20"/>
      <w:u w:val="none"/>
    </w:rPr>
  </w:style>
  <w:style w:type="character" w:customStyle="1" w:styleId="47">
    <w:name w:val="font51"/>
    <w:basedOn w:val="37"/>
    <w:autoRedefine/>
    <w:qFormat/>
    <w:uiPriority w:val="0"/>
    <w:rPr>
      <w:rFonts w:hint="eastAsia" w:ascii="宋体" w:hAnsi="宋体" w:eastAsia="宋体" w:cs="宋体"/>
      <w:color w:val="000000"/>
      <w:sz w:val="20"/>
      <w:szCs w:val="20"/>
      <w:u w:val="none"/>
    </w:rPr>
  </w:style>
  <w:style w:type="paragraph" w:styleId="48">
    <w:name w:val="List Paragraph"/>
    <w:basedOn w:val="1"/>
    <w:link w:val="233"/>
    <w:autoRedefine/>
    <w:qFormat/>
    <w:uiPriority w:val="0"/>
  </w:style>
  <w:style w:type="paragraph" w:customStyle="1" w:styleId="49">
    <w:name w:val="方案正文"/>
    <w:basedOn w:val="1"/>
    <w:autoRedefine/>
    <w:qFormat/>
    <w:uiPriority w:val="0"/>
    <w:rPr>
      <w:rFonts w:ascii="宋体" w:hAnsi="宋体" w:cs="Times New Roman"/>
      <w:sz w:val="28"/>
      <w:szCs w:val="20"/>
    </w:rPr>
  </w:style>
  <w:style w:type="table" w:customStyle="1" w:styleId="50">
    <w:name w:val="网格型1"/>
    <w:basedOn w:val="35"/>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网格型2"/>
    <w:basedOn w:val="35"/>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批注文字 字符"/>
    <w:basedOn w:val="37"/>
    <w:link w:val="16"/>
    <w:autoRedefine/>
    <w:qFormat/>
    <w:uiPriority w:val="0"/>
    <w:rPr>
      <w:rFonts w:ascii="仿宋" w:hAnsi="仿宋" w:eastAsia="仿宋" w:cstheme="minorBidi"/>
      <w:kern w:val="2"/>
      <w:sz w:val="24"/>
      <w:szCs w:val="24"/>
    </w:rPr>
  </w:style>
  <w:style w:type="character" w:customStyle="1" w:styleId="53">
    <w:name w:val="批注主题 字符"/>
    <w:basedOn w:val="52"/>
    <w:link w:val="33"/>
    <w:autoRedefine/>
    <w:qFormat/>
    <w:uiPriority w:val="0"/>
    <w:rPr>
      <w:rFonts w:ascii="仿宋" w:hAnsi="仿宋" w:eastAsia="仿宋" w:cstheme="minorBidi"/>
      <w:b/>
      <w:bCs/>
      <w:kern w:val="2"/>
      <w:sz w:val="24"/>
      <w:szCs w:val="24"/>
    </w:rPr>
  </w:style>
  <w:style w:type="character" w:customStyle="1" w:styleId="54">
    <w:name w:val="纯文本 字符"/>
    <w:basedOn w:val="37"/>
    <w:link w:val="20"/>
    <w:autoRedefine/>
    <w:qFormat/>
    <w:uiPriority w:val="99"/>
    <w:rPr>
      <w:rFonts w:ascii="宋体" w:hAnsi="宋体" w:eastAsia="仿宋" w:cstheme="minorBidi"/>
      <w:kern w:val="2"/>
      <w:sz w:val="24"/>
      <w:szCs w:val="24"/>
    </w:rPr>
  </w:style>
  <w:style w:type="paragraph" w:styleId="55">
    <w:name w:val="No Spacing"/>
    <w:link w:val="56"/>
    <w:autoRedefine/>
    <w:qFormat/>
    <w:uiPriority w:val="0"/>
    <w:rPr>
      <w:rFonts w:ascii="Calibri" w:hAnsi="Calibri" w:eastAsia="宋体" w:cs="Times New Roman"/>
      <w:sz w:val="22"/>
      <w:szCs w:val="22"/>
      <w:lang w:val="en-US" w:eastAsia="zh-CN" w:bidi="ar-SA"/>
    </w:rPr>
  </w:style>
  <w:style w:type="character" w:customStyle="1" w:styleId="56">
    <w:name w:val="无间隔 字符"/>
    <w:link w:val="55"/>
    <w:autoRedefine/>
    <w:qFormat/>
    <w:uiPriority w:val="0"/>
    <w:rPr>
      <w:rFonts w:ascii="Calibri" w:hAnsi="Calibri"/>
      <w:sz w:val="22"/>
      <w:szCs w:val="22"/>
    </w:rPr>
  </w:style>
  <w:style w:type="character" w:customStyle="1" w:styleId="57">
    <w:name w:val="日期 字符"/>
    <w:basedOn w:val="37"/>
    <w:link w:val="21"/>
    <w:autoRedefine/>
    <w:qFormat/>
    <w:uiPriority w:val="0"/>
    <w:rPr>
      <w:rFonts w:ascii="仿宋" w:hAnsi="仿宋" w:eastAsia="仿宋" w:cstheme="minorBidi"/>
      <w:kern w:val="2"/>
      <w:sz w:val="24"/>
      <w:szCs w:val="24"/>
    </w:rPr>
  </w:style>
  <w:style w:type="character" w:customStyle="1" w:styleId="58">
    <w:name w:val="fontstyle01"/>
    <w:autoRedefine/>
    <w:qFormat/>
    <w:uiPriority w:val="0"/>
    <w:rPr>
      <w:rFonts w:hint="eastAsia" w:ascii="仿宋_GB2312" w:eastAsia="仿宋_GB2312"/>
      <w:color w:val="000000"/>
      <w:sz w:val="24"/>
      <w:szCs w:val="24"/>
    </w:rPr>
  </w:style>
  <w:style w:type="paragraph" w:customStyle="1" w:styleId="59">
    <w:name w:val="图表标题"/>
    <w:link w:val="96"/>
    <w:autoRedefine/>
    <w:qFormat/>
    <w:uiPriority w:val="0"/>
    <w:pPr>
      <w:widowControl w:val="0"/>
      <w:snapToGrid w:val="0"/>
      <w:spacing w:line="360" w:lineRule="auto"/>
      <w:ind w:firstLine="723" w:firstLineChars="200"/>
      <w:jc w:val="center"/>
    </w:pPr>
    <w:rPr>
      <w:rFonts w:hint="eastAsia" w:ascii="仿宋" w:hAnsi="仿宋" w:eastAsia="仿宋" w:cs="仿宋"/>
      <w:b/>
      <w:kern w:val="3"/>
      <w:sz w:val="24"/>
      <w:szCs w:val="24"/>
      <w:lang w:val="en-US" w:eastAsia="zh-CN" w:bidi="ar-SA"/>
    </w:rPr>
  </w:style>
  <w:style w:type="paragraph" w:customStyle="1" w:styleId="60">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61">
    <w:name w:val="表格居中"/>
    <w:next w:val="1"/>
    <w:link w:val="258"/>
    <w:autoRedefine/>
    <w:qFormat/>
    <w:uiPriority w:val="0"/>
    <w:pPr>
      <w:adjustRightInd w:val="0"/>
      <w:snapToGrid w:val="0"/>
      <w:spacing w:beforeLines="25"/>
      <w:jc w:val="center"/>
    </w:pPr>
    <w:rPr>
      <w:rFonts w:ascii="宋体" w:hAnsi="宋体" w:eastAsia="等线" w:cs="Times New Roman"/>
      <w:kern w:val="2"/>
      <w:sz w:val="21"/>
      <w:szCs w:val="21"/>
      <w:lang w:val="en-US" w:eastAsia="zh-CN" w:bidi="ar-SA"/>
    </w:rPr>
  </w:style>
  <w:style w:type="character" w:customStyle="1" w:styleId="62">
    <w:name w:val="表格内文字"/>
    <w:autoRedefine/>
    <w:qFormat/>
    <w:uiPriority w:val="0"/>
    <w:rPr>
      <w:rFonts w:ascii="Times New Roman" w:hAnsi="Times New Roman" w:eastAsia="宋体"/>
      <w:color w:val="auto"/>
      <w:sz w:val="21"/>
    </w:rPr>
  </w:style>
  <w:style w:type="paragraph" w:customStyle="1" w:styleId="63">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64">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65">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66">
    <w:name w:val="k 正文"/>
    <w:link w:val="247"/>
    <w:autoRedefine/>
    <w:qFormat/>
    <w:uiPriority w:val="0"/>
    <w:pPr>
      <w:widowControl w:val="0"/>
      <w:spacing w:line="360" w:lineRule="auto"/>
      <w:ind w:firstLine="200" w:firstLineChars="200"/>
      <w:jc w:val="both"/>
    </w:pPr>
    <w:rPr>
      <w:rFonts w:ascii="宋体" w:hAnsi="宋体" w:eastAsia="宋体" w:cs="Times New Roman"/>
      <w:sz w:val="24"/>
      <w:lang w:val="en-US" w:eastAsia="zh-CN" w:bidi="ar-SA"/>
    </w:rPr>
  </w:style>
  <w:style w:type="paragraph" w:customStyle="1" w:styleId="67">
    <w:name w:val="图表文字"/>
    <w:link w:val="230"/>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68">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69">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70">
    <w:name w:val="图名"/>
    <w:next w:val="1"/>
    <w:link w:val="175"/>
    <w:autoRedefine/>
    <w:qFormat/>
    <w:uiPriority w:val="0"/>
    <w:pPr>
      <w:widowControl w:val="0"/>
      <w:numPr>
        <w:ilvl w:val="5"/>
        <w:numId w:val="1"/>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71">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72">
    <w:name w:val="表格字体"/>
    <w:next w:val="64"/>
    <w:autoRedefine/>
    <w:qFormat/>
    <w:uiPriority w:val="0"/>
    <w:pPr>
      <w:jc w:val="center"/>
    </w:pPr>
    <w:rPr>
      <w:rFonts w:ascii="Times New Roman" w:hAnsi="Times New Roman" w:eastAsia="宋体" w:cs="Times New Roman"/>
      <w:sz w:val="21"/>
      <w:szCs w:val="21"/>
      <w:lang w:val="en-US" w:eastAsia="zh-CN" w:bidi="ar-SA"/>
    </w:rPr>
  </w:style>
  <w:style w:type="paragraph" w:customStyle="1" w:styleId="73">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table" w:customStyle="1" w:styleId="74">
    <w:name w:val="Table Normal"/>
    <w:autoRedefine/>
    <w:semiHidden/>
    <w:unhideWhenUsed/>
    <w:qFormat/>
    <w:uiPriority w:val="0"/>
    <w:tblPr>
      <w:tblCellMar>
        <w:top w:w="0" w:type="dxa"/>
        <w:left w:w="0" w:type="dxa"/>
        <w:bottom w:w="0" w:type="dxa"/>
        <w:right w:w="0" w:type="dxa"/>
      </w:tblCellMar>
    </w:tblPr>
  </w:style>
  <w:style w:type="paragraph" w:customStyle="1" w:styleId="75">
    <w:name w:val="表内文字"/>
    <w:next w:val="1"/>
    <w:autoRedefine/>
    <w:qFormat/>
    <w:uiPriority w:val="0"/>
    <w:pPr>
      <w:spacing w:line="360" w:lineRule="auto"/>
      <w:jc w:val="center"/>
    </w:pPr>
    <w:rPr>
      <w:rFonts w:ascii="仿宋" w:hAnsi="仿宋" w:eastAsia="仿宋" w:cs="仿宋"/>
      <w:sz w:val="21"/>
      <w:szCs w:val="21"/>
      <w:lang w:val="en-US" w:eastAsia="zh-CN" w:bidi="ar-SA"/>
    </w:rPr>
  </w:style>
  <w:style w:type="paragraph" w:customStyle="1" w:styleId="76">
    <w:name w:val="K图表字-居中"/>
    <w:basedOn w:val="44"/>
    <w:autoRedefine/>
    <w:qFormat/>
    <w:uiPriority w:val="0"/>
    <w:pPr>
      <w:widowControl w:val="0"/>
      <w:spacing w:line="360" w:lineRule="auto"/>
      <w:jc w:val="center"/>
    </w:pPr>
    <w:rPr>
      <w:rFonts w:ascii="仿宋" w:hAnsi="仿宋" w:eastAsia="仿宋" w:cs="仿宋"/>
      <w:kern w:val="3"/>
      <w:sz w:val="21"/>
      <w:szCs w:val="21"/>
      <w:lang w:val="en-US" w:eastAsia="zh-CN" w:bidi="ar-SA"/>
    </w:rPr>
  </w:style>
  <w:style w:type="paragraph" w:customStyle="1" w:styleId="77">
    <w:name w:val="表头"/>
    <w:next w:val="1"/>
    <w:link w:val="285"/>
    <w:autoRedefine/>
    <w:qFormat/>
    <w:uiPriority w:val="1"/>
    <w:pPr>
      <w:widowControl w:val="0"/>
      <w:jc w:val="center"/>
    </w:pPr>
    <w:rPr>
      <w:rFonts w:ascii="Times New Roman" w:hAnsi="Times New Roman" w:eastAsia="宋体" w:cs="Times New Roman"/>
      <w:b/>
      <w:bCs/>
      <w:kern w:val="2"/>
      <w:sz w:val="21"/>
      <w:szCs w:val="21"/>
      <w:lang w:val="en-US" w:eastAsia="zh-CN" w:bidi="ar-SA"/>
    </w:rPr>
  </w:style>
  <w:style w:type="paragraph" w:customStyle="1" w:styleId="78">
    <w:name w:val="图片"/>
    <w:next w:val="1"/>
    <w:autoRedefine/>
    <w:qFormat/>
    <w:uiPriority w:val="0"/>
    <w:pPr>
      <w:jc w:val="center"/>
    </w:pPr>
    <w:rPr>
      <w:rFonts w:ascii="宋体" w:hAnsi="宋体" w:eastAsia="宋体" w:cs="Times New Roman"/>
      <w:sz w:val="24"/>
      <w:lang w:val="en-US" w:eastAsia="zh-CN" w:bidi="ar-SA"/>
    </w:rPr>
  </w:style>
  <w:style w:type="paragraph" w:customStyle="1" w:styleId="79">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80">
    <w:name w:val="font11"/>
    <w:basedOn w:val="37"/>
    <w:autoRedefine/>
    <w:qFormat/>
    <w:uiPriority w:val="0"/>
    <w:rPr>
      <w:rFonts w:ascii="Arial" w:hAnsi="Arial" w:cs="Arial"/>
      <w:color w:val="000000"/>
      <w:sz w:val="20"/>
      <w:szCs w:val="20"/>
      <w:u w:val="none"/>
    </w:rPr>
  </w:style>
  <w:style w:type="character" w:customStyle="1" w:styleId="81">
    <w:name w:val="font21"/>
    <w:basedOn w:val="37"/>
    <w:autoRedefine/>
    <w:qFormat/>
    <w:uiPriority w:val="0"/>
    <w:rPr>
      <w:rFonts w:hint="eastAsia" w:ascii="宋体" w:hAnsi="宋体" w:eastAsia="宋体" w:cs="宋体"/>
      <w:color w:val="000000"/>
      <w:sz w:val="20"/>
      <w:szCs w:val="20"/>
      <w:u w:val="none"/>
    </w:rPr>
  </w:style>
  <w:style w:type="character" w:customStyle="1" w:styleId="82">
    <w:name w:val="页脚 字符"/>
    <w:basedOn w:val="37"/>
    <w:link w:val="24"/>
    <w:autoRedefine/>
    <w:qFormat/>
    <w:uiPriority w:val="99"/>
    <w:rPr>
      <w:rFonts w:ascii="仿宋" w:hAnsi="仿宋" w:eastAsia="仿宋" w:cstheme="minorBidi"/>
      <w:kern w:val="2"/>
      <w:sz w:val="18"/>
      <w:szCs w:val="24"/>
    </w:rPr>
  </w:style>
  <w:style w:type="character" w:customStyle="1" w:styleId="83">
    <w:name w:val="正文文本首行缩进 字符"/>
    <w:basedOn w:val="37"/>
    <w:link w:val="13"/>
    <w:autoRedefine/>
    <w:qFormat/>
    <w:uiPriority w:val="0"/>
    <w:rPr>
      <w:kern w:val="2"/>
      <w:sz w:val="28"/>
      <w:szCs w:val="24"/>
    </w:rPr>
  </w:style>
  <w:style w:type="character" w:customStyle="1" w:styleId="84">
    <w:name w:val="标题 5 字符"/>
    <w:basedOn w:val="37"/>
    <w:link w:val="7"/>
    <w:autoRedefine/>
    <w:qFormat/>
    <w:uiPriority w:val="0"/>
    <w:rPr>
      <w:b/>
      <w:bCs/>
      <w:kern w:val="2"/>
      <w:sz w:val="24"/>
      <w:szCs w:val="21"/>
    </w:rPr>
  </w:style>
  <w:style w:type="character" w:customStyle="1" w:styleId="85">
    <w:name w:val="标题 6 字符"/>
    <w:basedOn w:val="37"/>
    <w:link w:val="8"/>
    <w:autoRedefine/>
    <w:qFormat/>
    <w:uiPriority w:val="0"/>
    <w:rPr>
      <w:rFonts w:ascii="Arial" w:hAnsi="Arial" w:eastAsia="黑体"/>
      <w:b/>
      <w:kern w:val="2"/>
      <w:sz w:val="24"/>
      <w:szCs w:val="24"/>
    </w:rPr>
  </w:style>
  <w:style w:type="character" w:customStyle="1" w:styleId="86">
    <w:name w:val="标题 7 字符"/>
    <w:basedOn w:val="37"/>
    <w:link w:val="9"/>
    <w:autoRedefine/>
    <w:qFormat/>
    <w:uiPriority w:val="0"/>
    <w:rPr>
      <w:b/>
      <w:kern w:val="2"/>
      <w:sz w:val="24"/>
      <w:szCs w:val="24"/>
    </w:rPr>
  </w:style>
  <w:style w:type="character" w:customStyle="1" w:styleId="87">
    <w:name w:val="标题 8 字符"/>
    <w:basedOn w:val="37"/>
    <w:link w:val="10"/>
    <w:autoRedefine/>
    <w:qFormat/>
    <w:uiPriority w:val="0"/>
    <w:rPr>
      <w:rFonts w:ascii="Arial" w:hAnsi="Arial" w:eastAsia="黑体"/>
      <w:kern w:val="2"/>
      <w:sz w:val="24"/>
      <w:szCs w:val="24"/>
    </w:rPr>
  </w:style>
  <w:style w:type="character" w:customStyle="1" w:styleId="88">
    <w:name w:val="标题 9 字符"/>
    <w:basedOn w:val="37"/>
    <w:link w:val="11"/>
    <w:autoRedefine/>
    <w:qFormat/>
    <w:uiPriority w:val="0"/>
    <w:rPr>
      <w:rFonts w:ascii="Arial" w:hAnsi="Arial" w:eastAsia="黑体"/>
      <w:kern w:val="2"/>
      <w:sz w:val="21"/>
      <w:szCs w:val="24"/>
    </w:rPr>
  </w:style>
  <w:style w:type="character" w:customStyle="1" w:styleId="89">
    <w:name w:val="标题 1 字符"/>
    <w:basedOn w:val="37"/>
    <w:link w:val="3"/>
    <w:autoRedefine/>
    <w:qFormat/>
    <w:uiPriority w:val="9"/>
    <w:rPr>
      <w:rFonts w:ascii="仿宋" w:hAnsi="仿宋" w:eastAsia="仿宋" w:cs="仿宋"/>
      <w:b/>
      <w:sz w:val="30"/>
    </w:rPr>
  </w:style>
  <w:style w:type="character" w:customStyle="1" w:styleId="90">
    <w:name w:val="标题 2 字符"/>
    <w:basedOn w:val="37"/>
    <w:link w:val="4"/>
    <w:autoRedefine/>
    <w:qFormat/>
    <w:uiPriority w:val="9"/>
    <w:rPr>
      <w:rFonts w:ascii="仿宋" w:hAnsi="仿宋" w:eastAsia="仿宋" w:cstheme="minorBidi"/>
      <w:kern w:val="2"/>
      <w:sz w:val="28"/>
      <w:szCs w:val="24"/>
    </w:rPr>
  </w:style>
  <w:style w:type="character" w:customStyle="1" w:styleId="91">
    <w:name w:val="标题 3 字符"/>
    <w:basedOn w:val="37"/>
    <w:link w:val="5"/>
    <w:autoRedefine/>
    <w:qFormat/>
    <w:uiPriority w:val="0"/>
    <w:rPr>
      <w:rFonts w:ascii="仿宋" w:hAnsi="仿宋" w:eastAsia="仿宋" w:cstheme="minorBidi"/>
      <w:kern w:val="2"/>
      <w:sz w:val="24"/>
      <w:szCs w:val="24"/>
    </w:rPr>
  </w:style>
  <w:style w:type="character" w:customStyle="1" w:styleId="92">
    <w:name w:val="标题 4 字符"/>
    <w:basedOn w:val="37"/>
    <w:link w:val="6"/>
    <w:autoRedefine/>
    <w:qFormat/>
    <w:uiPriority w:val="99"/>
    <w:rPr>
      <w:rFonts w:ascii="宋体" w:hAnsi="宋体"/>
      <w:b/>
      <w:bCs/>
      <w:kern w:val="2"/>
      <w:sz w:val="24"/>
      <w:szCs w:val="28"/>
    </w:rPr>
  </w:style>
  <w:style w:type="character" w:customStyle="1" w:styleId="93">
    <w:name w:val="页眉 字符"/>
    <w:basedOn w:val="37"/>
    <w:link w:val="25"/>
    <w:autoRedefine/>
    <w:qFormat/>
    <w:uiPriority w:val="0"/>
    <w:rPr>
      <w:rFonts w:ascii="仿宋" w:hAnsi="仿宋" w:eastAsia="仿宋" w:cstheme="minorBidi"/>
      <w:kern w:val="2"/>
      <w:sz w:val="18"/>
      <w:szCs w:val="24"/>
    </w:rPr>
  </w:style>
  <w:style w:type="paragraph" w:customStyle="1" w:styleId="94">
    <w:name w:val="封面标题"/>
    <w:basedOn w:val="1"/>
    <w:next w:val="1"/>
    <w:link w:val="95"/>
    <w:autoRedefine/>
    <w:qFormat/>
    <w:uiPriority w:val="0"/>
    <w:pPr>
      <w:spacing w:after="0" w:afterLines="0" w:line="360" w:lineRule="auto"/>
      <w:ind w:firstLine="0" w:firstLineChars="0"/>
      <w:jc w:val="center"/>
    </w:pPr>
    <w:rPr>
      <w:rFonts w:ascii="Times New Roman" w:hAnsi="Times New Roman" w:eastAsia="宋体" w:cs="Times New Roman"/>
      <w:b/>
      <w:sz w:val="32"/>
      <w:szCs w:val="21"/>
    </w:rPr>
  </w:style>
  <w:style w:type="character" w:customStyle="1" w:styleId="95">
    <w:name w:val="封面标题 Char"/>
    <w:basedOn w:val="37"/>
    <w:link w:val="94"/>
    <w:autoRedefine/>
    <w:qFormat/>
    <w:uiPriority w:val="0"/>
    <w:rPr>
      <w:b/>
      <w:kern w:val="2"/>
      <w:sz w:val="32"/>
      <w:szCs w:val="21"/>
    </w:rPr>
  </w:style>
  <w:style w:type="character" w:customStyle="1" w:styleId="96">
    <w:name w:val="图表标题 Char"/>
    <w:link w:val="59"/>
    <w:autoRedefine/>
    <w:qFormat/>
    <w:uiPriority w:val="0"/>
    <w:rPr>
      <w:rFonts w:ascii="仿宋" w:hAnsi="仿宋" w:eastAsia="仿宋" w:cs="仿宋"/>
      <w:b/>
      <w:kern w:val="3"/>
      <w:sz w:val="24"/>
      <w:szCs w:val="24"/>
    </w:rPr>
  </w:style>
  <w:style w:type="paragraph" w:customStyle="1" w:styleId="97">
    <w:name w:val="单位及日期"/>
    <w:basedOn w:val="94"/>
    <w:link w:val="98"/>
    <w:autoRedefine/>
    <w:qFormat/>
    <w:uiPriority w:val="0"/>
    <w:rPr>
      <w:sz w:val="28"/>
    </w:rPr>
  </w:style>
  <w:style w:type="character" w:customStyle="1" w:styleId="98">
    <w:name w:val="单位及日期 Char"/>
    <w:basedOn w:val="95"/>
    <w:link w:val="97"/>
    <w:autoRedefine/>
    <w:qFormat/>
    <w:uiPriority w:val="0"/>
    <w:rPr>
      <w:kern w:val="2"/>
      <w:sz w:val="28"/>
      <w:szCs w:val="21"/>
    </w:rPr>
  </w:style>
  <w:style w:type="paragraph" w:customStyle="1" w:styleId="99">
    <w:name w:val="校审"/>
    <w:basedOn w:val="1"/>
    <w:link w:val="100"/>
    <w:autoRedefine/>
    <w:qFormat/>
    <w:uiPriority w:val="0"/>
    <w:pPr>
      <w:spacing w:after="0" w:afterLines="0" w:line="360" w:lineRule="auto"/>
      <w:ind w:firstLine="0" w:firstLineChars="0"/>
    </w:pPr>
    <w:rPr>
      <w:rFonts w:ascii="Times New Roman" w:hAnsi="Times New Roman" w:eastAsia="宋体" w:cs="Times New Roman"/>
      <w:bCs/>
      <w:color w:val="000000" w:themeColor="text1"/>
      <w:sz w:val="28"/>
      <w:szCs w:val="28"/>
      <w14:textFill>
        <w14:solidFill>
          <w14:schemeClr w14:val="tx1"/>
        </w14:solidFill>
      </w14:textFill>
    </w:rPr>
  </w:style>
  <w:style w:type="character" w:customStyle="1" w:styleId="100">
    <w:name w:val="校审 Char"/>
    <w:basedOn w:val="37"/>
    <w:link w:val="99"/>
    <w:autoRedefine/>
    <w:qFormat/>
    <w:uiPriority w:val="0"/>
    <w:rPr>
      <w:bCs/>
      <w:color w:val="000000" w:themeColor="text1"/>
      <w:kern w:val="2"/>
      <w:sz w:val="28"/>
      <w:szCs w:val="28"/>
      <w14:textFill>
        <w14:solidFill>
          <w14:schemeClr w14:val="tx1"/>
        </w14:solidFill>
      </w14:textFill>
    </w:rPr>
  </w:style>
  <w:style w:type="character" w:customStyle="1" w:styleId="101">
    <w:name w:val="TOC 1 字符"/>
    <w:link w:val="26"/>
    <w:autoRedefine/>
    <w:qFormat/>
    <w:uiPriority w:val="39"/>
    <w:rPr>
      <w:rFonts w:ascii="仿宋" w:hAnsi="仿宋" w:eastAsia="仿宋" w:cstheme="minorBidi"/>
      <w:kern w:val="2"/>
      <w:sz w:val="24"/>
      <w:szCs w:val="24"/>
    </w:rPr>
  </w:style>
  <w:style w:type="paragraph" w:customStyle="1" w:styleId="102">
    <w:name w:val="燕矶图片样式"/>
    <w:basedOn w:val="1"/>
    <w:link w:val="103"/>
    <w:autoRedefine/>
    <w:qFormat/>
    <w:uiPriority w:val="0"/>
    <w:pPr>
      <w:adjustRightInd w:val="0"/>
      <w:snapToGrid w:val="0"/>
      <w:spacing w:after="0" w:afterLines="0" w:line="240" w:lineRule="auto"/>
      <w:ind w:firstLine="0" w:firstLineChars="0"/>
      <w:jc w:val="center"/>
    </w:pPr>
    <w:rPr>
      <w:rFonts w:ascii="Times New Roman" w:hAnsi="Times New Roman" w:eastAsia="宋体" w:cs="Times New Roman"/>
      <w:sz w:val="21"/>
      <w:szCs w:val="21"/>
    </w:rPr>
  </w:style>
  <w:style w:type="character" w:customStyle="1" w:styleId="103">
    <w:name w:val="燕矶图片样式 字符"/>
    <w:basedOn w:val="37"/>
    <w:link w:val="102"/>
    <w:autoRedefine/>
    <w:qFormat/>
    <w:uiPriority w:val="0"/>
    <w:rPr>
      <w:kern w:val="2"/>
      <w:sz w:val="21"/>
      <w:szCs w:val="21"/>
    </w:rPr>
  </w:style>
  <w:style w:type="paragraph" w:customStyle="1" w:styleId="104">
    <w:name w:val="燕矶图名"/>
    <w:basedOn w:val="1"/>
    <w:next w:val="1"/>
    <w:autoRedefine/>
    <w:qFormat/>
    <w:uiPriority w:val="0"/>
    <w:pPr>
      <w:spacing w:after="0" w:afterLines="0" w:line="240" w:lineRule="auto"/>
      <w:ind w:firstLine="0" w:firstLineChars="0"/>
      <w:jc w:val="center"/>
    </w:pPr>
    <w:rPr>
      <w:rFonts w:hint="eastAsia" w:ascii="Times New Roman" w:hAnsi="Times New Roman" w:eastAsia="宋体" w:cs="Times New Roman"/>
      <w:b/>
      <w:bCs/>
      <w:sz w:val="21"/>
      <w:szCs w:val="21"/>
    </w:rPr>
  </w:style>
  <w:style w:type="paragraph" w:customStyle="1" w:styleId="105">
    <w:name w:val="插图"/>
    <w:basedOn w:val="14"/>
    <w:autoRedefine/>
    <w:qFormat/>
    <w:uiPriority w:val="0"/>
    <w:pPr>
      <w:spacing w:line="360" w:lineRule="auto"/>
    </w:pPr>
    <w:rPr>
      <w:rFonts w:ascii="Times New Roman" w:hAnsi="Times New Roman" w:eastAsia="宋体" w:cstheme="majorBidi"/>
      <w:kern w:val="2"/>
      <w:sz w:val="21"/>
      <w:szCs w:val="20"/>
    </w:rPr>
  </w:style>
  <w:style w:type="character" w:customStyle="1" w:styleId="106">
    <w:name w:val="表内文字 Char"/>
    <w:autoRedefine/>
    <w:qFormat/>
    <w:uiPriority w:val="0"/>
    <w:rPr>
      <w:rFonts w:ascii="Times New Roman" w:hAnsi="Times New Roman" w:eastAsia="宋体" w:cs="Times New Roman"/>
      <w:color w:val="000000"/>
      <w:kern w:val="2"/>
      <w:sz w:val="21"/>
      <w:szCs w:val="21"/>
    </w:rPr>
  </w:style>
  <w:style w:type="paragraph" w:customStyle="1" w:styleId="107">
    <w:name w:val="表名"/>
    <w:basedOn w:val="1"/>
    <w:link w:val="171"/>
    <w:autoRedefine/>
    <w:qFormat/>
    <w:uiPriority w:val="0"/>
    <w:pPr>
      <w:tabs>
        <w:tab w:val="left" w:pos="0"/>
      </w:tabs>
      <w:spacing w:before="50" w:beforeLines="50" w:after="0" w:afterLines="0" w:line="240" w:lineRule="auto"/>
      <w:ind w:firstLine="0" w:firstLineChars="0"/>
      <w:jc w:val="center"/>
    </w:pPr>
    <w:rPr>
      <w:rFonts w:ascii="Times New Roman" w:hAnsi="Times New Roman" w:eastAsia="宋体" w:cs="Times New Roman"/>
      <w:b/>
      <w:sz w:val="21"/>
      <w:szCs w:val="21"/>
    </w:rPr>
  </w:style>
  <w:style w:type="table" w:customStyle="1" w:styleId="108">
    <w:name w:val="Grid Table 1 Light"/>
    <w:basedOn w:val="35"/>
    <w:autoRedefine/>
    <w:qFormat/>
    <w:uiPriority w:val="46"/>
    <w:rPr>
      <w:rFonts w:asciiTheme="minorHAnsi" w:hAnsiTheme="minorHAnsi" w:eastAsiaTheme="minorEastAsia" w:cstheme="minorBidi"/>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9">
    <w:name w:val="图表名称"/>
    <w:basedOn w:val="1"/>
    <w:link w:val="110"/>
    <w:autoRedefine/>
    <w:qFormat/>
    <w:uiPriority w:val="0"/>
    <w:pPr>
      <w:spacing w:after="0" w:afterLines="0" w:line="360" w:lineRule="auto"/>
      <w:ind w:firstLine="480"/>
      <w:jc w:val="center"/>
    </w:pPr>
    <w:rPr>
      <w:rFonts w:ascii="Times New Roman" w:hAnsi="Times New Roman" w:eastAsia="宋体" w:cs="Times New Roman"/>
      <w:b/>
      <w:sz w:val="21"/>
      <w:szCs w:val="21"/>
    </w:rPr>
  </w:style>
  <w:style w:type="character" w:customStyle="1" w:styleId="110">
    <w:name w:val="图表名称 Char"/>
    <w:link w:val="109"/>
    <w:autoRedefine/>
    <w:qFormat/>
    <w:uiPriority w:val="0"/>
    <w:rPr>
      <w:b/>
      <w:kern w:val="2"/>
      <w:sz w:val="21"/>
      <w:szCs w:val="21"/>
    </w:rPr>
  </w:style>
  <w:style w:type="character" w:customStyle="1" w:styleId="111">
    <w:name w:val="表格正文 Char"/>
    <w:link w:val="112"/>
    <w:autoRedefine/>
    <w:qFormat/>
    <w:uiPriority w:val="0"/>
    <w:rPr>
      <w:rFonts w:ascii="宋体" w:hAnsi="宋体" w:eastAsia="仿宋_GB2312"/>
      <w:color w:val="0000FF"/>
      <w:sz w:val="24"/>
      <w:szCs w:val="24"/>
    </w:rPr>
  </w:style>
  <w:style w:type="paragraph" w:customStyle="1" w:styleId="112">
    <w:name w:val="表格正文"/>
    <w:basedOn w:val="1"/>
    <w:link w:val="111"/>
    <w:autoRedefine/>
    <w:qFormat/>
    <w:uiPriority w:val="0"/>
    <w:pPr>
      <w:spacing w:after="0" w:afterLines="0" w:line="360" w:lineRule="auto"/>
      <w:ind w:firstLine="0" w:firstLineChars="0"/>
      <w:jc w:val="center"/>
    </w:pPr>
    <w:rPr>
      <w:rFonts w:ascii="宋体" w:hAnsi="宋体" w:eastAsia="仿宋_GB2312" w:cs="Times New Roman"/>
      <w:color w:val="0000FF"/>
      <w:kern w:val="0"/>
    </w:rPr>
  </w:style>
  <w:style w:type="paragraph" w:customStyle="1" w:styleId="113">
    <w:name w:val="表格"/>
    <w:next w:val="1"/>
    <w:link w:val="114"/>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4">
    <w:name w:val="表格 Char"/>
    <w:link w:val="113"/>
    <w:autoRedefine/>
    <w:qFormat/>
    <w:uiPriority w:val="0"/>
    <w:rPr>
      <w:kern w:val="2"/>
      <w:sz w:val="21"/>
      <w:szCs w:val="22"/>
    </w:rPr>
  </w:style>
  <w:style w:type="character" w:customStyle="1" w:styleId="115">
    <w:name w:val="图表标题 字符"/>
    <w:autoRedefine/>
    <w:qFormat/>
    <w:uiPriority w:val="0"/>
    <w:rPr>
      <w:rFonts w:ascii="Times New Roman" w:hAnsi="Times New Roman" w:cstheme="minorBidi"/>
      <w:b/>
      <w:sz w:val="24"/>
      <w:szCs w:val="21"/>
    </w:rPr>
  </w:style>
  <w:style w:type="paragraph" w:customStyle="1" w:styleId="116">
    <w:name w:val="表中字"/>
    <w:basedOn w:val="1"/>
    <w:link w:val="205"/>
    <w:autoRedefine/>
    <w:qFormat/>
    <w:uiPriority w:val="0"/>
    <w:pPr>
      <w:adjustRightInd w:val="0"/>
      <w:snapToGrid w:val="0"/>
      <w:spacing w:after="0" w:afterLines="0" w:line="240" w:lineRule="auto"/>
      <w:ind w:firstLine="0" w:firstLineChars="0"/>
      <w:jc w:val="center"/>
    </w:pPr>
    <w:rPr>
      <w:rFonts w:ascii="Times New Roman" w:hAnsi="Times New Roman" w:eastAsia="宋体"/>
      <w:sz w:val="21"/>
      <w:szCs w:val="21"/>
    </w:rPr>
  </w:style>
  <w:style w:type="table" w:customStyle="1" w:styleId="117">
    <w:name w:val="网格表 4 - 着色 11"/>
    <w:basedOn w:val="35"/>
    <w:autoRedefine/>
    <w:qFormat/>
    <w:uiPriority w:val="49"/>
    <w:rPr>
      <w:rFonts w:ascii="Calibri" w:hAnsi="Calibri"/>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character" w:customStyle="1" w:styleId="118">
    <w:name w:val="正文文本 字符"/>
    <w:basedOn w:val="37"/>
    <w:link w:val="2"/>
    <w:autoRedefine/>
    <w:qFormat/>
    <w:uiPriority w:val="0"/>
    <w:rPr>
      <w:rFonts w:ascii="Calibri" w:hAnsi="Calibri" w:eastAsia="仿宋" w:cs="仿宋"/>
      <w:kern w:val="3"/>
      <w:sz w:val="28"/>
      <w:szCs w:val="24"/>
    </w:rPr>
  </w:style>
  <w:style w:type="table" w:customStyle="1" w:styleId="119">
    <w:name w:val="样式3"/>
    <w:basedOn w:val="35"/>
    <w:autoRedefine/>
    <w:qFormat/>
    <w:uiPriority w:val="99"/>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cPr>
    </w:tblStylePr>
  </w:style>
  <w:style w:type="paragraph" w:customStyle="1" w:styleId="120">
    <w:name w:val="表格文字"/>
    <w:basedOn w:val="1"/>
    <w:autoRedefine/>
    <w:qFormat/>
    <w:uiPriority w:val="0"/>
    <w:pPr>
      <w:spacing w:after="0" w:afterLines="0" w:line="240" w:lineRule="auto"/>
      <w:ind w:firstLine="0" w:firstLineChars="0"/>
      <w:jc w:val="center"/>
    </w:pPr>
    <w:rPr>
      <w:rFonts w:hint="eastAsia" w:ascii="Times New Roman" w:hAnsi="Times New Roman" w:eastAsia="宋体" w:cs="Times New Roman"/>
      <w:sz w:val="21"/>
      <w:szCs w:val="18"/>
    </w:rPr>
  </w:style>
  <w:style w:type="paragraph" w:customStyle="1" w:styleId="121">
    <w:name w:val="msonormal"/>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kern w:val="0"/>
    </w:rPr>
  </w:style>
  <w:style w:type="paragraph" w:customStyle="1" w:styleId="122">
    <w:name w:val="font5"/>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b/>
      <w:bCs/>
      <w:color w:val="000000"/>
      <w:kern w:val="0"/>
      <w:sz w:val="21"/>
      <w:szCs w:val="21"/>
    </w:rPr>
  </w:style>
  <w:style w:type="paragraph" w:customStyle="1" w:styleId="123">
    <w:name w:val="font6"/>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b/>
      <w:bCs/>
      <w:color w:val="000000"/>
      <w:kern w:val="0"/>
      <w:sz w:val="21"/>
      <w:szCs w:val="21"/>
    </w:rPr>
  </w:style>
  <w:style w:type="paragraph" w:customStyle="1" w:styleId="124">
    <w:name w:val="font7"/>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25">
    <w:name w:val="font8"/>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26">
    <w:name w:val="font9"/>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27">
    <w:name w:val="font10"/>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28">
    <w:name w:val="font12"/>
    <w:basedOn w:val="1"/>
    <w:autoRedefine/>
    <w:qFormat/>
    <w:uiPriority w:val="0"/>
    <w:pPr>
      <w:widowControl/>
      <w:spacing w:before="100" w:beforeAutospacing="1" w:after="100" w:afterLines="0" w:afterAutospacing="1" w:line="240" w:lineRule="auto"/>
      <w:ind w:firstLine="0" w:firstLineChars="0"/>
    </w:pPr>
    <w:rPr>
      <w:rFonts w:ascii="宋体" w:hAnsi="宋体" w:eastAsia="宋体" w:cs="宋体"/>
      <w:b/>
      <w:bCs/>
      <w:color w:val="000000"/>
      <w:kern w:val="0"/>
      <w:sz w:val="21"/>
      <w:szCs w:val="21"/>
    </w:rPr>
  </w:style>
  <w:style w:type="paragraph" w:customStyle="1" w:styleId="129">
    <w:name w:val="font13"/>
    <w:basedOn w:val="1"/>
    <w:autoRedefine/>
    <w:qFormat/>
    <w:uiPriority w:val="0"/>
    <w:pPr>
      <w:widowControl/>
      <w:spacing w:before="100" w:beforeAutospacing="1" w:after="100" w:afterLines="0" w:afterAutospacing="1" w:line="240" w:lineRule="auto"/>
      <w:ind w:firstLine="0" w:firstLineChars="0"/>
    </w:pPr>
    <w:rPr>
      <w:rFonts w:ascii="Times New Roman" w:hAnsi="Times New Roman" w:eastAsia="宋体" w:cs="Times New Roman"/>
      <w:b/>
      <w:bCs/>
      <w:color w:val="000000"/>
      <w:kern w:val="0"/>
      <w:sz w:val="21"/>
      <w:szCs w:val="21"/>
    </w:rPr>
  </w:style>
  <w:style w:type="paragraph" w:customStyle="1" w:styleId="13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3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color w:val="000000"/>
      <w:kern w:val="0"/>
      <w:sz w:val="21"/>
      <w:szCs w:val="21"/>
    </w:rPr>
  </w:style>
  <w:style w:type="paragraph" w:customStyle="1" w:styleId="13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3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3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3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3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3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kern w:val="0"/>
    </w:rPr>
  </w:style>
  <w:style w:type="paragraph" w:customStyle="1" w:styleId="13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3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4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Times New Roman" w:hAnsi="Times New Roman" w:eastAsia="宋体" w:cs="Times New Roman"/>
      <w:kern w:val="0"/>
      <w:sz w:val="20"/>
      <w:szCs w:val="20"/>
    </w:rPr>
  </w:style>
  <w:style w:type="paragraph" w:customStyle="1" w:styleId="14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4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4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18"/>
      <w:szCs w:val="18"/>
    </w:rPr>
  </w:style>
  <w:style w:type="paragraph" w:customStyle="1" w:styleId="144">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5">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6">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47">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48">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49">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Times New Roman" w:hAnsi="Times New Roman" w:eastAsia="宋体" w:cs="Times New Roman"/>
      <w:color w:val="000000"/>
      <w:kern w:val="0"/>
      <w:sz w:val="21"/>
      <w:szCs w:val="21"/>
    </w:rPr>
  </w:style>
  <w:style w:type="paragraph" w:customStyle="1" w:styleId="150">
    <w:name w:val="xl8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1">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2">
    <w:name w:val="xl8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color w:val="000000"/>
      <w:kern w:val="0"/>
      <w:sz w:val="21"/>
      <w:szCs w:val="21"/>
    </w:rPr>
  </w:style>
  <w:style w:type="paragraph" w:customStyle="1" w:styleId="153">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54">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pPr>
    <w:rPr>
      <w:rFonts w:ascii="Times New Roman" w:hAnsi="Times New Roman" w:eastAsia="宋体" w:cs="Times New Roman"/>
      <w:kern w:val="0"/>
      <w:sz w:val="20"/>
      <w:szCs w:val="20"/>
    </w:rPr>
  </w:style>
  <w:style w:type="paragraph" w:customStyle="1" w:styleId="155">
    <w:name w:val="xl8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18"/>
      <w:szCs w:val="18"/>
    </w:rPr>
  </w:style>
  <w:style w:type="paragraph" w:customStyle="1" w:styleId="156">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rPr>
  </w:style>
  <w:style w:type="paragraph" w:customStyle="1" w:styleId="15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color w:val="000000"/>
      <w:kern w:val="0"/>
      <w:sz w:val="21"/>
      <w:szCs w:val="21"/>
    </w:rPr>
  </w:style>
  <w:style w:type="paragraph" w:customStyle="1" w:styleId="158">
    <w:name w:val="xl91"/>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5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cs="宋体"/>
      <w:kern w:val="0"/>
      <w:sz w:val="21"/>
      <w:szCs w:val="21"/>
    </w:rPr>
  </w:style>
  <w:style w:type="paragraph" w:customStyle="1" w:styleId="160">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61">
    <w:name w:val="xl9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color w:val="000000"/>
      <w:kern w:val="0"/>
      <w:sz w:val="21"/>
      <w:szCs w:val="21"/>
    </w:rPr>
  </w:style>
  <w:style w:type="paragraph" w:customStyle="1" w:styleId="162">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color w:val="000000"/>
      <w:kern w:val="0"/>
      <w:sz w:val="21"/>
      <w:szCs w:val="21"/>
    </w:rPr>
  </w:style>
  <w:style w:type="paragraph" w:customStyle="1" w:styleId="163">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宋体" w:hAnsi="宋体" w:eastAsia="宋体" w:cs="宋体"/>
      <w:b/>
      <w:bCs/>
      <w:kern w:val="0"/>
      <w:sz w:val="21"/>
      <w:szCs w:val="21"/>
    </w:rPr>
  </w:style>
  <w:style w:type="paragraph" w:customStyle="1" w:styleId="164">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cs="宋体"/>
      <w:b/>
      <w:bCs/>
      <w:kern w:val="0"/>
      <w:sz w:val="21"/>
      <w:szCs w:val="21"/>
    </w:rPr>
  </w:style>
  <w:style w:type="paragraph" w:customStyle="1" w:styleId="16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kern w:val="0"/>
      <w:sz w:val="21"/>
      <w:szCs w:val="21"/>
    </w:rPr>
  </w:style>
  <w:style w:type="paragraph" w:customStyle="1" w:styleId="16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b/>
      <w:bCs/>
      <w:kern w:val="0"/>
    </w:rPr>
  </w:style>
  <w:style w:type="paragraph" w:customStyle="1" w:styleId="16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jc w:val="center"/>
    </w:pPr>
    <w:rPr>
      <w:rFonts w:ascii="Times New Roman" w:hAnsi="Times New Roman" w:eastAsia="宋体" w:cs="Times New Roman"/>
      <w:b/>
      <w:bCs/>
      <w:kern w:val="0"/>
      <w:sz w:val="21"/>
      <w:szCs w:val="21"/>
    </w:rPr>
  </w:style>
  <w:style w:type="paragraph" w:customStyle="1" w:styleId="168">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Lines="0" w:afterAutospacing="1" w:line="240" w:lineRule="auto"/>
      <w:ind w:firstLine="0" w:firstLineChars="0"/>
    </w:pPr>
    <w:rPr>
      <w:rFonts w:ascii="宋体" w:hAnsi="宋体" w:eastAsia="宋体" w:cs="宋体"/>
      <w:b/>
      <w:bCs/>
      <w:kern w:val="0"/>
    </w:rPr>
  </w:style>
  <w:style w:type="table" w:customStyle="1" w:styleId="169">
    <w:name w:val="网格型4"/>
    <w:basedOn w:val="3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0">
    <w:name w:val="题注 字符"/>
    <w:link w:val="14"/>
    <w:autoRedefine/>
    <w:qFormat/>
    <w:uiPriority w:val="0"/>
    <w:rPr>
      <w:rFonts w:ascii="仿宋" w:hAnsi="仿宋" w:eastAsia="仿宋" w:cs="仿宋"/>
      <w:b/>
      <w:kern w:val="3"/>
      <w:sz w:val="24"/>
      <w:szCs w:val="21"/>
    </w:rPr>
  </w:style>
  <w:style w:type="character" w:customStyle="1" w:styleId="171">
    <w:name w:val="表名 Char"/>
    <w:link w:val="107"/>
    <w:autoRedefine/>
    <w:qFormat/>
    <w:uiPriority w:val="0"/>
    <w:rPr>
      <w:b/>
      <w:kern w:val="2"/>
      <w:sz w:val="21"/>
      <w:szCs w:val="21"/>
    </w:rPr>
  </w:style>
  <w:style w:type="paragraph" w:customStyle="1" w:styleId="172">
    <w:name w:val="正文文本1"/>
    <w:basedOn w:val="1"/>
    <w:autoRedefine/>
    <w:qFormat/>
    <w:uiPriority w:val="0"/>
    <w:pPr>
      <w:spacing w:after="0" w:afterLines="0" w:line="360" w:lineRule="auto"/>
      <w:ind w:firstLine="200"/>
      <w:jc w:val="both"/>
    </w:pPr>
    <w:rPr>
      <w:rFonts w:ascii="宋体" w:hAnsi="Calibri" w:eastAsia="宋体" w:cs="Times New Roman"/>
      <w:kern w:val="0"/>
      <w:szCs w:val="32"/>
    </w:rPr>
  </w:style>
  <w:style w:type="paragraph" w:customStyle="1" w:styleId="173">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table" w:customStyle="1" w:styleId="174">
    <w:name w:val="样式31"/>
    <w:basedOn w:val="35"/>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75">
    <w:name w:val="图名 Char"/>
    <w:link w:val="70"/>
    <w:autoRedefine/>
    <w:qFormat/>
    <w:uiPriority w:val="0"/>
    <w:rPr>
      <w:rFonts w:ascii="宋体" w:hAnsi="宋体"/>
      <w:b/>
      <w:kern w:val="2"/>
      <w:sz w:val="21"/>
      <w:szCs w:val="24"/>
    </w:rPr>
  </w:style>
  <w:style w:type="paragraph" w:customStyle="1" w:styleId="176">
    <w:name w:val="表格后首段正文"/>
    <w:basedOn w:val="1"/>
    <w:link w:val="177"/>
    <w:autoRedefine/>
    <w:qFormat/>
    <w:uiPriority w:val="0"/>
    <w:pPr>
      <w:adjustRightInd w:val="0"/>
      <w:snapToGrid w:val="0"/>
      <w:spacing w:before="70" w:beforeLines="70" w:after="0" w:afterLines="0" w:line="360" w:lineRule="auto"/>
      <w:ind w:firstLine="200"/>
      <w:jc w:val="both"/>
    </w:pPr>
    <w:rPr>
      <w:rFonts w:ascii="Times New Roman" w:hAnsi="Times New Roman" w:eastAsia="宋体"/>
      <w:szCs w:val="21"/>
    </w:rPr>
  </w:style>
  <w:style w:type="character" w:customStyle="1" w:styleId="177">
    <w:name w:val="表格后首段正文 字符"/>
    <w:basedOn w:val="37"/>
    <w:link w:val="176"/>
    <w:autoRedefine/>
    <w:qFormat/>
    <w:uiPriority w:val="0"/>
    <w:rPr>
      <w:rFonts w:cstheme="minorBidi"/>
      <w:kern w:val="2"/>
      <w:sz w:val="24"/>
      <w:szCs w:val="21"/>
    </w:rPr>
  </w:style>
  <w:style w:type="table" w:customStyle="1" w:styleId="178">
    <w:name w:val="方案模板样式"/>
    <w:basedOn w:val="35"/>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179">
    <w:name w:val="仙新图表"/>
    <w:basedOn w:val="1"/>
    <w:next w:val="1"/>
    <w:autoRedefine/>
    <w:qFormat/>
    <w:uiPriority w:val="0"/>
    <w:pPr>
      <w:adjustRightInd w:val="0"/>
      <w:snapToGrid w:val="0"/>
      <w:spacing w:after="0" w:afterLines="0" w:line="360" w:lineRule="auto"/>
      <w:ind w:firstLine="0" w:firstLineChars="0"/>
      <w:jc w:val="center"/>
    </w:pPr>
    <w:rPr>
      <w:rFonts w:ascii="Times New Roman" w:hAnsi="Times New Roman" w:eastAsia="宋体"/>
      <w:b/>
      <w:szCs w:val="21"/>
    </w:rPr>
  </w:style>
  <w:style w:type="paragraph" w:customStyle="1" w:styleId="180">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sz w:val="21"/>
      <w:szCs w:val="21"/>
    </w:rPr>
  </w:style>
  <w:style w:type="paragraph" w:customStyle="1" w:styleId="181">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2">
    <w:name w:val="xl104"/>
    <w:basedOn w:val="1"/>
    <w:autoRedefine/>
    <w:qFormat/>
    <w:uiPriority w:val="0"/>
    <w:pPr>
      <w:widowControl/>
      <w:pBdr>
        <w:left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3">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jc w:val="center"/>
    </w:pPr>
    <w:rPr>
      <w:rFonts w:ascii="宋体" w:hAnsi="宋体" w:eastAsia="宋体" w:cs="宋体"/>
      <w:kern w:val="0"/>
    </w:rPr>
  </w:style>
  <w:style w:type="paragraph" w:customStyle="1" w:styleId="184">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5">
    <w:name w:val="xl107"/>
    <w:basedOn w:val="1"/>
    <w:autoRedefine/>
    <w:qFormat/>
    <w:uiPriority w:val="0"/>
    <w:pPr>
      <w:widowControl/>
      <w:pBdr>
        <w:left w:val="single" w:color="auto" w:sz="8"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6">
    <w:name w:val="xl108"/>
    <w:basedOn w:val="1"/>
    <w:autoRedefine/>
    <w:qFormat/>
    <w:uiPriority w:val="0"/>
    <w:pPr>
      <w:widowControl/>
      <w:pBdr>
        <w:left w:val="single" w:color="auto" w:sz="8" w:space="0"/>
        <w:bottom w:val="single" w:color="auto" w:sz="12" w:space="0"/>
        <w:right w:val="single" w:color="auto" w:sz="12" w:space="0"/>
      </w:pBdr>
      <w:spacing w:before="100" w:beforeAutospacing="1" w:after="100" w:afterLines="0" w:afterAutospacing="1" w:line="240" w:lineRule="auto"/>
      <w:ind w:firstLine="0" w:firstLineChars="0"/>
      <w:jc w:val="center"/>
    </w:pPr>
    <w:rPr>
      <w:rFonts w:ascii="Times New Roman" w:hAnsi="Times New Roman" w:eastAsia="宋体" w:cs="Times New Roman"/>
      <w:kern w:val="0"/>
      <w:sz w:val="21"/>
      <w:szCs w:val="21"/>
    </w:rPr>
  </w:style>
  <w:style w:type="paragraph" w:customStyle="1" w:styleId="187">
    <w:name w:val="xl109"/>
    <w:basedOn w:val="1"/>
    <w:autoRedefine/>
    <w:qFormat/>
    <w:uiPriority w:val="0"/>
    <w:pPr>
      <w:widowControl/>
      <w:pBdr>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88">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89">
    <w:name w:val="xl111"/>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kern w:val="0"/>
      <w:sz w:val="21"/>
      <w:szCs w:val="21"/>
    </w:rPr>
  </w:style>
  <w:style w:type="paragraph" w:customStyle="1" w:styleId="190">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1">
    <w:name w:val="xl113"/>
    <w:basedOn w:val="1"/>
    <w:autoRedefine/>
    <w:qFormat/>
    <w:uiPriority w:val="0"/>
    <w:pPr>
      <w:widowControl/>
      <w:pBdr>
        <w:left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2">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Lines="0" w:afterAutospacing="1" w:line="240" w:lineRule="auto"/>
      <w:ind w:firstLine="0" w:firstLineChars="0"/>
    </w:pPr>
    <w:rPr>
      <w:rFonts w:ascii="宋体" w:hAnsi="宋体" w:eastAsia="宋体" w:cs="宋体"/>
      <w:b/>
      <w:bCs/>
      <w:kern w:val="0"/>
      <w:sz w:val="21"/>
      <w:szCs w:val="21"/>
    </w:rPr>
  </w:style>
  <w:style w:type="paragraph" w:customStyle="1" w:styleId="193">
    <w:name w:val="Char Char Char Char Char Char Char"/>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paragraph" w:customStyle="1" w:styleId="194">
    <w:name w:val="列出段落1"/>
    <w:basedOn w:val="1"/>
    <w:autoRedefine/>
    <w:qFormat/>
    <w:uiPriority w:val="0"/>
    <w:pPr>
      <w:widowControl/>
      <w:spacing w:after="200" w:afterLines="0" w:line="276" w:lineRule="auto"/>
    </w:pPr>
    <w:rPr>
      <w:rFonts w:ascii="Arial Unicode MS" w:hAnsi="Arial Unicode MS" w:eastAsia="宋体" w:cs="Times New Roman"/>
      <w:kern w:val="0"/>
      <w:sz w:val="22"/>
      <w:szCs w:val="22"/>
      <w:lang w:eastAsia="en-US" w:bidi="en-US"/>
    </w:rPr>
  </w:style>
  <w:style w:type="character" w:customStyle="1" w:styleId="195">
    <w:name w:val="文档结构图 字符"/>
    <w:basedOn w:val="37"/>
    <w:link w:val="15"/>
    <w:autoRedefine/>
    <w:qFormat/>
    <w:uiPriority w:val="99"/>
    <w:rPr>
      <w:rFonts w:ascii="Microsoft YaHei UI" w:eastAsia="Microsoft YaHei UI"/>
      <w:kern w:val="2"/>
      <w:sz w:val="18"/>
      <w:szCs w:val="18"/>
    </w:rPr>
  </w:style>
  <w:style w:type="paragraph" w:customStyle="1" w:styleId="196">
    <w:name w:val="Revision"/>
    <w:autoRedefine/>
    <w:hidden/>
    <w:qFormat/>
    <w:uiPriority w:val="99"/>
    <w:rPr>
      <w:rFonts w:ascii="Times New Roman" w:hAnsi="Times New Roman" w:eastAsia="宋体" w:cs="Times New Roman"/>
      <w:kern w:val="2"/>
      <w:sz w:val="24"/>
      <w:szCs w:val="21"/>
      <w:lang w:val="en-US" w:eastAsia="zh-CN" w:bidi="ar-SA"/>
    </w:rPr>
  </w:style>
  <w:style w:type="paragraph" w:customStyle="1" w:styleId="197">
    <w:name w:val="仙新表格"/>
    <w:basedOn w:val="1"/>
    <w:next w:val="1"/>
    <w:link w:val="198"/>
    <w:autoRedefine/>
    <w:qFormat/>
    <w:uiPriority w:val="0"/>
    <w:pPr>
      <w:adjustRightInd w:val="0"/>
      <w:snapToGrid w:val="0"/>
      <w:spacing w:after="0" w:afterLines="0" w:line="240" w:lineRule="auto"/>
      <w:ind w:firstLine="0" w:firstLineChars="0"/>
      <w:jc w:val="center"/>
    </w:pPr>
    <w:rPr>
      <w:rFonts w:ascii="Times New Roman" w:hAnsi="Times New Roman" w:eastAsia="宋体"/>
      <w:color w:val="000000" w:themeColor="text1"/>
      <w:sz w:val="21"/>
      <w:szCs w:val="21"/>
      <w14:textFill>
        <w14:solidFill>
          <w14:schemeClr w14:val="tx1"/>
        </w14:solidFill>
      </w14:textFill>
    </w:rPr>
  </w:style>
  <w:style w:type="character" w:customStyle="1" w:styleId="198">
    <w:name w:val="仙新表格 字符"/>
    <w:basedOn w:val="37"/>
    <w:link w:val="197"/>
    <w:autoRedefine/>
    <w:qFormat/>
    <w:uiPriority w:val="0"/>
    <w:rPr>
      <w:rFonts w:cstheme="minorBidi"/>
      <w:color w:val="000000" w:themeColor="text1"/>
      <w:kern w:val="2"/>
      <w:sz w:val="21"/>
      <w:szCs w:val="21"/>
      <w14:textFill>
        <w14:solidFill>
          <w14:schemeClr w14:val="tx1"/>
        </w14:solidFill>
      </w14:textFill>
    </w:rPr>
  </w:style>
  <w:style w:type="character" w:customStyle="1" w:styleId="199">
    <w:name w:val="标题 字符"/>
    <w:basedOn w:val="37"/>
    <w:link w:val="32"/>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table" w:customStyle="1" w:styleId="200">
    <w:name w:val="Grid Table 1 Light Accent 1"/>
    <w:basedOn w:val="35"/>
    <w:autoRedefine/>
    <w:qFormat/>
    <w:uiPriority w:val="46"/>
    <w:rPr>
      <w:rFonts w:asciiTheme="minorHAnsi" w:hAnsiTheme="minorHAnsi" w:eastAsiaTheme="minorEastAsia" w:cstheme="minorBidi"/>
      <w:kern w:val="2"/>
      <w:sz w:val="21"/>
      <w:szCs w:val="22"/>
    </w:r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character" w:customStyle="1" w:styleId="201">
    <w:name w:val="K正文 Char"/>
    <w:link w:val="44"/>
    <w:autoRedefine/>
    <w:qFormat/>
    <w:uiPriority w:val="0"/>
    <w:rPr>
      <w:rFonts w:ascii="仿宋" w:hAnsi="仿宋" w:eastAsia="仿宋" w:cs="仿宋"/>
      <w:kern w:val="3"/>
      <w:sz w:val="28"/>
      <w:szCs w:val="28"/>
    </w:rPr>
  </w:style>
  <w:style w:type="character" w:customStyle="1" w:styleId="202">
    <w:name w:val="正文缩进 字符"/>
    <w:link w:val="12"/>
    <w:autoRedefine/>
    <w:qFormat/>
    <w:uiPriority w:val="0"/>
    <w:rPr>
      <w:kern w:val="2"/>
      <w:sz w:val="24"/>
      <w:szCs w:val="21"/>
    </w:rPr>
  </w:style>
  <w:style w:type="paragraph" w:customStyle="1" w:styleId="203">
    <w:name w:val="Char Char Char Char Char Char Char1"/>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204">
    <w:name w:val="k网格型1"/>
    <w:basedOn w:val="35"/>
    <w:autoRedefine/>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character" w:customStyle="1" w:styleId="205">
    <w:name w:val="表中字 Char"/>
    <w:basedOn w:val="37"/>
    <w:link w:val="116"/>
    <w:autoRedefine/>
    <w:qFormat/>
    <w:uiPriority w:val="0"/>
    <w:rPr>
      <w:rFonts w:cstheme="minorBidi"/>
      <w:kern w:val="2"/>
      <w:sz w:val="21"/>
      <w:szCs w:val="21"/>
    </w:rPr>
  </w:style>
  <w:style w:type="paragraph" w:customStyle="1" w:styleId="206">
    <w:name w:val="列出段落2"/>
    <w:basedOn w:val="1"/>
    <w:autoRedefine/>
    <w:qFormat/>
    <w:uiPriority w:val="34"/>
    <w:pPr>
      <w:spacing w:after="0" w:afterLines="0" w:line="360" w:lineRule="auto"/>
      <w:jc w:val="both"/>
    </w:pPr>
    <w:rPr>
      <w:rFonts w:ascii="宋体" w:hAnsi="Calibri" w:eastAsia="宋体" w:cs="Times New Roman"/>
      <w:szCs w:val="22"/>
    </w:rPr>
  </w:style>
  <w:style w:type="table" w:customStyle="1" w:styleId="207">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tcPr>
      <w:vAlign w:val="center"/>
    </w:tcPr>
    <w:tblStylePr w:type="firstRow">
      <w:rPr>
        <w:b/>
      </w:rPr>
    </w:tblStylePr>
  </w:style>
  <w:style w:type="paragraph" w:customStyle="1" w:styleId="208">
    <w:name w:val="Char Char Char Char Char Char Char2"/>
    <w:basedOn w:val="15"/>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209">
    <w:name w:val="网格表 1 浅色1"/>
    <w:basedOn w:val="35"/>
    <w:autoRedefine/>
    <w:qFormat/>
    <w:uiPriority w:val="46"/>
    <w:rPr>
      <w:rFonts w:ascii="等线" w:hAnsi="等线" w:eastAsia="等线"/>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10">
    <w:name w:val="网格表 1 浅色 - 着色 11"/>
    <w:basedOn w:val="35"/>
    <w:autoRedefine/>
    <w:qFormat/>
    <w:uiPriority w:val="46"/>
    <w:rPr>
      <w:rFonts w:ascii="等线" w:hAnsi="等线" w:eastAsia="等线"/>
      <w:kern w:val="2"/>
      <w:sz w:val="21"/>
      <w:szCs w:val="22"/>
    </w:rPr>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211">
    <w:name w:val="网格表 4 - 着色 111"/>
    <w:basedOn w:val="35"/>
    <w:autoRedefine/>
    <w:qFormat/>
    <w:uiPriority w:val="49"/>
    <w:rPr>
      <w:rFonts w:ascii="Calibri" w:hAnsi="Calibri"/>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212">
    <w:name w:val="方案模板样式1"/>
    <w:basedOn w:val="35"/>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213">
    <w:name w:val="571"/>
    <w:autoRedefine/>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214">
    <w:name w:val="新生正文"/>
    <w:basedOn w:val="1"/>
    <w:link w:val="215"/>
    <w:autoRedefine/>
    <w:qFormat/>
    <w:uiPriority w:val="0"/>
    <w:pPr>
      <w:adjustRightInd w:val="0"/>
      <w:spacing w:after="0" w:afterLines="0" w:line="360" w:lineRule="auto"/>
      <w:ind w:firstLine="200"/>
    </w:pPr>
    <w:rPr>
      <w:rFonts w:ascii="Times New Roman" w:hAnsi="Times New Roman" w:eastAsia="宋体" w:cs="Times New Roman"/>
      <w:szCs w:val="28"/>
      <w:lang w:bidi="en-US"/>
    </w:rPr>
  </w:style>
  <w:style w:type="character" w:customStyle="1" w:styleId="215">
    <w:name w:val="新生正文 Char"/>
    <w:link w:val="214"/>
    <w:autoRedefine/>
    <w:qFormat/>
    <w:locked/>
    <w:uiPriority w:val="0"/>
    <w:rPr>
      <w:kern w:val="2"/>
      <w:sz w:val="24"/>
      <w:szCs w:val="28"/>
      <w:lang w:bidi="en-US"/>
    </w:rPr>
  </w:style>
  <w:style w:type="character" w:customStyle="1" w:styleId="216">
    <w:name w:val="普通(网站) 字符"/>
    <w:link w:val="31"/>
    <w:autoRedefine/>
    <w:qFormat/>
    <w:locked/>
    <w:uiPriority w:val="99"/>
    <w:rPr>
      <w:rFonts w:asciiTheme="minorHAnsi" w:hAnsiTheme="minorHAnsi" w:eastAsiaTheme="minorEastAsia"/>
      <w:sz w:val="24"/>
      <w:szCs w:val="24"/>
    </w:rPr>
  </w:style>
  <w:style w:type="paragraph" w:customStyle="1" w:styleId="217">
    <w:name w:val="Table Paragraph"/>
    <w:basedOn w:val="1"/>
    <w:autoRedefine/>
    <w:qFormat/>
    <w:uiPriority w:val="1"/>
    <w:pPr>
      <w:spacing w:after="0" w:afterLines="0" w:line="360" w:lineRule="auto"/>
      <w:ind w:firstLine="200"/>
      <w:jc w:val="center"/>
    </w:pPr>
    <w:rPr>
      <w:rFonts w:ascii="宋体" w:hAnsi="宋体" w:eastAsia="宋体" w:cs="宋体"/>
      <w:szCs w:val="21"/>
    </w:rPr>
  </w:style>
  <w:style w:type="paragraph" w:customStyle="1" w:styleId="218">
    <w:name w:val="燕矶表格文字"/>
    <w:basedOn w:val="1"/>
    <w:link w:val="219"/>
    <w:autoRedefine/>
    <w:qFormat/>
    <w:uiPriority w:val="0"/>
    <w:pPr>
      <w:adjustRightInd w:val="0"/>
      <w:snapToGrid w:val="0"/>
      <w:spacing w:after="0" w:afterLines="0" w:line="240" w:lineRule="auto"/>
      <w:ind w:firstLine="0" w:firstLineChars="0"/>
      <w:jc w:val="center"/>
    </w:pPr>
    <w:rPr>
      <w:rFonts w:ascii="Times New Roman" w:hAnsi="Times New Roman" w:eastAsia="宋体"/>
      <w:color w:val="000000" w:themeColor="text1"/>
      <w:sz w:val="21"/>
      <w:szCs w:val="21"/>
      <w14:textFill>
        <w14:solidFill>
          <w14:schemeClr w14:val="tx1"/>
        </w14:solidFill>
      </w14:textFill>
    </w:rPr>
  </w:style>
  <w:style w:type="character" w:customStyle="1" w:styleId="219">
    <w:name w:val="燕矶表格文字 字符"/>
    <w:basedOn w:val="37"/>
    <w:link w:val="218"/>
    <w:autoRedefine/>
    <w:qFormat/>
    <w:uiPriority w:val="0"/>
    <w:rPr>
      <w:rFonts w:cstheme="minorBidi"/>
      <w:color w:val="000000" w:themeColor="text1"/>
      <w:kern w:val="2"/>
      <w:sz w:val="21"/>
      <w:szCs w:val="21"/>
      <w14:textFill>
        <w14:solidFill>
          <w14:schemeClr w14:val="tx1"/>
        </w14:solidFill>
      </w14:textFill>
    </w:rPr>
  </w:style>
  <w:style w:type="paragraph" w:customStyle="1" w:styleId="220">
    <w:name w:val="缩进2"/>
    <w:basedOn w:val="1"/>
    <w:link w:val="221"/>
    <w:autoRedefine/>
    <w:qFormat/>
    <w:uiPriority w:val="0"/>
    <w:pPr>
      <w:spacing w:after="0" w:afterLines="0" w:line="360" w:lineRule="auto"/>
      <w:ind w:firstLine="200"/>
      <w:jc w:val="both"/>
    </w:pPr>
    <w:rPr>
      <w:rFonts w:ascii="Times New Roman" w:hAnsi="Times New Roman" w:eastAsia="宋体"/>
      <w:szCs w:val="22"/>
    </w:rPr>
  </w:style>
  <w:style w:type="character" w:customStyle="1" w:styleId="221">
    <w:name w:val="缩进2 字符"/>
    <w:basedOn w:val="37"/>
    <w:link w:val="220"/>
    <w:autoRedefine/>
    <w:qFormat/>
    <w:uiPriority w:val="0"/>
    <w:rPr>
      <w:rFonts w:cstheme="minorBidi"/>
      <w:kern w:val="2"/>
      <w:sz w:val="24"/>
      <w:szCs w:val="22"/>
    </w:rPr>
  </w:style>
  <w:style w:type="character" w:customStyle="1" w:styleId="222">
    <w:name w:val="正文文本缩进 字符"/>
    <w:basedOn w:val="37"/>
    <w:link w:val="18"/>
    <w:autoRedefine/>
    <w:qFormat/>
    <w:uiPriority w:val="0"/>
    <w:rPr>
      <w:rFonts w:ascii="宋体" w:hAnsi="宋体" w:eastAsia="仿宋" w:cs="宋体"/>
      <w:color w:val="000000"/>
      <w:sz w:val="28"/>
      <w:szCs w:val="28"/>
    </w:rPr>
  </w:style>
  <w:style w:type="character" w:customStyle="1" w:styleId="223">
    <w:name w:val="正文文本首行缩进 2 字符"/>
    <w:basedOn w:val="222"/>
    <w:link w:val="34"/>
    <w:autoRedefine/>
    <w:qFormat/>
    <w:uiPriority w:val="0"/>
    <w:rPr>
      <w:rFonts w:ascii="文鼎书宋简" w:hAnsi="宋体" w:eastAsia="文鼎书宋简" w:cs="宋体"/>
      <w:color w:val="000000"/>
      <w:spacing w:val="12"/>
      <w:sz w:val="24"/>
      <w:szCs w:val="28"/>
    </w:rPr>
  </w:style>
  <w:style w:type="paragraph" w:customStyle="1" w:styleId="224">
    <w:name w:val="燕矶图表名"/>
    <w:basedOn w:val="1"/>
    <w:next w:val="1"/>
    <w:autoRedefine/>
    <w:qFormat/>
    <w:uiPriority w:val="0"/>
    <w:pPr>
      <w:spacing w:after="0" w:afterLines="0" w:line="240" w:lineRule="auto"/>
      <w:ind w:firstLine="0" w:firstLineChars="0"/>
      <w:jc w:val="center"/>
    </w:pPr>
    <w:rPr>
      <w:rFonts w:hint="eastAsia" w:ascii="Times New Roman" w:hAnsi="Times New Roman" w:eastAsia="宋体" w:cs="Times New Roman"/>
      <w:b/>
      <w:bCs/>
      <w:color w:val="000000" w:themeColor="text1"/>
      <w:sz w:val="21"/>
      <w:szCs w:val="21"/>
      <w14:textFill>
        <w14:solidFill>
          <w14:schemeClr w14:val="tx1"/>
        </w14:solidFill>
      </w14:textFill>
    </w:rPr>
  </w:style>
  <w:style w:type="table" w:customStyle="1" w:styleId="225">
    <w:name w:val="网格型浅色1"/>
    <w:basedOn w:val="35"/>
    <w:autoRedefine/>
    <w:qFormat/>
    <w:uiPriority w:val="40"/>
    <w:rPr>
      <w:rFonts w:ascii="Calibri" w:hAnsi="Calibri"/>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226">
    <w:name w:val="正文文本缩进3"/>
    <w:basedOn w:val="1"/>
    <w:autoRedefine/>
    <w:qFormat/>
    <w:uiPriority w:val="99"/>
    <w:pPr>
      <w:adjustRightInd w:val="0"/>
      <w:snapToGrid w:val="0"/>
      <w:spacing w:after="120" w:afterLines="0" w:line="360" w:lineRule="auto"/>
      <w:ind w:left="420" w:leftChars="200" w:firstLine="200"/>
    </w:pPr>
    <w:rPr>
      <w:rFonts w:ascii="Calibri" w:hAnsi="Calibri" w:eastAsia="宋体" w:cs="Times New Roman"/>
      <w:sz w:val="21"/>
    </w:rPr>
  </w:style>
  <w:style w:type="paragraph" w:customStyle="1" w:styleId="227">
    <w:name w:val="官新图名"/>
    <w:basedOn w:val="1"/>
    <w:next w:val="1"/>
    <w:autoRedefine/>
    <w:qFormat/>
    <w:uiPriority w:val="0"/>
    <w:pPr>
      <w:spacing w:after="0" w:afterLines="0" w:line="360" w:lineRule="auto"/>
      <w:ind w:firstLine="0" w:firstLineChars="0"/>
      <w:jc w:val="center"/>
    </w:pPr>
    <w:rPr>
      <w:rFonts w:hint="eastAsia" w:ascii="Times New Roman" w:hAnsi="Times New Roman" w:eastAsia="宋体" w:cs="Times New Roman"/>
      <w:b/>
      <w:bCs/>
      <w:sz w:val="21"/>
      <w:szCs w:val="21"/>
    </w:rPr>
  </w:style>
  <w:style w:type="paragraph" w:customStyle="1" w:styleId="228">
    <w:name w:val="Char Char Char Char Char Char Char4"/>
    <w:basedOn w:val="15"/>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229">
    <w:name w:val="Char Char Char Char Char Char Char3"/>
    <w:basedOn w:val="15"/>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230">
    <w:name w:val="图表文字 字符"/>
    <w:link w:val="67"/>
    <w:autoRedefine/>
    <w:qFormat/>
    <w:uiPriority w:val="0"/>
    <w:rPr>
      <w:rFonts w:ascii="宋体" w:hAnsi="宋体"/>
      <w:kern w:val="2"/>
      <w:sz w:val="22"/>
      <w:szCs w:val="21"/>
      <w:lang w:val="zh-CN"/>
    </w:rPr>
  </w:style>
  <w:style w:type="paragraph" w:customStyle="1" w:styleId="231">
    <w:name w:val="标正文"/>
    <w:basedOn w:val="1"/>
    <w:link w:val="232"/>
    <w:autoRedefine/>
    <w:qFormat/>
    <w:uiPriority w:val="0"/>
    <w:pPr>
      <w:spacing w:after="0" w:afterLines="0" w:line="360" w:lineRule="auto"/>
      <w:ind w:firstLine="200"/>
      <w:jc w:val="both"/>
    </w:pPr>
    <w:rPr>
      <w:rFonts w:ascii="Times New Roman" w:hAnsi="Times New Roman" w:eastAsia="宋体"/>
      <w:szCs w:val="22"/>
    </w:rPr>
  </w:style>
  <w:style w:type="character" w:customStyle="1" w:styleId="232">
    <w:name w:val="标正文 Char"/>
    <w:basedOn w:val="37"/>
    <w:link w:val="231"/>
    <w:autoRedefine/>
    <w:qFormat/>
    <w:uiPriority w:val="0"/>
    <w:rPr>
      <w:rFonts w:cstheme="minorBidi"/>
      <w:kern w:val="2"/>
      <w:sz w:val="24"/>
      <w:szCs w:val="22"/>
    </w:rPr>
  </w:style>
  <w:style w:type="character" w:customStyle="1" w:styleId="233">
    <w:name w:val="列表段落 字符"/>
    <w:link w:val="48"/>
    <w:autoRedefine/>
    <w:qFormat/>
    <w:uiPriority w:val="0"/>
    <w:rPr>
      <w:rFonts w:ascii="仿宋" w:hAnsi="仿宋" w:eastAsia="仿宋" w:cstheme="minorBidi"/>
      <w:kern w:val="2"/>
      <w:sz w:val="24"/>
      <w:szCs w:val="24"/>
    </w:rPr>
  </w:style>
  <w:style w:type="paragraph" w:customStyle="1" w:styleId="234">
    <w:name w:val="正文文本C"/>
    <w:basedOn w:val="1"/>
    <w:autoRedefine/>
    <w:qFormat/>
    <w:uiPriority w:val="0"/>
    <w:pPr>
      <w:widowControl/>
      <w:adjustRightInd w:val="0"/>
      <w:snapToGrid w:val="0"/>
      <w:spacing w:after="0" w:afterLines="0" w:line="360" w:lineRule="auto"/>
      <w:ind w:firstLine="200"/>
    </w:pPr>
    <w:rPr>
      <w:rFonts w:ascii="宋体" w:hAnsi="宋体" w:eastAsia="宋体" w:cs="宋体"/>
      <w:kern w:val="0"/>
    </w:rPr>
  </w:style>
  <w:style w:type="paragraph" w:customStyle="1" w:styleId="235">
    <w:name w:val="msolistparagraph"/>
    <w:basedOn w:val="1"/>
    <w:autoRedefine/>
    <w:qFormat/>
    <w:uiPriority w:val="0"/>
    <w:pPr>
      <w:adjustRightInd w:val="0"/>
      <w:snapToGrid w:val="0"/>
      <w:spacing w:after="0" w:afterLines="0" w:line="360" w:lineRule="auto"/>
      <w:jc w:val="both"/>
    </w:pPr>
    <w:rPr>
      <w:rFonts w:hint="eastAsia" w:ascii="等线" w:hAnsi="等线" w:cs="Times New Roman"/>
      <w:sz w:val="21"/>
      <w:szCs w:val="22"/>
    </w:rPr>
  </w:style>
  <w:style w:type="paragraph" w:customStyle="1" w:styleId="236">
    <w:name w:val="缩进1.5"/>
    <w:basedOn w:val="1"/>
    <w:next w:val="1"/>
    <w:link w:val="286"/>
    <w:autoRedefine/>
    <w:qFormat/>
    <w:uiPriority w:val="0"/>
    <w:pPr>
      <w:adjustRightInd w:val="0"/>
      <w:snapToGrid w:val="0"/>
      <w:spacing w:after="0" w:afterLines="0" w:line="360" w:lineRule="auto"/>
      <w:ind w:firstLine="150" w:firstLineChars="150"/>
      <w:jc w:val="both"/>
    </w:pPr>
    <w:rPr>
      <w:rFonts w:ascii="Times New Roman" w:hAnsi="Times New Roman" w:eastAsia="宋体" w:cs="Times New Roman"/>
    </w:rPr>
  </w:style>
  <w:style w:type="character" w:customStyle="1" w:styleId="237">
    <w:name w:val="正文文本 3 字符"/>
    <w:basedOn w:val="37"/>
    <w:link w:val="17"/>
    <w:autoRedefine/>
    <w:qFormat/>
    <w:uiPriority w:val="0"/>
    <w:rPr>
      <w:kern w:val="2"/>
      <w:sz w:val="24"/>
      <w:szCs w:val="24"/>
    </w:rPr>
  </w:style>
  <w:style w:type="character" w:customStyle="1" w:styleId="238">
    <w:name w:val="正文文本缩进 2 字符"/>
    <w:basedOn w:val="37"/>
    <w:link w:val="22"/>
    <w:autoRedefine/>
    <w:qFormat/>
    <w:uiPriority w:val="99"/>
    <w:rPr>
      <w:rFonts w:ascii="仿宋_GB2312" w:hAnsi="宋体" w:eastAsia="仿宋_GB2312" w:cstheme="minorBidi"/>
      <w:kern w:val="2"/>
      <w:sz w:val="28"/>
      <w:szCs w:val="24"/>
    </w:rPr>
  </w:style>
  <w:style w:type="character" w:customStyle="1" w:styleId="239">
    <w:name w:val="批注框文本 字符"/>
    <w:basedOn w:val="37"/>
    <w:link w:val="23"/>
    <w:autoRedefine/>
    <w:qFormat/>
    <w:uiPriority w:val="0"/>
    <w:rPr>
      <w:kern w:val="2"/>
      <w:sz w:val="18"/>
      <w:szCs w:val="18"/>
    </w:rPr>
  </w:style>
  <w:style w:type="character" w:customStyle="1" w:styleId="240">
    <w:name w:val="副标题 字符"/>
    <w:basedOn w:val="37"/>
    <w:link w:val="27"/>
    <w:autoRedefine/>
    <w:qFormat/>
    <w:uiPriority w:val="11"/>
    <w:rPr>
      <w:rFonts w:ascii="Cambria" w:hAnsi="Cambria"/>
      <w:b/>
      <w:bCs/>
      <w:kern w:val="28"/>
      <w:sz w:val="32"/>
      <w:szCs w:val="32"/>
    </w:rPr>
  </w:style>
  <w:style w:type="character" w:customStyle="1" w:styleId="241">
    <w:name w:val="正文文本缩进 3 字符"/>
    <w:basedOn w:val="37"/>
    <w:link w:val="28"/>
    <w:autoRedefine/>
    <w:qFormat/>
    <w:uiPriority w:val="0"/>
    <w:rPr>
      <w:kern w:val="2"/>
      <w:sz w:val="16"/>
      <w:szCs w:val="16"/>
    </w:rPr>
  </w:style>
  <w:style w:type="character" w:customStyle="1" w:styleId="242">
    <w:name w:val="正文文本 2 字符"/>
    <w:basedOn w:val="37"/>
    <w:link w:val="30"/>
    <w:autoRedefine/>
    <w:qFormat/>
    <w:uiPriority w:val="0"/>
    <w:rPr>
      <w:kern w:val="2"/>
      <w:sz w:val="24"/>
      <w:szCs w:val="24"/>
    </w:rPr>
  </w:style>
  <w:style w:type="character" w:customStyle="1" w:styleId="243">
    <w:name w:val="标题 2 Char"/>
    <w:autoRedefine/>
    <w:qFormat/>
    <w:uiPriority w:val="9"/>
    <w:rPr>
      <w:rFonts w:ascii="Times New Roman" w:hAnsi="Times New Roman" w:eastAsia="宋体"/>
      <w:b/>
      <w:bCs/>
      <w:sz w:val="30"/>
      <w:szCs w:val="32"/>
    </w:rPr>
  </w:style>
  <w:style w:type="character" w:customStyle="1" w:styleId="244">
    <w:name w:val="标题 4 Char"/>
    <w:autoRedefine/>
    <w:qFormat/>
    <w:uiPriority w:val="99"/>
    <w:rPr>
      <w:rFonts w:ascii="Times New Roman" w:hAnsi="Times New Roman" w:eastAsia="宋体" w:cs="Times New Roman"/>
      <w:b/>
      <w:bCs/>
      <w:kern w:val="2"/>
      <w:sz w:val="24"/>
      <w:szCs w:val="28"/>
    </w:rPr>
  </w:style>
  <w:style w:type="character" w:customStyle="1" w:styleId="245">
    <w:name w:val="k 表中字 Char Char"/>
    <w:link w:val="246"/>
    <w:autoRedefine/>
    <w:qFormat/>
    <w:uiPriority w:val="0"/>
  </w:style>
  <w:style w:type="paragraph" w:customStyle="1" w:styleId="246">
    <w:name w:val="k 表中字"/>
    <w:basedOn w:val="66"/>
    <w:next w:val="66"/>
    <w:link w:val="245"/>
    <w:autoRedefine/>
    <w:qFormat/>
    <w:uiPriority w:val="0"/>
    <w:pPr>
      <w:adjustRightInd w:val="0"/>
      <w:snapToGrid w:val="0"/>
      <w:spacing w:line="240" w:lineRule="atLeast"/>
      <w:ind w:firstLine="0" w:firstLineChars="0"/>
      <w:jc w:val="center"/>
    </w:pPr>
    <w:rPr>
      <w:rFonts w:ascii="Times New Roman" w:hAnsi="Times New Roman"/>
      <w:sz w:val="20"/>
    </w:rPr>
  </w:style>
  <w:style w:type="character" w:customStyle="1" w:styleId="247">
    <w:name w:val="k 正文 Char"/>
    <w:link w:val="66"/>
    <w:autoRedefine/>
    <w:qFormat/>
    <w:uiPriority w:val="0"/>
    <w:rPr>
      <w:rFonts w:ascii="宋体" w:hAnsi="宋体"/>
      <w:sz w:val="24"/>
    </w:rPr>
  </w:style>
  <w:style w:type="character" w:customStyle="1" w:styleId="248">
    <w:name w:val="Char Char1"/>
    <w:autoRedefine/>
    <w:qFormat/>
    <w:uiPriority w:val="0"/>
    <w:rPr>
      <w:rFonts w:eastAsia="宋体"/>
      <w:kern w:val="2"/>
      <w:sz w:val="18"/>
      <w:szCs w:val="18"/>
      <w:lang w:val="en-US" w:eastAsia="zh-CN" w:bidi="ar-SA"/>
    </w:rPr>
  </w:style>
  <w:style w:type="character" w:customStyle="1" w:styleId="249">
    <w:name w:val="fontstyle21"/>
    <w:basedOn w:val="37"/>
    <w:autoRedefine/>
    <w:qFormat/>
    <w:uiPriority w:val="0"/>
    <w:rPr>
      <w:rFonts w:hint="eastAsia" w:ascii="宋体" w:hAnsi="宋体" w:eastAsia="宋体"/>
      <w:color w:val="000000"/>
      <w:sz w:val="24"/>
      <w:szCs w:val="24"/>
    </w:rPr>
  </w:style>
  <w:style w:type="character" w:customStyle="1" w:styleId="250">
    <w:name w:val="k 图表标题 Char"/>
    <w:link w:val="251"/>
    <w:autoRedefine/>
    <w:qFormat/>
    <w:uiPriority w:val="0"/>
    <w:rPr>
      <w:b/>
      <w:bCs/>
      <w:color w:val="0000FF"/>
      <w:sz w:val="24"/>
      <w:szCs w:val="24"/>
    </w:rPr>
  </w:style>
  <w:style w:type="paragraph" w:customStyle="1" w:styleId="251">
    <w:name w:val="k 图表标题"/>
    <w:basedOn w:val="1"/>
    <w:next w:val="1"/>
    <w:link w:val="250"/>
    <w:autoRedefine/>
    <w:qFormat/>
    <w:uiPriority w:val="0"/>
    <w:pPr>
      <w:adjustRightInd w:val="0"/>
      <w:snapToGrid w:val="0"/>
      <w:spacing w:beforeLines="25" w:after="0" w:afterLines="25" w:line="360" w:lineRule="auto"/>
      <w:ind w:firstLine="200"/>
      <w:jc w:val="center"/>
    </w:pPr>
    <w:rPr>
      <w:rFonts w:ascii="Times New Roman" w:hAnsi="Times New Roman" w:eastAsia="宋体" w:cs="Times New Roman"/>
      <w:b/>
      <w:bCs/>
      <w:color w:val="0000FF"/>
      <w:kern w:val="0"/>
    </w:rPr>
  </w:style>
  <w:style w:type="character" w:customStyle="1" w:styleId="252">
    <w:name w:val="Char Char2"/>
    <w:autoRedefine/>
    <w:qFormat/>
    <w:uiPriority w:val="0"/>
    <w:rPr>
      <w:rFonts w:ascii="仿宋_GB2312" w:eastAsia="仿宋_GB2312"/>
      <w:kern w:val="2"/>
      <w:sz w:val="21"/>
      <w:szCs w:val="21"/>
    </w:rPr>
  </w:style>
  <w:style w:type="paragraph" w:customStyle="1" w:styleId="253">
    <w:name w:val="表格、图名"/>
    <w:basedOn w:val="1"/>
    <w:link w:val="254"/>
    <w:autoRedefine/>
    <w:qFormat/>
    <w:uiPriority w:val="0"/>
    <w:pPr>
      <w:adjustRightInd w:val="0"/>
      <w:snapToGrid w:val="0"/>
      <w:spacing w:after="0" w:afterLines="0" w:line="360" w:lineRule="auto"/>
      <w:ind w:firstLine="883"/>
      <w:jc w:val="center"/>
    </w:pPr>
    <w:rPr>
      <w:rFonts w:ascii="宋体" w:hAnsi="宋体" w:eastAsia="仿宋_GB2312" w:cs="宋体"/>
      <w:b/>
      <w:color w:val="0000FF"/>
      <w:kern w:val="0"/>
    </w:rPr>
  </w:style>
  <w:style w:type="character" w:customStyle="1" w:styleId="254">
    <w:name w:val="表格、图名 Char"/>
    <w:link w:val="253"/>
    <w:autoRedefine/>
    <w:qFormat/>
    <w:uiPriority w:val="0"/>
    <w:rPr>
      <w:rFonts w:ascii="宋体" w:hAnsi="宋体" w:eastAsia="仿宋_GB2312" w:cs="宋体"/>
      <w:b/>
      <w:color w:val="0000FF"/>
      <w:sz w:val="24"/>
      <w:szCs w:val="24"/>
    </w:rPr>
  </w:style>
  <w:style w:type="character" w:customStyle="1" w:styleId="255">
    <w:name w:val="正文 Char"/>
    <w:autoRedefine/>
    <w:qFormat/>
    <w:uiPriority w:val="0"/>
    <w:rPr>
      <w:rFonts w:cs="Times New Roman"/>
      <w:sz w:val="24"/>
      <w:lang w:val="en-US" w:eastAsia="zh-CN" w:bidi="ar-SA"/>
    </w:rPr>
  </w:style>
  <w:style w:type="character" w:customStyle="1" w:styleId="256">
    <w:name w:val="HT正文 Char"/>
    <w:link w:val="257"/>
    <w:autoRedefine/>
    <w:qFormat/>
    <w:uiPriority w:val="99"/>
    <w:rPr>
      <w:rFonts w:ascii="仿宋_GB2312" w:hAnsi="仿宋_GB2312" w:eastAsia="仿宋_GB2312"/>
      <w:kern w:val="28"/>
      <w:sz w:val="28"/>
      <w:szCs w:val="28"/>
    </w:rPr>
  </w:style>
  <w:style w:type="paragraph" w:customStyle="1" w:styleId="257">
    <w:name w:val="HT正文"/>
    <w:basedOn w:val="1"/>
    <w:link w:val="256"/>
    <w:autoRedefine/>
    <w:qFormat/>
    <w:uiPriority w:val="99"/>
    <w:pPr>
      <w:adjustRightInd w:val="0"/>
      <w:snapToGrid w:val="0"/>
      <w:spacing w:after="0" w:afterLines="0" w:line="460" w:lineRule="exact"/>
      <w:ind w:firstLine="200"/>
    </w:pPr>
    <w:rPr>
      <w:rFonts w:ascii="仿宋_GB2312" w:hAnsi="仿宋_GB2312" w:eastAsia="仿宋_GB2312" w:cs="Times New Roman"/>
      <w:kern w:val="28"/>
      <w:sz w:val="28"/>
      <w:szCs w:val="28"/>
    </w:rPr>
  </w:style>
  <w:style w:type="character" w:customStyle="1" w:styleId="258">
    <w:name w:val="表格居中 Char"/>
    <w:link w:val="61"/>
    <w:autoRedefine/>
    <w:qFormat/>
    <w:uiPriority w:val="0"/>
    <w:rPr>
      <w:rFonts w:ascii="宋体" w:hAnsi="宋体" w:eastAsia="等线"/>
      <w:kern w:val="2"/>
      <w:sz w:val="21"/>
      <w:szCs w:val="21"/>
    </w:rPr>
  </w:style>
  <w:style w:type="paragraph" w:customStyle="1" w:styleId="259">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260">
    <w:name w:val="71表格五号"/>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Cs w:val="21"/>
    </w:rPr>
  </w:style>
  <w:style w:type="paragraph" w:customStyle="1" w:styleId="261">
    <w:name w:val="正文缩进0.88"/>
    <w:basedOn w:val="1"/>
    <w:autoRedefine/>
    <w:qFormat/>
    <w:uiPriority w:val="0"/>
    <w:pPr>
      <w:widowControl/>
      <w:adjustRightInd w:val="0"/>
      <w:snapToGrid w:val="0"/>
      <w:spacing w:after="0" w:afterLines="0" w:line="440" w:lineRule="exact"/>
      <w:ind w:firstLine="499"/>
    </w:pPr>
    <w:rPr>
      <w:rFonts w:ascii="宋体" w:hAnsi="宋体" w:eastAsia="宋体" w:cs="Times New Roman"/>
      <w:bCs/>
      <w:szCs w:val="22"/>
    </w:rPr>
  </w:style>
  <w:style w:type="paragraph" w:customStyle="1" w:styleId="262">
    <w:name w:val="样式 目录 1 + 行距: 固定值 20 磅"/>
    <w:basedOn w:val="26"/>
    <w:autoRedefine/>
    <w:qFormat/>
    <w:uiPriority w:val="0"/>
    <w:pPr>
      <w:tabs>
        <w:tab w:val="right" w:leader="dot" w:pos="8778"/>
      </w:tabs>
      <w:adjustRightInd w:val="0"/>
      <w:snapToGrid w:val="0"/>
      <w:spacing w:before="100" w:after="100" w:afterLines="0" w:line="360" w:lineRule="auto"/>
      <w:ind w:firstLine="0" w:firstLineChars="0"/>
      <w:jc w:val="both"/>
    </w:pPr>
    <w:rPr>
      <w:rFonts w:ascii="Times New Roman" w:hAnsi="Times New Roman" w:eastAsia="宋体" w:cs="宋体"/>
      <w:b/>
      <w:bCs/>
      <w:sz w:val="21"/>
      <w:szCs w:val="20"/>
    </w:rPr>
  </w:style>
  <w:style w:type="paragraph" w:customStyle="1" w:styleId="263">
    <w:name w:val="72表格小五"/>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 w:val="18"/>
      <w:szCs w:val="18"/>
    </w:rPr>
  </w:style>
  <w:style w:type="paragraph" w:customStyle="1" w:styleId="264">
    <w:name w:val="正文C"/>
    <w:basedOn w:val="1"/>
    <w:link w:val="296"/>
    <w:autoRedefine/>
    <w:qFormat/>
    <w:uiPriority w:val="0"/>
    <w:pPr>
      <w:widowControl/>
      <w:adjustRightInd w:val="0"/>
      <w:snapToGrid w:val="0"/>
      <w:spacing w:after="0" w:afterLines="0" w:line="360" w:lineRule="auto"/>
      <w:ind w:firstLine="200"/>
    </w:pPr>
    <w:rPr>
      <w:rFonts w:ascii="宋体" w:hAnsi="宋体" w:eastAsia="宋体" w:cs="宋体"/>
      <w:color w:val="4F6228"/>
      <w:kern w:val="0"/>
    </w:rPr>
  </w:style>
  <w:style w:type="paragraph" w:customStyle="1" w:styleId="265">
    <w:name w:val="图表名1"/>
    <w:autoRedefine/>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266">
    <w:name w:val="k 表格文字"/>
    <w:basedOn w:val="1"/>
    <w:next w:val="1"/>
    <w:autoRedefine/>
    <w:qFormat/>
    <w:uiPriority w:val="0"/>
    <w:pPr>
      <w:adjustRightInd w:val="0"/>
      <w:snapToGrid w:val="0"/>
      <w:spacing w:after="0" w:afterLines="0" w:line="360" w:lineRule="auto"/>
      <w:ind w:firstLine="883"/>
      <w:jc w:val="center"/>
    </w:pPr>
    <w:rPr>
      <w:rFonts w:ascii="仿宋_GB2312" w:hAnsi="Times New Roman" w:eastAsia="仿宋_GB2312" w:cs="Times New Roman"/>
      <w:szCs w:val="22"/>
    </w:rPr>
  </w:style>
  <w:style w:type="paragraph" w:customStyle="1" w:styleId="267">
    <w:name w:val="表格小五"/>
    <w:basedOn w:val="1"/>
    <w:autoRedefine/>
    <w:qFormat/>
    <w:uiPriority w:val="0"/>
    <w:pPr>
      <w:adjustRightInd w:val="0"/>
      <w:snapToGrid w:val="0"/>
      <w:spacing w:after="0" w:afterLines="0" w:line="360" w:lineRule="auto"/>
      <w:ind w:firstLine="883"/>
      <w:jc w:val="center"/>
    </w:pPr>
    <w:rPr>
      <w:rFonts w:ascii="宋体" w:hAnsi="宋体" w:eastAsia="宋体" w:cs="宋体"/>
      <w:snapToGrid w:val="0"/>
      <w:kern w:val="0"/>
      <w:sz w:val="18"/>
      <w:szCs w:val="18"/>
    </w:rPr>
  </w:style>
  <w:style w:type="paragraph" w:customStyle="1" w:styleId="268">
    <w:name w:val="样式 标题 3 + 加粗"/>
    <w:basedOn w:val="5"/>
    <w:next w:val="1"/>
    <w:autoRedefine/>
    <w:qFormat/>
    <w:uiPriority w:val="0"/>
    <w:pPr>
      <w:tabs>
        <w:tab w:val="left" w:pos="0"/>
      </w:tabs>
      <w:adjustRightInd w:val="0"/>
      <w:snapToGrid w:val="0"/>
      <w:spacing w:before="60" w:beforeLines="0" w:after="60" w:afterLines="0" w:line="240" w:lineRule="auto"/>
    </w:pPr>
    <w:rPr>
      <w:rFonts w:ascii="Times New Roman" w:hAnsi="Times New Roman" w:eastAsia="宋体" w:cs="Times New Roman"/>
      <w:b/>
      <w:bCs/>
      <w:color w:val="000000"/>
    </w:rPr>
  </w:style>
  <w:style w:type="paragraph" w:customStyle="1" w:styleId="269">
    <w:name w:val="!表内仿宋"/>
    <w:autoRedefine/>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270">
    <w:name w:val="aa"/>
    <w:basedOn w:val="1"/>
    <w:autoRedefine/>
    <w:qFormat/>
    <w:uiPriority w:val="0"/>
    <w:pPr>
      <w:adjustRightInd w:val="0"/>
      <w:snapToGrid w:val="0"/>
      <w:spacing w:after="0" w:afterLines="0" w:line="360" w:lineRule="auto"/>
      <w:ind w:firstLine="883"/>
      <w:jc w:val="both"/>
    </w:pPr>
    <w:rPr>
      <w:rFonts w:ascii="Times New Roman" w:hAnsi="Times New Roman" w:eastAsia="宋体" w:cs="Times New Roman"/>
    </w:rPr>
  </w:style>
  <w:style w:type="paragraph" w:customStyle="1" w:styleId="271">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272">
    <w:name w:val="图居中、图表标题"/>
    <w:basedOn w:val="1"/>
    <w:next w:val="1"/>
    <w:autoRedefine/>
    <w:qFormat/>
    <w:uiPriority w:val="0"/>
    <w:pPr>
      <w:adjustRightInd w:val="0"/>
      <w:snapToGrid w:val="0"/>
      <w:spacing w:after="0" w:afterLines="0" w:line="360" w:lineRule="auto"/>
      <w:ind w:firstLine="883"/>
      <w:jc w:val="center"/>
    </w:pPr>
    <w:rPr>
      <w:rFonts w:ascii="Times New Roman" w:hAnsi="Times New Roman" w:eastAsia="宋体" w:cs="宋体"/>
      <w:b/>
      <w:color w:val="0000C8"/>
      <w:kern w:val="0"/>
      <w:szCs w:val="22"/>
    </w:rPr>
  </w:style>
  <w:style w:type="paragraph" w:customStyle="1" w:styleId="273">
    <w:name w:val="澳氹图及题注"/>
    <w:basedOn w:val="1"/>
    <w:next w:val="1"/>
    <w:autoRedefine/>
    <w:qFormat/>
    <w:uiPriority w:val="0"/>
    <w:pPr>
      <w:adjustRightInd w:val="0"/>
      <w:snapToGrid w:val="0"/>
      <w:spacing w:after="0" w:afterLines="0"/>
      <w:ind w:firstLine="883"/>
      <w:jc w:val="center"/>
    </w:pPr>
    <w:rPr>
      <w:rFonts w:ascii="Times New Roman" w:hAnsi="Times New Roman" w:eastAsia="宋体" w:cs="Times New Roman"/>
      <w:b/>
      <w:szCs w:val="22"/>
    </w:rPr>
  </w:style>
  <w:style w:type="paragraph" w:customStyle="1" w:styleId="274">
    <w:name w:val="!正文仿小四"/>
    <w:basedOn w:val="1"/>
    <w:autoRedefine/>
    <w:qFormat/>
    <w:uiPriority w:val="0"/>
    <w:pPr>
      <w:adjustRightInd w:val="0"/>
      <w:snapToGrid w:val="0"/>
      <w:spacing w:after="0" w:afterLines="0" w:line="360" w:lineRule="auto"/>
      <w:ind w:firstLine="200"/>
    </w:pPr>
    <w:rPr>
      <w:rFonts w:ascii="Courier New" w:hAnsi="Courier New" w:eastAsia="Tahoma" w:cs="Courier New"/>
    </w:rPr>
  </w:style>
  <w:style w:type="paragraph" w:customStyle="1" w:styleId="275">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276">
    <w:name w:val="正文部分"/>
    <w:basedOn w:val="1"/>
    <w:autoRedefine/>
    <w:qFormat/>
    <w:uiPriority w:val="0"/>
    <w:pPr>
      <w:adjustRightInd w:val="0"/>
      <w:snapToGrid w:val="0"/>
      <w:spacing w:after="0" w:afterLines="0" w:line="360" w:lineRule="auto"/>
      <w:ind w:firstLine="200"/>
      <w:jc w:val="both"/>
    </w:pPr>
    <w:rPr>
      <w:rFonts w:ascii="Times New Roman" w:hAnsi="Times New Roman" w:eastAsia="仿宋_GB2312" w:cs="Times New Roman"/>
    </w:rPr>
  </w:style>
  <w:style w:type="paragraph" w:customStyle="1" w:styleId="277">
    <w:name w:val="图表标题1"/>
    <w:basedOn w:val="1"/>
    <w:autoRedefine/>
    <w:qFormat/>
    <w:uiPriority w:val="0"/>
    <w:pPr>
      <w:spacing w:after="0" w:afterLines="0" w:line="360" w:lineRule="auto"/>
      <w:ind w:firstLine="0" w:firstLineChars="0"/>
      <w:jc w:val="center"/>
    </w:pPr>
    <w:rPr>
      <w:rFonts w:ascii="Times New Roman" w:hAnsi="Times New Roman" w:eastAsia="宋体" w:cs="Times New Roman"/>
      <w:b/>
      <w:bCs/>
      <w:sz w:val="21"/>
      <w:szCs w:val="21"/>
    </w:rPr>
  </w:style>
  <w:style w:type="paragraph" w:customStyle="1" w:styleId="278">
    <w:name w:val="样式 目录 1 + 行距: 固定值 20 磅1"/>
    <w:basedOn w:val="26"/>
    <w:autoRedefine/>
    <w:qFormat/>
    <w:uiPriority w:val="0"/>
    <w:pPr>
      <w:tabs>
        <w:tab w:val="right" w:leader="dot" w:pos="8778"/>
      </w:tabs>
      <w:adjustRightInd w:val="0"/>
      <w:snapToGrid w:val="0"/>
      <w:spacing w:before="100" w:after="100" w:afterLines="0" w:line="360" w:lineRule="auto"/>
      <w:ind w:firstLine="0" w:firstLineChars="0"/>
      <w:jc w:val="both"/>
    </w:pPr>
    <w:rPr>
      <w:rFonts w:ascii="Times New Roman" w:hAnsi="Times New Roman" w:eastAsia="宋体" w:cs="宋体"/>
      <w:b/>
      <w:bCs/>
      <w:sz w:val="21"/>
      <w:szCs w:val="20"/>
    </w:rPr>
  </w:style>
  <w:style w:type="paragraph" w:customStyle="1" w:styleId="279">
    <w:name w:val="正文样式"/>
    <w:basedOn w:val="1"/>
    <w:autoRedefine/>
    <w:qFormat/>
    <w:uiPriority w:val="0"/>
    <w:pPr>
      <w:widowControl/>
      <w:adjustRightInd w:val="0"/>
      <w:snapToGrid w:val="0"/>
      <w:spacing w:after="0" w:afterLines="0" w:line="360" w:lineRule="auto"/>
      <w:ind w:firstLine="883"/>
      <w:jc w:val="both"/>
    </w:pPr>
    <w:rPr>
      <w:rFonts w:ascii="Times New Roman" w:hAnsi="Times New Roman" w:eastAsia="宋体" w:cs="宋体"/>
    </w:rPr>
  </w:style>
  <w:style w:type="paragraph" w:customStyle="1" w:styleId="280">
    <w:name w:val="正文首行缩进1"/>
    <w:autoRedefine/>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281">
    <w:name w:val="70标题表格"/>
    <w:basedOn w:val="1"/>
    <w:next w:val="1"/>
    <w:autoRedefine/>
    <w:qFormat/>
    <w:uiPriority w:val="0"/>
    <w:pPr>
      <w:tabs>
        <w:tab w:val="left" w:pos="420"/>
      </w:tabs>
      <w:adjustRightInd w:val="0"/>
      <w:snapToGrid w:val="0"/>
      <w:spacing w:before="120" w:after="60" w:afterLines="0" w:line="430" w:lineRule="exact"/>
      <w:ind w:firstLine="883"/>
      <w:jc w:val="center"/>
    </w:pPr>
    <w:rPr>
      <w:rFonts w:ascii="宋体" w:hAnsi="宋体" w:eastAsia="宋体" w:cs="宋体"/>
      <w:b/>
      <w:bCs/>
      <w:snapToGrid w:val="0"/>
      <w:kern w:val="0"/>
      <w:szCs w:val="21"/>
    </w:rPr>
  </w:style>
  <w:style w:type="paragraph" w:customStyle="1" w:styleId="282">
    <w:name w:val="k正文"/>
    <w:basedOn w:val="1"/>
    <w:autoRedefine/>
    <w:qFormat/>
    <w:uiPriority w:val="0"/>
    <w:pPr>
      <w:adjustRightInd w:val="0"/>
      <w:snapToGrid w:val="0"/>
      <w:spacing w:after="0" w:afterLines="0" w:line="360" w:lineRule="auto"/>
      <w:ind w:firstLine="200"/>
      <w:jc w:val="both"/>
    </w:pPr>
    <w:rPr>
      <w:rFonts w:ascii="Times New Roman" w:hAnsi="Times New Roman" w:eastAsia="宋体" w:cs="Times New Roman"/>
    </w:rPr>
  </w:style>
  <w:style w:type="table" w:customStyle="1" w:styleId="283">
    <w:name w:val="标准样式27"/>
    <w:basedOn w:val="35"/>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284">
    <w:name w:val="6正文"/>
    <w:basedOn w:val="1"/>
    <w:autoRedefine/>
    <w:qFormat/>
    <w:uiPriority w:val="0"/>
    <w:pPr>
      <w:widowControl/>
      <w:adjustRightInd w:val="0"/>
      <w:snapToGrid w:val="0"/>
      <w:spacing w:after="0" w:afterLines="0" w:line="360" w:lineRule="auto"/>
      <w:ind w:firstLine="480"/>
      <w:jc w:val="both"/>
    </w:pPr>
    <w:rPr>
      <w:rFonts w:ascii="宋体" w:hAnsi="宋体" w:eastAsia="宋体" w:cs="宋体"/>
      <w:kern w:val="0"/>
    </w:rPr>
  </w:style>
  <w:style w:type="character" w:customStyle="1" w:styleId="285">
    <w:name w:val="表头 Char"/>
    <w:basedOn w:val="37"/>
    <w:link w:val="77"/>
    <w:autoRedefine/>
    <w:qFormat/>
    <w:uiPriority w:val="1"/>
    <w:rPr>
      <w:b/>
      <w:bCs/>
      <w:kern w:val="2"/>
      <w:sz w:val="21"/>
      <w:szCs w:val="21"/>
    </w:rPr>
  </w:style>
  <w:style w:type="character" w:customStyle="1" w:styleId="286">
    <w:name w:val="缩进1.5 字符"/>
    <w:basedOn w:val="37"/>
    <w:link w:val="236"/>
    <w:autoRedefine/>
    <w:qFormat/>
    <w:uiPriority w:val="0"/>
    <w:rPr>
      <w:kern w:val="2"/>
      <w:sz w:val="24"/>
      <w:szCs w:val="24"/>
    </w:rPr>
  </w:style>
  <w:style w:type="character" w:customStyle="1" w:styleId="287">
    <w:name w:val="图表文字 Char"/>
    <w:qFormat/>
    <w:uiPriority w:val="0"/>
    <w:rPr>
      <w:rFonts w:ascii="Times New Roman" w:hAnsi="Times New Roman" w:cs="宋体"/>
      <w:color w:val="000000"/>
      <w:sz w:val="21"/>
      <w:szCs w:val="24"/>
    </w:rPr>
  </w:style>
  <w:style w:type="character" w:customStyle="1" w:styleId="288">
    <w:name w:val="图名 字符"/>
    <w:basedOn w:val="37"/>
    <w:autoRedefine/>
    <w:qFormat/>
    <w:uiPriority w:val="0"/>
    <w:rPr>
      <w:rFonts w:ascii="Times New Roman" w:hAnsi="Times New Roman"/>
      <w:b/>
      <w:kern w:val="2"/>
      <w:sz w:val="21"/>
      <w:szCs w:val="22"/>
    </w:rPr>
  </w:style>
  <w:style w:type="paragraph" w:customStyle="1" w:styleId="289">
    <w:name w:val="列表段落1"/>
    <w:basedOn w:val="1"/>
    <w:autoRedefine/>
    <w:qFormat/>
    <w:uiPriority w:val="34"/>
    <w:pPr>
      <w:spacing w:after="0" w:afterLines="0" w:line="320" w:lineRule="atLeast"/>
      <w:jc w:val="both"/>
    </w:pPr>
    <w:rPr>
      <w:rFonts w:ascii="Times New Roman" w:hAnsi="Times New Roman" w:eastAsia="宋体" w:cs="Times New Roman"/>
      <w:sz w:val="28"/>
      <w:szCs w:val="21"/>
    </w:rPr>
  </w:style>
  <w:style w:type="paragraph" w:customStyle="1" w:styleId="290">
    <w:name w:val="正文①"/>
    <w:basedOn w:val="11"/>
    <w:next w:val="1"/>
    <w:link w:val="291"/>
    <w:autoRedefine/>
    <w:qFormat/>
    <w:uiPriority w:val="0"/>
    <w:pPr>
      <w:keepNext w:val="0"/>
      <w:keepLines w:val="0"/>
      <w:tabs>
        <w:tab w:val="clear" w:pos="0"/>
      </w:tabs>
      <w:spacing w:before="0" w:after="0" w:line="360" w:lineRule="auto"/>
      <w:ind w:left="1583" w:firstLine="200" w:firstLineChars="200"/>
      <w:jc w:val="left"/>
      <w:outlineLvl w:val="9"/>
    </w:pPr>
    <w:rPr>
      <w:rFonts w:ascii="Times New Roman" w:hAnsi="Times New Roman" w:eastAsia="宋体"/>
      <w:sz w:val="24"/>
      <w:szCs w:val="21"/>
    </w:rPr>
  </w:style>
  <w:style w:type="character" w:customStyle="1" w:styleId="291">
    <w:name w:val="正文① 字符"/>
    <w:link w:val="290"/>
    <w:autoRedefine/>
    <w:qFormat/>
    <w:uiPriority w:val="0"/>
    <w:rPr>
      <w:kern w:val="2"/>
      <w:sz w:val="24"/>
      <w:szCs w:val="21"/>
    </w:rPr>
  </w:style>
  <w:style w:type="character" w:customStyle="1" w:styleId="292">
    <w:name w:val="表格内容 字符"/>
    <w:link w:val="45"/>
    <w:autoRedefine/>
    <w:qFormat/>
    <w:uiPriority w:val="0"/>
    <w:rPr>
      <w:rFonts w:ascii="楷体_GB2312" w:eastAsia="楷体_GB2312"/>
      <w:sz w:val="24"/>
    </w:rPr>
  </w:style>
  <w:style w:type="character" w:customStyle="1" w:styleId="293">
    <w:name w:val="列表段落 字符1"/>
    <w:autoRedefine/>
    <w:qFormat/>
    <w:uiPriority w:val="0"/>
    <w:rPr>
      <w:rFonts w:ascii="Times New Roman" w:hAnsi="Times New Roman"/>
      <w:kern w:val="2"/>
      <w:sz w:val="24"/>
      <w:szCs w:val="21"/>
    </w:rPr>
  </w:style>
  <w:style w:type="character" w:customStyle="1" w:styleId="294">
    <w:name w:val="明显引用 字符3"/>
    <w:autoRedefine/>
    <w:semiHidden/>
    <w:qFormat/>
    <w:uiPriority w:val="0"/>
    <w:rPr>
      <w:rFonts w:ascii="Tahoma" w:eastAsia="Tahoma"/>
      <w:b/>
      <w:bCs/>
      <w:i/>
      <w:iCs/>
      <w:color w:val="4F81BD"/>
      <w:kern w:val="2"/>
      <w:sz w:val="21"/>
      <w:szCs w:val="24"/>
    </w:rPr>
  </w:style>
  <w:style w:type="table" w:customStyle="1" w:styleId="295">
    <w:name w:val="K表格"/>
    <w:basedOn w:val="35"/>
    <w:autoRedefine/>
    <w:qFormat/>
    <w:uiPriority w:val="99"/>
    <w:pPr>
      <w:jc w:val="center"/>
    </w:pPr>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hemeFill="accent3" w:themeFillTint="33"/>
      <w:tcMar>
        <w:top w:w="28" w:type="dxa"/>
        <w:left w:w="28" w:type="dxa"/>
        <w:bottom w:w="28" w:type="dxa"/>
        <w:right w:w="28" w:type="dxa"/>
      </w:tcMar>
      <w:vAlign w:val="center"/>
    </w:tcPr>
    <w:tblStylePr w:type="firstRow">
      <w:tblPr/>
      <w:trPr>
        <w:tblHeader/>
      </w:trPr>
      <w:tcPr>
        <w:shd w:val="clear" w:color="auto" w:fill="B4C6E7" w:themeFill="accent5" w:themeFillTint="66"/>
      </w:tcPr>
    </w:tblStylePr>
  </w:style>
  <w:style w:type="character" w:customStyle="1" w:styleId="296">
    <w:name w:val="正文C Char"/>
    <w:link w:val="264"/>
    <w:autoRedefine/>
    <w:qFormat/>
    <w:uiPriority w:val="0"/>
    <w:rPr>
      <w:rFonts w:ascii="宋体" w:hAnsi="宋体" w:cs="宋体"/>
      <w:color w:val="4F6228"/>
      <w:sz w:val="24"/>
      <w:szCs w:val="24"/>
    </w:rPr>
  </w:style>
  <w:style w:type="table" w:customStyle="1" w:styleId="297">
    <w:name w:val="标准样式2"/>
    <w:autoRedefine/>
    <w:qFormat/>
    <w:uiPriority w:val="99"/>
    <w:pPr>
      <w:jc w:val="both"/>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0" w:type="dxa"/>
        <w:bottom w:w="0" w:type="dxa"/>
        <w:right w:w="0" w:type="dxa"/>
      </w:tblCellMar>
    </w:tblPr>
    <w:trPr>
      <w:jc w:val="center"/>
    </w:trPr>
    <w:tcPr>
      <w:shd w:val="clear" w:color="auto" w:fill="E5DFEC"/>
      <w:vAlign w:val="center"/>
    </w:tcPr>
    <w:tblStylePr w:type="firstRow">
      <w:rPr>
        <w:b/>
      </w:rPr>
      <w:tcPr>
        <w:shd w:val="clear" w:color="auto" w:fill="B6DDE8"/>
      </w:tcPr>
    </w:tblStylePr>
    <w:tblStylePr w:type="firstCol">
      <w:tcPr>
        <w:shd w:val="clear" w:color="auto" w:fill="FBD4B4"/>
      </w:tcPr>
    </w:tblStylePr>
  </w:style>
  <w:style w:type="paragraph" w:customStyle="1" w:styleId="298">
    <w:name w:val="图表名字"/>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299">
    <w:name w:val="WPSOffice手动目录 1"/>
    <w:autoRedefine/>
    <w:qFormat/>
    <w:uiPriority w:val="0"/>
    <w:pPr>
      <w:ind w:leftChars="0"/>
    </w:pPr>
    <w:rPr>
      <w:rFonts w:ascii="Times New Roman" w:hAnsi="Times New Roman" w:eastAsia="宋体" w:cs="Times New Roman"/>
      <w:sz w:val="20"/>
      <w:szCs w:val="20"/>
    </w:rPr>
  </w:style>
  <w:style w:type="paragraph" w:customStyle="1" w:styleId="300">
    <w:name w:val="WPSOffice手动目录 2"/>
    <w:autoRedefine/>
    <w:qFormat/>
    <w:uiPriority w:val="0"/>
    <w:pPr>
      <w:ind w:leftChars="200"/>
    </w:pPr>
    <w:rPr>
      <w:rFonts w:ascii="Times New Roman" w:hAnsi="Times New Roman" w:eastAsia="宋体" w:cs="Times New Roman"/>
      <w:sz w:val="20"/>
      <w:szCs w:val="20"/>
    </w:rPr>
  </w:style>
  <w:style w:type="paragraph" w:customStyle="1" w:styleId="301">
    <w:name w:val="WPSOffice手动目录 3"/>
    <w:autoRedefine/>
    <w:qFormat/>
    <w:uiPriority w:val="0"/>
    <w:pPr>
      <w:ind w:leftChars="400"/>
    </w:pPr>
    <w:rPr>
      <w:rFonts w:ascii="Times New Roman" w:hAnsi="Times New Roman" w:eastAsia="宋体" w:cs="Times New Roman"/>
      <w:sz w:val="20"/>
      <w:szCs w:val="20"/>
    </w:rPr>
  </w:style>
  <w:style w:type="table" w:customStyle="1" w:styleId="302">
    <w:name w:val="000"/>
    <w:basedOn w:val="35"/>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D6DCE4" w:themeFill="text2" w:themeFillTint="33"/>
      </w:tcPr>
    </w:tblStylePr>
  </w:style>
  <w:style w:type="table" w:customStyle="1" w:styleId="303">
    <w:name w:val="两色网格表"/>
    <w:basedOn w:val="35"/>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D6DCE4" w:themeFill="text2" w:themeFillTint="33"/>
      </w:tcPr>
    </w:tblStylePr>
  </w:style>
  <w:style w:type="table" w:customStyle="1" w:styleId="304">
    <w:name w:val="XX表格1"/>
    <w:basedOn w:val="35"/>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D6DCE4" w:themeFill="text2" w:themeFillTint="33"/>
      </w:tcPr>
    </w:tblStylePr>
    <w:tblStylePr w:type="firstCol">
      <w:rPr>
        <w:rFonts w:ascii="Times New Roman" w:hAnsi="Times New Roman" w:eastAsia="宋体"/>
        <w:b w:val="0"/>
        <w:i w:val="0"/>
        <w:sz w:val="21"/>
      </w:rPr>
    </w:tblStylePr>
  </w:style>
  <w:style w:type="paragraph" w:customStyle="1" w:styleId="305">
    <w:name w:val="LM三级"/>
    <w:basedOn w:val="306"/>
    <w:qFormat/>
    <w:uiPriority w:val="0"/>
    <w:pPr>
      <w:adjustRightInd w:val="0"/>
      <w:snapToGrid w:val="0"/>
      <w:spacing w:line="360" w:lineRule="auto"/>
      <w:ind w:firstLine="964" w:firstLineChars="200"/>
      <w:jc w:val="left"/>
      <w:outlineLvl w:val="2"/>
    </w:pPr>
    <w:rPr>
      <w:rFonts w:ascii="仿宋_GB2312" w:hAnsi="仿宋_GB2312"/>
    </w:rPr>
  </w:style>
  <w:style w:type="paragraph" w:customStyle="1" w:styleId="306">
    <w:name w:val="LM二级"/>
    <w:basedOn w:val="1"/>
    <w:qFormat/>
    <w:uiPriority w:val="0"/>
    <w:pPr>
      <w:adjustRightInd w:val="0"/>
      <w:snapToGrid w:val="0"/>
      <w:spacing w:line="360" w:lineRule="auto"/>
      <w:ind w:firstLine="964" w:firstLineChars="200"/>
      <w:jc w:val="left"/>
      <w:outlineLvl w:val="1"/>
    </w:pPr>
    <w:rPr>
      <w:rFonts w:hint="eastAsia" w:ascii="黑体" w:hAnsi="黑体" w:eastAsia="仿宋_GB2312" w:cs="黑体"/>
      <w:b/>
      <w:bCs/>
      <w:color w:val="000000"/>
      <w:sz w:val="28"/>
      <w:szCs w:val="4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emf"/><Relationship Id="rId57" Type="http://schemas.openxmlformats.org/officeDocument/2006/relationships/image" Target="media/image41.emf"/><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Documents%252525252525252525252525252525252525252525252525252525252525252525252525252525252525252525252525252525252525252520and%252525252525252525252525252525252525252525252525252525252525252525252525252525252525252525252525252525252525252520Settings/Administrator/Application%252525252525252525252525252525252525252525252525252525252525252525252525252525252525252525252525252525252525252520Data/Tencent/Users/387702944/QQ/WinTemp/RichOle/KTL3DXG(LVYMR%25252525252525252525252525252525252525252525252525252525252525252525252525252525252525252525252525252525252525255dVG(%25252525252525252525252525252525252525252525252525252525252525252525252525252525252525252525252525252525252525257bE0%25252525252525252525252525252525252525252525252525252525252525252525252525252525252525252525252525252525252525255d_5.png" TargetMode="External"/><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Documents%252525252525252525252525252525252525252525252525252525252525252525252525252525252525252525252525252525252525252520and%252525252525252525252525252525252525252525252525252525252525252525252525252525252525252525252525252525252525252520Settings/Administrator/Application%252525252525252525252525252525252525252525252525252525252525252525252525252525252525252525252525252525252525252520Data/Tencent/Users/387702944/QQ/WinTemp/RichOle/AA23OU%252525252525252525252525252525252525252525252525252525252525252525252525252525252525252525252525252525252525252560FZ$TB@LU4JI%25252525252525252525252525252525252525252525252525252525252525252525252525252525252525252525252525252525252525255d$CUG.png" TargetMode="External"/><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1EF155-4211-4617-9F7F-B873EA61E0C5}">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16022</Words>
  <Characters>17714</Characters>
  <Lines>396</Lines>
  <Paragraphs>111</Paragraphs>
  <TotalTime>3</TotalTime>
  <ScaleCrop>false</ScaleCrop>
  <LinksUpToDate>false</LinksUpToDate>
  <CharactersWithSpaces>18292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2022-01-10T08:27:00Z</dcterms:created>
  <dc:creator>恒</dc:creator>
  <cp:lastModifiedBy>WPS_1178362952</cp:lastModifiedBy>
  <cp:lastPrinted>2025-04-23T07:09:37Z</cp:lastPrinted>
  <dcterms:modified xsi:type="dcterms:W3CDTF">2025-04-23T07:10:04Z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51F2BD02EC014C0FBDAF22EF11B5451D_13</vt:lpwstr>
  </property>
  <property fmtid="{D5CDD505-2E9C-101B-9397-08002B2CF9AE}" pid="4" name="KSOTemplateDocerSaveRecord">
    <vt:lpwstr>eyJoZGlkIjoiN2RlOWMwNTAzZGNmZDIwNjBhMTA3YTIxY2M4ZWUyZmEiLCJ1c2VySWQiOiIxMTc4MzYyOTUyIn0=</vt:lpwstr>
  </property>
</Properties>
</file>