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F60F5">
      <w:pPr>
        <w:ind w:left="0" w:leftChars="0" w:firstLine="0" w:firstLineChars="0"/>
        <w:jc w:val="center"/>
        <w:rPr>
          <w:rFonts w:hint="eastAsia" w:ascii="仿宋" w:hAnsi="仿宋" w:eastAsia="宋体"/>
          <w:b/>
          <w:bCs/>
          <w:sz w:val="28"/>
          <w:szCs w:val="28"/>
          <w:lang w:eastAsia="zh-CN"/>
        </w:rPr>
      </w:pPr>
      <w:bookmarkStart w:id="0" w:name="_Toc40778426"/>
      <w:bookmarkStart w:id="1" w:name="_Toc102481236"/>
      <w:bookmarkStart w:id="2" w:name="_Toc102481185"/>
      <w:bookmarkStart w:id="3" w:name="_Toc26437"/>
      <w:r>
        <w:rPr>
          <w:rFonts w:hint="eastAsia" w:ascii="仿宋" w:hAnsi="仿宋" w:eastAsia="宋体"/>
          <w:b/>
          <w:bCs/>
          <w:sz w:val="28"/>
          <w:szCs w:val="28"/>
          <w:lang w:eastAsia="zh-CN"/>
        </w:rPr>
        <w:drawing>
          <wp:inline distT="0" distB="0" distL="114300" distR="114300">
            <wp:extent cx="5751830" cy="8134985"/>
            <wp:effectExtent l="0" t="0" r="1270" b="18415"/>
            <wp:docPr id="18" name="图片 18" descr="2025091610494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0916104944_01"/>
                    <pic:cNvPicPr>
                      <a:picLocks noChangeAspect="1"/>
                    </pic:cNvPicPr>
                  </pic:nvPicPr>
                  <pic:blipFill>
                    <a:blip r:embed="rId15"/>
                    <a:stretch>
                      <a:fillRect/>
                    </a:stretch>
                  </pic:blipFill>
                  <pic:spPr>
                    <a:xfrm>
                      <a:off x="0" y="0"/>
                      <a:ext cx="5751830" cy="8134985"/>
                    </a:xfrm>
                    <a:prstGeom prst="rect">
                      <a:avLst/>
                    </a:prstGeom>
                  </pic:spPr>
                </pic:pic>
              </a:graphicData>
            </a:graphic>
          </wp:inline>
        </w:drawing>
      </w:r>
    </w:p>
    <w:p w14:paraId="06294B7B">
      <w:pPr>
        <w:widowControl/>
        <w:spacing w:line="240" w:lineRule="auto"/>
        <w:ind w:firstLine="0" w:firstLineChars="0"/>
        <w:jc w:val="left"/>
        <w:rPr>
          <w:rFonts w:ascii="仿宋" w:hAnsi="仿宋"/>
          <w:b/>
          <w:bCs/>
          <w:sz w:val="32"/>
          <w:szCs w:val="32"/>
        </w:rPr>
      </w:pPr>
    </w:p>
    <w:p w14:paraId="108637C3">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51830" cy="8134985"/>
            <wp:effectExtent l="0" t="0" r="1270" b="18415"/>
            <wp:docPr id="19" name="图片 19" descr="2025091610494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916104944_02"/>
                    <pic:cNvPicPr>
                      <a:picLocks noChangeAspect="1"/>
                    </pic:cNvPicPr>
                  </pic:nvPicPr>
                  <pic:blipFill>
                    <a:blip r:embed="rId16"/>
                    <a:stretch>
                      <a:fillRect/>
                    </a:stretch>
                  </pic:blipFill>
                  <pic:spPr>
                    <a:xfrm>
                      <a:off x="0" y="0"/>
                      <a:ext cx="5751830" cy="8134985"/>
                    </a:xfrm>
                    <a:prstGeom prst="rect">
                      <a:avLst/>
                    </a:prstGeom>
                  </pic:spPr>
                </pic:pic>
              </a:graphicData>
            </a:graphic>
          </wp:inline>
        </w:drawing>
      </w:r>
    </w:p>
    <w:p w14:paraId="1C534F5C">
      <w:pPr>
        <w:widowControl/>
        <w:spacing w:line="240" w:lineRule="auto"/>
        <w:ind w:firstLine="0" w:firstLineChars="0"/>
        <w:jc w:val="left"/>
      </w:pPr>
      <w:r>
        <w:br w:type="page"/>
      </w:r>
    </w:p>
    <w:p w14:paraId="39000C3F">
      <w:pPr>
        <w:ind w:firstLine="0" w:firstLineChars="0"/>
        <w:jc w:val="center"/>
        <w:rPr>
          <w:sz w:val="32"/>
          <w:szCs w:val="32"/>
        </w:rPr>
      </w:pPr>
      <w:bookmarkStart w:id="4" w:name="_Toc102825360"/>
      <w:r>
        <w:rPr>
          <w:rFonts w:hint="eastAsia"/>
          <w:b/>
          <w:bCs/>
          <w:sz w:val="32"/>
          <w:szCs w:val="32"/>
        </w:rPr>
        <w:t xml:space="preserve">目 </w:t>
      </w:r>
      <w:r>
        <w:rPr>
          <w:b/>
          <w:bCs/>
          <w:sz w:val="32"/>
          <w:szCs w:val="32"/>
        </w:rPr>
        <w:t xml:space="preserve">   </w:t>
      </w:r>
      <w:r>
        <w:rPr>
          <w:rFonts w:hint="eastAsia"/>
          <w:b/>
          <w:bCs/>
          <w:sz w:val="32"/>
          <w:szCs w:val="32"/>
        </w:rPr>
        <w:t>录</w:t>
      </w:r>
    </w:p>
    <w:p w14:paraId="5D79BD0B">
      <w:pPr>
        <w:pStyle w:val="32"/>
        <w:tabs>
          <w:tab w:val="right" w:leader="dot" w:pos="9070"/>
        </w:tabs>
      </w:pPr>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_Toc30520 </w:instrText>
      </w:r>
      <w:r>
        <w:rPr>
          <w:rFonts w:ascii="宋体" w:hAnsi="宋体"/>
          <w:bCs w:val="0"/>
          <w:caps w:val="0"/>
          <w:szCs w:val="24"/>
        </w:rPr>
        <w:fldChar w:fldCharType="separate"/>
      </w:r>
      <w:r>
        <w:rPr>
          <w:rFonts w:hint="default"/>
        </w:rPr>
        <w:t xml:space="preserve">1 </w:t>
      </w:r>
      <w:r>
        <w:rPr>
          <w:rFonts w:hint="eastAsia"/>
        </w:rPr>
        <w:t>编制</w:t>
      </w:r>
      <w:r>
        <w:rPr>
          <w:rFonts w:hint="eastAsia"/>
          <w:lang w:val="en-US" w:eastAsia="zh-CN"/>
        </w:rPr>
        <w:t>说明、</w:t>
      </w:r>
      <w:r>
        <w:rPr>
          <w:rFonts w:hint="eastAsia"/>
        </w:rPr>
        <w:t>依据</w:t>
      </w:r>
      <w:r>
        <w:rPr>
          <w:rFonts w:hint="eastAsia"/>
          <w:lang w:val="en-US" w:eastAsia="zh-CN"/>
        </w:rPr>
        <w:t>及适用范围</w:t>
      </w:r>
      <w:r>
        <w:tab/>
      </w:r>
      <w:r>
        <w:fldChar w:fldCharType="begin"/>
      </w:r>
      <w:r>
        <w:instrText xml:space="preserve"> PAGEREF _Toc30520 \h </w:instrText>
      </w:r>
      <w:r>
        <w:fldChar w:fldCharType="separate"/>
      </w:r>
      <w:r>
        <w:t>5</w:t>
      </w:r>
      <w:r>
        <w:fldChar w:fldCharType="end"/>
      </w:r>
      <w:r>
        <w:rPr>
          <w:rFonts w:ascii="宋体" w:hAnsi="宋体"/>
          <w:bCs w:val="0"/>
          <w:caps w:val="0"/>
          <w:szCs w:val="24"/>
        </w:rPr>
        <w:fldChar w:fldCharType="end"/>
      </w:r>
    </w:p>
    <w:p w14:paraId="029AAC4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_Toc1532 </w:instrText>
      </w:r>
      <w:r>
        <w:rPr>
          <w:rFonts w:ascii="宋体" w:hAnsi="宋体" w:cstheme="minorHAnsi"/>
          <w:bCs/>
          <w:caps/>
          <w:szCs w:val="24"/>
        </w:rPr>
        <w:fldChar w:fldCharType="separate"/>
      </w:r>
      <w:r>
        <w:rPr>
          <w:rFonts w:hint="default"/>
          <w:bCs/>
          <w:szCs w:val="28"/>
        </w:rPr>
        <w:t xml:space="preserve">1.1 </w:t>
      </w:r>
      <w:r>
        <w:rPr>
          <w:rFonts w:hint="eastAsia"/>
          <w:bCs w:val="0"/>
          <w:szCs w:val="28"/>
        </w:rPr>
        <w:t>编制说明</w:t>
      </w:r>
      <w:r>
        <w:tab/>
      </w:r>
      <w:r>
        <w:fldChar w:fldCharType="begin"/>
      </w:r>
      <w:r>
        <w:instrText xml:space="preserve"> PAGEREF _Toc1532 \h </w:instrText>
      </w:r>
      <w:r>
        <w:fldChar w:fldCharType="separate"/>
      </w:r>
      <w:r>
        <w:t>5</w:t>
      </w:r>
      <w:r>
        <w:fldChar w:fldCharType="end"/>
      </w:r>
      <w:r>
        <w:rPr>
          <w:rFonts w:ascii="宋体" w:hAnsi="宋体" w:cstheme="minorHAnsi"/>
          <w:bCs/>
          <w:caps/>
          <w:szCs w:val="24"/>
        </w:rPr>
        <w:fldChar w:fldCharType="end"/>
      </w:r>
    </w:p>
    <w:p w14:paraId="6F1C902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_Toc29671 </w:instrText>
      </w:r>
      <w:r>
        <w:rPr>
          <w:rFonts w:ascii="宋体" w:hAnsi="宋体" w:cstheme="minorHAnsi"/>
          <w:bCs/>
          <w:caps/>
          <w:szCs w:val="24"/>
        </w:rPr>
        <w:fldChar w:fldCharType="separate"/>
      </w:r>
      <w:r>
        <w:rPr>
          <w:rFonts w:hint="default"/>
          <w:bCs/>
          <w:szCs w:val="28"/>
        </w:rPr>
        <w:t xml:space="preserve">1.2 </w:t>
      </w:r>
      <w:r>
        <w:rPr>
          <w:rFonts w:hint="eastAsia"/>
          <w:bCs w:val="0"/>
          <w:szCs w:val="28"/>
          <w:lang w:val="en-US" w:eastAsia="zh-CN"/>
        </w:rPr>
        <w:t>编制依据</w:t>
      </w:r>
      <w:r>
        <w:tab/>
      </w:r>
      <w:r>
        <w:fldChar w:fldCharType="begin"/>
      </w:r>
      <w:r>
        <w:instrText xml:space="preserve"> PAGEREF _Toc29671 \h </w:instrText>
      </w:r>
      <w:r>
        <w:fldChar w:fldCharType="separate"/>
      </w:r>
      <w:r>
        <w:t>5</w:t>
      </w:r>
      <w:r>
        <w:fldChar w:fldCharType="end"/>
      </w:r>
      <w:r>
        <w:rPr>
          <w:rFonts w:ascii="宋体" w:hAnsi="宋体" w:cstheme="minorHAnsi"/>
          <w:bCs/>
          <w:caps/>
          <w:szCs w:val="24"/>
        </w:rPr>
        <w:fldChar w:fldCharType="end"/>
      </w:r>
    </w:p>
    <w:p w14:paraId="48C22D2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_Toc7858 </w:instrText>
      </w:r>
      <w:r>
        <w:rPr>
          <w:rFonts w:ascii="宋体" w:hAnsi="宋体" w:cstheme="minorHAnsi"/>
          <w:bCs/>
          <w:caps/>
          <w:szCs w:val="24"/>
        </w:rPr>
        <w:fldChar w:fldCharType="separate"/>
      </w:r>
      <w:r>
        <w:rPr>
          <w:rFonts w:hint="default"/>
          <w:bCs/>
          <w:szCs w:val="28"/>
        </w:rPr>
        <w:t xml:space="preserve">1.3 </w:t>
      </w:r>
      <w:r>
        <w:rPr>
          <w:rFonts w:hint="eastAsia"/>
          <w:bCs w:val="0"/>
          <w:szCs w:val="28"/>
        </w:rPr>
        <w:t>适用范围</w:t>
      </w:r>
      <w:r>
        <w:tab/>
      </w:r>
      <w:r>
        <w:fldChar w:fldCharType="begin"/>
      </w:r>
      <w:r>
        <w:instrText xml:space="preserve"> PAGEREF _Toc7858 \h </w:instrText>
      </w:r>
      <w:r>
        <w:fldChar w:fldCharType="separate"/>
      </w:r>
      <w:r>
        <w:t>6</w:t>
      </w:r>
      <w:r>
        <w:fldChar w:fldCharType="end"/>
      </w:r>
      <w:r>
        <w:rPr>
          <w:rFonts w:ascii="宋体" w:hAnsi="宋体" w:cstheme="minorHAnsi"/>
          <w:bCs/>
          <w:caps/>
          <w:szCs w:val="24"/>
        </w:rPr>
        <w:fldChar w:fldCharType="end"/>
      </w:r>
    </w:p>
    <w:p w14:paraId="1869C0CF">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_Toc14112 </w:instrText>
      </w:r>
      <w:r>
        <w:rPr>
          <w:rFonts w:ascii="宋体" w:hAnsi="宋体" w:cstheme="minorHAnsi"/>
          <w:bCs/>
          <w:caps/>
          <w:szCs w:val="24"/>
        </w:rPr>
        <w:fldChar w:fldCharType="separate"/>
      </w:r>
      <w:r>
        <w:rPr>
          <w:rFonts w:hint="default"/>
        </w:rPr>
        <w:t xml:space="preserve">2 </w:t>
      </w:r>
      <w:r>
        <w:rPr>
          <w:rFonts w:hint="eastAsia"/>
        </w:rPr>
        <w:t>工程概况</w:t>
      </w:r>
      <w:r>
        <w:tab/>
      </w:r>
      <w:r>
        <w:fldChar w:fldCharType="begin"/>
      </w:r>
      <w:r>
        <w:instrText xml:space="preserve"> PAGEREF _Toc14112 \h </w:instrText>
      </w:r>
      <w:r>
        <w:fldChar w:fldCharType="separate"/>
      </w:r>
      <w:r>
        <w:t>7</w:t>
      </w:r>
      <w:r>
        <w:fldChar w:fldCharType="end"/>
      </w:r>
      <w:r>
        <w:rPr>
          <w:rFonts w:ascii="宋体" w:hAnsi="宋体" w:cstheme="minorHAnsi"/>
          <w:bCs/>
          <w:caps/>
          <w:szCs w:val="24"/>
        </w:rPr>
        <w:fldChar w:fldCharType="end"/>
      </w:r>
    </w:p>
    <w:p w14:paraId="666A25F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 </w:instrText>
      </w:r>
      <w:r>
        <w:rPr>
          <w:rFonts w:ascii="宋体" w:hAnsi="宋体" w:cstheme="minorHAnsi"/>
          <w:bCs/>
          <w:caps/>
          <w:szCs w:val="24"/>
        </w:rPr>
        <w:fldChar w:fldCharType="separate"/>
      </w:r>
      <w:r>
        <w:rPr>
          <w:rFonts w:hint="default"/>
          <w:bCs/>
          <w:szCs w:val="28"/>
        </w:rPr>
        <w:t xml:space="preserve">2.1 </w:t>
      </w:r>
      <w:r>
        <w:rPr>
          <w:rFonts w:hint="eastAsia"/>
          <w:bCs w:val="0"/>
          <w:szCs w:val="28"/>
        </w:rPr>
        <w:t>工程概况</w:t>
      </w:r>
      <w:r>
        <w:tab/>
      </w:r>
      <w:r>
        <w:fldChar w:fldCharType="begin"/>
      </w:r>
      <w:r>
        <w:instrText xml:space="preserve"> PAGEREF _Toc24 \h </w:instrText>
      </w:r>
      <w:r>
        <w:fldChar w:fldCharType="separate"/>
      </w:r>
      <w:r>
        <w:t>7</w:t>
      </w:r>
      <w:r>
        <w:fldChar w:fldCharType="end"/>
      </w:r>
      <w:r>
        <w:rPr>
          <w:rFonts w:ascii="宋体" w:hAnsi="宋体" w:cstheme="minorHAnsi"/>
          <w:bCs/>
          <w:caps/>
          <w:szCs w:val="24"/>
        </w:rPr>
        <w:fldChar w:fldCharType="end"/>
      </w:r>
    </w:p>
    <w:p w14:paraId="7515945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_Toc6234 </w:instrText>
      </w:r>
      <w:r>
        <w:rPr>
          <w:rFonts w:ascii="宋体" w:hAnsi="宋体" w:cstheme="minorHAnsi"/>
          <w:bCs/>
          <w:caps/>
          <w:szCs w:val="24"/>
        </w:rPr>
        <w:fldChar w:fldCharType="separate"/>
      </w:r>
      <w:r>
        <w:rPr>
          <w:rFonts w:hint="default"/>
          <w:bCs/>
          <w:szCs w:val="28"/>
        </w:rPr>
        <w:t xml:space="preserve">2.2 </w:t>
      </w:r>
      <w:r>
        <w:rPr>
          <w:bCs w:val="0"/>
          <w:szCs w:val="28"/>
        </w:rPr>
        <w:t>工程特点</w:t>
      </w:r>
      <w:r>
        <w:tab/>
      </w:r>
      <w:r>
        <w:fldChar w:fldCharType="begin"/>
      </w:r>
      <w:r>
        <w:instrText xml:space="preserve"> PAGEREF _Toc6234 \h </w:instrText>
      </w:r>
      <w:r>
        <w:fldChar w:fldCharType="separate"/>
      </w:r>
      <w:r>
        <w:t>16</w:t>
      </w:r>
      <w:r>
        <w:fldChar w:fldCharType="end"/>
      </w:r>
      <w:r>
        <w:rPr>
          <w:rFonts w:ascii="宋体" w:hAnsi="宋体" w:cstheme="minorHAnsi"/>
          <w:bCs/>
          <w:caps/>
          <w:szCs w:val="24"/>
        </w:rPr>
        <w:fldChar w:fldCharType="end"/>
      </w:r>
    </w:p>
    <w:p w14:paraId="0AEBABD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_Toc14404 </w:instrText>
      </w:r>
      <w:r>
        <w:rPr>
          <w:rFonts w:ascii="宋体" w:hAnsi="宋体" w:cstheme="minorHAnsi"/>
          <w:bCs/>
          <w:caps/>
          <w:szCs w:val="24"/>
        </w:rPr>
        <w:fldChar w:fldCharType="separate"/>
      </w:r>
      <w:r>
        <w:rPr>
          <w:rFonts w:hint="default"/>
          <w:bCs/>
          <w:szCs w:val="28"/>
        </w:rPr>
        <w:t xml:space="preserve">2.3 </w:t>
      </w:r>
      <w:r>
        <w:rPr>
          <w:rFonts w:hint="eastAsia"/>
          <w:bCs w:val="0"/>
          <w:szCs w:val="28"/>
        </w:rPr>
        <w:t>施工平面布置</w:t>
      </w:r>
      <w:r>
        <w:rPr>
          <w:rFonts w:hint="eastAsia"/>
          <w:bCs w:val="0"/>
          <w:szCs w:val="28"/>
          <w:lang w:val="en-US" w:eastAsia="zh-CN"/>
        </w:rPr>
        <w:t>图</w:t>
      </w:r>
      <w:r>
        <w:tab/>
      </w:r>
      <w:r>
        <w:fldChar w:fldCharType="begin"/>
      </w:r>
      <w:r>
        <w:instrText xml:space="preserve"> PAGEREF _Toc14404 \h </w:instrText>
      </w:r>
      <w:r>
        <w:fldChar w:fldCharType="separate"/>
      </w:r>
      <w:r>
        <w:t>16</w:t>
      </w:r>
      <w:r>
        <w:fldChar w:fldCharType="end"/>
      </w:r>
      <w:r>
        <w:rPr>
          <w:rFonts w:ascii="宋体" w:hAnsi="宋体" w:cstheme="minorHAnsi"/>
          <w:bCs/>
          <w:caps/>
          <w:szCs w:val="24"/>
        </w:rPr>
        <w:fldChar w:fldCharType="end"/>
      </w:r>
    </w:p>
    <w:p w14:paraId="77F715A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_Toc6119 </w:instrText>
      </w:r>
      <w:r>
        <w:rPr>
          <w:rFonts w:ascii="宋体" w:hAnsi="宋体" w:cstheme="minorHAnsi"/>
          <w:bCs/>
          <w:caps/>
          <w:szCs w:val="24"/>
        </w:rPr>
        <w:fldChar w:fldCharType="separate"/>
      </w:r>
      <w:r>
        <w:rPr>
          <w:rFonts w:hint="default"/>
          <w:bCs/>
        </w:rPr>
        <w:t xml:space="preserve">2.4 </w:t>
      </w:r>
      <w:r>
        <w:rPr>
          <w:rFonts w:hint="eastAsia"/>
        </w:rPr>
        <w:t>施工要求</w:t>
      </w:r>
      <w:r>
        <w:tab/>
      </w:r>
      <w:r>
        <w:fldChar w:fldCharType="begin"/>
      </w:r>
      <w:r>
        <w:instrText xml:space="preserve"> PAGEREF _Toc6119 \h </w:instrText>
      </w:r>
      <w:r>
        <w:fldChar w:fldCharType="separate"/>
      </w:r>
      <w:r>
        <w:t>17</w:t>
      </w:r>
      <w:r>
        <w:fldChar w:fldCharType="end"/>
      </w:r>
      <w:r>
        <w:rPr>
          <w:rFonts w:ascii="宋体" w:hAnsi="宋体" w:cstheme="minorHAnsi"/>
          <w:bCs/>
          <w:caps/>
          <w:szCs w:val="24"/>
        </w:rPr>
        <w:fldChar w:fldCharType="end"/>
      </w:r>
    </w:p>
    <w:p w14:paraId="29542A7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_Toc3723 </w:instrText>
      </w:r>
      <w:r>
        <w:rPr>
          <w:rFonts w:ascii="宋体" w:hAnsi="宋体" w:cstheme="minorHAnsi"/>
          <w:bCs/>
          <w:caps/>
          <w:szCs w:val="24"/>
        </w:rPr>
        <w:fldChar w:fldCharType="separate"/>
      </w:r>
      <w:r>
        <w:rPr>
          <w:rFonts w:hint="default"/>
          <w:bCs/>
          <w:szCs w:val="28"/>
          <w:lang w:val="en-US" w:eastAsia="zh-CN"/>
        </w:rPr>
        <w:t xml:space="preserve">2.5 </w:t>
      </w:r>
      <w:r>
        <w:rPr>
          <w:rFonts w:hint="eastAsia"/>
          <w:bCs w:val="0"/>
          <w:szCs w:val="28"/>
          <w:lang w:val="en-US" w:eastAsia="zh-CN"/>
        </w:rPr>
        <w:t>技术保证条件</w:t>
      </w:r>
      <w:r>
        <w:tab/>
      </w:r>
      <w:r>
        <w:fldChar w:fldCharType="begin"/>
      </w:r>
      <w:r>
        <w:instrText xml:space="preserve"> PAGEREF _Toc3723 \h </w:instrText>
      </w:r>
      <w:r>
        <w:fldChar w:fldCharType="separate"/>
      </w:r>
      <w:r>
        <w:t>17</w:t>
      </w:r>
      <w:r>
        <w:fldChar w:fldCharType="end"/>
      </w:r>
      <w:r>
        <w:rPr>
          <w:rFonts w:ascii="宋体" w:hAnsi="宋体" w:cstheme="minorHAnsi"/>
          <w:bCs/>
          <w:caps/>
          <w:szCs w:val="24"/>
        </w:rPr>
        <w:fldChar w:fldCharType="end"/>
      </w:r>
    </w:p>
    <w:p w14:paraId="51CA3E4A">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_Toc12008 </w:instrText>
      </w:r>
      <w:r>
        <w:rPr>
          <w:rFonts w:ascii="宋体" w:hAnsi="宋体" w:cstheme="minorHAnsi"/>
          <w:bCs/>
          <w:caps/>
          <w:szCs w:val="24"/>
        </w:rPr>
        <w:fldChar w:fldCharType="separate"/>
      </w:r>
      <w:r>
        <w:rPr>
          <w:rFonts w:hint="default"/>
        </w:rPr>
        <w:t xml:space="preserve">3 </w:t>
      </w:r>
      <w:r>
        <w:rPr>
          <w:rFonts w:hint="eastAsia"/>
        </w:rPr>
        <w:t>施工计划</w:t>
      </w:r>
      <w:r>
        <w:tab/>
      </w:r>
      <w:r>
        <w:fldChar w:fldCharType="begin"/>
      </w:r>
      <w:r>
        <w:instrText xml:space="preserve"> PAGEREF _Toc12008 \h </w:instrText>
      </w:r>
      <w:r>
        <w:fldChar w:fldCharType="separate"/>
      </w:r>
      <w:r>
        <w:t>19</w:t>
      </w:r>
      <w:r>
        <w:fldChar w:fldCharType="end"/>
      </w:r>
      <w:r>
        <w:rPr>
          <w:rFonts w:ascii="宋体" w:hAnsi="宋体" w:cstheme="minorHAnsi"/>
          <w:bCs/>
          <w:caps/>
          <w:szCs w:val="24"/>
        </w:rPr>
        <w:fldChar w:fldCharType="end"/>
      </w:r>
    </w:p>
    <w:p w14:paraId="0872200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_Toc12834 </w:instrText>
      </w:r>
      <w:r>
        <w:rPr>
          <w:rFonts w:ascii="宋体" w:hAnsi="宋体" w:cstheme="minorHAnsi"/>
          <w:bCs/>
          <w:caps/>
          <w:szCs w:val="24"/>
        </w:rPr>
        <w:fldChar w:fldCharType="separate"/>
      </w:r>
      <w:r>
        <w:rPr>
          <w:rFonts w:hint="default"/>
          <w:bCs/>
          <w:szCs w:val="28"/>
        </w:rPr>
        <w:t xml:space="preserve">3.1 </w:t>
      </w:r>
      <w:r>
        <w:rPr>
          <w:rFonts w:hint="eastAsia"/>
          <w:bCs w:val="0"/>
          <w:szCs w:val="28"/>
        </w:rPr>
        <w:t>工程总体目标</w:t>
      </w:r>
      <w:r>
        <w:tab/>
      </w:r>
      <w:r>
        <w:fldChar w:fldCharType="begin"/>
      </w:r>
      <w:r>
        <w:instrText xml:space="preserve"> PAGEREF _Toc12834 \h </w:instrText>
      </w:r>
      <w:r>
        <w:fldChar w:fldCharType="separate"/>
      </w:r>
      <w:r>
        <w:t>19</w:t>
      </w:r>
      <w:r>
        <w:fldChar w:fldCharType="end"/>
      </w:r>
      <w:r>
        <w:rPr>
          <w:rFonts w:ascii="宋体" w:hAnsi="宋体" w:cstheme="minorHAnsi"/>
          <w:bCs/>
          <w:caps/>
          <w:szCs w:val="24"/>
        </w:rPr>
        <w:fldChar w:fldCharType="end"/>
      </w:r>
    </w:p>
    <w:p w14:paraId="493A71B0">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_Toc26611 </w:instrText>
      </w:r>
      <w:r>
        <w:rPr>
          <w:rFonts w:ascii="宋体" w:hAnsi="宋体" w:cstheme="minorHAnsi"/>
          <w:bCs/>
          <w:caps/>
          <w:szCs w:val="24"/>
        </w:rPr>
        <w:fldChar w:fldCharType="separate"/>
      </w:r>
      <w:r>
        <w:rPr>
          <w:rFonts w:hint="default"/>
          <w:bCs/>
          <w:szCs w:val="28"/>
        </w:rPr>
        <w:t xml:space="preserve">3.2 </w:t>
      </w:r>
      <w:r>
        <w:rPr>
          <w:rFonts w:hint="eastAsia"/>
          <w:bCs w:val="0"/>
          <w:szCs w:val="28"/>
        </w:rPr>
        <w:t>施工进度计划</w:t>
      </w:r>
      <w:r>
        <w:tab/>
      </w:r>
      <w:r>
        <w:fldChar w:fldCharType="begin"/>
      </w:r>
      <w:r>
        <w:instrText xml:space="preserve"> PAGEREF _Toc26611 \h </w:instrText>
      </w:r>
      <w:r>
        <w:fldChar w:fldCharType="separate"/>
      </w:r>
      <w:r>
        <w:t>19</w:t>
      </w:r>
      <w:r>
        <w:fldChar w:fldCharType="end"/>
      </w:r>
      <w:r>
        <w:rPr>
          <w:rFonts w:ascii="宋体" w:hAnsi="宋体" w:cstheme="minorHAnsi"/>
          <w:bCs/>
          <w:caps/>
          <w:szCs w:val="24"/>
        </w:rPr>
        <w:fldChar w:fldCharType="end"/>
      </w:r>
    </w:p>
    <w:p w14:paraId="3581B7E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_Toc692 </w:instrText>
      </w:r>
      <w:r>
        <w:rPr>
          <w:rFonts w:ascii="宋体" w:hAnsi="宋体" w:cstheme="minorHAnsi"/>
          <w:bCs/>
          <w:caps/>
          <w:szCs w:val="24"/>
        </w:rPr>
        <w:fldChar w:fldCharType="separate"/>
      </w:r>
      <w:r>
        <w:rPr>
          <w:rFonts w:hint="default"/>
          <w:bCs/>
          <w:szCs w:val="28"/>
        </w:rPr>
        <w:t xml:space="preserve">3.3 </w:t>
      </w:r>
      <w:r>
        <w:rPr>
          <w:rFonts w:hint="eastAsia"/>
          <w:bCs w:val="0"/>
          <w:szCs w:val="28"/>
        </w:rPr>
        <w:t>材料及设备计划</w:t>
      </w:r>
      <w:r>
        <w:tab/>
      </w:r>
      <w:r>
        <w:fldChar w:fldCharType="begin"/>
      </w:r>
      <w:r>
        <w:instrText xml:space="preserve"> PAGEREF _Toc692 \h </w:instrText>
      </w:r>
      <w:r>
        <w:fldChar w:fldCharType="separate"/>
      </w:r>
      <w:r>
        <w:t>19</w:t>
      </w:r>
      <w:r>
        <w:fldChar w:fldCharType="end"/>
      </w:r>
      <w:r>
        <w:rPr>
          <w:rFonts w:ascii="宋体" w:hAnsi="宋体" w:cstheme="minorHAnsi"/>
          <w:bCs/>
          <w:caps/>
          <w:szCs w:val="24"/>
        </w:rPr>
        <w:fldChar w:fldCharType="end"/>
      </w:r>
    </w:p>
    <w:p w14:paraId="6B9C4330">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_Toc19910 </w:instrText>
      </w:r>
      <w:r>
        <w:rPr>
          <w:rFonts w:ascii="宋体" w:hAnsi="宋体" w:cstheme="minorHAnsi"/>
          <w:bCs/>
          <w:caps/>
          <w:szCs w:val="24"/>
        </w:rPr>
        <w:fldChar w:fldCharType="separate"/>
      </w:r>
      <w:r>
        <w:rPr>
          <w:rFonts w:hint="default"/>
        </w:rPr>
        <w:t xml:space="preserve">4 </w:t>
      </w:r>
      <w:r>
        <w:rPr>
          <w:rFonts w:hint="eastAsia"/>
          <w:lang w:val="en-US" w:eastAsia="zh-CN"/>
        </w:rPr>
        <w:t>施工方案概述</w:t>
      </w:r>
      <w:r>
        <w:tab/>
      </w:r>
      <w:r>
        <w:fldChar w:fldCharType="begin"/>
      </w:r>
      <w:r>
        <w:instrText xml:space="preserve"> PAGEREF _Toc19910 \h </w:instrText>
      </w:r>
      <w:r>
        <w:fldChar w:fldCharType="separate"/>
      </w:r>
      <w:r>
        <w:t>21</w:t>
      </w:r>
      <w:r>
        <w:fldChar w:fldCharType="end"/>
      </w:r>
      <w:r>
        <w:rPr>
          <w:rFonts w:ascii="宋体" w:hAnsi="宋体" w:cstheme="minorHAnsi"/>
          <w:bCs/>
          <w:caps/>
          <w:szCs w:val="24"/>
        </w:rPr>
        <w:fldChar w:fldCharType="end"/>
      </w:r>
    </w:p>
    <w:p w14:paraId="3FCDB86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_Toc27325 </w:instrText>
      </w:r>
      <w:r>
        <w:rPr>
          <w:rFonts w:ascii="宋体" w:hAnsi="宋体" w:cstheme="minorHAnsi"/>
          <w:bCs/>
          <w:caps/>
          <w:szCs w:val="24"/>
        </w:rPr>
        <w:fldChar w:fldCharType="separate"/>
      </w:r>
      <w:r>
        <w:rPr>
          <w:rFonts w:hint="default"/>
          <w:bCs/>
          <w:szCs w:val="28"/>
        </w:rPr>
        <w:t xml:space="preserve">4.1 </w:t>
      </w:r>
      <w:r>
        <w:rPr>
          <w:rFonts w:hint="eastAsia"/>
          <w:bCs w:val="0"/>
          <w:szCs w:val="28"/>
          <w:lang w:eastAsia="zh-CN"/>
        </w:rPr>
        <w:t>塔机</w:t>
      </w:r>
      <w:r>
        <w:rPr>
          <w:rFonts w:hint="eastAsia"/>
          <w:bCs w:val="0"/>
          <w:szCs w:val="28"/>
          <w:lang w:val="en-US" w:eastAsia="zh-CN"/>
        </w:rPr>
        <w:t>拆除</w:t>
      </w:r>
      <w:r>
        <w:rPr>
          <w:rFonts w:hint="eastAsia"/>
          <w:bCs w:val="0"/>
          <w:szCs w:val="28"/>
        </w:rPr>
        <w:t>施工工艺流程</w:t>
      </w:r>
      <w:r>
        <w:tab/>
      </w:r>
      <w:r>
        <w:fldChar w:fldCharType="begin"/>
      </w:r>
      <w:r>
        <w:instrText xml:space="preserve"> PAGEREF _Toc27325 \h </w:instrText>
      </w:r>
      <w:r>
        <w:fldChar w:fldCharType="separate"/>
      </w:r>
      <w:r>
        <w:t>21</w:t>
      </w:r>
      <w:r>
        <w:fldChar w:fldCharType="end"/>
      </w:r>
      <w:r>
        <w:rPr>
          <w:rFonts w:ascii="宋体" w:hAnsi="宋体" w:cstheme="minorHAnsi"/>
          <w:bCs/>
          <w:caps/>
          <w:szCs w:val="24"/>
        </w:rPr>
        <w:fldChar w:fldCharType="end"/>
      </w:r>
    </w:p>
    <w:p w14:paraId="26E9E3AF">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_Toc26817 </w:instrText>
      </w:r>
      <w:r>
        <w:rPr>
          <w:rFonts w:ascii="宋体" w:hAnsi="宋体" w:cstheme="minorHAnsi"/>
          <w:bCs/>
          <w:caps/>
          <w:szCs w:val="24"/>
        </w:rPr>
        <w:fldChar w:fldCharType="separate"/>
      </w:r>
      <w:r>
        <w:rPr>
          <w:rFonts w:hint="default"/>
          <w:bCs/>
          <w:szCs w:val="28"/>
        </w:rPr>
        <w:t xml:space="preserve">4.2 </w:t>
      </w:r>
      <w:r>
        <w:rPr>
          <w:rFonts w:hint="eastAsia"/>
          <w:bCs w:val="0"/>
          <w:szCs w:val="28"/>
        </w:rPr>
        <w:t>主要设备选型</w:t>
      </w:r>
      <w:r>
        <w:tab/>
      </w:r>
      <w:r>
        <w:fldChar w:fldCharType="begin"/>
      </w:r>
      <w:r>
        <w:instrText xml:space="preserve"> PAGEREF _Toc26817 \h </w:instrText>
      </w:r>
      <w:r>
        <w:fldChar w:fldCharType="separate"/>
      </w:r>
      <w:r>
        <w:t>21</w:t>
      </w:r>
      <w:r>
        <w:fldChar w:fldCharType="end"/>
      </w:r>
      <w:r>
        <w:rPr>
          <w:rFonts w:ascii="宋体" w:hAnsi="宋体" w:cstheme="minorHAnsi"/>
          <w:bCs/>
          <w:caps/>
          <w:szCs w:val="24"/>
        </w:rPr>
        <w:fldChar w:fldCharType="end"/>
      </w:r>
    </w:p>
    <w:p w14:paraId="07D0AD7A">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_Toc16811 </w:instrText>
      </w:r>
      <w:r>
        <w:rPr>
          <w:rFonts w:ascii="宋体" w:hAnsi="宋体" w:cstheme="minorHAnsi"/>
          <w:bCs/>
          <w:caps/>
          <w:szCs w:val="24"/>
        </w:rPr>
        <w:fldChar w:fldCharType="separate"/>
      </w:r>
      <w:r>
        <w:rPr>
          <w:rFonts w:hint="default"/>
          <w:bCs/>
          <w:szCs w:val="28"/>
        </w:rPr>
        <w:t xml:space="preserve">4.3 </w:t>
      </w:r>
      <w:r>
        <w:rPr>
          <w:rFonts w:hint="eastAsia"/>
          <w:bCs w:val="0"/>
          <w:szCs w:val="28"/>
          <w:lang w:eastAsia="zh-CN"/>
        </w:rPr>
        <w:t>塔机</w:t>
      </w:r>
      <w:r>
        <w:rPr>
          <w:rFonts w:hint="eastAsia"/>
          <w:bCs w:val="0"/>
          <w:szCs w:val="28"/>
          <w:lang w:val="en-US" w:eastAsia="zh-CN"/>
        </w:rPr>
        <w:t>拆除</w:t>
      </w:r>
      <w:r>
        <w:rPr>
          <w:rFonts w:hint="eastAsia"/>
          <w:bCs w:val="0"/>
          <w:szCs w:val="28"/>
        </w:rPr>
        <w:t>前施工准备</w:t>
      </w:r>
      <w:r>
        <w:tab/>
      </w:r>
      <w:r>
        <w:fldChar w:fldCharType="begin"/>
      </w:r>
      <w:r>
        <w:instrText xml:space="preserve"> PAGEREF _Toc16811 \h </w:instrText>
      </w:r>
      <w:r>
        <w:fldChar w:fldCharType="separate"/>
      </w:r>
      <w:r>
        <w:t>24</w:t>
      </w:r>
      <w:r>
        <w:fldChar w:fldCharType="end"/>
      </w:r>
      <w:r>
        <w:rPr>
          <w:rFonts w:ascii="宋体" w:hAnsi="宋体" w:cstheme="minorHAnsi"/>
          <w:bCs/>
          <w:caps/>
          <w:szCs w:val="24"/>
        </w:rPr>
        <w:fldChar w:fldCharType="end"/>
      </w:r>
    </w:p>
    <w:p w14:paraId="3B8BBB1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_Toc2299 </w:instrText>
      </w:r>
      <w:r>
        <w:rPr>
          <w:rFonts w:ascii="宋体" w:hAnsi="宋体" w:cstheme="minorHAnsi"/>
          <w:bCs/>
          <w:caps/>
          <w:szCs w:val="24"/>
        </w:rPr>
        <w:fldChar w:fldCharType="separate"/>
      </w:r>
      <w:r>
        <w:rPr>
          <w:rFonts w:hint="default"/>
          <w:bCs/>
          <w:szCs w:val="28"/>
        </w:rPr>
        <w:t xml:space="preserve">4.4 </w:t>
      </w:r>
      <w:r>
        <w:rPr>
          <w:rFonts w:hint="eastAsia"/>
          <w:bCs w:val="0"/>
          <w:szCs w:val="28"/>
          <w:lang w:val="en-US" w:eastAsia="zh-CN"/>
        </w:rPr>
        <w:t>XGT360-20S1</w:t>
      </w:r>
      <w:r>
        <w:rPr>
          <w:rFonts w:hint="eastAsia"/>
          <w:bCs w:val="0"/>
          <w:szCs w:val="28"/>
          <w:lang w:eastAsia="zh-CN"/>
        </w:rPr>
        <w:t>塔机</w:t>
      </w:r>
      <w:r>
        <w:rPr>
          <w:rFonts w:hint="eastAsia"/>
          <w:bCs w:val="0"/>
          <w:szCs w:val="28"/>
          <w:lang w:val="en-US" w:eastAsia="zh-CN"/>
        </w:rPr>
        <w:t>拆除</w:t>
      </w:r>
      <w:r>
        <w:rPr>
          <w:rFonts w:hint="eastAsia"/>
          <w:bCs w:val="0"/>
          <w:szCs w:val="28"/>
        </w:rPr>
        <w:t>具体步骤</w:t>
      </w:r>
      <w:r>
        <w:tab/>
      </w:r>
      <w:r>
        <w:fldChar w:fldCharType="begin"/>
      </w:r>
      <w:r>
        <w:instrText xml:space="preserve"> PAGEREF _Toc2299 \h </w:instrText>
      </w:r>
      <w:r>
        <w:fldChar w:fldCharType="separate"/>
      </w:r>
      <w:r>
        <w:t>25</w:t>
      </w:r>
      <w:r>
        <w:fldChar w:fldCharType="end"/>
      </w:r>
      <w:r>
        <w:rPr>
          <w:rFonts w:ascii="宋体" w:hAnsi="宋体" w:cstheme="minorHAnsi"/>
          <w:bCs/>
          <w:caps/>
          <w:szCs w:val="24"/>
        </w:rPr>
        <w:fldChar w:fldCharType="end"/>
      </w:r>
    </w:p>
    <w:p w14:paraId="0124F8C2">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_Toc7186 </w:instrText>
      </w:r>
      <w:r>
        <w:rPr>
          <w:rFonts w:ascii="宋体" w:hAnsi="宋体" w:cstheme="minorHAnsi"/>
          <w:bCs/>
          <w:caps/>
          <w:szCs w:val="24"/>
        </w:rPr>
        <w:fldChar w:fldCharType="separate"/>
      </w:r>
      <w:r>
        <w:rPr>
          <w:rFonts w:hint="default"/>
        </w:rPr>
        <w:t xml:space="preserve">5 </w:t>
      </w:r>
      <w:r>
        <w:rPr>
          <w:rFonts w:hint="eastAsia"/>
        </w:rPr>
        <w:t>质量控制措施</w:t>
      </w:r>
      <w:r>
        <w:tab/>
      </w:r>
      <w:r>
        <w:fldChar w:fldCharType="begin"/>
      </w:r>
      <w:r>
        <w:instrText xml:space="preserve"> PAGEREF _Toc7186 \h </w:instrText>
      </w:r>
      <w:r>
        <w:fldChar w:fldCharType="separate"/>
      </w:r>
      <w:r>
        <w:t>46</w:t>
      </w:r>
      <w:r>
        <w:fldChar w:fldCharType="end"/>
      </w:r>
      <w:r>
        <w:rPr>
          <w:rFonts w:ascii="宋体" w:hAnsi="宋体" w:cstheme="minorHAnsi"/>
          <w:bCs/>
          <w:caps/>
          <w:szCs w:val="24"/>
        </w:rPr>
        <w:fldChar w:fldCharType="end"/>
      </w:r>
    </w:p>
    <w:p w14:paraId="0AA491A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_Toc18986 </w:instrText>
      </w:r>
      <w:r>
        <w:rPr>
          <w:rFonts w:ascii="宋体" w:hAnsi="宋体" w:cstheme="minorHAnsi"/>
          <w:bCs/>
          <w:caps/>
          <w:szCs w:val="24"/>
        </w:rPr>
        <w:fldChar w:fldCharType="separate"/>
      </w:r>
      <w:r>
        <w:rPr>
          <w:rFonts w:hint="default"/>
          <w:bCs/>
          <w:szCs w:val="28"/>
          <w:lang w:val="en-US" w:eastAsia="zh-CN"/>
        </w:rPr>
        <w:t xml:space="preserve">5.1 </w:t>
      </w:r>
      <w:r>
        <w:rPr>
          <w:bCs w:val="0"/>
          <w:szCs w:val="28"/>
          <w:lang w:val="en-US" w:eastAsia="zh-CN"/>
        </w:rPr>
        <w:t>质量管理组织机构</w:t>
      </w:r>
      <w:r>
        <w:tab/>
      </w:r>
      <w:r>
        <w:fldChar w:fldCharType="begin"/>
      </w:r>
      <w:r>
        <w:instrText xml:space="preserve"> PAGEREF _Toc18986 \h </w:instrText>
      </w:r>
      <w:r>
        <w:fldChar w:fldCharType="separate"/>
      </w:r>
      <w:r>
        <w:t>46</w:t>
      </w:r>
      <w:r>
        <w:fldChar w:fldCharType="end"/>
      </w:r>
      <w:r>
        <w:rPr>
          <w:rFonts w:ascii="宋体" w:hAnsi="宋体" w:cstheme="minorHAnsi"/>
          <w:bCs/>
          <w:caps/>
          <w:szCs w:val="24"/>
        </w:rPr>
        <w:fldChar w:fldCharType="end"/>
      </w:r>
    </w:p>
    <w:p w14:paraId="1D561643">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_Toc25207 </w:instrText>
      </w:r>
      <w:r>
        <w:rPr>
          <w:rFonts w:ascii="宋体" w:hAnsi="宋体" w:cstheme="minorHAnsi"/>
          <w:bCs/>
          <w:caps/>
          <w:szCs w:val="24"/>
        </w:rPr>
        <w:fldChar w:fldCharType="separate"/>
      </w:r>
      <w:r>
        <w:rPr>
          <w:rFonts w:hint="default"/>
          <w:bCs/>
          <w:szCs w:val="28"/>
        </w:rPr>
        <w:t xml:space="preserve">5.2 </w:t>
      </w:r>
      <w:r>
        <w:rPr>
          <w:rFonts w:hint="eastAsia"/>
          <w:bCs w:val="0"/>
          <w:szCs w:val="28"/>
        </w:rPr>
        <w:t>质量通病及质量通病预防</w:t>
      </w:r>
      <w:r>
        <w:tab/>
      </w:r>
      <w:r>
        <w:fldChar w:fldCharType="begin"/>
      </w:r>
      <w:r>
        <w:instrText xml:space="preserve"> PAGEREF _Toc25207 \h </w:instrText>
      </w:r>
      <w:r>
        <w:fldChar w:fldCharType="separate"/>
      </w:r>
      <w:r>
        <w:t>46</w:t>
      </w:r>
      <w:r>
        <w:fldChar w:fldCharType="end"/>
      </w:r>
      <w:r>
        <w:rPr>
          <w:rFonts w:ascii="宋体" w:hAnsi="宋体" w:cstheme="minorHAnsi"/>
          <w:bCs/>
          <w:caps/>
          <w:szCs w:val="24"/>
        </w:rPr>
        <w:fldChar w:fldCharType="end"/>
      </w:r>
    </w:p>
    <w:p w14:paraId="4F0B692D">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_Toc26561 </w:instrText>
      </w:r>
      <w:r>
        <w:rPr>
          <w:rFonts w:ascii="宋体" w:hAnsi="宋体" w:cstheme="minorHAnsi"/>
          <w:bCs/>
          <w:caps/>
          <w:szCs w:val="24"/>
        </w:rPr>
        <w:fldChar w:fldCharType="separate"/>
      </w:r>
      <w:r>
        <w:rPr>
          <w:rFonts w:hint="default"/>
          <w:bCs/>
          <w:szCs w:val="28"/>
        </w:rPr>
        <w:t xml:space="preserve">5.3 </w:t>
      </w:r>
      <w:r>
        <w:rPr>
          <w:rFonts w:hint="eastAsia"/>
          <w:bCs w:val="0"/>
          <w:szCs w:val="28"/>
        </w:rPr>
        <w:t>质量保证措施</w:t>
      </w:r>
      <w:r>
        <w:tab/>
      </w:r>
      <w:r>
        <w:fldChar w:fldCharType="begin"/>
      </w:r>
      <w:r>
        <w:instrText xml:space="preserve"> PAGEREF _Toc26561 \h </w:instrText>
      </w:r>
      <w:r>
        <w:fldChar w:fldCharType="separate"/>
      </w:r>
      <w:r>
        <w:t>47</w:t>
      </w:r>
      <w:r>
        <w:fldChar w:fldCharType="end"/>
      </w:r>
      <w:r>
        <w:rPr>
          <w:rFonts w:ascii="宋体" w:hAnsi="宋体" w:cstheme="minorHAnsi"/>
          <w:bCs/>
          <w:caps/>
          <w:szCs w:val="24"/>
        </w:rPr>
        <w:fldChar w:fldCharType="end"/>
      </w:r>
    </w:p>
    <w:p w14:paraId="3FC33C9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_Toc2943 </w:instrText>
      </w:r>
      <w:r>
        <w:rPr>
          <w:rFonts w:ascii="宋体" w:hAnsi="宋体" w:cstheme="minorHAnsi"/>
          <w:bCs/>
          <w:caps/>
          <w:szCs w:val="24"/>
        </w:rPr>
        <w:fldChar w:fldCharType="separate"/>
      </w:r>
      <w:r>
        <w:rPr>
          <w:rFonts w:hint="default"/>
          <w:bCs/>
          <w:szCs w:val="28"/>
        </w:rPr>
        <w:t xml:space="preserve">5.4 </w:t>
      </w:r>
      <w:r>
        <w:rPr>
          <w:rFonts w:hint="eastAsia"/>
          <w:bCs w:val="0"/>
          <w:szCs w:val="28"/>
        </w:rPr>
        <w:t>作业过程中控制点的设置</w:t>
      </w:r>
      <w:r>
        <w:tab/>
      </w:r>
      <w:r>
        <w:fldChar w:fldCharType="begin"/>
      </w:r>
      <w:r>
        <w:instrText xml:space="preserve"> PAGEREF _Toc2943 \h </w:instrText>
      </w:r>
      <w:r>
        <w:fldChar w:fldCharType="separate"/>
      </w:r>
      <w:r>
        <w:t>47</w:t>
      </w:r>
      <w:r>
        <w:fldChar w:fldCharType="end"/>
      </w:r>
      <w:r>
        <w:rPr>
          <w:rFonts w:ascii="宋体" w:hAnsi="宋体" w:cstheme="minorHAnsi"/>
          <w:bCs/>
          <w:caps/>
          <w:szCs w:val="24"/>
        </w:rPr>
        <w:fldChar w:fldCharType="end"/>
      </w:r>
    </w:p>
    <w:p w14:paraId="2F7D8BC9">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_Toc27365 </w:instrText>
      </w:r>
      <w:r>
        <w:rPr>
          <w:rFonts w:ascii="宋体" w:hAnsi="宋体" w:cstheme="minorHAnsi"/>
          <w:bCs/>
          <w:caps/>
          <w:szCs w:val="24"/>
        </w:rPr>
        <w:fldChar w:fldCharType="separate"/>
      </w:r>
      <w:r>
        <w:rPr>
          <w:rFonts w:hint="default"/>
        </w:rPr>
        <w:t xml:space="preserve">6 </w:t>
      </w:r>
      <w:r>
        <w:rPr>
          <w:rFonts w:hint="eastAsia"/>
        </w:rPr>
        <w:t>施工安全保障措施</w:t>
      </w:r>
      <w:r>
        <w:tab/>
      </w:r>
      <w:r>
        <w:fldChar w:fldCharType="begin"/>
      </w:r>
      <w:r>
        <w:instrText xml:space="preserve"> PAGEREF _Toc27365 \h </w:instrText>
      </w:r>
      <w:r>
        <w:fldChar w:fldCharType="separate"/>
      </w:r>
      <w:r>
        <w:t>49</w:t>
      </w:r>
      <w:r>
        <w:fldChar w:fldCharType="end"/>
      </w:r>
      <w:r>
        <w:rPr>
          <w:rFonts w:ascii="宋体" w:hAnsi="宋体" w:cstheme="minorHAnsi"/>
          <w:bCs/>
          <w:caps/>
          <w:szCs w:val="24"/>
        </w:rPr>
        <w:fldChar w:fldCharType="end"/>
      </w:r>
    </w:p>
    <w:p w14:paraId="4EFFA84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_Toc31874 </w:instrText>
      </w:r>
      <w:r>
        <w:rPr>
          <w:rFonts w:ascii="宋体" w:hAnsi="宋体" w:cstheme="minorHAnsi"/>
          <w:bCs/>
          <w:caps/>
          <w:szCs w:val="24"/>
        </w:rPr>
        <w:fldChar w:fldCharType="separate"/>
      </w:r>
      <w:r>
        <w:rPr>
          <w:rFonts w:hint="default"/>
          <w:bCs/>
          <w:szCs w:val="28"/>
        </w:rPr>
        <w:t xml:space="preserve">6.1 </w:t>
      </w:r>
      <w:r>
        <w:rPr>
          <w:rFonts w:hint="eastAsia"/>
          <w:bCs w:val="0"/>
          <w:szCs w:val="28"/>
          <w:lang w:val="en-US" w:eastAsia="zh-CN"/>
        </w:rPr>
        <w:t>危险源辨识及方法</w:t>
      </w:r>
      <w:r>
        <w:tab/>
      </w:r>
      <w:r>
        <w:fldChar w:fldCharType="begin"/>
      </w:r>
      <w:r>
        <w:instrText xml:space="preserve"> PAGEREF _Toc31874 \h </w:instrText>
      </w:r>
      <w:r>
        <w:fldChar w:fldCharType="separate"/>
      </w:r>
      <w:r>
        <w:t>49</w:t>
      </w:r>
      <w:r>
        <w:fldChar w:fldCharType="end"/>
      </w:r>
      <w:r>
        <w:rPr>
          <w:rFonts w:ascii="宋体" w:hAnsi="宋体" w:cstheme="minorHAnsi"/>
          <w:bCs/>
          <w:caps/>
          <w:szCs w:val="24"/>
        </w:rPr>
        <w:fldChar w:fldCharType="end"/>
      </w:r>
    </w:p>
    <w:p w14:paraId="25781C39">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_Toc18734 </w:instrText>
      </w:r>
      <w:r>
        <w:rPr>
          <w:rFonts w:ascii="宋体" w:hAnsi="宋体" w:cstheme="minorHAnsi"/>
          <w:bCs/>
          <w:caps/>
          <w:szCs w:val="24"/>
        </w:rPr>
        <w:fldChar w:fldCharType="separate"/>
      </w:r>
      <w:r>
        <w:rPr>
          <w:rFonts w:hint="default"/>
          <w:bCs/>
          <w:szCs w:val="28"/>
          <w:lang w:val="en-US" w:eastAsia="zh-CN"/>
        </w:rPr>
        <w:t xml:space="preserve">6.2 </w:t>
      </w:r>
      <w:r>
        <w:rPr>
          <w:bCs w:val="0"/>
          <w:szCs w:val="28"/>
          <w:lang w:val="en-US" w:eastAsia="zh-CN"/>
        </w:rPr>
        <w:t>组织保障措施</w:t>
      </w:r>
      <w:r>
        <w:tab/>
      </w:r>
      <w:r>
        <w:fldChar w:fldCharType="begin"/>
      </w:r>
      <w:r>
        <w:instrText xml:space="preserve"> PAGEREF _Toc18734 \h </w:instrText>
      </w:r>
      <w:r>
        <w:fldChar w:fldCharType="separate"/>
      </w:r>
      <w:r>
        <w:t>52</w:t>
      </w:r>
      <w:r>
        <w:fldChar w:fldCharType="end"/>
      </w:r>
      <w:r>
        <w:rPr>
          <w:rFonts w:ascii="宋体" w:hAnsi="宋体" w:cstheme="minorHAnsi"/>
          <w:bCs/>
          <w:caps/>
          <w:szCs w:val="24"/>
        </w:rPr>
        <w:fldChar w:fldCharType="end"/>
      </w:r>
    </w:p>
    <w:p w14:paraId="0D21ED52">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_Toc27605 </w:instrText>
      </w:r>
      <w:r>
        <w:rPr>
          <w:rFonts w:ascii="宋体" w:hAnsi="宋体" w:cstheme="minorHAnsi"/>
          <w:bCs/>
          <w:caps/>
          <w:szCs w:val="24"/>
        </w:rPr>
        <w:fldChar w:fldCharType="separate"/>
      </w:r>
      <w:r>
        <w:rPr>
          <w:rFonts w:hint="default"/>
          <w:bCs/>
          <w:shd w:val="clear" w:fill="FFFFFF" w:themeFill="background1"/>
        </w:rPr>
        <w:t xml:space="preserve">6.3 </w:t>
      </w:r>
      <w:r>
        <w:rPr>
          <w:rFonts w:hint="eastAsia"/>
          <w:bCs w:val="0"/>
          <w:shd w:val="clear" w:color="auto" w:fill="FFFFFF" w:themeFill="background1"/>
        </w:rPr>
        <w:t>施工安全技术控制措施</w:t>
      </w:r>
      <w:r>
        <w:tab/>
      </w:r>
      <w:r>
        <w:fldChar w:fldCharType="begin"/>
      </w:r>
      <w:r>
        <w:instrText xml:space="preserve"> PAGEREF _Toc27605 \h </w:instrText>
      </w:r>
      <w:r>
        <w:fldChar w:fldCharType="separate"/>
      </w:r>
      <w:r>
        <w:t>54</w:t>
      </w:r>
      <w:r>
        <w:fldChar w:fldCharType="end"/>
      </w:r>
      <w:r>
        <w:rPr>
          <w:rFonts w:ascii="宋体" w:hAnsi="宋体" w:cstheme="minorHAnsi"/>
          <w:bCs/>
          <w:caps/>
          <w:szCs w:val="24"/>
        </w:rPr>
        <w:fldChar w:fldCharType="end"/>
      </w:r>
    </w:p>
    <w:p w14:paraId="3889F48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_Toc590 </w:instrText>
      </w:r>
      <w:r>
        <w:rPr>
          <w:rFonts w:ascii="宋体" w:hAnsi="宋体" w:cstheme="minorHAnsi"/>
          <w:bCs/>
          <w:caps/>
          <w:szCs w:val="24"/>
        </w:rPr>
        <w:fldChar w:fldCharType="separate"/>
      </w:r>
      <w:r>
        <w:rPr>
          <w:rFonts w:hint="default"/>
          <w:bCs/>
          <w:lang w:val="en-US" w:eastAsia="zh-CN"/>
        </w:rPr>
        <w:t xml:space="preserve">6.4 </w:t>
      </w:r>
      <w:r>
        <w:rPr>
          <w:rFonts w:hint="eastAsia"/>
          <w:bCs w:val="0"/>
          <w:lang w:val="en-US" w:eastAsia="zh-CN"/>
        </w:rPr>
        <w:t>电气设备</w:t>
      </w:r>
      <w:r>
        <w:tab/>
      </w:r>
      <w:r>
        <w:fldChar w:fldCharType="begin"/>
      </w:r>
      <w:r>
        <w:instrText xml:space="preserve"> PAGEREF _Toc590 \h </w:instrText>
      </w:r>
      <w:r>
        <w:fldChar w:fldCharType="separate"/>
      </w:r>
      <w:r>
        <w:t>61</w:t>
      </w:r>
      <w:r>
        <w:fldChar w:fldCharType="end"/>
      </w:r>
      <w:r>
        <w:rPr>
          <w:rFonts w:ascii="宋体" w:hAnsi="宋体" w:cstheme="minorHAnsi"/>
          <w:bCs/>
          <w:caps/>
          <w:szCs w:val="24"/>
        </w:rPr>
        <w:fldChar w:fldCharType="end"/>
      </w:r>
    </w:p>
    <w:p w14:paraId="335927E4">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_Toc14922 </w:instrText>
      </w:r>
      <w:r>
        <w:rPr>
          <w:rFonts w:ascii="宋体" w:hAnsi="宋体" w:cstheme="minorHAnsi"/>
          <w:bCs/>
          <w:caps/>
          <w:szCs w:val="24"/>
        </w:rPr>
        <w:fldChar w:fldCharType="separate"/>
      </w:r>
      <w:r>
        <w:rPr>
          <w:rFonts w:hint="default"/>
          <w:bCs/>
          <w:lang w:val="en-US" w:eastAsia="zh-CN"/>
        </w:rPr>
        <w:t xml:space="preserve">6.5 </w:t>
      </w:r>
      <w:r>
        <w:rPr>
          <w:rFonts w:hint="eastAsia"/>
          <w:bCs w:val="0"/>
          <w:lang w:val="en-US" w:eastAsia="zh-CN"/>
        </w:rPr>
        <w:t>塔机防雷安全保证措施</w:t>
      </w:r>
      <w:r>
        <w:tab/>
      </w:r>
      <w:r>
        <w:fldChar w:fldCharType="begin"/>
      </w:r>
      <w:r>
        <w:instrText xml:space="preserve"> PAGEREF _Toc14922 \h </w:instrText>
      </w:r>
      <w:r>
        <w:fldChar w:fldCharType="separate"/>
      </w:r>
      <w:r>
        <w:t>63</w:t>
      </w:r>
      <w:r>
        <w:fldChar w:fldCharType="end"/>
      </w:r>
      <w:r>
        <w:rPr>
          <w:rFonts w:ascii="宋体" w:hAnsi="宋体" w:cstheme="minorHAnsi"/>
          <w:bCs/>
          <w:caps/>
          <w:szCs w:val="24"/>
        </w:rPr>
        <w:fldChar w:fldCharType="end"/>
      </w:r>
    </w:p>
    <w:p w14:paraId="623B5B59">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_Toc31763 </w:instrText>
      </w:r>
      <w:r>
        <w:rPr>
          <w:rFonts w:ascii="宋体" w:hAnsi="宋体" w:cstheme="minorHAnsi"/>
          <w:bCs/>
          <w:caps/>
          <w:szCs w:val="24"/>
        </w:rPr>
        <w:fldChar w:fldCharType="separate"/>
      </w:r>
      <w:r>
        <w:rPr>
          <w:rFonts w:hint="default"/>
          <w:bCs/>
          <w:lang w:val="en-US" w:eastAsia="zh-CN"/>
        </w:rPr>
        <w:t xml:space="preserve">6.6 </w:t>
      </w:r>
      <w:r>
        <w:rPr>
          <w:rFonts w:hint="eastAsia"/>
          <w:bCs w:val="0"/>
          <w:lang w:val="en-US" w:eastAsia="zh-CN"/>
        </w:rPr>
        <w:t>强制性条文和具体措施</w:t>
      </w:r>
      <w:r>
        <w:tab/>
      </w:r>
      <w:r>
        <w:fldChar w:fldCharType="begin"/>
      </w:r>
      <w:r>
        <w:instrText xml:space="preserve"> PAGEREF _Toc31763 \h </w:instrText>
      </w:r>
      <w:r>
        <w:fldChar w:fldCharType="separate"/>
      </w:r>
      <w:r>
        <w:t>63</w:t>
      </w:r>
      <w:r>
        <w:fldChar w:fldCharType="end"/>
      </w:r>
      <w:r>
        <w:rPr>
          <w:rFonts w:ascii="宋体" w:hAnsi="宋体" w:cstheme="minorHAnsi"/>
          <w:bCs/>
          <w:caps/>
          <w:szCs w:val="24"/>
        </w:rPr>
        <w:fldChar w:fldCharType="end"/>
      </w:r>
    </w:p>
    <w:p w14:paraId="1978802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_Toc9646 </w:instrText>
      </w:r>
      <w:r>
        <w:rPr>
          <w:rFonts w:ascii="宋体" w:hAnsi="宋体" w:cstheme="minorHAnsi"/>
          <w:bCs/>
          <w:caps/>
          <w:szCs w:val="24"/>
        </w:rPr>
        <w:fldChar w:fldCharType="separate"/>
      </w:r>
      <w:r>
        <w:rPr>
          <w:rFonts w:hint="default"/>
          <w:bCs/>
          <w:lang w:val="en-US" w:eastAsia="zh-CN"/>
        </w:rPr>
        <w:t xml:space="preserve">6.7 </w:t>
      </w:r>
      <w:r>
        <w:rPr>
          <w:rFonts w:hint="eastAsia"/>
          <w:bCs w:val="0"/>
          <w:lang w:val="en-US" w:eastAsia="zh-CN"/>
        </w:rPr>
        <w:t>塔机作业安全技术保证措施</w:t>
      </w:r>
      <w:r>
        <w:tab/>
      </w:r>
      <w:r>
        <w:fldChar w:fldCharType="begin"/>
      </w:r>
      <w:r>
        <w:instrText xml:space="preserve"> PAGEREF _Toc9646 \h </w:instrText>
      </w:r>
      <w:r>
        <w:fldChar w:fldCharType="separate"/>
      </w:r>
      <w:r>
        <w:t>64</w:t>
      </w:r>
      <w:r>
        <w:fldChar w:fldCharType="end"/>
      </w:r>
      <w:r>
        <w:rPr>
          <w:rFonts w:ascii="宋体" w:hAnsi="宋体" w:cstheme="minorHAnsi"/>
          <w:bCs/>
          <w:caps/>
          <w:szCs w:val="24"/>
        </w:rPr>
        <w:fldChar w:fldCharType="end"/>
      </w:r>
    </w:p>
    <w:p w14:paraId="49E126BD">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_Toc5989 </w:instrText>
      </w:r>
      <w:r>
        <w:rPr>
          <w:rFonts w:ascii="宋体" w:hAnsi="宋体" w:cstheme="minorHAnsi"/>
          <w:bCs/>
          <w:caps/>
          <w:szCs w:val="24"/>
        </w:rPr>
        <w:fldChar w:fldCharType="separate"/>
      </w:r>
      <w:r>
        <w:rPr>
          <w:rFonts w:hint="default"/>
        </w:rPr>
        <w:t xml:space="preserve">7 </w:t>
      </w:r>
      <w:r>
        <w:rPr>
          <w:rFonts w:hint="eastAsia"/>
        </w:rPr>
        <w:t>施工管理及作业人员配备和分工</w:t>
      </w:r>
      <w:r>
        <w:tab/>
      </w:r>
      <w:r>
        <w:fldChar w:fldCharType="begin"/>
      </w:r>
      <w:r>
        <w:instrText xml:space="preserve"> PAGEREF _Toc5989 \h </w:instrText>
      </w:r>
      <w:r>
        <w:fldChar w:fldCharType="separate"/>
      </w:r>
      <w:r>
        <w:t>66</w:t>
      </w:r>
      <w:r>
        <w:fldChar w:fldCharType="end"/>
      </w:r>
      <w:r>
        <w:rPr>
          <w:rFonts w:ascii="宋体" w:hAnsi="宋体" w:cstheme="minorHAnsi"/>
          <w:bCs/>
          <w:caps/>
          <w:szCs w:val="24"/>
        </w:rPr>
        <w:fldChar w:fldCharType="end"/>
      </w:r>
    </w:p>
    <w:p w14:paraId="368156F6">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_Toc1112 </w:instrText>
      </w:r>
      <w:r>
        <w:rPr>
          <w:rFonts w:ascii="宋体" w:hAnsi="宋体" w:cstheme="minorHAnsi"/>
          <w:bCs/>
          <w:caps/>
          <w:szCs w:val="24"/>
        </w:rPr>
        <w:fldChar w:fldCharType="separate"/>
      </w:r>
      <w:r>
        <w:rPr>
          <w:rFonts w:hint="default"/>
          <w:bCs/>
          <w:szCs w:val="28"/>
          <w:lang w:val="en-US" w:eastAsia="zh-CN"/>
        </w:rPr>
        <w:t xml:space="preserve">7.1 </w:t>
      </w:r>
      <w:r>
        <w:rPr>
          <w:bCs w:val="0"/>
          <w:szCs w:val="28"/>
          <w:lang w:val="en-US" w:eastAsia="zh-CN"/>
        </w:rPr>
        <w:t>施工管理人员配备和分工</w:t>
      </w:r>
      <w:r>
        <w:tab/>
      </w:r>
      <w:r>
        <w:fldChar w:fldCharType="begin"/>
      </w:r>
      <w:r>
        <w:instrText xml:space="preserve"> PAGEREF _Toc1112 \h </w:instrText>
      </w:r>
      <w:r>
        <w:fldChar w:fldCharType="separate"/>
      </w:r>
      <w:r>
        <w:t>66</w:t>
      </w:r>
      <w:r>
        <w:fldChar w:fldCharType="end"/>
      </w:r>
      <w:r>
        <w:rPr>
          <w:rFonts w:ascii="宋体" w:hAnsi="宋体" w:cstheme="minorHAnsi"/>
          <w:bCs/>
          <w:caps/>
          <w:szCs w:val="24"/>
        </w:rPr>
        <w:fldChar w:fldCharType="end"/>
      </w:r>
    </w:p>
    <w:p w14:paraId="72E3EF1D">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_Toc3621 </w:instrText>
      </w:r>
      <w:r>
        <w:rPr>
          <w:rFonts w:ascii="宋体" w:hAnsi="宋体" w:cstheme="minorHAnsi"/>
          <w:bCs/>
          <w:caps/>
          <w:szCs w:val="24"/>
        </w:rPr>
        <w:fldChar w:fldCharType="separate"/>
      </w:r>
      <w:r>
        <w:rPr>
          <w:rFonts w:hint="default"/>
          <w:bCs/>
          <w:szCs w:val="28"/>
          <w:lang w:val="en-US" w:eastAsia="zh-CN"/>
        </w:rPr>
        <w:t xml:space="preserve">7.2 </w:t>
      </w:r>
      <w:r>
        <w:rPr>
          <w:bCs w:val="0"/>
          <w:szCs w:val="28"/>
          <w:lang w:val="en-US" w:eastAsia="zh-CN"/>
        </w:rPr>
        <w:t>专职安全生产管理人员配备和分工</w:t>
      </w:r>
      <w:r>
        <w:tab/>
      </w:r>
      <w:r>
        <w:fldChar w:fldCharType="begin"/>
      </w:r>
      <w:r>
        <w:instrText xml:space="preserve"> PAGEREF _Toc3621 \h </w:instrText>
      </w:r>
      <w:r>
        <w:fldChar w:fldCharType="separate"/>
      </w:r>
      <w:r>
        <w:t>66</w:t>
      </w:r>
      <w:r>
        <w:fldChar w:fldCharType="end"/>
      </w:r>
      <w:r>
        <w:rPr>
          <w:rFonts w:ascii="宋体" w:hAnsi="宋体" w:cstheme="minorHAnsi"/>
          <w:bCs/>
          <w:caps/>
          <w:szCs w:val="24"/>
        </w:rPr>
        <w:fldChar w:fldCharType="end"/>
      </w:r>
    </w:p>
    <w:p w14:paraId="051E2777">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_Toc31233 </w:instrText>
      </w:r>
      <w:r>
        <w:rPr>
          <w:rFonts w:ascii="宋体" w:hAnsi="宋体" w:cstheme="minorHAnsi"/>
          <w:bCs/>
          <w:caps/>
          <w:szCs w:val="24"/>
        </w:rPr>
        <w:fldChar w:fldCharType="separate"/>
      </w:r>
      <w:r>
        <w:rPr>
          <w:rFonts w:hint="default"/>
        </w:rPr>
        <w:t xml:space="preserve">8 </w:t>
      </w:r>
      <w:r>
        <w:rPr>
          <w:rFonts w:hint="eastAsia"/>
        </w:rPr>
        <w:t>应急处置措施</w:t>
      </w:r>
      <w:r>
        <w:tab/>
      </w:r>
      <w:r>
        <w:fldChar w:fldCharType="begin"/>
      </w:r>
      <w:r>
        <w:instrText xml:space="preserve"> PAGEREF _Toc31233 \h </w:instrText>
      </w:r>
      <w:r>
        <w:fldChar w:fldCharType="separate"/>
      </w:r>
      <w:r>
        <w:t>68</w:t>
      </w:r>
      <w:r>
        <w:fldChar w:fldCharType="end"/>
      </w:r>
      <w:r>
        <w:rPr>
          <w:rFonts w:ascii="宋体" w:hAnsi="宋体" w:cstheme="minorHAnsi"/>
          <w:bCs/>
          <w:caps/>
          <w:szCs w:val="24"/>
        </w:rPr>
        <w:fldChar w:fldCharType="end"/>
      </w:r>
    </w:p>
    <w:p w14:paraId="07059AD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_Toc26906 </w:instrText>
      </w:r>
      <w:r>
        <w:rPr>
          <w:rFonts w:ascii="宋体" w:hAnsi="宋体" w:cstheme="minorHAnsi"/>
          <w:bCs/>
          <w:caps/>
          <w:szCs w:val="24"/>
        </w:rPr>
        <w:fldChar w:fldCharType="separate"/>
      </w:r>
      <w:r>
        <w:rPr>
          <w:rFonts w:hint="default"/>
          <w:bCs/>
          <w:szCs w:val="28"/>
        </w:rPr>
        <w:t xml:space="preserve">8.1 </w:t>
      </w:r>
      <w:r>
        <w:rPr>
          <w:rFonts w:hint="eastAsia"/>
          <w:bCs w:val="0"/>
          <w:szCs w:val="28"/>
        </w:rPr>
        <w:t>组织机构</w:t>
      </w:r>
      <w:r>
        <w:tab/>
      </w:r>
      <w:r>
        <w:fldChar w:fldCharType="begin"/>
      </w:r>
      <w:r>
        <w:instrText xml:space="preserve"> PAGEREF _Toc26906 \h </w:instrText>
      </w:r>
      <w:r>
        <w:fldChar w:fldCharType="separate"/>
      </w:r>
      <w:r>
        <w:t>68</w:t>
      </w:r>
      <w:r>
        <w:fldChar w:fldCharType="end"/>
      </w:r>
      <w:r>
        <w:rPr>
          <w:rFonts w:ascii="宋体" w:hAnsi="宋体" w:cstheme="minorHAnsi"/>
          <w:bCs/>
          <w:caps/>
          <w:szCs w:val="24"/>
        </w:rPr>
        <w:fldChar w:fldCharType="end"/>
      </w:r>
    </w:p>
    <w:p w14:paraId="693E5A3B">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_Toc22646 </w:instrText>
      </w:r>
      <w:r>
        <w:rPr>
          <w:rFonts w:ascii="宋体" w:hAnsi="宋体" w:cstheme="minorHAnsi"/>
          <w:bCs/>
          <w:caps/>
          <w:szCs w:val="24"/>
        </w:rPr>
        <w:fldChar w:fldCharType="separate"/>
      </w:r>
      <w:r>
        <w:rPr>
          <w:rFonts w:hint="default"/>
          <w:bCs/>
          <w:szCs w:val="28"/>
        </w:rPr>
        <w:t xml:space="preserve">8.2 </w:t>
      </w:r>
      <w:r>
        <w:rPr>
          <w:rFonts w:hint="eastAsia"/>
          <w:bCs w:val="0"/>
          <w:szCs w:val="28"/>
        </w:rPr>
        <w:t>应急处置措施</w:t>
      </w:r>
      <w:r>
        <w:tab/>
      </w:r>
      <w:r>
        <w:fldChar w:fldCharType="begin"/>
      </w:r>
      <w:r>
        <w:instrText xml:space="preserve"> PAGEREF _Toc22646 \h </w:instrText>
      </w:r>
      <w:r>
        <w:fldChar w:fldCharType="separate"/>
      </w:r>
      <w:r>
        <w:t>70</w:t>
      </w:r>
      <w:r>
        <w:fldChar w:fldCharType="end"/>
      </w:r>
      <w:r>
        <w:rPr>
          <w:rFonts w:ascii="宋体" w:hAnsi="宋体" w:cstheme="minorHAnsi"/>
          <w:bCs/>
          <w:caps/>
          <w:szCs w:val="24"/>
        </w:rPr>
        <w:fldChar w:fldCharType="end"/>
      </w:r>
    </w:p>
    <w:p w14:paraId="342A1C1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_Toc5722 </w:instrText>
      </w:r>
      <w:r>
        <w:rPr>
          <w:rFonts w:ascii="宋体" w:hAnsi="宋体" w:cstheme="minorHAnsi"/>
          <w:bCs/>
          <w:caps/>
          <w:szCs w:val="24"/>
        </w:rPr>
        <w:fldChar w:fldCharType="separate"/>
      </w:r>
      <w:r>
        <w:rPr>
          <w:rFonts w:hint="default"/>
          <w:bCs/>
          <w:szCs w:val="28"/>
        </w:rPr>
        <w:t xml:space="preserve">8.3 </w:t>
      </w:r>
      <w:r>
        <w:rPr>
          <w:rFonts w:hint="eastAsia"/>
          <w:bCs w:val="0"/>
          <w:szCs w:val="28"/>
        </w:rPr>
        <w:t>应急车辆、物资及设备</w:t>
      </w:r>
      <w:r>
        <w:tab/>
      </w:r>
      <w:r>
        <w:fldChar w:fldCharType="begin"/>
      </w:r>
      <w:r>
        <w:instrText xml:space="preserve"> PAGEREF _Toc5722 \h </w:instrText>
      </w:r>
      <w:r>
        <w:fldChar w:fldCharType="separate"/>
      </w:r>
      <w:r>
        <w:t>76</w:t>
      </w:r>
      <w:r>
        <w:fldChar w:fldCharType="end"/>
      </w:r>
      <w:r>
        <w:rPr>
          <w:rFonts w:ascii="宋体" w:hAnsi="宋体" w:cstheme="minorHAnsi"/>
          <w:bCs/>
          <w:caps/>
          <w:szCs w:val="24"/>
        </w:rPr>
        <w:fldChar w:fldCharType="end"/>
      </w:r>
    </w:p>
    <w:p w14:paraId="7BBCA0CE">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_Toc13043 </w:instrText>
      </w:r>
      <w:r>
        <w:rPr>
          <w:rFonts w:ascii="宋体" w:hAnsi="宋体" w:cstheme="minorHAnsi"/>
          <w:bCs/>
          <w:caps/>
          <w:szCs w:val="24"/>
        </w:rPr>
        <w:fldChar w:fldCharType="separate"/>
      </w:r>
      <w:r>
        <w:rPr>
          <w:rFonts w:hint="default"/>
          <w:bCs/>
          <w:szCs w:val="28"/>
        </w:rPr>
        <w:t xml:space="preserve">8.4 </w:t>
      </w:r>
      <w:r>
        <w:rPr>
          <w:rFonts w:hint="eastAsia"/>
          <w:bCs w:val="0"/>
          <w:szCs w:val="28"/>
        </w:rPr>
        <w:t>应急医院及线路图</w:t>
      </w:r>
      <w:r>
        <w:tab/>
      </w:r>
      <w:r>
        <w:fldChar w:fldCharType="begin"/>
      </w:r>
      <w:r>
        <w:instrText xml:space="preserve"> PAGEREF _Toc13043 \h </w:instrText>
      </w:r>
      <w:r>
        <w:fldChar w:fldCharType="separate"/>
      </w:r>
      <w:r>
        <w:t>76</w:t>
      </w:r>
      <w:r>
        <w:fldChar w:fldCharType="end"/>
      </w:r>
      <w:r>
        <w:rPr>
          <w:rFonts w:ascii="宋体" w:hAnsi="宋体" w:cstheme="minorHAnsi"/>
          <w:bCs/>
          <w:caps/>
          <w:szCs w:val="24"/>
        </w:rPr>
        <w:fldChar w:fldCharType="end"/>
      </w:r>
    </w:p>
    <w:p w14:paraId="088D8F28">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_Toc11208 </w:instrText>
      </w:r>
      <w:r>
        <w:rPr>
          <w:rFonts w:ascii="宋体" w:hAnsi="宋体" w:cstheme="minorHAnsi"/>
          <w:bCs/>
          <w:caps/>
          <w:szCs w:val="24"/>
        </w:rPr>
        <w:fldChar w:fldCharType="separate"/>
      </w:r>
      <w:r>
        <w:rPr>
          <w:rFonts w:hint="default"/>
          <w:bCs/>
          <w:szCs w:val="28"/>
        </w:rPr>
        <w:t xml:space="preserve">8.5 </w:t>
      </w:r>
      <w:r>
        <w:rPr>
          <w:rFonts w:hint="eastAsia"/>
          <w:bCs w:val="0"/>
          <w:szCs w:val="28"/>
          <w:lang w:val="en-US" w:eastAsia="zh-CN"/>
        </w:rPr>
        <w:t>事故善后及恢复生产</w:t>
      </w:r>
      <w:r>
        <w:tab/>
      </w:r>
      <w:r>
        <w:fldChar w:fldCharType="begin"/>
      </w:r>
      <w:r>
        <w:instrText xml:space="preserve"> PAGEREF _Toc11208 \h </w:instrText>
      </w:r>
      <w:r>
        <w:fldChar w:fldCharType="separate"/>
      </w:r>
      <w:r>
        <w:t>77</w:t>
      </w:r>
      <w:r>
        <w:fldChar w:fldCharType="end"/>
      </w:r>
      <w:r>
        <w:rPr>
          <w:rFonts w:ascii="宋体" w:hAnsi="宋体" w:cstheme="minorHAnsi"/>
          <w:bCs/>
          <w:caps/>
          <w:szCs w:val="24"/>
        </w:rPr>
        <w:fldChar w:fldCharType="end"/>
      </w:r>
    </w:p>
    <w:p w14:paraId="1AA9284F">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_Toc8477 </w:instrText>
      </w:r>
      <w:r>
        <w:rPr>
          <w:rFonts w:ascii="宋体" w:hAnsi="宋体" w:cstheme="minorHAnsi"/>
          <w:bCs/>
          <w:caps/>
          <w:szCs w:val="24"/>
        </w:rPr>
        <w:fldChar w:fldCharType="separate"/>
      </w:r>
      <w:r>
        <w:rPr>
          <w:rFonts w:hint="default"/>
        </w:rPr>
        <w:t xml:space="preserve">9 </w:t>
      </w:r>
      <w:r>
        <w:rPr>
          <w:rFonts w:hint="eastAsia"/>
        </w:rPr>
        <w:t>绿色及文明施工</w:t>
      </w:r>
      <w:r>
        <w:tab/>
      </w:r>
      <w:r>
        <w:fldChar w:fldCharType="begin"/>
      </w:r>
      <w:r>
        <w:instrText xml:space="preserve"> PAGEREF _Toc8477 \h </w:instrText>
      </w:r>
      <w:r>
        <w:fldChar w:fldCharType="separate"/>
      </w:r>
      <w:r>
        <w:t>78</w:t>
      </w:r>
      <w:r>
        <w:fldChar w:fldCharType="end"/>
      </w:r>
      <w:r>
        <w:rPr>
          <w:rFonts w:ascii="宋体" w:hAnsi="宋体" w:cstheme="minorHAnsi"/>
          <w:bCs/>
          <w:caps/>
          <w:szCs w:val="24"/>
        </w:rPr>
        <w:fldChar w:fldCharType="end"/>
      </w:r>
    </w:p>
    <w:p w14:paraId="340ACADE">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_Toc32406 </w:instrText>
      </w:r>
      <w:r>
        <w:rPr>
          <w:rFonts w:ascii="宋体" w:hAnsi="宋体" w:cstheme="minorHAnsi"/>
          <w:bCs/>
          <w:caps/>
          <w:szCs w:val="24"/>
        </w:rPr>
        <w:fldChar w:fldCharType="separate"/>
      </w:r>
      <w:r>
        <w:rPr>
          <w:rFonts w:hint="default"/>
          <w:bCs/>
          <w:szCs w:val="28"/>
        </w:rPr>
        <w:t xml:space="preserve">9.1 </w:t>
      </w:r>
      <w:r>
        <w:rPr>
          <w:rFonts w:hint="eastAsia"/>
          <w:bCs w:val="0"/>
          <w:szCs w:val="28"/>
          <w:lang w:val="en-US" w:eastAsia="zh-CN"/>
        </w:rPr>
        <w:t>管理</w:t>
      </w:r>
      <w:r>
        <w:rPr>
          <w:bCs w:val="0"/>
          <w:szCs w:val="28"/>
        </w:rPr>
        <w:t>组织机构</w:t>
      </w:r>
      <w:r>
        <w:tab/>
      </w:r>
      <w:r>
        <w:fldChar w:fldCharType="begin"/>
      </w:r>
      <w:r>
        <w:instrText xml:space="preserve"> PAGEREF _Toc32406 \h </w:instrText>
      </w:r>
      <w:r>
        <w:fldChar w:fldCharType="separate"/>
      </w:r>
      <w:r>
        <w:t>78</w:t>
      </w:r>
      <w:r>
        <w:fldChar w:fldCharType="end"/>
      </w:r>
      <w:r>
        <w:rPr>
          <w:rFonts w:ascii="宋体" w:hAnsi="宋体" w:cstheme="minorHAnsi"/>
          <w:bCs/>
          <w:caps/>
          <w:szCs w:val="24"/>
        </w:rPr>
        <w:fldChar w:fldCharType="end"/>
      </w:r>
    </w:p>
    <w:p w14:paraId="020D7347">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_Toc22256 </w:instrText>
      </w:r>
      <w:r>
        <w:rPr>
          <w:rFonts w:ascii="宋体" w:hAnsi="宋体" w:cstheme="minorHAnsi"/>
          <w:bCs/>
          <w:caps/>
          <w:szCs w:val="24"/>
        </w:rPr>
        <w:fldChar w:fldCharType="separate"/>
      </w:r>
      <w:r>
        <w:rPr>
          <w:rFonts w:hint="default"/>
          <w:bCs/>
          <w:szCs w:val="28"/>
        </w:rPr>
        <w:t xml:space="preserve">9.2 </w:t>
      </w:r>
      <w:r>
        <w:rPr>
          <w:bCs w:val="0"/>
          <w:szCs w:val="28"/>
        </w:rPr>
        <w:t>绿色及文明施工保证体系</w:t>
      </w:r>
      <w:r>
        <w:tab/>
      </w:r>
      <w:r>
        <w:fldChar w:fldCharType="begin"/>
      </w:r>
      <w:r>
        <w:instrText xml:space="preserve"> PAGEREF _Toc22256 \h </w:instrText>
      </w:r>
      <w:r>
        <w:fldChar w:fldCharType="separate"/>
      </w:r>
      <w:r>
        <w:t>78</w:t>
      </w:r>
      <w:r>
        <w:fldChar w:fldCharType="end"/>
      </w:r>
      <w:r>
        <w:rPr>
          <w:rFonts w:ascii="宋体" w:hAnsi="宋体" w:cstheme="minorHAnsi"/>
          <w:bCs/>
          <w:caps/>
          <w:szCs w:val="24"/>
        </w:rPr>
        <w:fldChar w:fldCharType="end"/>
      </w:r>
    </w:p>
    <w:p w14:paraId="58F4FA41">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_Toc16383 </w:instrText>
      </w:r>
      <w:r>
        <w:rPr>
          <w:rFonts w:ascii="宋体" w:hAnsi="宋体" w:cstheme="minorHAnsi"/>
          <w:bCs/>
          <w:caps/>
          <w:szCs w:val="24"/>
        </w:rPr>
        <w:fldChar w:fldCharType="separate"/>
      </w:r>
      <w:r>
        <w:rPr>
          <w:rFonts w:hint="default"/>
          <w:bCs/>
          <w:szCs w:val="28"/>
          <w:lang w:val="en-US" w:eastAsia="zh-CN"/>
        </w:rPr>
        <w:t xml:space="preserve">9.3 </w:t>
      </w:r>
      <w:r>
        <w:rPr>
          <w:rFonts w:hint="eastAsia"/>
          <w:bCs w:val="0"/>
          <w:szCs w:val="28"/>
        </w:rPr>
        <w:t>绿色施工保证措施</w:t>
      </w:r>
      <w:r>
        <w:tab/>
      </w:r>
      <w:r>
        <w:fldChar w:fldCharType="begin"/>
      </w:r>
      <w:r>
        <w:instrText xml:space="preserve"> PAGEREF _Toc16383 \h </w:instrText>
      </w:r>
      <w:r>
        <w:fldChar w:fldCharType="separate"/>
      </w:r>
      <w:r>
        <w:t>79</w:t>
      </w:r>
      <w:r>
        <w:fldChar w:fldCharType="end"/>
      </w:r>
      <w:r>
        <w:rPr>
          <w:rFonts w:ascii="宋体" w:hAnsi="宋体" w:cstheme="minorHAnsi"/>
          <w:bCs/>
          <w:caps/>
          <w:szCs w:val="24"/>
        </w:rPr>
        <w:fldChar w:fldCharType="end"/>
      </w:r>
    </w:p>
    <w:p w14:paraId="110CED43">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_Toc8493 </w:instrText>
      </w:r>
      <w:r>
        <w:rPr>
          <w:rFonts w:ascii="宋体" w:hAnsi="宋体" w:cstheme="minorHAnsi"/>
          <w:bCs/>
          <w:caps/>
          <w:szCs w:val="24"/>
        </w:rPr>
        <w:fldChar w:fldCharType="separate"/>
      </w:r>
      <w:r>
        <w:rPr>
          <w:rFonts w:hint="default"/>
          <w:bCs/>
          <w:szCs w:val="28"/>
        </w:rPr>
        <w:t xml:space="preserve">9.4 </w:t>
      </w:r>
      <w:r>
        <w:rPr>
          <w:bCs w:val="0"/>
          <w:szCs w:val="28"/>
        </w:rPr>
        <w:t>文明施工</w:t>
      </w:r>
      <w:r>
        <w:rPr>
          <w:rFonts w:hint="eastAsia"/>
          <w:bCs w:val="0"/>
          <w:szCs w:val="28"/>
        </w:rPr>
        <w:t>保证措施</w:t>
      </w:r>
      <w:r>
        <w:tab/>
      </w:r>
      <w:r>
        <w:fldChar w:fldCharType="begin"/>
      </w:r>
      <w:r>
        <w:instrText xml:space="preserve"> PAGEREF _Toc8493 \h </w:instrText>
      </w:r>
      <w:r>
        <w:fldChar w:fldCharType="separate"/>
      </w:r>
      <w:r>
        <w:t>81</w:t>
      </w:r>
      <w:r>
        <w:fldChar w:fldCharType="end"/>
      </w:r>
      <w:r>
        <w:rPr>
          <w:rFonts w:ascii="宋体" w:hAnsi="宋体" w:cstheme="minorHAnsi"/>
          <w:bCs/>
          <w:caps/>
          <w:szCs w:val="24"/>
        </w:rPr>
        <w:fldChar w:fldCharType="end"/>
      </w:r>
    </w:p>
    <w:p w14:paraId="06A46338">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_Toc4231 </w:instrText>
      </w:r>
      <w:r>
        <w:rPr>
          <w:rFonts w:ascii="宋体" w:hAnsi="宋体" w:cstheme="minorHAnsi"/>
          <w:bCs/>
          <w:caps/>
          <w:szCs w:val="24"/>
        </w:rPr>
        <w:fldChar w:fldCharType="separate"/>
      </w:r>
      <w:r>
        <w:rPr>
          <w:rFonts w:hint="default"/>
        </w:rPr>
        <w:t xml:space="preserve">10 </w:t>
      </w:r>
      <w:r>
        <w:rPr>
          <w:rFonts w:hint="eastAsia"/>
        </w:rPr>
        <w:t>计算书</w:t>
      </w:r>
      <w:r>
        <w:tab/>
      </w:r>
      <w:r>
        <w:fldChar w:fldCharType="begin"/>
      </w:r>
      <w:r>
        <w:instrText xml:space="preserve"> PAGEREF _Toc4231 \h </w:instrText>
      </w:r>
      <w:r>
        <w:fldChar w:fldCharType="separate"/>
      </w:r>
      <w:r>
        <w:t>85</w:t>
      </w:r>
      <w:r>
        <w:fldChar w:fldCharType="end"/>
      </w:r>
      <w:r>
        <w:rPr>
          <w:rFonts w:ascii="宋体" w:hAnsi="宋体" w:cstheme="minorHAnsi"/>
          <w:bCs/>
          <w:caps/>
          <w:szCs w:val="24"/>
        </w:rPr>
        <w:fldChar w:fldCharType="end"/>
      </w:r>
    </w:p>
    <w:p w14:paraId="2C74EE8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_Toc4603 </w:instrText>
      </w:r>
      <w:r>
        <w:rPr>
          <w:rFonts w:ascii="宋体" w:hAnsi="宋体" w:cstheme="minorHAnsi"/>
          <w:bCs/>
          <w:caps/>
          <w:szCs w:val="24"/>
        </w:rPr>
        <w:fldChar w:fldCharType="separate"/>
      </w:r>
      <w:r>
        <w:rPr>
          <w:rFonts w:hint="default"/>
          <w:bCs/>
          <w:szCs w:val="28"/>
        </w:rPr>
        <w:t xml:space="preserve">10.1 </w:t>
      </w:r>
      <w:r>
        <w:rPr>
          <w:rFonts w:hint="eastAsia"/>
          <w:bCs w:val="0"/>
          <w:szCs w:val="28"/>
        </w:rPr>
        <w:t>选用的吊索受力计算</w:t>
      </w:r>
      <w:r>
        <w:tab/>
      </w:r>
      <w:r>
        <w:fldChar w:fldCharType="begin"/>
      </w:r>
      <w:r>
        <w:instrText xml:space="preserve"> PAGEREF _Toc4603 \h </w:instrText>
      </w:r>
      <w:r>
        <w:fldChar w:fldCharType="separate"/>
      </w:r>
      <w:r>
        <w:t>85</w:t>
      </w:r>
      <w:r>
        <w:fldChar w:fldCharType="end"/>
      </w:r>
      <w:r>
        <w:rPr>
          <w:rFonts w:ascii="宋体" w:hAnsi="宋体" w:cstheme="minorHAnsi"/>
          <w:bCs/>
          <w:caps/>
          <w:szCs w:val="24"/>
        </w:rPr>
        <w:fldChar w:fldCharType="end"/>
      </w:r>
    </w:p>
    <w:p w14:paraId="44C99354">
      <w:pPr>
        <w:pStyle w:val="32"/>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_Toc18054 </w:instrText>
      </w:r>
      <w:r>
        <w:rPr>
          <w:rFonts w:ascii="宋体" w:hAnsi="宋体" w:cstheme="minorHAnsi"/>
          <w:bCs/>
          <w:caps/>
          <w:szCs w:val="24"/>
        </w:rPr>
        <w:fldChar w:fldCharType="separate"/>
      </w:r>
      <w:r>
        <w:rPr>
          <w:rFonts w:hint="default"/>
        </w:rPr>
        <w:t xml:space="preserve">11 </w:t>
      </w:r>
      <w:r>
        <w:rPr>
          <w:rFonts w:hint="eastAsia"/>
        </w:rPr>
        <w:t>附件</w:t>
      </w:r>
      <w:r>
        <w:tab/>
      </w:r>
      <w:r>
        <w:fldChar w:fldCharType="begin"/>
      </w:r>
      <w:r>
        <w:instrText xml:space="preserve"> PAGEREF _Toc18054 \h </w:instrText>
      </w:r>
      <w:r>
        <w:fldChar w:fldCharType="separate"/>
      </w:r>
      <w:r>
        <w:t>88</w:t>
      </w:r>
      <w:r>
        <w:fldChar w:fldCharType="end"/>
      </w:r>
      <w:r>
        <w:rPr>
          <w:rFonts w:ascii="宋体" w:hAnsi="宋体" w:cstheme="minorHAnsi"/>
          <w:bCs/>
          <w:caps/>
          <w:szCs w:val="24"/>
        </w:rPr>
        <w:fldChar w:fldCharType="end"/>
      </w:r>
    </w:p>
    <w:p w14:paraId="1395D2DC">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_Toc18400 </w:instrText>
      </w:r>
      <w:r>
        <w:rPr>
          <w:rFonts w:ascii="宋体" w:hAnsi="宋体" w:cstheme="minorHAnsi"/>
          <w:bCs/>
          <w:caps/>
          <w:szCs w:val="24"/>
        </w:rPr>
        <w:fldChar w:fldCharType="separate"/>
      </w:r>
      <w:r>
        <w:rPr>
          <w:rFonts w:hint="default"/>
          <w:bCs/>
        </w:rPr>
        <w:t xml:space="preserve">11.1 </w:t>
      </w:r>
      <w:r>
        <w:rPr>
          <w:rFonts w:hint="eastAsia"/>
          <w:bCs w:val="0"/>
        </w:rPr>
        <w:t>附</w:t>
      </w:r>
      <w:r>
        <w:rPr>
          <w:rFonts w:hint="eastAsia"/>
          <w:bCs w:val="0"/>
          <w:lang w:val="en-US" w:eastAsia="zh-CN"/>
        </w:rPr>
        <w:t>件1：拆除</w:t>
      </w:r>
      <w:r>
        <w:rPr>
          <w:rFonts w:hint="eastAsia"/>
          <w:bCs w:val="0"/>
        </w:rPr>
        <w:t>单位资质及人员证件</w:t>
      </w:r>
      <w:r>
        <w:tab/>
      </w:r>
      <w:r>
        <w:fldChar w:fldCharType="begin"/>
      </w:r>
      <w:r>
        <w:instrText xml:space="preserve"> PAGEREF _Toc18400 \h </w:instrText>
      </w:r>
      <w:r>
        <w:fldChar w:fldCharType="separate"/>
      </w:r>
      <w:r>
        <w:t>88</w:t>
      </w:r>
      <w:r>
        <w:fldChar w:fldCharType="end"/>
      </w:r>
      <w:r>
        <w:rPr>
          <w:rFonts w:ascii="宋体" w:hAnsi="宋体" w:cstheme="minorHAnsi"/>
          <w:bCs/>
          <w:caps/>
          <w:szCs w:val="24"/>
        </w:rPr>
        <w:fldChar w:fldCharType="end"/>
      </w:r>
    </w:p>
    <w:p w14:paraId="01110B65">
      <w:pPr>
        <w:pStyle w:val="37"/>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_Toc18893 </w:instrText>
      </w:r>
      <w:r>
        <w:rPr>
          <w:rFonts w:ascii="宋体" w:hAnsi="宋体" w:cstheme="minorHAnsi"/>
          <w:bCs/>
          <w:caps/>
          <w:szCs w:val="24"/>
        </w:rPr>
        <w:fldChar w:fldCharType="separate"/>
      </w:r>
      <w:r>
        <w:rPr>
          <w:rFonts w:hint="default"/>
          <w:bCs/>
          <w:lang w:val="en-US" w:eastAsia="zh-CN"/>
        </w:rPr>
        <w:t xml:space="preserve">11.2 </w:t>
      </w:r>
      <w:r>
        <w:rPr>
          <w:rFonts w:hint="eastAsia"/>
          <w:bCs w:val="0"/>
          <w:lang w:val="en-US" w:eastAsia="zh-CN"/>
        </w:rPr>
        <w:t>附件2：塔式起重机说明书</w:t>
      </w:r>
      <w:r>
        <w:tab/>
      </w:r>
      <w:r>
        <w:fldChar w:fldCharType="begin"/>
      </w:r>
      <w:r>
        <w:instrText xml:space="preserve"> PAGEREF _Toc18893 \h </w:instrText>
      </w:r>
      <w:r>
        <w:fldChar w:fldCharType="separate"/>
      </w:r>
      <w:r>
        <w:t>88</w:t>
      </w:r>
      <w:r>
        <w:fldChar w:fldCharType="end"/>
      </w:r>
      <w:r>
        <w:rPr>
          <w:rFonts w:ascii="宋体" w:hAnsi="宋体" w:cstheme="minorHAnsi"/>
          <w:bCs/>
          <w:caps/>
          <w:szCs w:val="24"/>
        </w:rPr>
        <w:fldChar w:fldCharType="end"/>
      </w:r>
    </w:p>
    <w:p w14:paraId="32309939">
      <w:pPr>
        <w:ind w:firstLine="480"/>
        <w:rPr>
          <w:rFonts w:ascii="宋体" w:hAnsi="宋体" w:cstheme="minorHAnsi"/>
          <w:bCs/>
          <w:caps/>
          <w:szCs w:val="24"/>
        </w:rPr>
        <w:sectPr>
          <w:headerReference r:id="rId5" w:type="default"/>
          <w:footerReference r:id="rId6" w:type="default"/>
          <w:pgSz w:w="11906" w:h="16838"/>
          <w:pgMar w:top="1418" w:right="1418" w:bottom="1134" w:left="1418" w:header="851" w:footer="992" w:gutter="0"/>
          <w:pgBorders>
            <w:top w:val="none" w:sz="0" w:space="0"/>
            <w:left w:val="none" w:sz="0" w:space="0"/>
            <w:bottom w:val="none" w:sz="0" w:space="0"/>
            <w:right w:val="none" w:sz="0" w:space="0"/>
          </w:pgBorders>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4"/>
    <w:p w14:paraId="208E34A9">
      <w:pPr>
        <w:pStyle w:val="2"/>
        <w:bidi w:val="0"/>
        <w:ind w:left="432" w:leftChars="0" w:hanging="432" w:firstLineChars="0"/>
        <w:rPr>
          <w:rFonts w:hint="eastAsia"/>
        </w:rPr>
      </w:pPr>
      <w:bookmarkStart w:id="5" w:name="_Toc30520"/>
      <w:bookmarkStart w:id="6" w:name="_Toc6980"/>
      <w:bookmarkStart w:id="7" w:name="_Toc25369"/>
      <w:r>
        <w:rPr>
          <w:rFonts w:hint="eastAsia"/>
        </w:rPr>
        <w:t>编制</w:t>
      </w:r>
      <w:r>
        <w:rPr>
          <w:rFonts w:hint="eastAsia"/>
          <w:lang w:val="en-US" w:eastAsia="zh-CN"/>
        </w:rPr>
        <w:t>说明、</w:t>
      </w:r>
      <w:r>
        <w:rPr>
          <w:rFonts w:hint="eastAsia"/>
        </w:rPr>
        <w:t>依据</w:t>
      </w:r>
      <w:r>
        <w:rPr>
          <w:rFonts w:hint="eastAsia"/>
          <w:lang w:val="en-US" w:eastAsia="zh-CN"/>
        </w:rPr>
        <w:t>及适用范围</w:t>
      </w:r>
      <w:bookmarkEnd w:id="5"/>
      <w:bookmarkEnd w:id="6"/>
      <w:bookmarkEnd w:id="7"/>
    </w:p>
    <w:p w14:paraId="51EAE3DB">
      <w:pPr>
        <w:pStyle w:val="3"/>
        <w:bidi w:val="0"/>
        <w:ind w:left="575" w:leftChars="0" w:hanging="575" w:firstLineChars="0"/>
        <w:rPr>
          <w:b/>
          <w:bCs w:val="0"/>
          <w:sz w:val="28"/>
          <w:szCs w:val="28"/>
        </w:rPr>
      </w:pPr>
      <w:bookmarkStart w:id="8" w:name="_Toc8941"/>
      <w:bookmarkStart w:id="9" w:name="_Toc1532"/>
      <w:bookmarkStart w:id="10" w:name="_Toc11085"/>
      <w:r>
        <w:rPr>
          <w:rFonts w:hint="eastAsia"/>
          <w:b/>
          <w:bCs w:val="0"/>
          <w:sz w:val="28"/>
          <w:szCs w:val="28"/>
        </w:rPr>
        <w:t>编制说明</w:t>
      </w:r>
      <w:bookmarkEnd w:id="8"/>
      <w:bookmarkEnd w:id="9"/>
      <w:bookmarkEnd w:id="10"/>
    </w:p>
    <w:p w14:paraId="5B1B040F">
      <w:pPr>
        <w:ind w:firstLine="480"/>
        <w:rPr>
          <w:rFonts w:hint="eastAsia" w:eastAsia="宋体"/>
        </w:rPr>
      </w:pPr>
      <w:bookmarkStart w:id="11" w:name="_Toc26514"/>
      <w:bookmarkStart w:id="12" w:name="_Toc21652"/>
      <w:r>
        <w:rPr>
          <w:rFonts w:hint="eastAsia" w:eastAsia="宋体"/>
        </w:rPr>
        <w:fldChar w:fldCharType="begin"/>
      </w:r>
      <w:r>
        <w:rPr>
          <w:rFonts w:hint="eastAsia" w:eastAsia="宋体"/>
        </w:rPr>
        <w:instrText xml:space="preserve"> REF 项目名称  \* MERGEFORMAT </w:instrText>
      </w:r>
      <w:r>
        <w:rPr>
          <w:rFonts w:hint="eastAsia" w:eastAsia="宋体"/>
        </w:rPr>
        <w:fldChar w:fldCharType="separate"/>
      </w:r>
      <w:r>
        <w:rPr>
          <w:rFonts w:hint="eastAsia" w:eastAsia="宋体"/>
        </w:rPr>
        <w:t>天保至麻栗坡高速公路TJ-2标项目</w:t>
      </w:r>
      <w:r>
        <w:rPr>
          <w:rFonts w:hint="eastAsia" w:eastAsia="宋体"/>
        </w:rPr>
        <w:fldChar w:fldCharType="end"/>
      </w:r>
      <w:r>
        <w:rPr>
          <w:rFonts w:hint="eastAsia" w:eastAsia="宋体"/>
        </w:rPr>
        <w:t>1台徐工XGT</w:t>
      </w:r>
      <w:r>
        <w:rPr>
          <w:rFonts w:hint="eastAsia" w:eastAsia="宋体"/>
          <w:lang w:val="en-US" w:eastAsia="zh-CN"/>
        </w:rPr>
        <w:t>360</w:t>
      </w:r>
      <w:r>
        <w:rPr>
          <w:rFonts w:hint="eastAsia" w:eastAsia="宋体"/>
        </w:rPr>
        <w:t>-</w:t>
      </w:r>
      <w:r>
        <w:rPr>
          <w:rFonts w:hint="eastAsia" w:eastAsia="宋体"/>
          <w:lang w:val="en-US" w:eastAsia="zh-CN"/>
        </w:rPr>
        <w:t>20</w:t>
      </w:r>
      <w:r>
        <w:rPr>
          <w:rFonts w:hint="eastAsia" w:eastAsia="宋体"/>
        </w:rPr>
        <w:t>S</w:t>
      </w:r>
      <w:r>
        <w:rPr>
          <w:rFonts w:hint="eastAsia" w:eastAsia="宋体"/>
          <w:lang w:val="en-US" w:eastAsia="zh-CN"/>
        </w:rPr>
        <w:t>1</w:t>
      </w:r>
      <w:r>
        <w:rPr>
          <w:rFonts w:hint="eastAsia" w:eastAsia="宋体"/>
        </w:rPr>
        <w:t>塔式起重机用于</w:t>
      </w:r>
      <w:r>
        <w:rPr>
          <w:rFonts w:hint="eastAsia" w:eastAsia="宋体"/>
        </w:rPr>
        <w:fldChar w:fldCharType="begin"/>
      </w:r>
      <w:r>
        <w:rPr>
          <w:rFonts w:hint="eastAsia" w:eastAsia="宋体"/>
        </w:rPr>
        <w:instrText xml:space="preserve"> REF 设备位置 \h </w:instrText>
      </w:r>
      <w:r>
        <w:rPr>
          <w:rFonts w:hint="eastAsia" w:eastAsia="宋体"/>
        </w:rPr>
        <w:fldChar w:fldCharType="separate"/>
      </w:r>
      <w:r>
        <w:rPr>
          <w:rFonts w:hint="eastAsia" w:eastAsia="宋体"/>
        </w:rPr>
        <w:t>马鹿塘特大桥</w:t>
      </w:r>
      <w:r>
        <w:rPr>
          <w:rFonts w:hint="eastAsia" w:eastAsia="宋体"/>
          <w:lang w:val="en-US" w:eastAsia="zh-CN"/>
        </w:rPr>
        <w:t>6</w:t>
      </w:r>
      <w:r>
        <w:rPr>
          <w:rFonts w:hint="eastAsia" w:eastAsia="宋体"/>
        </w:rPr>
        <w:t>#索塔</w:t>
      </w:r>
      <w:r>
        <w:rPr>
          <w:rFonts w:hint="eastAsia" w:eastAsia="宋体"/>
        </w:rPr>
        <w:fldChar w:fldCharType="end"/>
      </w:r>
      <w:r>
        <w:rPr>
          <w:rFonts w:hint="eastAsia" w:eastAsia="宋体"/>
        </w:rPr>
        <w:t>主塔施工，现已完成使用需求，准备进行拆卸，为合理配置施工所需人、材、机具设备，实行标准化作业，组织连续均衡生产，做好工序衔接，加强施工质量控制，确保塔机拆卸施工的安全、质量及进度，特编制本项目塔式起重机拆卸专项施工方案。</w:t>
      </w:r>
    </w:p>
    <w:p w14:paraId="1ED0873C">
      <w:pPr>
        <w:pStyle w:val="3"/>
        <w:bidi w:val="0"/>
        <w:ind w:left="575" w:leftChars="0" w:hanging="575" w:firstLineChars="0"/>
        <w:rPr>
          <w:b/>
          <w:bCs w:val="0"/>
          <w:sz w:val="28"/>
          <w:szCs w:val="28"/>
        </w:rPr>
      </w:pPr>
      <w:bookmarkStart w:id="13" w:name="_Toc29671"/>
      <w:r>
        <w:rPr>
          <w:rFonts w:hint="eastAsia"/>
          <w:b/>
          <w:bCs w:val="0"/>
          <w:sz w:val="28"/>
          <w:szCs w:val="28"/>
          <w:lang w:val="en-US" w:eastAsia="zh-CN"/>
        </w:rPr>
        <w:t>编制依据</w:t>
      </w:r>
      <w:bookmarkEnd w:id="11"/>
      <w:bookmarkEnd w:id="12"/>
      <w:bookmarkEnd w:id="13"/>
    </w:p>
    <w:p w14:paraId="22105635">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rPr>
          <w:rFonts w:hint="eastAsia"/>
        </w:rPr>
        <w:fldChar w:fldCharType="end"/>
      </w:r>
      <w:r>
        <w:rPr>
          <w:rFonts w:hint="eastAsia"/>
        </w:rPr>
        <w:t>-1</w:t>
      </w:r>
      <w:r>
        <w:fldChar w:fldCharType="end"/>
      </w:r>
      <w:r>
        <w:rPr>
          <w:rFonts w:hint="eastAsia"/>
        </w:rPr>
        <w:t>。</w:t>
      </w:r>
    </w:p>
    <w:p w14:paraId="44E453BA">
      <w:pPr>
        <w:pStyle w:val="15"/>
        <w:rPr>
          <w:rFonts w:hint="eastAsia"/>
        </w:rPr>
      </w:pPr>
      <w:bookmarkStart w:id="14"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rPr>
          <w:rFonts w:hint="eastAsia"/>
        </w:rPr>
        <w:t>1</w:t>
      </w:r>
      <w:r>
        <w:fldChar w:fldCharType="end"/>
      </w:r>
      <w:bookmarkEnd w:id="14"/>
      <w:r>
        <w:rPr>
          <w:rFonts w:hint="eastAsia"/>
        </w:rPr>
        <w:t xml:space="preserve"> </w:t>
      </w:r>
      <w:bookmarkStart w:id="15" w:name="_Ref117609224"/>
      <w:r>
        <w:rPr>
          <w:rFonts w:hint="eastAsia"/>
        </w:rPr>
        <w:t>编制依据</w:t>
      </w:r>
      <w:bookmarkEnd w:id="15"/>
      <w:r>
        <w:rPr>
          <w:rFonts w:hint="eastAsia"/>
        </w:rPr>
        <w:t>表</w:t>
      </w:r>
    </w:p>
    <w:tbl>
      <w:tblPr>
        <w:tblStyle w:val="39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31E08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34D9B7A5">
            <w:pPr>
              <w:pStyle w:val="16"/>
              <w:rPr>
                <w:b/>
              </w:rPr>
            </w:pPr>
            <w:r>
              <w:rPr>
                <w:rFonts w:hint="eastAsia"/>
                <w:b/>
              </w:rPr>
              <w:t>序号</w:t>
            </w:r>
          </w:p>
        </w:tc>
        <w:tc>
          <w:tcPr>
            <w:tcW w:w="1284" w:type="pct"/>
            <w:shd w:val="clear" w:color="auto" w:fill="auto"/>
            <w:vAlign w:val="center"/>
          </w:tcPr>
          <w:p w14:paraId="1F670711">
            <w:pPr>
              <w:pStyle w:val="16"/>
              <w:rPr>
                <w:b/>
              </w:rPr>
            </w:pPr>
            <w:r>
              <w:rPr>
                <w:rFonts w:hint="eastAsia"/>
                <w:b/>
              </w:rPr>
              <w:t>标准号（文件日期）</w:t>
            </w:r>
          </w:p>
        </w:tc>
        <w:tc>
          <w:tcPr>
            <w:tcW w:w="2654" w:type="pct"/>
            <w:shd w:val="clear" w:color="auto" w:fill="auto"/>
            <w:vAlign w:val="center"/>
          </w:tcPr>
          <w:p w14:paraId="4E86CDA6">
            <w:pPr>
              <w:pStyle w:val="16"/>
              <w:rPr>
                <w:b/>
              </w:rPr>
            </w:pPr>
            <w:r>
              <w:rPr>
                <w:rFonts w:hint="eastAsia"/>
                <w:b/>
              </w:rPr>
              <w:t>标准（文件）名称</w:t>
            </w:r>
          </w:p>
        </w:tc>
        <w:tc>
          <w:tcPr>
            <w:tcW w:w="641" w:type="pct"/>
            <w:shd w:val="clear" w:color="auto" w:fill="auto"/>
            <w:vAlign w:val="center"/>
          </w:tcPr>
          <w:p w14:paraId="248C352B">
            <w:pPr>
              <w:pStyle w:val="16"/>
              <w:rPr>
                <w:b/>
              </w:rPr>
            </w:pPr>
            <w:r>
              <w:rPr>
                <w:rFonts w:hint="eastAsia"/>
                <w:b/>
              </w:rPr>
              <w:t>备注</w:t>
            </w:r>
          </w:p>
        </w:tc>
      </w:tr>
      <w:tr w14:paraId="181D7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EB9EF5A">
            <w:pPr>
              <w:pStyle w:val="16"/>
              <w:numPr>
                <w:ilvl w:val="0"/>
                <w:numId w:val="10"/>
              </w:numPr>
              <w:rPr>
                <w:b w:val="0"/>
                <w:bCs w:val="0"/>
              </w:rPr>
            </w:pPr>
          </w:p>
        </w:tc>
        <w:tc>
          <w:tcPr>
            <w:tcW w:w="1284" w:type="pct"/>
            <w:shd w:val="clear" w:color="auto" w:fill="auto"/>
            <w:vAlign w:val="center"/>
          </w:tcPr>
          <w:p w14:paraId="1E202BC9">
            <w:pPr>
              <w:pStyle w:val="16"/>
              <w:rPr>
                <w:b w:val="0"/>
                <w:bCs w:val="0"/>
              </w:rPr>
            </w:pPr>
          </w:p>
        </w:tc>
        <w:tc>
          <w:tcPr>
            <w:tcW w:w="2654" w:type="pct"/>
            <w:shd w:val="clear" w:color="auto" w:fill="auto"/>
            <w:vAlign w:val="center"/>
          </w:tcPr>
          <w:p w14:paraId="533C7A90">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天保至麻栗坡高速公路TJ-2标项目</w:t>
            </w:r>
            <w:r>
              <w:rPr>
                <w:b w:val="0"/>
                <w:bCs w:val="0"/>
              </w:rPr>
              <w:fldChar w:fldCharType="end"/>
            </w:r>
            <w:r>
              <w:rPr>
                <w:rFonts w:hint="eastAsia"/>
                <w:b w:val="0"/>
                <w:bCs w:val="0"/>
              </w:rPr>
              <w:t>地质勘察报告</w:t>
            </w:r>
          </w:p>
        </w:tc>
        <w:tc>
          <w:tcPr>
            <w:tcW w:w="641" w:type="pct"/>
            <w:shd w:val="clear" w:color="auto" w:fill="auto"/>
            <w:vAlign w:val="center"/>
          </w:tcPr>
          <w:p w14:paraId="5236B729">
            <w:pPr>
              <w:pStyle w:val="16"/>
              <w:rPr>
                <w:b w:val="0"/>
                <w:bCs w:val="0"/>
              </w:rPr>
            </w:pPr>
            <w:r>
              <w:rPr>
                <w:rFonts w:hint="eastAsia"/>
                <w:b w:val="0"/>
                <w:bCs w:val="0"/>
              </w:rPr>
              <w:t>勘察文件</w:t>
            </w:r>
          </w:p>
        </w:tc>
      </w:tr>
      <w:tr w14:paraId="70EBE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05B8C0F">
            <w:pPr>
              <w:pStyle w:val="16"/>
              <w:numPr>
                <w:ilvl w:val="0"/>
                <w:numId w:val="10"/>
              </w:numPr>
              <w:rPr>
                <w:b w:val="0"/>
                <w:bCs w:val="0"/>
              </w:rPr>
            </w:pPr>
          </w:p>
        </w:tc>
        <w:tc>
          <w:tcPr>
            <w:tcW w:w="1284" w:type="pct"/>
            <w:shd w:val="clear" w:color="auto" w:fill="auto"/>
            <w:vAlign w:val="center"/>
          </w:tcPr>
          <w:p w14:paraId="7318E51A">
            <w:pPr>
              <w:pStyle w:val="16"/>
              <w:rPr>
                <w:b w:val="0"/>
                <w:bCs w:val="0"/>
              </w:rPr>
            </w:pPr>
          </w:p>
        </w:tc>
        <w:tc>
          <w:tcPr>
            <w:tcW w:w="2654" w:type="pct"/>
            <w:shd w:val="clear" w:color="auto" w:fill="auto"/>
            <w:vAlign w:val="center"/>
          </w:tcPr>
          <w:p w14:paraId="1D1A057E">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天保至麻栗坡高速公路TJ-2标项目</w:t>
            </w:r>
            <w:r>
              <w:rPr>
                <w:b w:val="0"/>
                <w:bCs w:val="0"/>
              </w:rPr>
              <w:fldChar w:fldCharType="end"/>
            </w:r>
            <w:r>
              <w:rPr>
                <w:rFonts w:hint="eastAsia"/>
                <w:b w:val="0"/>
                <w:bCs w:val="0"/>
              </w:rPr>
              <w:t>施工组织设计</w:t>
            </w:r>
          </w:p>
        </w:tc>
        <w:tc>
          <w:tcPr>
            <w:tcW w:w="641" w:type="pct"/>
            <w:shd w:val="clear" w:color="auto" w:fill="auto"/>
            <w:vAlign w:val="center"/>
          </w:tcPr>
          <w:p w14:paraId="0A516DBF">
            <w:pPr>
              <w:pStyle w:val="16"/>
              <w:rPr>
                <w:b w:val="0"/>
                <w:bCs w:val="0"/>
              </w:rPr>
            </w:pPr>
            <w:r>
              <w:rPr>
                <w:rFonts w:hint="eastAsia"/>
                <w:b w:val="0"/>
                <w:bCs w:val="0"/>
              </w:rPr>
              <w:t>设计文件</w:t>
            </w:r>
          </w:p>
        </w:tc>
      </w:tr>
      <w:tr w14:paraId="7160F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85F72CC">
            <w:pPr>
              <w:pStyle w:val="16"/>
              <w:numPr>
                <w:ilvl w:val="0"/>
                <w:numId w:val="10"/>
              </w:numPr>
              <w:rPr>
                <w:b w:val="0"/>
                <w:bCs w:val="0"/>
              </w:rPr>
            </w:pPr>
          </w:p>
        </w:tc>
        <w:tc>
          <w:tcPr>
            <w:tcW w:w="1284" w:type="pct"/>
            <w:shd w:val="clear" w:color="auto" w:fill="auto"/>
            <w:vAlign w:val="center"/>
          </w:tcPr>
          <w:p w14:paraId="70C3D126">
            <w:pPr>
              <w:pStyle w:val="16"/>
              <w:rPr>
                <w:b w:val="0"/>
                <w:bCs w:val="0"/>
              </w:rPr>
            </w:pPr>
            <w:r>
              <w:rPr>
                <w:rFonts w:hint="eastAsia"/>
                <w:b w:val="0"/>
                <w:bCs w:val="0"/>
              </w:rPr>
              <w:t>主席令第4号</w:t>
            </w:r>
          </w:p>
        </w:tc>
        <w:tc>
          <w:tcPr>
            <w:tcW w:w="2654" w:type="pct"/>
            <w:shd w:val="clear" w:color="auto" w:fill="auto"/>
            <w:vAlign w:val="center"/>
          </w:tcPr>
          <w:p w14:paraId="233BA53A">
            <w:pPr>
              <w:pStyle w:val="16"/>
              <w:rPr>
                <w:b w:val="0"/>
                <w:bCs w:val="0"/>
              </w:rPr>
            </w:pPr>
            <w:r>
              <w:rPr>
                <w:rFonts w:hint="eastAsia"/>
                <w:b w:val="0"/>
                <w:bCs w:val="0"/>
              </w:rPr>
              <w:t>中华人民共和国特种设备安全法</w:t>
            </w:r>
          </w:p>
        </w:tc>
        <w:tc>
          <w:tcPr>
            <w:tcW w:w="641" w:type="pct"/>
            <w:vMerge w:val="restart"/>
            <w:shd w:val="clear" w:color="auto" w:fill="auto"/>
            <w:vAlign w:val="center"/>
          </w:tcPr>
          <w:p w14:paraId="423E76D0">
            <w:pPr>
              <w:pStyle w:val="16"/>
              <w:rPr>
                <w:b w:val="0"/>
                <w:bCs w:val="0"/>
              </w:rPr>
            </w:pPr>
            <w:r>
              <w:rPr>
                <w:rFonts w:hint="eastAsia"/>
                <w:b w:val="0"/>
                <w:bCs w:val="0"/>
              </w:rPr>
              <w:t>法律</w:t>
            </w:r>
          </w:p>
        </w:tc>
      </w:tr>
      <w:tr w14:paraId="16A97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B3CE075">
            <w:pPr>
              <w:pStyle w:val="16"/>
              <w:numPr>
                <w:ilvl w:val="0"/>
                <w:numId w:val="10"/>
              </w:numPr>
              <w:rPr>
                <w:b w:val="0"/>
                <w:bCs w:val="0"/>
              </w:rPr>
            </w:pPr>
          </w:p>
        </w:tc>
        <w:tc>
          <w:tcPr>
            <w:tcW w:w="1284" w:type="pct"/>
            <w:shd w:val="clear" w:color="auto" w:fill="auto"/>
            <w:vAlign w:val="center"/>
          </w:tcPr>
          <w:p w14:paraId="097BAE6A">
            <w:pPr>
              <w:pStyle w:val="16"/>
              <w:rPr>
                <w:b w:val="0"/>
                <w:bCs w:val="0"/>
              </w:rPr>
            </w:pPr>
            <w:r>
              <w:rPr>
                <w:rFonts w:hint="eastAsia"/>
                <w:b w:val="0"/>
                <w:bCs w:val="0"/>
              </w:rPr>
              <w:t>主席令第</w:t>
            </w:r>
            <w:r>
              <w:rPr>
                <w:b w:val="0"/>
                <w:bCs w:val="0"/>
              </w:rPr>
              <w:t>9</w:t>
            </w:r>
            <w:r>
              <w:rPr>
                <w:rFonts w:hint="eastAsia"/>
                <w:b w:val="0"/>
                <w:bCs w:val="0"/>
              </w:rPr>
              <w:t>号</w:t>
            </w:r>
          </w:p>
        </w:tc>
        <w:tc>
          <w:tcPr>
            <w:tcW w:w="2654" w:type="pct"/>
            <w:shd w:val="clear" w:color="auto" w:fill="auto"/>
            <w:vAlign w:val="center"/>
          </w:tcPr>
          <w:p w14:paraId="68DEDE0A">
            <w:pPr>
              <w:pStyle w:val="16"/>
              <w:rPr>
                <w:b w:val="0"/>
                <w:bCs w:val="0"/>
              </w:rPr>
            </w:pPr>
            <w:r>
              <w:rPr>
                <w:rFonts w:hint="eastAsia"/>
                <w:b w:val="0"/>
                <w:bCs w:val="0"/>
              </w:rPr>
              <w:t>中华人民共和国环境保护法</w:t>
            </w:r>
          </w:p>
        </w:tc>
        <w:tc>
          <w:tcPr>
            <w:tcW w:w="641" w:type="pct"/>
            <w:vMerge w:val="continue"/>
            <w:shd w:val="clear" w:color="auto" w:fill="auto"/>
            <w:vAlign w:val="center"/>
          </w:tcPr>
          <w:p w14:paraId="48F9150D">
            <w:pPr>
              <w:pStyle w:val="16"/>
              <w:rPr>
                <w:b w:val="0"/>
                <w:bCs w:val="0"/>
              </w:rPr>
            </w:pPr>
          </w:p>
        </w:tc>
      </w:tr>
      <w:tr w14:paraId="02318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76012E8">
            <w:pPr>
              <w:pStyle w:val="16"/>
              <w:numPr>
                <w:ilvl w:val="0"/>
                <w:numId w:val="10"/>
              </w:numPr>
              <w:rPr>
                <w:b w:val="0"/>
                <w:bCs w:val="0"/>
              </w:rPr>
            </w:pPr>
          </w:p>
        </w:tc>
        <w:tc>
          <w:tcPr>
            <w:tcW w:w="1284" w:type="pct"/>
            <w:shd w:val="clear" w:color="auto" w:fill="auto"/>
            <w:vAlign w:val="center"/>
          </w:tcPr>
          <w:p w14:paraId="0BC20F53">
            <w:pPr>
              <w:pStyle w:val="16"/>
              <w:rPr>
                <w:b w:val="0"/>
                <w:bCs w:val="0"/>
              </w:rPr>
            </w:pPr>
            <w:r>
              <w:rPr>
                <w:rFonts w:hint="eastAsia"/>
                <w:b w:val="0"/>
                <w:bCs w:val="0"/>
              </w:rPr>
              <w:t>主席令第</w:t>
            </w:r>
            <w:r>
              <w:rPr>
                <w:b w:val="0"/>
                <w:bCs w:val="0"/>
              </w:rPr>
              <w:t>29</w:t>
            </w:r>
            <w:r>
              <w:rPr>
                <w:rFonts w:hint="eastAsia"/>
                <w:b w:val="0"/>
                <w:bCs w:val="0"/>
              </w:rPr>
              <w:t>号</w:t>
            </w:r>
          </w:p>
        </w:tc>
        <w:tc>
          <w:tcPr>
            <w:tcW w:w="2654" w:type="pct"/>
            <w:shd w:val="clear" w:color="auto" w:fill="auto"/>
            <w:vAlign w:val="center"/>
          </w:tcPr>
          <w:p w14:paraId="2ED289BE">
            <w:pPr>
              <w:pStyle w:val="16"/>
              <w:rPr>
                <w:b w:val="0"/>
                <w:bCs w:val="0"/>
              </w:rPr>
            </w:pPr>
            <w:r>
              <w:rPr>
                <w:rFonts w:hint="eastAsia"/>
                <w:b w:val="0"/>
                <w:bCs w:val="0"/>
              </w:rPr>
              <w:t>中华人民共和国建筑法</w:t>
            </w:r>
          </w:p>
        </w:tc>
        <w:tc>
          <w:tcPr>
            <w:tcW w:w="641" w:type="pct"/>
            <w:vMerge w:val="continue"/>
            <w:shd w:val="clear" w:color="auto" w:fill="auto"/>
            <w:vAlign w:val="center"/>
          </w:tcPr>
          <w:p w14:paraId="5DFB0667">
            <w:pPr>
              <w:pStyle w:val="16"/>
              <w:rPr>
                <w:b w:val="0"/>
                <w:bCs w:val="0"/>
              </w:rPr>
            </w:pPr>
          </w:p>
        </w:tc>
      </w:tr>
      <w:tr w14:paraId="7B026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219A25C">
            <w:pPr>
              <w:pStyle w:val="16"/>
              <w:numPr>
                <w:ilvl w:val="0"/>
                <w:numId w:val="10"/>
              </w:numPr>
              <w:rPr>
                <w:b w:val="0"/>
                <w:bCs w:val="0"/>
              </w:rPr>
            </w:pPr>
          </w:p>
        </w:tc>
        <w:tc>
          <w:tcPr>
            <w:tcW w:w="1284" w:type="pct"/>
            <w:shd w:val="clear" w:color="auto" w:fill="auto"/>
            <w:vAlign w:val="center"/>
          </w:tcPr>
          <w:p w14:paraId="4C76643C">
            <w:pPr>
              <w:pStyle w:val="16"/>
              <w:rPr>
                <w:b w:val="0"/>
                <w:bCs w:val="0"/>
              </w:rPr>
            </w:pPr>
            <w:r>
              <w:rPr>
                <w:rFonts w:hint="eastAsia"/>
                <w:b w:val="0"/>
                <w:bCs w:val="0"/>
              </w:rPr>
              <w:t>主席令第</w:t>
            </w:r>
            <w:r>
              <w:rPr>
                <w:b w:val="0"/>
                <w:bCs w:val="0"/>
              </w:rPr>
              <w:t>69</w:t>
            </w:r>
            <w:r>
              <w:rPr>
                <w:rFonts w:hint="eastAsia"/>
                <w:b w:val="0"/>
                <w:bCs w:val="0"/>
              </w:rPr>
              <w:t>号</w:t>
            </w:r>
          </w:p>
        </w:tc>
        <w:tc>
          <w:tcPr>
            <w:tcW w:w="2654" w:type="pct"/>
            <w:shd w:val="clear" w:color="auto" w:fill="auto"/>
            <w:vAlign w:val="center"/>
          </w:tcPr>
          <w:p w14:paraId="74F03034">
            <w:pPr>
              <w:pStyle w:val="16"/>
              <w:rPr>
                <w:b w:val="0"/>
                <w:bCs w:val="0"/>
              </w:rPr>
            </w:pPr>
            <w:r>
              <w:rPr>
                <w:rFonts w:hint="eastAsia"/>
                <w:b w:val="0"/>
                <w:bCs w:val="0"/>
              </w:rPr>
              <w:t>中华人民共和国突发事件应对法</w:t>
            </w:r>
          </w:p>
        </w:tc>
        <w:tc>
          <w:tcPr>
            <w:tcW w:w="641" w:type="pct"/>
            <w:vMerge w:val="continue"/>
            <w:shd w:val="clear" w:color="auto" w:fill="auto"/>
            <w:vAlign w:val="center"/>
          </w:tcPr>
          <w:p w14:paraId="3D763600">
            <w:pPr>
              <w:pStyle w:val="16"/>
              <w:rPr>
                <w:b w:val="0"/>
                <w:bCs w:val="0"/>
              </w:rPr>
            </w:pPr>
          </w:p>
        </w:tc>
      </w:tr>
      <w:tr w14:paraId="171B0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16511DE">
            <w:pPr>
              <w:pStyle w:val="16"/>
              <w:numPr>
                <w:ilvl w:val="0"/>
                <w:numId w:val="10"/>
              </w:numPr>
              <w:rPr>
                <w:b w:val="0"/>
                <w:bCs w:val="0"/>
              </w:rPr>
            </w:pPr>
          </w:p>
        </w:tc>
        <w:tc>
          <w:tcPr>
            <w:tcW w:w="1284" w:type="pct"/>
            <w:shd w:val="clear" w:color="auto" w:fill="auto"/>
            <w:vAlign w:val="center"/>
          </w:tcPr>
          <w:p w14:paraId="5D6B5BAC">
            <w:pPr>
              <w:pStyle w:val="16"/>
              <w:rPr>
                <w:b w:val="0"/>
                <w:bCs w:val="0"/>
              </w:rPr>
            </w:pPr>
            <w:r>
              <w:rPr>
                <w:rFonts w:hint="eastAsia"/>
                <w:b w:val="0"/>
                <w:bCs w:val="0"/>
              </w:rPr>
              <w:t>主席令第</w:t>
            </w:r>
            <w:r>
              <w:rPr>
                <w:b w:val="0"/>
                <w:bCs w:val="0"/>
              </w:rPr>
              <w:t>88</w:t>
            </w:r>
            <w:r>
              <w:rPr>
                <w:rFonts w:hint="eastAsia"/>
                <w:b w:val="0"/>
                <w:bCs w:val="0"/>
              </w:rPr>
              <w:t>号</w:t>
            </w:r>
          </w:p>
        </w:tc>
        <w:tc>
          <w:tcPr>
            <w:tcW w:w="2654" w:type="pct"/>
            <w:shd w:val="clear" w:color="auto" w:fill="auto"/>
            <w:vAlign w:val="center"/>
          </w:tcPr>
          <w:p w14:paraId="7AA8C726">
            <w:pPr>
              <w:pStyle w:val="16"/>
              <w:rPr>
                <w:b w:val="0"/>
                <w:bCs w:val="0"/>
              </w:rPr>
            </w:pPr>
            <w:r>
              <w:rPr>
                <w:b w:val="0"/>
                <w:bCs w:val="0"/>
              </w:rPr>
              <w:t>中华人民共和国安全生产法</w:t>
            </w:r>
          </w:p>
        </w:tc>
        <w:tc>
          <w:tcPr>
            <w:tcW w:w="641" w:type="pct"/>
            <w:vMerge w:val="continue"/>
            <w:shd w:val="clear" w:color="auto" w:fill="auto"/>
            <w:vAlign w:val="center"/>
          </w:tcPr>
          <w:p w14:paraId="37ECEBB3">
            <w:pPr>
              <w:pStyle w:val="16"/>
              <w:rPr>
                <w:b w:val="0"/>
                <w:bCs w:val="0"/>
              </w:rPr>
            </w:pPr>
          </w:p>
        </w:tc>
      </w:tr>
      <w:tr w14:paraId="2D4C7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2A620B4">
            <w:pPr>
              <w:pStyle w:val="16"/>
              <w:numPr>
                <w:ilvl w:val="0"/>
                <w:numId w:val="10"/>
              </w:numPr>
              <w:rPr>
                <w:b w:val="0"/>
                <w:bCs w:val="0"/>
              </w:rPr>
            </w:pPr>
          </w:p>
        </w:tc>
        <w:tc>
          <w:tcPr>
            <w:tcW w:w="1284" w:type="pct"/>
            <w:shd w:val="clear" w:color="auto" w:fill="auto"/>
            <w:vAlign w:val="center"/>
          </w:tcPr>
          <w:p w14:paraId="3A415DCD">
            <w:pPr>
              <w:pStyle w:val="16"/>
              <w:rPr>
                <w:b w:val="0"/>
                <w:bCs w:val="0"/>
              </w:rPr>
            </w:pPr>
            <w:r>
              <w:rPr>
                <w:rFonts w:hint="eastAsia"/>
                <w:b w:val="0"/>
                <w:bCs w:val="0"/>
              </w:rPr>
              <w:t>国务院令第279号</w:t>
            </w:r>
          </w:p>
        </w:tc>
        <w:tc>
          <w:tcPr>
            <w:tcW w:w="2654" w:type="pct"/>
            <w:shd w:val="clear" w:color="auto" w:fill="auto"/>
            <w:vAlign w:val="center"/>
          </w:tcPr>
          <w:p w14:paraId="78B85518">
            <w:pPr>
              <w:pStyle w:val="16"/>
              <w:rPr>
                <w:b w:val="0"/>
                <w:bCs w:val="0"/>
              </w:rPr>
            </w:pPr>
            <w:r>
              <w:rPr>
                <w:rFonts w:hint="eastAsia"/>
                <w:b w:val="0"/>
                <w:bCs w:val="0"/>
              </w:rPr>
              <w:t>建设工程质量管理条例</w:t>
            </w:r>
          </w:p>
        </w:tc>
        <w:tc>
          <w:tcPr>
            <w:tcW w:w="641" w:type="pct"/>
            <w:vMerge w:val="restart"/>
            <w:shd w:val="clear" w:color="auto" w:fill="auto"/>
            <w:vAlign w:val="center"/>
          </w:tcPr>
          <w:p w14:paraId="52A55F78">
            <w:pPr>
              <w:pStyle w:val="16"/>
              <w:rPr>
                <w:b w:val="0"/>
                <w:bCs w:val="0"/>
              </w:rPr>
            </w:pPr>
            <w:r>
              <w:rPr>
                <w:rFonts w:hint="eastAsia"/>
                <w:b w:val="0"/>
                <w:bCs w:val="0"/>
              </w:rPr>
              <w:t>法规</w:t>
            </w:r>
          </w:p>
        </w:tc>
      </w:tr>
      <w:tr w14:paraId="5D344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3F7A768">
            <w:pPr>
              <w:pStyle w:val="16"/>
              <w:numPr>
                <w:ilvl w:val="0"/>
                <w:numId w:val="10"/>
              </w:numPr>
              <w:rPr>
                <w:b w:val="0"/>
                <w:bCs w:val="0"/>
              </w:rPr>
            </w:pPr>
          </w:p>
        </w:tc>
        <w:tc>
          <w:tcPr>
            <w:tcW w:w="1284" w:type="pct"/>
            <w:shd w:val="clear" w:color="auto" w:fill="auto"/>
            <w:vAlign w:val="center"/>
          </w:tcPr>
          <w:p w14:paraId="1EDE093D">
            <w:pPr>
              <w:pStyle w:val="16"/>
              <w:rPr>
                <w:b w:val="0"/>
                <w:bCs w:val="0"/>
              </w:rPr>
            </w:pPr>
            <w:r>
              <w:rPr>
                <w:rFonts w:hint="eastAsia"/>
                <w:b w:val="0"/>
                <w:bCs w:val="0"/>
              </w:rPr>
              <w:t>国务院令第393号</w:t>
            </w:r>
          </w:p>
        </w:tc>
        <w:tc>
          <w:tcPr>
            <w:tcW w:w="2654" w:type="pct"/>
            <w:shd w:val="clear" w:color="auto" w:fill="auto"/>
            <w:vAlign w:val="center"/>
          </w:tcPr>
          <w:p w14:paraId="47153570">
            <w:pPr>
              <w:pStyle w:val="16"/>
              <w:rPr>
                <w:b w:val="0"/>
                <w:bCs w:val="0"/>
              </w:rPr>
            </w:pPr>
            <w:r>
              <w:rPr>
                <w:rFonts w:hint="eastAsia"/>
                <w:b w:val="0"/>
                <w:bCs w:val="0"/>
              </w:rPr>
              <w:t>建设工程安全生产管理条例</w:t>
            </w:r>
          </w:p>
        </w:tc>
        <w:tc>
          <w:tcPr>
            <w:tcW w:w="641" w:type="pct"/>
            <w:vMerge w:val="continue"/>
            <w:shd w:val="clear" w:color="auto" w:fill="auto"/>
            <w:vAlign w:val="center"/>
          </w:tcPr>
          <w:p w14:paraId="13AFE015">
            <w:pPr>
              <w:pStyle w:val="16"/>
              <w:rPr>
                <w:b w:val="0"/>
                <w:bCs w:val="0"/>
              </w:rPr>
            </w:pPr>
          </w:p>
        </w:tc>
      </w:tr>
      <w:tr w14:paraId="1622A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A283660">
            <w:pPr>
              <w:pStyle w:val="16"/>
              <w:numPr>
                <w:ilvl w:val="0"/>
                <w:numId w:val="10"/>
              </w:numPr>
              <w:rPr>
                <w:b w:val="0"/>
                <w:bCs w:val="0"/>
              </w:rPr>
            </w:pPr>
          </w:p>
        </w:tc>
        <w:tc>
          <w:tcPr>
            <w:tcW w:w="1284" w:type="pct"/>
            <w:shd w:val="clear" w:color="auto" w:fill="auto"/>
            <w:vAlign w:val="center"/>
          </w:tcPr>
          <w:p w14:paraId="13BABAF3">
            <w:pPr>
              <w:pStyle w:val="16"/>
              <w:rPr>
                <w:b w:val="0"/>
                <w:bCs w:val="0"/>
              </w:rPr>
            </w:pPr>
            <w:r>
              <w:rPr>
                <w:b w:val="0"/>
                <w:bCs w:val="0"/>
              </w:rPr>
              <w:t>国务院令第397号</w:t>
            </w:r>
          </w:p>
        </w:tc>
        <w:tc>
          <w:tcPr>
            <w:tcW w:w="2654" w:type="pct"/>
            <w:shd w:val="clear" w:color="auto" w:fill="auto"/>
            <w:vAlign w:val="center"/>
          </w:tcPr>
          <w:p w14:paraId="7DA2A6FC">
            <w:pPr>
              <w:pStyle w:val="16"/>
              <w:rPr>
                <w:b w:val="0"/>
                <w:bCs w:val="0"/>
              </w:rPr>
            </w:pPr>
            <w:r>
              <w:rPr>
                <w:b w:val="0"/>
                <w:bCs w:val="0"/>
              </w:rPr>
              <w:t>安全生产许可证条例（2014年修订）</w:t>
            </w:r>
          </w:p>
        </w:tc>
        <w:tc>
          <w:tcPr>
            <w:tcW w:w="641" w:type="pct"/>
            <w:vMerge w:val="continue"/>
            <w:shd w:val="clear" w:color="auto" w:fill="auto"/>
            <w:vAlign w:val="center"/>
          </w:tcPr>
          <w:p w14:paraId="63ECFFEA">
            <w:pPr>
              <w:pStyle w:val="16"/>
              <w:rPr>
                <w:b w:val="0"/>
                <w:bCs w:val="0"/>
              </w:rPr>
            </w:pPr>
          </w:p>
        </w:tc>
      </w:tr>
      <w:tr w14:paraId="71D73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8C63F81">
            <w:pPr>
              <w:pStyle w:val="16"/>
              <w:numPr>
                <w:ilvl w:val="0"/>
                <w:numId w:val="10"/>
              </w:numPr>
              <w:rPr>
                <w:b w:val="0"/>
                <w:bCs w:val="0"/>
              </w:rPr>
            </w:pPr>
          </w:p>
        </w:tc>
        <w:tc>
          <w:tcPr>
            <w:tcW w:w="1284" w:type="pct"/>
            <w:shd w:val="clear" w:color="auto" w:fill="auto"/>
            <w:vAlign w:val="center"/>
          </w:tcPr>
          <w:p w14:paraId="187F396B">
            <w:pPr>
              <w:pStyle w:val="16"/>
              <w:rPr>
                <w:b w:val="0"/>
                <w:bCs w:val="0"/>
              </w:rPr>
            </w:pPr>
            <w:r>
              <w:rPr>
                <w:rFonts w:hint="eastAsia"/>
                <w:b w:val="0"/>
                <w:bCs w:val="0"/>
              </w:rPr>
              <w:t>国务院令第549号</w:t>
            </w:r>
          </w:p>
        </w:tc>
        <w:tc>
          <w:tcPr>
            <w:tcW w:w="2654" w:type="pct"/>
            <w:shd w:val="clear" w:color="auto" w:fill="auto"/>
            <w:vAlign w:val="center"/>
          </w:tcPr>
          <w:p w14:paraId="63CA7385">
            <w:pPr>
              <w:pStyle w:val="16"/>
              <w:rPr>
                <w:b w:val="0"/>
                <w:bCs w:val="0"/>
              </w:rPr>
            </w:pPr>
            <w:r>
              <w:rPr>
                <w:rFonts w:hint="eastAsia"/>
                <w:b w:val="0"/>
                <w:bCs w:val="0"/>
              </w:rPr>
              <w:t>特种设备安全监察条例</w:t>
            </w:r>
          </w:p>
        </w:tc>
        <w:tc>
          <w:tcPr>
            <w:tcW w:w="641" w:type="pct"/>
            <w:vMerge w:val="continue"/>
            <w:shd w:val="clear" w:color="auto" w:fill="auto"/>
            <w:vAlign w:val="center"/>
          </w:tcPr>
          <w:p w14:paraId="68BE9140">
            <w:pPr>
              <w:pStyle w:val="16"/>
              <w:rPr>
                <w:b w:val="0"/>
                <w:bCs w:val="0"/>
              </w:rPr>
            </w:pPr>
          </w:p>
        </w:tc>
      </w:tr>
      <w:tr w14:paraId="7418D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AF1037">
            <w:pPr>
              <w:pStyle w:val="16"/>
              <w:numPr>
                <w:ilvl w:val="0"/>
                <w:numId w:val="10"/>
              </w:numPr>
              <w:rPr>
                <w:b w:val="0"/>
                <w:bCs w:val="0"/>
              </w:rPr>
            </w:pPr>
          </w:p>
        </w:tc>
        <w:tc>
          <w:tcPr>
            <w:tcW w:w="1284" w:type="pct"/>
            <w:shd w:val="clear" w:color="auto" w:fill="auto"/>
            <w:vAlign w:val="center"/>
          </w:tcPr>
          <w:p w14:paraId="7C0E0D21">
            <w:pPr>
              <w:pStyle w:val="16"/>
              <w:rPr>
                <w:b w:val="0"/>
                <w:bCs w:val="0"/>
              </w:rPr>
            </w:pPr>
            <w:r>
              <w:rPr>
                <w:rFonts w:hint="eastAsia"/>
                <w:b w:val="0"/>
                <w:bCs w:val="0"/>
              </w:rPr>
              <w:t>安监局令第</w:t>
            </w:r>
            <w:r>
              <w:rPr>
                <w:b w:val="0"/>
                <w:bCs w:val="0"/>
              </w:rPr>
              <w:t>30</w:t>
            </w:r>
            <w:r>
              <w:rPr>
                <w:rFonts w:hint="eastAsia"/>
                <w:b w:val="0"/>
                <w:bCs w:val="0"/>
              </w:rPr>
              <w:t>号</w:t>
            </w:r>
          </w:p>
        </w:tc>
        <w:tc>
          <w:tcPr>
            <w:tcW w:w="2654" w:type="pct"/>
            <w:shd w:val="clear" w:color="auto" w:fill="auto"/>
            <w:vAlign w:val="center"/>
          </w:tcPr>
          <w:p w14:paraId="421AB48F">
            <w:pPr>
              <w:pStyle w:val="16"/>
              <w:rPr>
                <w:b w:val="0"/>
                <w:bCs w:val="0"/>
              </w:rPr>
            </w:pPr>
            <w:r>
              <w:rPr>
                <w:rFonts w:hint="eastAsia"/>
                <w:b w:val="0"/>
                <w:bCs w:val="0"/>
              </w:rPr>
              <w:t>特种作业人员安全技术培训考核管理办法</w:t>
            </w:r>
          </w:p>
        </w:tc>
        <w:tc>
          <w:tcPr>
            <w:tcW w:w="641" w:type="pct"/>
            <w:shd w:val="clear" w:color="auto" w:fill="auto"/>
            <w:vAlign w:val="center"/>
          </w:tcPr>
          <w:p w14:paraId="158D984F">
            <w:pPr>
              <w:pStyle w:val="16"/>
              <w:rPr>
                <w:b w:val="0"/>
                <w:bCs w:val="0"/>
              </w:rPr>
            </w:pPr>
            <w:r>
              <w:rPr>
                <w:rFonts w:hint="eastAsia"/>
                <w:b w:val="0"/>
                <w:bCs w:val="0"/>
              </w:rPr>
              <w:t>应急管理部</w:t>
            </w:r>
          </w:p>
        </w:tc>
      </w:tr>
      <w:tr w14:paraId="0AAE8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81704E6">
            <w:pPr>
              <w:pStyle w:val="16"/>
              <w:numPr>
                <w:ilvl w:val="0"/>
                <w:numId w:val="10"/>
              </w:numPr>
              <w:rPr>
                <w:b w:val="0"/>
                <w:bCs w:val="0"/>
              </w:rPr>
            </w:pPr>
          </w:p>
        </w:tc>
        <w:tc>
          <w:tcPr>
            <w:tcW w:w="1284" w:type="pct"/>
            <w:shd w:val="clear" w:color="auto" w:fill="auto"/>
            <w:vAlign w:val="center"/>
          </w:tcPr>
          <w:p w14:paraId="2623F1E7">
            <w:pPr>
              <w:pStyle w:val="16"/>
              <w:rPr>
                <w:b w:val="0"/>
                <w:bCs w:val="0"/>
              </w:rPr>
            </w:pPr>
            <w:r>
              <w:rPr>
                <w:rFonts w:hint="eastAsia"/>
                <w:b w:val="0"/>
                <w:bCs w:val="0"/>
              </w:rPr>
              <w:t>质检总局令第1</w:t>
            </w:r>
            <w:r>
              <w:rPr>
                <w:b w:val="0"/>
                <w:bCs w:val="0"/>
              </w:rPr>
              <w:t>15</w:t>
            </w:r>
            <w:r>
              <w:rPr>
                <w:rFonts w:hint="eastAsia"/>
                <w:b w:val="0"/>
                <w:bCs w:val="0"/>
              </w:rPr>
              <w:t>号</w:t>
            </w:r>
          </w:p>
        </w:tc>
        <w:tc>
          <w:tcPr>
            <w:tcW w:w="2654" w:type="pct"/>
            <w:shd w:val="clear" w:color="auto" w:fill="auto"/>
            <w:vAlign w:val="center"/>
          </w:tcPr>
          <w:p w14:paraId="4C03F89E">
            <w:pPr>
              <w:pStyle w:val="16"/>
              <w:rPr>
                <w:b w:val="0"/>
                <w:bCs w:val="0"/>
              </w:rPr>
            </w:pPr>
            <w:r>
              <w:rPr>
                <w:rFonts w:hint="eastAsia"/>
                <w:b w:val="0"/>
                <w:bCs w:val="0"/>
              </w:rPr>
              <w:t>特种设备事故报告和调查处理规定</w:t>
            </w:r>
          </w:p>
        </w:tc>
        <w:tc>
          <w:tcPr>
            <w:tcW w:w="641" w:type="pct"/>
            <w:vMerge w:val="restart"/>
            <w:shd w:val="clear" w:color="auto" w:fill="auto"/>
            <w:vAlign w:val="center"/>
          </w:tcPr>
          <w:p w14:paraId="4F65AD19">
            <w:pPr>
              <w:pStyle w:val="16"/>
              <w:rPr>
                <w:b w:val="0"/>
                <w:bCs w:val="0"/>
              </w:rPr>
            </w:pPr>
            <w:r>
              <w:rPr>
                <w:rFonts w:hint="eastAsia"/>
                <w:b w:val="0"/>
                <w:bCs w:val="0"/>
              </w:rPr>
              <w:t>国家市场监督管理总局特种设备安全监察局</w:t>
            </w:r>
          </w:p>
        </w:tc>
      </w:tr>
      <w:tr w14:paraId="46D10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394228A">
            <w:pPr>
              <w:pStyle w:val="16"/>
              <w:numPr>
                <w:ilvl w:val="0"/>
                <w:numId w:val="10"/>
              </w:numPr>
              <w:rPr>
                <w:b w:val="0"/>
                <w:bCs w:val="0"/>
              </w:rPr>
            </w:pPr>
          </w:p>
        </w:tc>
        <w:tc>
          <w:tcPr>
            <w:tcW w:w="1284" w:type="pct"/>
            <w:shd w:val="clear" w:color="auto" w:fill="auto"/>
            <w:vAlign w:val="center"/>
          </w:tcPr>
          <w:p w14:paraId="44FDF54E">
            <w:pPr>
              <w:pStyle w:val="16"/>
              <w:rPr>
                <w:b w:val="0"/>
                <w:bCs w:val="0"/>
              </w:rPr>
            </w:pPr>
            <w:r>
              <w:rPr>
                <w:rFonts w:hint="eastAsia"/>
                <w:b w:val="0"/>
                <w:bCs w:val="0"/>
              </w:rPr>
              <w:t>质检总局令第140号</w:t>
            </w:r>
          </w:p>
        </w:tc>
        <w:tc>
          <w:tcPr>
            <w:tcW w:w="2654" w:type="pct"/>
            <w:shd w:val="clear" w:color="auto" w:fill="auto"/>
            <w:vAlign w:val="center"/>
          </w:tcPr>
          <w:p w14:paraId="5DB87DC3">
            <w:pPr>
              <w:pStyle w:val="16"/>
              <w:rPr>
                <w:b w:val="0"/>
                <w:bCs w:val="0"/>
              </w:rPr>
            </w:pPr>
            <w:r>
              <w:rPr>
                <w:rFonts w:hint="eastAsia"/>
                <w:b w:val="0"/>
                <w:bCs w:val="0"/>
              </w:rPr>
              <w:t>特种设备作业人员监督管理办法</w:t>
            </w:r>
          </w:p>
        </w:tc>
        <w:tc>
          <w:tcPr>
            <w:tcW w:w="641" w:type="pct"/>
            <w:vMerge w:val="continue"/>
            <w:shd w:val="clear" w:color="auto" w:fill="auto"/>
            <w:vAlign w:val="center"/>
          </w:tcPr>
          <w:p w14:paraId="09BD862C">
            <w:pPr>
              <w:pStyle w:val="16"/>
              <w:rPr>
                <w:b w:val="0"/>
                <w:bCs w:val="0"/>
              </w:rPr>
            </w:pPr>
          </w:p>
        </w:tc>
      </w:tr>
      <w:tr w14:paraId="4C937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B3E072F">
            <w:pPr>
              <w:pStyle w:val="16"/>
              <w:numPr>
                <w:ilvl w:val="0"/>
                <w:numId w:val="10"/>
              </w:numPr>
              <w:rPr>
                <w:b w:val="0"/>
                <w:bCs w:val="0"/>
              </w:rPr>
            </w:pPr>
          </w:p>
        </w:tc>
        <w:tc>
          <w:tcPr>
            <w:tcW w:w="1284" w:type="pct"/>
            <w:shd w:val="clear" w:color="auto" w:fill="auto"/>
            <w:vAlign w:val="center"/>
          </w:tcPr>
          <w:p w14:paraId="75A67262">
            <w:pPr>
              <w:pStyle w:val="16"/>
              <w:rPr>
                <w:b w:val="0"/>
                <w:bCs w:val="0"/>
              </w:rPr>
            </w:pPr>
            <w:r>
              <w:rPr>
                <w:rFonts w:hint="eastAsia"/>
                <w:b w:val="0"/>
                <w:bCs w:val="0"/>
              </w:rPr>
              <w:t>2</w:t>
            </w:r>
            <w:r>
              <w:rPr>
                <w:b w:val="0"/>
                <w:bCs w:val="0"/>
              </w:rPr>
              <w:t>015</w:t>
            </w:r>
            <w:r>
              <w:rPr>
                <w:rFonts w:hint="eastAsia"/>
                <w:b w:val="0"/>
                <w:bCs w:val="0"/>
              </w:rPr>
              <w:t>年第5号</w:t>
            </w:r>
          </w:p>
        </w:tc>
        <w:tc>
          <w:tcPr>
            <w:tcW w:w="2654" w:type="pct"/>
            <w:shd w:val="clear" w:color="auto" w:fill="auto"/>
            <w:vAlign w:val="center"/>
          </w:tcPr>
          <w:p w14:paraId="0D7F116A">
            <w:pPr>
              <w:pStyle w:val="16"/>
              <w:rPr>
                <w:b w:val="0"/>
                <w:bCs w:val="0"/>
              </w:rPr>
            </w:pPr>
            <w:r>
              <w:rPr>
                <w:rFonts w:hint="eastAsia"/>
                <w:b w:val="0"/>
                <w:bCs w:val="0"/>
              </w:rPr>
              <w:t>特种设备现场安全监督检查规则</w:t>
            </w:r>
          </w:p>
        </w:tc>
        <w:tc>
          <w:tcPr>
            <w:tcW w:w="641" w:type="pct"/>
            <w:vMerge w:val="continue"/>
            <w:shd w:val="clear" w:color="auto" w:fill="auto"/>
            <w:vAlign w:val="center"/>
          </w:tcPr>
          <w:p w14:paraId="5ECBD411">
            <w:pPr>
              <w:pStyle w:val="16"/>
              <w:rPr>
                <w:b w:val="0"/>
                <w:bCs w:val="0"/>
              </w:rPr>
            </w:pPr>
          </w:p>
        </w:tc>
      </w:tr>
      <w:tr w14:paraId="378CF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F7EFFCE">
            <w:pPr>
              <w:pStyle w:val="16"/>
              <w:numPr>
                <w:ilvl w:val="0"/>
                <w:numId w:val="10"/>
              </w:numPr>
              <w:rPr>
                <w:b w:val="0"/>
                <w:bCs w:val="0"/>
              </w:rPr>
            </w:pPr>
          </w:p>
        </w:tc>
        <w:tc>
          <w:tcPr>
            <w:tcW w:w="1284" w:type="pct"/>
            <w:shd w:val="clear" w:color="auto" w:fill="auto"/>
            <w:vAlign w:val="center"/>
          </w:tcPr>
          <w:p w14:paraId="562858C0">
            <w:pPr>
              <w:pStyle w:val="16"/>
              <w:rPr>
                <w:b w:val="0"/>
                <w:bCs w:val="0"/>
              </w:rPr>
            </w:pPr>
            <w:r>
              <w:rPr>
                <w:b w:val="0"/>
                <w:bCs w:val="0"/>
              </w:rPr>
              <w:t>TSG Q7014-2008</w:t>
            </w:r>
          </w:p>
        </w:tc>
        <w:tc>
          <w:tcPr>
            <w:tcW w:w="2654" w:type="pct"/>
            <w:shd w:val="clear" w:color="auto" w:fill="auto"/>
            <w:vAlign w:val="center"/>
          </w:tcPr>
          <w:p w14:paraId="64E1B290">
            <w:pPr>
              <w:pStyle w:val="16"/>
              <w:rPr>
                <w:b w:val="0"/>
                <w:bCs w:val="0"/>
              </w:rPr>
            </w:pPr>
            <w:r>
              <w:rPr>
                <w:rFonts w:hint="eastAsia"/>
                <w:b w:val="0"/>
                <w:bCs w:val="0"/>
              </w:rPr>
              <w:t>起重机械安全保护装置型式试验细则</w:t>
            </w:r>
          </w:p>
        </w:tc>
        <w:tc>
          <w:tcPr>
            <w:tcW w:w="641" w:type="pct"/>
            <w:vMerge w:val="continue"/>
            <w:shd w:val="clear" w:color="auto" w:fill="auto"/>
            <w:vAlign w:val="center"/>
          </w:tcPr>
          <w:p w14:paraId="418C1EF8">
            <w:pPr>
              <w:pStyle w:val="16"/>
              <w:rPr>
                <w:b w:val="0"/>
                <w:bCs w:val="0"/>
              </w:rPr>
            </w:pPr>
          </w:p>
        </w:tc>
      </w:tr>
      <w:tr w14:paraId="46CA2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5C8F28C">
            <w:pPr>
              <w:pStyle w:val="16"/>
              <w:numPr>
                <w:ilvl w:val="0"/>
                <w:numId w:val="10"/>
              </w:numPr>
              <w:rPr>
                <w:b w:val="0"/>
                <w:bCs w:val="0"/>
              </w:rPr>
            </w:pPr>
          </w:p>
        </w:tc>
        <w:tc>
          <w:tcPr>
            <w:tcW w:w="1284" w:type="pct"/>
            <w:shd w:val="clear" w:color="auto" w:fill="auto"/>
            <w:vAlign w:val="center"/>
          </w:tcPr>
          <w:p w14:paraId="790DAECF">
            <w:pPr>
              <w:pStyle w:val="16"/>
              <w:rPr>
                <w:b w:val="0"/>
                <w:bCs w:val="0"/>
              </w:rPr>
            </w:pPr>
            <w:r>
              <w:rPr>
                <w:rFonts w:hint="eastAsia"/>
                <w:b w:val="0"/>
                <w:bCs w:val="0"/>
              </w:rPr>
              <w:t>TSG</w:t>
            </w:r>
            <w:r>
              <w:rPr>
                <w:b w:val="0"/>
                <w:bCs w:val="0"/>
              </w:rPr>
              <w:t xml:space="preserve"> </w:t>
            </w:r>
            <w:r>
              <w:rPr>
                <w:rFonts w:hint="eastAsia"/>
                <w:b w:val="0"/>
                <w:bCs w:val="0"/>
              </w:rPr>
              <w:t>Q</w:t>
            </w:r>
            <w:r>
              <w:rPr>
                <w:b w:val="0"/>
                <w:bCs w:val="0"/>
              </w:rPr>
              <w:t>7016-2016</w:t>
            </w:r>
          </w:p>
        </w:tc>
        <w:tc>
          <w:tcPr>
            <w:tcW w:w="2654" w:type="pct"/>
            <w:shd w:val="clear" w:color="auto" w:fill="auto"/>
            <w:vAlign w:val="center"/>
          </w:tcPr>
          <w:p w14:paraId="1CF8461E">
            <w:pPr>
              <w:pStyle w:val="16"/>
              <w:rPr>
                <w:b w:val="0"/>
                <w:bCs w:val="0"/>
              </w:rPr>
            </w:pPr>
            <w:r>
              <w:rPr>
                <w:rFonts w:hint="eastAsia"/>
                <w:b w:val="0"/>
                <w:bCs w:val="0"/>
              </w:rPr>
              <w:t>起重机械安装改造重大修理监督检验规则</w:t>
            </w:r>
          </w:p>
        </w:tc>
        <w:tc>
          <w:tcPr>
            <w:tcW w:w="641" w:type="pct"/>
            <w:vMerge w:val="continue"/>
            <w:shd w:val="clear" w:color="auto" w:fill="auto"/>
            <w:vAlign w:val="center"/>
          </w:tcPr>
          <w:p w14:paraId="7BA6BDBE">
            <w:pPr>
              <w:pStyle w:val="16"/>
              <w:rPr>
                <w:b w:val="0"/>
                <w:bCs w:val="0"/>
              </w:rPr>
            </w:pPr>
          </w:p>
        </w:tc>
      </w:tr>
      <w:tr w14:paraId="784E9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3817D8A">
            <w:pPr>
              <w:pStyle w:val="16"/>
              <w:numPr>
                <w:ilvl w:val="0"/>
                <w:numId w:val="10"/>
              </w:numPr>
              <w:rPr>
                <w:b w:val="0"/>
                <w:bCs w:val="0"/>
              </w:rPr>
            </w:pPr>
          </w:p>
        </w:tc>
        <w:tc>
          <w:tcPr>
            <w:tcW w:w="1284" w:type="pct"/>
            <w:shd w:val="clear" w:color="auto" w:fill="auto"/>
            <w:vAlign w:val="center"/>
          </w:tcPr>
          <w:p w14:paraId="29B9ECB4">
            <w:pPr>
              <w:pStyle w:val="16"/>
              <w:rPr>
                <w:b w:val="0"/>
                <w:bCs w:val="0"/>
              </w:rPr>
            </w:pPr>
            <w:r>
              <w:rPr>
                <w:rFonts w:hint="eastAsia"/>
                <w:b w:val="0"/>
                <w:bCs w:val="0"/>
              </w:rPr>
              <w:t>TSG 08-2017</w:t>
            </w:r>
          </w:p>
        </w:tc>
        <w:tc>
          <w:tcPr>
            <w:tcW w:w="2654" w:type="pct"/>
            <w:shd w:val="clear" w:color="auto" w:fill="auto"/>
            <w:vAlign w:val="center"/>
          </w:tcPr>
          <w:p w14:paraId="5CBA7980">
            <w:pPr>
              <w:pStyle w:val="16"/>
              <w:rPr>
                <w:b w:val="0"/>
                <w:bCs w:val="0"/>
              </w:rPr>
            </w:pPr>
            <w:r>
              <w:rPr>
                <w:rFonts w:hint="eastAsia"/>
                <w:b w:val="0"/>
                <w:bCs w:val="0"/>
              </w:rPr>
              <w:t>特种设备使用管理规则</w:t>
            </w:r>
          </w:p>
        </w:tc>
        <w:tc>
          <w:tcPr>
            <w:tcW w:w="641" w:type="pct"/>
            <w:vMerge w:val="continue"/>
            <w:shd w:val="clear" w:color="auto" w:fill="auto"/>
            <w:vAlign w:val="center"/>
          </w:tcPr>
          <w:p w14:paraId="78D4019B">
            <w:pPr>
              <w:pStyle w:val="16"/>
              <w:rPr>
                <w:b w:val="0"/>
                <w:bCs w:val="0"/>
              </w:rPr>
            </w:pPr>
          </w:p>
        </w:tc>
      </w:tr>
      <w:tr w14:paraId="0865A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AE64506">
            <w:pPr>
              <w:pStyle w:val="16"/>
              <w:numPr>
                <w:ilvl w:val="0"/>
                <w:numId w:val="10"/>
              </w:numPr>
              <w:rPr>
                <w:b w:val="0"/>
                <w:bCs w:val="0"/>
              </w:rPr>
            </w:pPr>
          </w:p>
        </w:tc>
        <w:tc>
          <w:tcPr>
            <w:tcW w:w="1284" w:type="pct"/>
            <w:shd w:val="clear" w:color="auto" w:fill="auto"/>
            <w:vAlign w:val="center"/>
          </w:tcPr>
          <w:p w14:paraId="6EF2E1CD">
            <w:pPr>
              <w:pStyle w:val="16"/>
              <w:rPr>
                <w:b w:val="0"/>
                <w:bCs w:val="0"/>
              </w:rPr>
            </w:pPr>
            <w:r>
              <w:rPr>
                <w:rFonts w:hint="eastAsia"/>
                <w:b w:val="0"/>
                <w:bCs w:val="0"/>
              </w:rPr>
              <w:t>TSG 07-2019</w:t>
            </w:r>
          </w:p>
        </w:tc>
        <w:tc>
          <w:tcPr>
            <w:tcW w:w="2654" w:type="pct"/>
            <w:shd w:val="clear" w:color="auto" w:fill="auto"/>
            <w:vAlign w:val="center"/>
          </w:tcPr>
          <w:p w14:paraId="76CD6197">
            <w:pPr>
              <w:pStyle w:val="16"/>
              <w:rPr>
                <w:b w:val="0"/>
                <w:bCs w:val="0"/>
              </w:rPr>
            </w:pPr>
            <w:r>
              <w:rPr>
                <w:rFonts w:hint="eastAsia"/>
                <w:b w:val="0"/>
                <w:bCs w:val="0"/>
              </w:rPr>
              <w:t>特种设备生产和充装单位许可规则</w:t>
            </w:r>
          </w:p>
        </w:tc>
        <w:tc>
          <w:tcPr>
            <w:tcW w:w="641" w:type="pct"/>
            <w:vMerge w:val="continue"/>
            <w:shd w:val="clear" w:color="auto" w:fill="auto"/>
            <w:vAlign w:val="center"/>
          </w:tcPr>
          <w:p w14:paraId="4025E241">
            <w:pPr>
              <w:pStyle w:val="16"/>
              <w:rPr>
                <w:b w:val="0"/>
                <w:bCs w:val="0"/>
              </w:rPr>
            </w:pPr>
          </w:p>
        </w:tc>
      </w:tr>
      <w:tr w14:paraId="1A8D7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8C40CDB">
            <w:pPr>
              <w:pStyle w:val="16"/>
              <w:numPr>
                <w:ilvl w:val="0"/>
                <w:numId w:val="10"/>
              </w:numPr>
              <w:rPr>
                <w:b w:val="0"/>
                <w:bCs w:val="0"/>
              </w:rPr>
            </w:pPr>
          </w:p>
        </w:tc>
        <w:tc>
          <w:tcPr>
            <w:tcW w:w="1284" w:type="pct"/>
            <w:shd w:val="clear" w:color="auto" w:fill="auto"/>
            <w:vAlign w:val="center"/>
          </w:tcPr>
          <w:p w14:paraId="442E2DC3">
            <w:pPr>
              <w:pStyle w:val="16"/>
              <w:rPr>
                <w:rFonts w:hint="eastAsia" w:eastAsia="宋体"/>
                <w:b w:val="0"/>
                <w:bCs w:val="0"/>
                <w:lang w:eastAsia="zh-CN"/>
              </w:rPr>
            </w:pPr>
            <w:r>
              <w:rPr>
                <w:rFonts w:hint="eastAsia"/>
                <w:b w:val="0"/>
                <w:bCs w:val="0"/>
                <w:lang w:eastAsia="zh-CN"/>
              </w:rPr>
              <w:t>JGJ/TT46-2024</w:t>
            </w:r>
          </w:p>
        </w:tc>
        <w:tc>
          <w:tcPr>
            <w:tcW w:w="2654" w:type="pct"/>
            <w:shd w:val="clear" w:color="auto" w:fill="auto"/>
            <w:vAlign w:val="center"/>
          </w:tcPr>
          <w:p w14:paraId="3A9E6383">
            <w:pPr>
              <w:pStyle w:val="16"/>
              <w:rPr>
                <w:rFonts w:hint="eastAsia" w:eastAsia="宋体"/>
                <w:b w:val="0"/>
                <w:bCs w:val="0"/>
                <w:lang w:eastAsia="zh-CN"/>
              </w:rPr>
            </w:pPr>
            <w:r>
              <w:rPr>
                <w:rFonts w:hint="eastAsia"/>
                <w:b w:val="0"/>
                <w:bCs w:val="0"/>
                <w:lang w:eastAsia="zh-CN"/>
              </w:rPr>
              <w:t>建筑与市政工程施工现场临时用电安全技术标准</w:t>
            </w:r>
          </w:p>
        </w:tc>
        <w:tc>
          <w:tcPr>
            <w:tcW w:w="641" w:type="pct"/>
            <w:vMerge w:val="restart"/>
            <w:shd w:val="clear" w:color="auto" w:fill="auto"/>
            <w:vAlign w:val="center"/>
          </w:tcPr>
          <w:p w14:paraId="695C71FA">
            <w:pPr>
              <w:pStyle w:val="16"/>
              <w:rPr>
                <w:b w:val="0"/>
                <w:bCs w:val="0"/>
              </w:rPr>
            </w:pPr>
            <w:r>
              <w:rPr>
                <w:b w:val="0"/>
                <w:bCs w:val="0"/>
              </w:rPr>
              <w:t>住房和城乡建设部</w:t>
            </w:r>
          </w:p>
        </w:tc>
      </w:tr>
      <w:tr w14:paraId="4B7D2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0511FE6">
            <w:pPr>
              <w:pStyle w:val="16"/>
              <w:numPr>
                <w:ilvl w:val="0"/>
                <w:numId w:val="10"/>
              </w:numPr>
              <w:rPr>
                <w:b w:val="0"/>
                <w:bCs w:val="0"/>
              </w:rPr>
            </w:pPr>
          </w:p>
        </w:tc>
        <w:tc>
          <w:tcPr>
            <w:tcW w:w="1284" w:type="pct"/>
            <w:shd w:val="clear" w:color="auto" w:fill="auto"/>
            <w:vAlign w:val="center"/>
          </w:tcPr>
          <w:p w14:paraId="03418689">
            <w:pPr>
              <w:pStyle w:val="16"/>
              <w:rPr>
                <w:b w:val="0"/>
                <w:bCs w:val="0"/>
              </w:rPr>
            </w:pPr>
            <w:r>
              <w:rPr>
                <w:b w:val="0"/>
                <w:bCs w:val="0"/>
              </w:rPr>
              <w:t>JGJ 276-2012</w:t>
            </w:r>
          </w:p>
        </w:tc>
        <w:tc>
          <w:tcPr>
            <w:tcW w:w="2654" w:type="pct"/>
            <w:shd w:val="clear" w:color="auto" w:fill="auto"/>
            <w:vAlign w:val="center"/>
          </w:tcPr>
          <w:p w14:paraId="03D2F04B">
            <w:pPr>
              <w:pStyle w:val="16"/>
              <w:rPr>
                <w:b w:val="0"/>
                <w:bCs w:val="0"/>
              </w:rPr>
            </w:pPr>
            <w:r>
              <w:rPr>
                <w:rFonts w:hint="eastAsia"/>
                <w:b w:val="0"/>
                <w:bCs w:val="0"/>
              </w:rPr>
              <w:t>建筑施工起重吊装工程安全技术规范</w:t>
            </w:r>
          </w:p>
        </w:tc>
        <w:tc>
          <w:tcPr>
            <w:tcW w:w="641" w:type="pct"/>
            <w:vMerge w:val="continue"/>
            <w:shd w:val="clear" w:color="auto" w:fill="auto"/>
            <w:vAlign w:val="center"/>
          </w:tcPr>
          <w:p w14:paraId="4E591B67">
            <w:pPr>
              <w:pStyle w:val="16"/>
              <w:rPr>
                <w:b w:val="0"/>
                <w:bCs w:val="0"/>
              </w:rPr>
            </w:pPr>
          </w:p>
        </w:tc>
      </w:tr>
      <w:tr w14:paraId="22F54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0A7620">
            <w:pPr>
              <w:pStyle w:val="16"/>
              <w:numPr>
                <w:ilvl w:val="0"/>
                <w:numId w:val="10"/>
              </w:numPr>
              <w:rPr>
                <w:b w:val="0"/>
                <w:bCs w:val="0"/>
              </w:rPr>
            </w:pPr>
          </w:p>
        </w:tc>
        <w:tc>
          <w:tcPr>
            <w:tcW w:w="1284" w:type="pct"/>
            <w:shd w:val="clear" w:color="auto" w:fill="auto"/>
            <w:vAlign w:val="center"/>
          </w:tcPr>
          <w:p w14:paraId="5162A82E">
            <w:pPr>
              <w:pStyle w:val="16"/>
              <w:rPr>
                <w:b w:val="0"/>
                <w:bCs w:val="0"/>
              </w:rPr>
            </w:pPr>
            <w:r>
              <w:rPr>
                <w:b w:val="0"/>
                <w:bCs w:val="0"/>
              </w:rPr>
              <w:t>JGJ 80-2016</w:t>
            </w:r>
          </w:p>
        </w:tc>
        <w:tc>
          <w:tcPr>
            <w:tcW w:w="2654" w:type="pct"/>
            <w:shd w:val="clear" w:color="auto" w:fill="auto"/>
            <w:vAlign w:val="center"/>
          </w:tcPr>
          <w:p w14:paraId="50DABE88">
            <w:pPr>
              <w:pStyle w:val="16"/>
              <w:rPr>
                <w:b w:val="0"/>
                <w:bCs w:val="0"/>
              </w:rPr>
            </w:pPr>
            <w:r>
              <w:rPr>
                <w:rFonts w:hint="eastAsia"/>
                <w:b w:val="0"/>
                <w:bCs w:val="0"/>
              </w:rPr>
              <w:t>建筑施工高处作业安全技术规范</w:t>
            </w:r>
          </w:p>
        </w:tc>
        <w:tc>
          <w:tcPr>
            <w:tcW w:w="641" w:type="pct"/>
            <w:vMerge w:val="continue"/>
            <w:shd w:val="clear" w:color="auto" w:fill="auto"/>
            <w:vAlign w:val="center"/>
          </w:tcPr>
          <w:p w14:paraId="72CC4EBB">
            <w:pPr>
              <w:pStyle w:val="16"/>
              <w:rPr>
                <w:b w:val="0"/>
                <w:bCs w:val="0"/>
              </w:rPr>
            </w:pPr>
          </w:p>
        </w:tc>
      </w:tr>
      <w:tr w14:paraId="0D926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BE9912E">
            <w:pPr>
              <w:pStyle w:val="16"/>
              <w:numPr>
                <w:ilvl w:val="0"/>
                <w:numId w:val="10"/>
              </w:numPr>
              <w:rPr>
                <w:b w:val="0"/>
                <w:bCs w:val="0"/>
              </w:rPr>
            </w:pPr>
          </w:p>
        </w:tc>
        <w:tc>
          <w:tcPr>
            <w:tcW w:w="1284" w:type="pct"/>
            <w:shd w:val="clear" w:color="auto" w:fill="auto"/>
            <w:vAlign w:val="center"/>
          </w:tcPr>
          <w:p w14:paraId="6A73440F">
            <w:pPr>
              <w:pStyle w:val="16"/>
              <w:rPr>
                <w:b w:val="0"/>
                <w:bCs w:val="0"/>
              </w:rPr>
            </w:pPr>
            <w:r>
              <w:rPr>
                <w:rFonts w:hint="eastAsia"/>
                <w:b w:val="0"/>
                <w:bCs w:val="0"/>
              </w:rPr>
              <w:t>JGJ</w:t>
            </w:r>
            <w:r>
              <w:rPr>
                <w:b w:val="0"/>
                <w:bCs w:val="0"/>
              </w:rPr>
              <w:t>/</w:t>
            </w:r>
            <w:r>
              <w:rPr>
                <w:rFonts w:hint="eastAsia"/>
                <w:b w:val="0"/>
                <w:bCs w:val="0"/>
              </w:rPr>
              <w:t>T</w:t>
            </w:r>
            <w:r>
              <w:rPr>
                <w:b w:val="0"/>
                <w:bCs w:val="0"/>
              </w:rPr>
              <w:t xml:space="preserve"> 187-2019</w:t>
            </w:r>
          </w:p>
        </w:tc>
        <w:tc>
          <w:tcPr>
            <w:tcW w:w="2654" w:type="pct"/>
            <w:shd w:val="clear" w:color="auto" w:fill="auto"/>
            <w:vAlign w:val="center"/>
          </w:tcPr>
          <w:p w14:paraId="6306F60C">
            <w:pPr>
              <w:pStyle w:val="16"/>
              <w:rPr>
                <w:b w:val="0"/>
                <w:bCs w:val="0"/>
              </w:rPr>
            </w:pPr>
            <w:r>
              <w:rPr>
                <w:rFonts w:hint="eastAsia"/>
                <w:b w:val="0"/>
                <w:bCs w:val="0"/>
              </w:rPr>
              <w:t>塔式起重机混凝土基础工程技术标准</w:t>
            </w:r>
          </w:p>
        </w:tc>
        <w:tc>
          <w:tcPr>
            <w:tcW w:w="641" w:type="pct"/>
            <w:vMerge w:val="continue"/>
            <w:shd w:val="clear" w:color="auto" w:fill="auto"/>
            <w:vAlign w:val="center"/>
          </w:tcPr>
          <w:p w14:paraId="1D1A1B34">
            <w:pPr>
              <w:pStyle w:val="16"/>
              <w:rPr>
                <w:b w:val="0"/>
                <w:bCs w:val="0"/>
              </w:rPr>
            </w:pPr>
          </w:p>
        </w:tc>
      </w:tr>
      <w:tr w14:paraId="3AAD3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01C0366">
            <w:pPr>
              <w:pStyle w:val="16"/>
              <w:numPr>
                <w:ilvl w:val="0"/>
                <w:numId w:val="10"/>
              </w:numPr>
              <w:rPr>
                <w:b w:val="0"/>
                <w:bCs w:val="0"/>
              </w:rPr>
            </w:pPr>
          </w:p>
        </w:tc>
        <w:tc>
          <w:tcPr>
            <w:tcW w:w="1284" w:type="pct"/>
            <w:shd w:val="clear" w:color="auto" w:fill="auto"/>
            <w:vAlign w:val="center"/>
          </w:tcPr>
          <w:p w14:paraId="0DBB3F24">
            <w:pPr>
              <w:pStyle w:val="16"/>
              <w:rPr>
                <w:b w:val="0"/>
                <w:bCs w:val="0"/>
              </w:rPr>
            </w:pPr>
            <w:r>
              <w:rPr>
                <w:rFonts w:hint="eastAsia"/>
                <w:b w:val="0"/>
                <w:bCs w:val="0"/>
              </w:rPr>
              <w:t>交通运输部〔2017〕25号</w:t>
            </w:r>
          </w:p>
        </w:tc>
        <w:tc>
          <w:tcPr>
            <w:tcW w:w="2654" w:type="pct"/>
            <w:shd w:val="clear" w:color="auto" w:fill="auto"/>
            <w:vAlign w:val="center"/>
          </w:tcPr>
          <w:p w14:paraId="63720ECF">
            <w:pPr>
              <w:pStyle w:val="16"/>
              <w:rPr>
                <w:b w:val="0"/>
                <w:bCs w:val="0"/>
              </w:rPr>
            </w:pPr>
            <w:r>
              <w:rPr>
                <w:rFonts w:hint="eastAsia"/>
                <w:b w:val="0"/>
                <w:bCs w:val="0"/>
              </w:rPr>
              <w:t>公路水运工程安全生产监督管理办法</w:t>
            </w:r>
          </w:p>
        </w:tc>
        <w:tc>
          <w:tcPr>
            <w:tcW w:w="641" w:type="pct"/>
            <w:vMerge w:val="restart"/>
            <w:shd w:val="clear" w:color="auto" w:fill="auto"/>
            <w:vAlign w:val="center"/>
          </w:tcPr>
          <w:p w14:paraId="29AF0706">
            <w:pPr>
              <w:pStyle w:val="16"/>
              <w:rPr>
                <w:b w:val="0"/>
                <w:bCs w:val="0"/>
              </w:rPr>
            </w:pPr>
            <w:r>
              <w:rPr>
                <w:rFonts w:hint="eastAsia"/>
                <w:b w:val="0"/>
                <w:bCs w:val="0"/>
              </w:rPr>
              <w:t>交通运输部</w:t>
            </w:r>
          </w:p>
        </w:tc>
      </w:tr>
      <w:tr w14:paraId="0EA73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194997D">
            <w:pPr>
              <w:pStyle w:val="16"/>
              <w:numPr>
                <w:ilvl w:val="0"/>
                <w:numId w:val="10"/>
              </w:numPr>
              <w:rPr>
                <w:b w:val="0"/>
                <w:bCs w:val="0"/>
              </w:rPr>
            </w:pPr>
          </w:p>
        </w:tc>
        <w:tc>
          <w:tcPr>
            <w:tcW w:w="1284" w:type="pct"/>
            <w:shd w:val="clear" w:color="auto" w:fill="auto"/>
            <w:vAlign w:val="center"/>
          </w:tcPr>
          <w:p w14:paraId="5CD10575">
            <w:pPr>
              <w:pStyle w:val="16"/>
              <w:rPr>
                <w:b w:val="0"/>
                <w:bCs w:val="0"/>
              </w:rPr>
            </w:pPr>
            <w:r>
              <w:rPr>
                <w:b w:val="0"/>
                <w:bCs w:val="0"/>
              </w:rPr>
              <w:t>JTG F9-2015</w:t>
            </w:r>
          </w:p>
        </w:tc>
        <w:tc>
          <w:tcPr>
            <w:tcW w:w="2654" w:type="pct"/>
            <w:shd w:val="clear" w:color="auto" w:fill="auto"/>
            <w:vAlign w:val="center"/>
          </w:tcPr>
          <w:p w14:paraId="59CB4A6B">
            <w:pPr>
              <w:pStyle w:val="16"/>
              <w:rPr>
                <w:b w:val="0"/>
                <w:bCs w:val="0"/>
              </w:rPr>
            </w:pPr>
            <w:r>
              <w:rPr>
                <w:rFonts w:hint="eastAsia"/>
                <w:b w:val="0"/>
                <w:bCs w:val="0"/>
              </w:rPr>
              <w:t>公路工程施工安全技术规范</w:t>
            </w:r>
          </w:p>
        </w:tc>
        <w:tc>
          <w:tcPr>
            <w:tcW w:w="641" w:type="pct"/>
            <w:vMerge w:val="continue"/>
            <w:shd w:val="clear" w:color="auto" w:fill="auto"/>
            <w:vAlign w:val="center"/>
          </w:tcPr>
          <w:p w14:paraId="66F2E0CE">
            <w:pPr>
              <w:pStyle w:val="16"/>
              <w:rPr>
                <w:b w:val="0"/>
                <w:bCs w:val="0"/>
              </w:rPr>
            </w:pPr>
          </w:p>
        </w:tc>
      </w:tr>
      <w:tr w14:paraId="7F4FA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09A7AC5">
            <w:pPr>
              <w:pStyle w:val="16"/>
              <w:numPr>
                <w:ilvl w:val="0"/>
                <w:numId w:val="10"/>
              </w:numPr>
              <w:rPr>
                <w:b w:val="0"/>
                <w:bCs w:val="0"/>
              </w:rPr>
            </w:pPr>
          </w:p>
        </w:tc>
        <w:tc>
          <w:tcPr>
            <w:tcW w:w="1284" w:type="pct"/>
            <w:shd w:val="clear" w:color="auto" w:fill="auto"/>
            <w:vAlign w:val="center"/>
          </w:tcPr>
          <w:p w14:paraId="0164BF32">
            <w:pPr>
              <w:pStyle w:val="16"/>
              <w:rPr>
                <w:b w:val="0"/>
                <w:bCs w:val="0"/>
              </w:rPr>
            </w:pPr>
            <w:r>
              <w:rPr>
                <w:rFonts w:hint="eastAsia"/>
                <w:b w:val="0"/>
                <w:bCs w:val="0"/>
              </w:rPr>
              <w:t>GB</w:t>
            </w:r>
            <w:r>
              <w:rPr>
                <w:b w:val="0"/>
                <w:bCs w:val="0"/>
              </w:rPr>
              <w:t xml:space="preserve"> </w:t>
            </w:r>
            <w:r>
              <w:rPr>
                <w:rFonts w:hint="eastAsia"/>
                <w:b w:val="0"/>
                <w:bCs w:val="0"/>
              </w:rPr>
              <w:t>50278-2010</w:t>
            </w:r>
          </w:p>
        </w:tc>
        <w:tc>
          <w:tcPr>
            <w:tcW w:w="2654" w:type="pct"/>
            <w:shd w:val="clear" w:color="auto" w:fill="auto"/>
            <w:vAlign w:val="center"/>
          </w:tcPr>
          <w:p w14:paraId="11079CA9">
            <w:pPr>
              <w:pStyle w:val="16"/>
              <w:rPr>
                <w:b w:val="0"/>
                <w:bCs w:val="0"/>
              </w:rPr>
            </w:pPr>
            <w:r>
              <w:rPr>
                <w:rFonts w:hint="eastAsia"/>
                <w:b w:val="0"/>
                <w:bCs w:val="0"/>
              </w:rPr>
              <w:t>起重设备安装工程施工及验收规范</w:t>
            </w:r>
          </w:p>
        </w:tc>
        <w:tc>
          <w:tcPr>
            <w:tcW w:w="641" w:type="pct"/>
            <w:vMerge w:val="restart"/>
            <w:shd w:val="clear" w:color="auto" w:fill="auto"/>
            <w:vAlign w:val="center"/>
          </w:tcPr>
          <w:p w14:paraId="6C11BB69">
            <w:pPr>
              <w:pStyle w:val="16"/>
              <w:rPr>
                <w:b w:val="0"/>
                <w:bCs w:val="0"/>
              </w:rPr>
            </w:pPr>
            <w:r>
              <w:rPr>
                <w:rFonts w:hint="eastAsia"/>
                <w:b w:val="0"/>
                <w:bCs w:val="0"/>
              </w:rPr>
              <w:t>国家标准</w:t>
            </w:r>
          </w:p>
        </w:tc>
      </w:tr>
      <w:tr w14:paraId="7BE91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D3E04B0">
            <w:pPr>
              <w:pStyle w:val="16"/>
              <w:numPr>
                <w:ilvl w:val="0"/>
                <w:numId w:val="10"/>
              </w:numPr>
              <w:rPr>
                <w:b w:val="0"/>
                <w:bCs w:val="0"/>
              </w:rPr>
            </w:pPr>
          </w:p>
        </w:tc>
        <w:tc>
          <w:tcPr>
            <w:tcW w:w="1284" w:type="pct"/>
            <w:shd w:val="clear" w:color="auto" w:fill="auto"/>
            <w:vAlign w:val="center"/>
          </w:tcPr>
          <w:p w14:paraId="3F46974C">
            <w:pPr>
              <w:pStyle w:val="16"/>
              <w:rPr>
                <w:b w:val="0"/>
                <w:bCs w:val="0"/>
              </w:rPr>
            </w:pPr>
            <w:r>
              <w:rPr>
                <w:rFonts w:hint="eastAsia"/>
                <w:b w:val="0"/>
                <w:bCs w:val="0"/>
              </w:rPr>
              <w:t>GB 50231-2009</w:t>
            </w:r>
          </w:p>
        </w:tc>
        <w:tc>
          <w:tcPr>
            <w:tcW w:w="2654" w:type="pct"/>
            <w:shd w:val="clear" w:color="auto" w:fill="auto"/>
            <w:vAlign w:val="center"/>
          </w:tcPr>
          <w:p w14:paraId="122723C4">
            <w:pPr>
              <w:pStyle w:val="16"/>
              <w:rPr>
                <w:b w:val="0"/>
                <w:bCs w:val="0"/>
              </w:rPr>
            </w:pPr>
            <w:r>
              <w:rPr>
                <w:rFonts w:hint="eastAsia"/>
                <w:b w:val="0"/>
                <w:bCs w:val="0"/>
              </w:rPr>
              <w:t>机械设备安装工程施工及验收通用规范</w:t>
            </w:r>
          </w:p>
        </w:tc>
        <w:tc>
          <w:tcPr>
            <w:tcW w:w="641" w:type="pct"/>
            <w:vMerge w:val="continue"/>
            <w:shd w:val="clear" w:color="auto" w:fill="auto"/>
            <w:vAlign w:val="center"/>
          </w:tcPr>
          <w:p w14:paraId="0293D1ED">
            <w:pPr>
              <w:pStyle w:val="16"/>
              <w:rPr>
                <w:b w:val="0"/>
                <w:bCs w:val="0"/>
              </w:rPr>
            </w:pPr>
          </w:p>
        </w:tc>
      </w:tr>
      <w:tr w14:paraId="46F3D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8D6DC78">
            <w:pPr>
              <w:pStyle w:val="16"/>
              <w:numPr>
                <w:ilvl w:val="0"/>
                <w:numId w:val="10"/>
              </w:numPr>
              <w:rPr>
                <w:b w:val="0"/>
                <w:bCs w:val="0"/>
              </w:rPr>
            </w:pPr>
          </w:p>
        </w:tc>
        <w:tc>
          <w:tcPr>
            <w:tcW w:w="1284" w:type="pct"/>
            <w:shd w:val="clear" w:color="auto" w:fill="auto"/>
            <w:vAlign w:val="center"/>
          </w:tcPr>
          <w:p w14:paraId="25D4A94F">
            <w:pPr>
              <w:pStyle w:val="16"/>
              <w:rPr>
                <w:b w:val="0"/>
                <w:bCs w:val="0"/>
              </w:rPr>
            </w:pPr>
            <w:r>
              <w:rPr>
                <w:rFonts w:hint="eastAsia"/>
                <w:b w:val="0"/>
                <w:bCs w:val="0"/>
              </w:rPr>
              <w:t>GB 50256-2014</w:t>
            </w:r>
          </w:p>
        </w:tc>
        <w:tc>
          <w:tcPr>
            <w:tcW w:w="2654" w:type="pct"/>
            <w:shd w:val="clear" w:color="auto" w:fill="auto"/>
            <w:vAlign w:val="center"/>
          </w:tcPr>
          <w:p w14:paraId="6A6FFAA3">
            <w:pPr>
              <w:pStyle w:val="16"/>
              <w:rPr>
                <w:b w:val="0"/>
                <w:bCs w:val="0"/>
              </w:rPr>
            </w:pPr>
            <w:r>
              <w:rPr>
                <w:rFonts w:hint="eastAsia"/>
                <w:b w:val="0"/>
                <w:bCs w:val="0"/>
              </w:rPr>
              <w:t>电气装置安装工程起重机电气装置施工及验收规范</w:t>
            </w:r>
          </w:p>
        </w:tc>
        <w:tc>
          <w:tcPr>
            <w:tcW w:w="641" w:type="pct"/>
            <w:vMerge w:val="continue"/>
            <w:shd w:val="clear" w:color="auto" w:fill="auto"/>
            <w:vAlign w:val="center"/>
          </w:tcPr>
          <w:p w14:paraId="64EF2F3B">
            <w:pPr>
              <w:pStyle w:val="16"/>
              <w:rPr>
                <w:b w:val="0"/>
                <w:bCs w:val="0"/>
              </w:rPr>
            </w:pPr>
          </w:p>
        </w:tc>
      </w:tr>
      <w:tr w14:paraId="4D021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AEA9242">
            <w:pPr>
              <w:pStyle w:val="16"/>
              <w:numPr>
                <w:ilvl w:val="0"/>
                <w:numId w:val="10"/>
              </w:numPr>
              <w:rPr>
                <w:b w:val="0"/>
                <w:bCs w:val="0"/>
              </w:rPr>
            </w:pPr>
          </w:p>
        </w:tc>
        <w:tc>
          <w:tcPr>
            <w:tcW w:w="1284" w:type="pct"/>
            <w:shd w:val="clear" w:color="auto" w:fill="auto"/>
            <w:vAlign w:val="center"/>
          </w:tcPr>
          <w:p w14:paraId="73F9DC91">
            <w:pPr>
              <w:pStyle w:val="16"/>
              <w:rPr>
                <w:b w:val="0"/>
                <w:bCs w:val="0"/>
              </w:rPr>
            </w:pPr>
            <w:r>
              <w:rPr>
                <w:rFonts w:hint="eastAsia"/>
                <w:b w:val="0"/>
                <w:bCs w:val="0"/>
              </w:rPr>
              <w:t>GB 50009-2012</w:t>
            </w:r>
          </w:p>
        </w:tc>
        <w:tc>
          <w:tcPr>
            <w:tcW w:w="2654" w:type="pct"/>
            <w:shd w:val="clear" w:color="auto" w:fill="auto"/>
            <w:vAlign w:val="center"/>
          </w:tcPr>
          <w:p w14:paraId="538FAAC6">
            <w:pPr>
              <w:pStyle w:val="16"/>
              <w:rPr>
                <w:b w:val="0"/>
                <w:bCs w:val="0"/>
              </w:rPr>
            </w:pPr>
            <w:r>
              <w:rPr>
                <w:rFonts w:hint="eastAsia"/>
                <w:b w:val="0"/>
                <w:bCs w:val="0"/>
              </w:rPr>
              <w:t>建筑结构荷载规范</w:t>
            </w:r>
          </w:p>
        </w:tc>
        <w:tc>
          <w:tcPr>
            <w:tcW w:w="641" w:type="pct"/>
            <w:vMerge w:val="continue"/>
            <w:shd w:val="clear" w:color="auto" w:fill="auto"/>
            <w:vAlign w:val="center"/>
          </w:tcPr>
          <w:p w14:paraId="499750C3">
            <w:pPr>
              <w:pStyle w:val="16"/>
              <w:rPr>
                <w:b w:val="0"/>
                <w:bCs w:val="0"/>
              </w:rPr>
            </w:pPr>
          </w:p>
        </w:tc>
      </w:tr>
      <w:tr w14:paraId="75C46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4CD077A">
            <w:pPr>
              <w:pStyle w:val="16"/>
              <w:numPr>
                <w:ilvl w:val="0"/>
                <w:numId w:val="10"/>
              </w:numPr>
              <w:rPr>
                <w:b w:val="0"/>
                <w:bCs w:val="0"/>
              </w:rPr>
            </w:pPr>
          </w:p>
        </w:tc>
        <w:tc>
          <w:tcPr>
            <w:tcW w:w="1284" w:type="pct"/>
            <w:shd w:val="clear" w:color="auto" w:fill="auto"/>
            <w:vAlign w:val="center"/>
          </w:tcPr>
          <w:p w14:paraId="78A4DBE9">
            <w:pPr>
              <w:pStyle w:val="16"/>
              <w:rPr>
                <w:b w:val="0"/>
                <w:bCs w:val="0"/>
              </w:rPr>
            </w:pPr>
            <w:r>
              <w:rPr>
                <w:rFonts w:hint="eastAsia"/>
                <w:b w:val="0"/>
                <w:bCs w:val="0"/>
              </w:rPr>
              <w:t>GB 50007-2011</w:t>
            </w:r>
          </w:p>
        </w:tc>
        <w:tc>
          <w:tcPr>
            <w:tcW w:w="2654" w:type="pct"/>
            <w:shd w:val="clear" w:color="auto" w:fill="auto"/>
            <w:vAlign w:val="center"/>
          </w:tcPr>
          <w:p w14:paraId="67957EF1">
            <w:pPr>
              <w:pStyle w:val="16"/>
              <w:rPr>
                <w:b w:val="0"/>
                <w:bCs w:val="0"/>
              </w:rPr>
            </w:pPr>
            <w:r>
              <w:rPr>
                <w:rFonts w:hint="eastAsia"/>
                <w:b w:val="0"/>
                <w:bCs w:val="0"/>
              </w:rPr>
              <w:t>建筑地基基础设计规范</w:t>
            </w:r>
          </w:p>
        </w:tc>
        <w:tc>
          <w:tcPr>
            <w:tcW w:w="641" w:type="pct"/>
            <w:vMerge w:val="continue"/>
            <w:shd w:val="clear" w:color="auto" w:fill="auto"/>
            <w:vAlign w:val="center"/>
          </w:tcPr>
          <w:p w14:paraId="6D33C2C8">
            <w:pPr>
              <w:pStyle w:val="16"/>
              <w:rPr>
                <w:b w:val="0"/>
                <w:bCs w:val="0"/>
              </w:rPr>
            </w:pPr>
          </w:p>
        </w:tc>
      </w:tr>
      <w:tr w14:paraId="35583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jc w:val="center"/>
        </w:trPr>
        <w:tc>
          <w:tcPr>
            <w:tcW w:w="418" w:type="pct"/>
            <w:shd w:val="clear" w:color="auto" w:fill="auto"/>
            <w:vAlign w:val="center"/>
          </w:tcPr>
          <w:p w14:paraId="3CDB638C">
            <w:pPr>
              <w:pStyle w:val="16"/>
              <w:numPr>
                <w:ilvl w:val="0"/>
                <w:numId w:val="10"/>
              </w:numPr>
              <w:rPr>
                <w:b w:val="0"/>
                <w:bCs w:val="0"/>
              </w:rPr>
            </w:pPr>
          </w:p>
        </w:tc>
        <w:tc>
          <w:tcPr>
            <w:tcW w:w="1284" w:type="pct"/>
            <w:shd w:val="clear" w:color="auto" w:fill="auto"/>
            <w:vAlign w:val="center"/>
          </w:tcPr>
          <w:p w14:paraId="4786B991">
            <w:pPr>
              <w:pStyle w:val="16"/>
              <w:rPr>
                <w:b w:val="0"/>
                <w:bCs w:val="0"/>
              </w:rPr>
            </w:pPr>
            <w:r>
              <w:rPr>
                <w:rFonts w:hint="eastAsia"/>
                <w:b w:val="0"/>
                <w:bCs w:val="0"/>
              </w:rPr>
              <w:t>GB</w:t>
            </w:r>
            <w:r>
              <w:rPr>
                <w:b w:val="0"/>
                <w:bCs w:val="0"/>
              </w:rPr>
              <w:t xml:space="preserve"> 8918-2006</w:t>
            </w:r>
          </w:p>
        </w:tc>
        <w:tc>
          <w:tcPr>
            <w:tcW w:w="2654" w:type="pct"/>
            <w:shd w:val="clear" w:color="auto" w:fill="auto"/>
            <w:vAlign w:val="center"/>
          </w:tcPr>
          <w:p w14:paraId="1689C300">
            <w:pPr>
              <w:pStyle w:val="16"/>
              <w:rPr>
                <w:b w:val="0"/>
                <w:bCs w:val="0"/>
              </w:rPr>
            </w:pPr>
            <w:r>
              <w:rPr>
                <w:rFonts w:hint="eastAsia"/>
                <w:b w:val="0"/>
                <w:bCs w:val="0"/>
              </w:rPr>
              <w:t>重要用途钢丝绳</w:t>
            </w:r>
          </w:p>
        </w:tc>
        <w:tc>
          <w:tcPr>
            <w:tcW w:w="641" w:type="pct"/>
            <w:vMerge w:val="continue"/>
            <w:shd w:val="clear" w:color="auto" w:fill="auto"/>
            <w:vAlign w:val="center"/>
          </w:tcPr>
          <w:p w14:paraId="3E0A89E0">
            <w:pPr>
              <w:pStyle w:val="16"/>
              <w:rPr>
                <w:b w:val="0"/>
                <w:bCs w:val="0"/>
              </w:rPr>
            </w:pPr>
          </w:p>
        </w:tc>
      </w:tr>
      <w:tr w14:paraId="45F63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78EE7DC">
            <w:pPr>
              <w:pStyle w:val="16"/>
              <w:numPr>
                <w:ilvl w:val="0"/>
                <w:numId w:val="10"/>
              </w:numPr>
              <w:rPr>
                <w:b w:val="0"/>
                <w:bCs w:val="0"/>
              </w:rPr>
            </w:pPr>
          </w:p>
        </w:tc>
        <w:tc>
          <w:tcPr>
            <w:tcW w:w="1284" w:type="pct"/>
            <w:shd w:val="clear" w:color="auto" w:fill="auto"/>
            <w:vAlign w:val="center"/>
          </w:tcPr>
          <w:p w14:paraId="0061C4D2">
            <w:pPr>
              <w:pStyle w:val="16"/>
              <w:rPr>
                <w:b w:val="0"/>
                <w:bCs w:val="0"/>
              </w:rPr>
            </w:pPr>
            <w:r>
              <w:rPr>
                <w:b w:val="0"/>
                <w:bCs w:val="0"/>
              </w:rPr>
              <w:t>GB/T 5031-2008</w:t>
            </w:r>
          </w:p>
        </w:tc>
        <w:tc>
          <w:tcPr>
            <w:tcW w:w="2654" w:type="pct"/>
            <w:shd w:val="clear" w:color="auto" w:fill="auto"/>
            <w:vAlign w:val="center"/>
          </w:tcPr>
          <w:p w14:paraId="41C858A6">
            <w:pPr>
              <w:pStyle w:val="16"/>
              <w:rPr>
                <w:b w:val="0"/>
                <w:bCs w:val="0"/>
              </w:rPr>
            </w:pPr>
            <w:r>
              <w:rPr>
                <w:b w:val="0"/>
                <w:bCs w:val="0"/>
              </w:rPr>
              <w:t>塔式起重机</w:t>
            </w:r>
          </w:p>
        </w:tc>
        <w:tc>
          <w:tcPr>
            <w:tcW w:w="641" w:type="pct"/>
            <w:vMerge w:val="continue"/>
            <w:shd w:val="clear" w:color="auto" w:fill="auto"/>
            <w:vAlign w:val="center"/>
          </w:tcPr>
          <w:p w14:paraId="3DFDA02A">
            <w:pPr>
              <w:pStyle w:val="16"/>
              <w:rPr>
                <w:b w:val="0"/>
                <w:bCs w:val="0"/>
              </w:rPr>
            </w:pPr>
          </w:p>
        </w:tc>
      </w:tr>
      <w:tr w14:paraId="688E4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21A0202">
            <w:pPr>
              <w:pStyle w:val="16"/>
              <w:numPr>
                <w:ilvl w:val="0"/>
                <w:numId w:val="10"/>
              </w:numPr>
              <w:rPr>
                <w:b w:val="0"/>
                <w:bCs w:val="0"/>
              </w:rPr>
            </w:pPr>
          </w:p>
        </w:tc>
        <w:tc>
          <w:tcPr>
            <w:tcW w:w="1284" w:type="pct"/>
            <w:shd w:val="clear" w:color="auto" w:fill="auto"/>
            <w:vAlign w:val="center"/>
          </w:tcPr>
          <w:p w14:paraId="7ACBD7DF">
            <w:pPr>
              <w:pStyle w:val="16"/>
              <w:rPr>
                <w:b w:val="0"/>
                <w:bCs w:val="0"/>
              </w:rPr>
            </w:pPr>
            <w:r>
              <w:rPr>
                <w:b w:val="0"/>
                <w:bCs w:val="0"/>
              </w:rPr>
              <w:t>GB/T 23723.3-2010</w:t>
            </w:r>
          </w:p>
        </w:tc>
        <w:tc>
          <w:tcPr>
            <w:tcW w:w="2654" w:type="pct"/>
            <w:shd w:val="clear" w:color="auto" w:fill="auto"/>
            <w:vAlign w:val="center"/>
          </w:tcPr>
          <w:p w14:paraId="79257B59">
            <w:pPr>
              <w:pStyle w:val="16"/>
              <w:rPr>
                <w:b w:val="0"/>
                <w:bCs w:val="0"/>
              </w:rPr>
            </w:pPr>
            <w:r>
              <w:rPr>
                <w:b w:val="0"/>
                <w:bCs w:val="0"/>
              </w:rPr>
              <w:t>起重机 安全使用 第3部分：塔式起重机</w:t>
            </w:r>
          </w:p>
        </w:tc>
        <w:tc>
          <w:tcPr>
            <w:tcW w:w="641" w:type="pct"/>
            <w:vMerge w:val="continue"/>
            <w:shd w:val="clear" w:color="auto" w:fill="auto"/>
            <w:vAlign w:val="center"/>
          </w:tcPr>
          <w:p w14:paraId="2DF9F08E">
            <w:pPr>
              <w:pStyle w:val="16"/>
              <w:rPr>
                <w:b w:val="0"/>
                <w:bCs w:val="0"/>
              </w:rPr>
            </w:pPr>
          </w:p>
        </w:tc>
      </w:tr>
      <w:tr w14:paraId="47CC0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3EAFE81">
            <w:pPr>
              <w:pStyle w:val="16"/>
              <w:numPr>
                <w:ilvl w:val="0"/>
                <w:numId w:val="10"/>
              </w:numPr>
              <w:rPr>
                <w:b w:val="0"/>
                <w:bCs w:val="0"/>
              </w:rPr>
            </w:pPr>
          </w:p>
        </w:tc>
        <w:tc>
          <w:tcPr>
            <w:tcW w:w="1284" w:type="pct"/>
            <w:shd w:val="clear" w:color="auto" w:fill="auto"/>
            <w:vAlign w:val="center"/>
          </w:tcPr>
          <w:p w14:paraId="393264E5">
            <w:pPr>
              <w:pStyle w:val="16"/>
              <w:rPr>
                <w:b w:val="0"/>
                <w:bCs w:val="0"/>
              </w:rPr>
            </w:pPr>
            <w:r>
              <w:rPr>
                <w:b w:val="0"/>
                <w:bCs w:val="0"/>
              </w:rPr>
              <w:t>GB/T 13752-2017</w:t>
            </w:r>
          </w:p>
        </w:tc>
        <w:tc>
          <w:tcPr>
            <w:tcW w:w="2654" w:type="pct"/>
            <w:shd w:val="clear" w:color="auto" w:fill="auto"/>
            <w:vAlign w:val="center"/>
          </w:tcPr>
          <w:p w14:paraId="5D556A59">
            <w:pPr>
              <w:pStyle w:val="16"/>
              <w:rPr>
                <w:b w:val="0"/>
                <w:bCs w:val="0"/>
              </w:rPr>
            </w:pPr>
            <w:r>
              <w:rPr>
                <w:b w:val="0"/>
                <w:bCs w:val="0"/>
              </w:rPr>
              <w:t>塔式起重机设计规范</w:t>
            </w:r>
          </w:p>
        </w:tc>
        <w:tc>
          <w:tcPr>
            <w:tcW w:w="641" w:type="pct"/>
            <w:vMerge w:val="continue"/>
            <w:shd w:val="clear" w:color="auto" w:fill="auto"/>
            <w:vAlign w:val="center"/>
          </w:tcPr>
          <w:p w14:paraId="30DDCB46">
            <w:pPr>
              <w:pStyle w:val="16"/>
              <w:rPr>
                <w:b w:val="0"/>
                <w:bCs w:val="0"/>
              </w:rPr>
            </w:pPr>
          </w:p>
        </w:tc>
      </w:tr>
      <w:tr w14:paraId="31870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9687ECA">
            <w:pPr>
              <w:pStyle w:val="16"/>
              <w:numPr>
                <w:ilvl w:val="0"/>
                <w:numId w:val="10"/>
              </w:numPr>
              <w:rPr>
                <w:b w:val="0"/>
                <w:bCs w:val="0"/>
              </w:rPr>
            </w:pPr>
          </w:p>
        </w:tc>
        <w:tc>
          <w:tcPr>
            <w:tcW w:w="1284" w:type="pct"/>
            <w:shd w:val="clear" w:color="auto" w:fill="auto"/>
            <w:vAlign w:val="center"/>
          </w:tcPr>
          <w:p w14:paraId="38D50A63">
            <w:pPr>
              <w:pStyle w:val="16"/>
              <w:rPr>
                <w:b w:val="0"/>
                <w:bCs w:val="0"/>
              </w:rPr>
            </w:pPr>
            <w:r>
              <w:rPr>
                <w:rFonts w:hint="eastAsia"/>
                <w:b w:val="0"/>
                <w:bCs w:val="0"/>
              </w:rPr>
              <w:t>GB/T 16762-2020</w:t>
            </w:r>
          </w:p>
        </w:tc>
        <w:tc>
          <w:tcPr>
            <w:tcW w:w="2654" w:type="pct"/>
            <w:shd w:val="clear" w:color="auto" w:fill="auto"/>
            <w:vAlign w:val="center"/>
          </w:tcPr>
          <w:p w14:paraId="5FFC4D4E">
            <w:pPr>
              <w:pStyle w:val="16"/>
              <w:rPr>
                <w:b w:val="0"/>
                <w:bCs w:val="0"/>
              </w:rPr>
            </w:pPr>
            <w:r>
              <w:rPr>
                <w:rFonts w:hint="eastAsia"/>
                <w:b w:val="0"/>
                <w:bCs w:val="0"/>
              </w:rPr>
              <w:t>一般用途钢丝绳吊索特性和技术条件</w:t>
            </w:r>
          </w:p>
        </w:tc>
        <w:tc>
          <w:tcPr>
            <w:tcW w:w="641" w:type="pct"/>
            <w:vMerge w:val="continue"/>
            <w:shd w:val="clear" w:color="auto" w:fill="auto"/>
            <w:vAlign w:val="center"/>
          </w:tcPr>
          <w:p w14:paraId="6D2EA544">
            <w:pPr>
              <w:pStyle w:val="16"/>
              <w:rPr>
                <w:b w:val="0"/>
                <w:bCs w:val="0"/>
              </w:rPr>
            </w:pPr>
          </w:p>
        </w:tc>
      </w:tr>
      <w:tr w14:paraId="6AB6F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A78C0E">
            <w:pPr>
              <w:pStyle w:val="16"/>
              <w:numPr>
                <w:ilvl w:val="0"/>
                <w:numId w:val="10"/>
              </w:numPr>
              <w:rPr>
                <w:b w:val="0"/>
                <w:bCs w:val="0"/>
              </w:rPr>
            </w:pPr>
          </w:p>
        </w:tc>
        <w:tc>
          <w:tcPr>
            <w:tcW w:w="1284" w:type="pct"/>
            <w:shd w:val="clear" w:color="auto" w:fill="auto"/>
            <w:vAlign w:val="center"/>
          </w:tcPr>
          <w:p w14:paraId="25B4C2DD">
            <w:pPr>
              <w:pStyle w:val="16"/>
              <w:rPr>
                <w:b w:val="0"/>
                <w:bCs w:val="0"/>
              </w:rPr>
            </w:pPr>
            <w:r>
              <w:rPr>
                <w:b w:val="0"/>
                <w:bCs w:val="0"/>
              </w:rPr>
              <w:t>GB/T 25854-2010</w:t>
            </w:r>
          </w:p>
        </w:tc>
        <w:tc>
          <w:tcPr>
            <w:tcW w:w="2654" w:type="pct"/>
            <w:shd w:val="clear" w:color="auto" w:fill="auto"/>
            <w:vAlign w:val="center"/>
          </w:tcPr>
          <w:p w14:paraId="22A46098">
            <w:pPr>
              <w:pStyle w:val="16"/>
              <w:rPr>
                <w:b w:val="0"/>
                <w:bCs w:val="0"/>
              </w:rPr>
            </w:pPr>
            <w:r>
              <w:rPr>
                <w:b w:val="0"/>
                <w:bCs w:val="0"/>
              </w:rPr>
              <w:t>一般起重用D形和弓形锻造卸扣</w:t>
            </w:r>
          </w:p>
        </w:tc>
        <w:tc>
          <w:tcPr>
            <w:tcW w:w="641" w:type="pct"/>
            <w:vMerge w:val="continue"/>
            <w:shd w:val="clear" w:color="auto" w:fill="auto"/>
            <w:vAlign w:val="center"/>
          </w:tcPr>
          <w:p w14:paraId="171A6590">
            <w:pPr>
              <w:pStyle w:val="16"/>
              <w:rPr>
                <w:b w:val="0"/>
                <w:bCs w:val="0"/>
              </w:rPr>
            </w:pPr>
          </w:p>
        </w:tc>
      </w:tr>
      <w:tr w14:paraId="6AD5C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4EAF889">
            <w:pPr>
              <w:pStyle w:val="16"/>
              <w:numPr>
                <w:ilvl w:val="0"/>
                <w:numId w:val="10"/>
              </w:numPr>
              <w:rPr>
                <w:b w:val="0"/>
                <w:bCs w:val="0"/>
              </w:rPr>
            </w:pPr>
          </w:p>
        </w:tc>
        <w:tc>
          <w:tcPr>
            <w:tcW w:w="1284" w:type="pct"/>
            <w:shd w:val="clear" w:color="auto" w:fill="auto"/>
            <w:vAlign w:val="center"/>
          </w:tcPr>
          <w:p w14:paraId="654D5F9B">
            <w:pPr>
              <w:pStyle w:val="16"/>
              <w:rPr>
                <w:b w:val="0"/>
                <w:bCs w:val="0"/>
              </w:rPr>
            </w:pPr>
            <w:r>
              <w:rPr>
                <w:b w:val="0"/>
                <w:bCs w:val="0"/>
              </w:rPr>
              <w:t>GB/T 11345</w:t>
            </w:r>
            <w:r>
              <w:rPr>
                <w:rFonts w:hint="eastAsia"/>
                <w:b w:val="0"/>
                <w:bCs w:val="0"/>
              </w:rPr>
              <w:t>-</w:t>
            </w:r>
            <w:r>
              <w:rPr>
                <w:b w:val="0"/>
                <w:bCs w:val="0"/>
              </w:rPr>
              <w:t>2015</w:t>
            </w:r>
          </w:p>
        </w:tc>
        <w:tc>
          <w:tcPr>
            <w:tcW w:w="2654" w:type="pct"/>
            <w:shd w:val="clear" w:color="auto" w:fill="auto"/>
            <w:vAlign w:val="center"/>
          </w:tcPr>
          <w:p w14:paraId="6459B438">
            <w:pPr>
              <w:pStyle w:val="16"/>
              <w:rPr>
                <w:b w:val="0"/>
                <w:bCs w:val="0"/>
              </w:rPr>
            </w:pPr>
            <w:r>
              <w:rPr>
                <w:b w:val="0"/>
                <w:bCs w:val="0"/>
              </w:rPr>
              <w:t>钢焊缝手工超声波探伤方法和探伤结果分级</w:t>
            </w:r>
          </w:p>
        </w:tc>
        <w:tc>
          <w:tcPr>
            <w:tcW w:w="641" w:type="pct"/>
            <w:vMerge w:val="continue"/>
            <w:shd w:val="clear" w:color="auto" w:fill="auto"/>
            <w:vAlign w:val="center"/>
          </w:tcPr>
          <w:p w14:paraId="6063AC4C">
            <w:pPr>
              <w:pStyle w:val="16"/>
              <w:rPr>
                <w:b w:val="0"/>
                <w:bCs w:val="0"/>
              </w:rPr>
            </w:pPr>
          </w:p>
        </w:tc>
      </w:tr>
      <w:tr w14:paraId="5D368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1C79504">
            <w:pPr>
              <w:pStyle w:val="16"/>
              <w:numPr>
                <w:ilvl w:val="0"/>
                <w:numId w:val="10"/>
              </w:numPr>
              <w:rPr>
                <w:b w:val="0"/>
                <w:bCs w:val="0"/>
              </w:rPr>
            </w:pPr>
          </w:p>
        </w:tc>
        <w:tc>
          <w:tcPr>
            <w:tcW w:w="1284" w:type="pct"/>
            <w:shd w:val="clear" w:color="auto" w:fill="auto"/>
            <w:vAlign w:val="center"/>
          </w:tcPr>
          <w:p w14:paraId="20AC84B6">
            <w:pPr>
              <w:pStyle w:val="16"/>
              <w:rPr>
                <w:b w:val="0"/>
                <w:bCs w:val="0"/>
              </w:rPr>
            </w:pPr>
          </w:p>
        </w:tc>
        <w:tc>
          <w:tcPr>
            <w:tcW w:w="2654" w:type="pct"/>
            <w:shd w:val="clear" w:color="auto" w:fill="auto"/>
            <w:vAlign w:val="center"/>
          </w:tcPr>
          <w:p w14:paraId="156BEDD2">
            <w:pPr>
              <w:pStyle w:val="16"/>
              <w:rPr>
                <w:b w:val="0"/>
                <w:bCs w:val="0"/>
              </w:rPr>
            </w:pPr>
            <w:bookmarkStart w:id="16" w:name="大临基础施工方案"/>
            <w:r>
              <w:rPr>
                <w:rFonts w:hint="eastAsia"/>
                <w:b w:val="0"/>
                <w:bCs w:val="0"/>
              </w:rPr>
              <w:t>马鹿塘特大桥主墩承台专项施工方案</w:t>
            </w:r>
            <w:bookmarkEnd w:id="16"/>
          </w:p>
        </w:tc>
        <w:tc>
          <w:tcPr>
            <w:tcW w:w="641" w:type="pct"/>
            <w:shd w:val="clear" w:color="auto" w:fill="auto"/>
            <w:vAlign w:val="center"/>
          </w:tcPr>
          <w:p w14:paraId="688F5180">
            <w:pPr>
              <w:pStyle w:val="16"/>
              <w:rPr>
                <w:b w:val="0"/>
                <w:bCs w:val="0"/>
              </w:rPr>
            </w:pPr>
            <w:r>
              <w:rPr>
                <w:rFonts w:hint="eastAsia"/>
                <w:b w:val="0"/>
                <w:bCs w:val="0"/>
              </w:rPr>
              <w:t>项目方案</w:t>
            </w:r>
          </w:p>
        </w:tc>
      </w:tr>
      <w:tr w14:paraId="02908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831F26A">
            <w:pPr>
              <w:pStyle w:val="16"/>
              <w:numPr>
                <w:ilvl w:val="0"/>
                <w:numId w:val="10"/>
              </w:numPr>
              <w:rPr>
                <w:b w:val="0"/>
                <w:bCs w:val="0"/>
              </w:rPr>
            </w:pPr>
          </w:p>
        </w:tc>
        <w:tc>
          <w:tcPr>
            <w:tcW w:w="1284" w:type="pct"/>
            <w:shd w:val="clear" w:color="auto" w:fill="auto"/>
            <w:vAlign w:val="center"/>
          </w:tcPr>
          <w:p w14:paraId="7F2D7C29">
            <w:pPr>
              <w:pStyle w:val="16"/>
              <w:rPr>
                <w:b w:val="0"/>
                <w:bCs w:val="0"/>
              </w:rPr>
            </w:pPr>
          </w:p>
        </w:tc>
        <w:tc>
          <w:tcPr>
            <w:tcW w:w="2654" w:type="pct"/>
            <w:shd w:val="clear" w:color="auto" w:fill="auto"/>
            <w:vAlign w:val="center"/>
          </w:tcPr>
          <w:p w14:paraId="0F011ED1">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设备型号1 \h</w:instrText>
            </w:r>
            <w:r>
              <w:rPr>
                <w:b w:val="0"/>
                <w:bCs w:val="0"/>
              </w:rPr>
              <w:instrText xml:space="preserve">  \* MERGEFORMAT </w:instrText>
            </w:r>
            <w:r>
              <w:rPr>
                <w:b w:val="0"/>
                <w:bCs w:val="0"/>
              </w:rPr>
              <w:fldChar w:fldCharType="separate"/>
            </w:r>
            <w:r>
              <w:rPr>
                <w:rFonts w:hint="eastAsia"/>
                <w:b w:val="0"/>
                <w:bCs w:val="0"/>
                <w:lang w:eastAsia="zh-CN"/>
              </w:rPr>
              <w:t>XGT600-32S</w:t>
            </w:r>
            <w:r>
              <w:rPr>
                <w:b w:val="0"/>
                <w:bCs w:val="0"/>
              </w:rPr>
              <w:fldChar w:fldCharType="end"/>
            </w:r>
            <w:r>
              <w:rPr>
                <w:b w:val="0"/>
                <w:bCs w:val="0"/>
              </w:rPr>
              <w:fldChar w:fldCharType="begin"/>
            </w:r>
            <w:r>
              <w:rPr>
                <w:b w:val="0"/>
                <w:bCs w:val="0"/>
              </w:rPr>
              <w:instrText xml:space="preserve"> REF 设备类型 \h  \* MERGEFORMAT </w:instrText>
            </w:r>
            <w:r>
              <w:rPr>
                <w:b w:val="0"/>
                <w:bCs w:val="0"/>
              </w:rPr>
              <w:fldChar w:fldCharType="separate"/>
            </w:r>
            <w:r>
              <w:rPr>
                <w:rFonts w:hint="eastAsia"/>
                <w:b w:val="0"/>
                <w:bCs w:val="0"/>
              </w:rPr>
              <w:t>塔式起重机</w:t>
            </w:r>
            <w:r>
              <w:rPr>
                <w:b w:val="0"/>
                <w:bCs w:val="0"/>
              </w:rPr>
              <w:fldChar w:fldCharType="end"/>
            </w:r>
            <w:r>
              <w:rPr>
                <w:rFonts w:hint="eastAsia"/>
                <w:b w:val="0"/>
                <w:bCs w:val="0"/>
              </w:rPr>
              <w:t>说明书</w:t>
            </w:r>
          </w:p>
        </w:tc>
        <w:tc>
          <w:tcPr>
            <w:tcW w:w="641" w:type="pct"/>
            <w:vMerge w:val="restart"/>
            <w:shd w:val="clear" w:color="auto" w:fill="auto"/>
            <w:vAlign w:val="center"/>
          </w:tcPr>
          <w:p w14:paraId="3907FD63">
            <w:pPr>
              <w:pStyle w:val="16"/>
              <w:rPr>
                <w:b w:val="0"/>
                <w:bCs w:val="0"/>
              </w:rPr>
            </w:pPr>
            <w:r>
              <w:rPr>
                <w:rFonts w:hint="eastAsia"/>
                <w:b w:val="0"/>
                <w:bCs w:val="0"/>
              </w:rPr>
              <w:t>技术资料</w:t>
            </w:r>
          </w:p>
        </w:tc>
      </w:tr>
      <w:tr w14:paraId="720FC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CF525AE">
            <w:pPr>
              <w:pStyle w:val="16"/>
              <w:numPr>
                <w:ilvl w:val="0"/>
                <w:numId w:val="10"/>
              </w:numPr>
              <w:rPr>
                <w:b w:val="0"/>
                <w:bCs w:val="0"/>
              </w:rPr>
            </w:pPr>
          </w:p>
        </w:tc>
        <w:tc>
          <w:tcPr>
            <w:tcW w:w="1284" w:type="pct"/>
            <w:shd w:val="clear" w:color="auto" w:fill="auto"/>
            <w:vAlign w:val="center"/>
          </w:tcPr>
          <w:p w14:paraId="63B38FBA">
            <w:pPr>
              <w:pStyle w:val="16"/>
              <w:rPr>
                <w:b w:val="0"/>
                <w:bCs w:val="0"/>
              </w:rPr>
            </w:pPr>
          </w:p>
        </w:tc>
        <w:tc>
          <w:tcPr>
            <w:tcW w:w="2654" w:type="pct"/>
            <w:shd w:val="clear" w:color="auto" w:fill="auto"/>
            <w:vAlign w:val="center"/>
          </w:tcPr>
          <w:p w14:paraId="7A9DB4CC">
            <w:pPr>
              <w:pStyle w:val="16"/>
              <w:rPr>
                <w:b w:val="0"/>
                <w:bCs w:val="0"/>
              </w:rPr>
            </w:pPr>
            <w:r>
              <w:rPr>
                <w:b w:val="0"/>
                <w:bCs w:val="0"/>
              </w:rPr>
              <w:fldChar w:fldCharType="begin"/>
            </w:r>
            <w:r>
              <w:rPr>
                <w:b w:val="0"/>
                <w:bCs w:val="0"/>
              </w:rPr>
              <w:instrText xml:space="preserve"> </w:instrText>
            </w:r>
            <w:r>
              <w:rPr>
                <w:rFonts w:hint="eastAsia"/>
                <w:b w:val="0"/>
                <w:bCs w:val="0"/>
              </w:rPr>
              <w:instrText xml:space="preserve">REF 设备型号2 \h</w:instrText>
            </w:r>
            <w:r>
              <w:rPr>
                <w:b w:val="0"/>
                <w:bCs w:val="0"/>
              </w:rPr>
              <w:instrText xml:space="preserve"> </w:instrText>
            </w:r>
            <w:r>
              <w:rPr>
                <w:b w:val="0"/>
                <w:bCs w:val="0"/>
              </w:rPr>
              <w:fldChar w:fldCharType="separate"/>
            </w:r>
            <w:r>
              <w:rPr>
                <w:b w:val="0"/>
                <w:bCs w:val="0"/>
              </w:rPr>
              <w:t>XGT</w:t>
            </w:r>
            <w:r>
              <w:rPr>
                <w:rFonts w:hint="eastAsia"/>
                <w:b w:val="0"/>
                <w:bCs w:val="0"/>
                <w:lang w:val="en-US" w:eastAsia="zh-CN"/>
              </w:rPr>
              <w:t>360</w:t>
            </w:r>
            <w:r>
              <w:rPr>
                <w:b w:val="0"/>
                <w:bCs w:val="0"/>
              </w:rPr>
              <w:t>-20S</w:t>
            </w:r>
            <w:r>
              <w:rPr>
                <w:b w:val="0"/>
                <w:bCs w:val="0"/>
              </w:rPr>
              <w:fldChar w:fldCharType="end"/>
            </w:r>
            <w:r>
              <w:rPr>
                <w:rFonts w:hint="eastAsia"/>
                <w:b w:val="0"/>
                <w:bCs w:val="0"/>
                <w:lang w:val="en-US" w:eastAsia="zh-CN"/>
              </w:rPr>
              <w:t>1</w:t>
            </w:r>
            <w:r>
              <w:rPr>
                <w:b w:val="0"/>
                <w:bCs w:val="0"/>
              </w:rPr>
              <w:fldChar w:fldCharType="begin"/>
            </w:r>
            <w:r>
              <w:rPr>
                <w:b w:val="0"/>
                <w:bCs w:val="0"/>
              </w:rPr>
              <w:instrText xml:space="preserve"> </w:instrText>
            </w:r>
            <w:r>
              <w:rPr>
                <w:rFonts w:hint="eastAsia"/>
                <w:b w:val="0"/>
                <w:bCs w:val="0"/>
              </w:rPr>
              <w:instrText xml:space="preserve">REF 设备类型 \h</w:instrText>
            </w:r>
            <w:r>
              <w:rPr>
                <w:b w:val="0"/>
                <w:bCs w:val="0"/>
              </w:rPr>
              <w:instrText xml:space="preserve"> </w:instrText>
            </w:r>
            <w:r>
              <w:rPr>
                <w:b w:val="0"/>
                <w:bCs w:val="0"/>
              </w:rPr>
              <w:fldChar w:fldCharType="separate"/>
            </w:r>
            <w:r>
              <w:rPr>
                <w:rFonts w:hint="eastAsia"/>
                <w:b w:val="0"/>
                <w:bCs w:val="0"/>
              </w:rPr>
              <w:t>塔式起重机</w:t>
            </w:r>
            <w:r>
              <w:rPr>
                <w:b w:val="0"/>
                <w:bCs w:val="0"/>
              </w:rPr>
              <w:fldChar w:fldCharType="end"/>
            </w:r>
            <w:r>
              <w:rPr>
                <w:rFonts w:hint="eastAsia"/>
                <w:b w:val="0"/>
                <w:bCs w:val="0"/>
              </w:rPr>
              <w:t>说明书</w:t>
            </w:r>
          </w:p>
        </w:tc>
        <w:tc>
          <w:tcPr>
            <w:tcW w:w="641" w:type="pct"/>
            <w:vMerge w:val="continue"/>
            <w:shd w:val="clear" w:color="auto" w:fill="auto"/>
            <w:vAlign w:val="center"/>
          </w:tcPr>
          <w:p w14:paraId="0F2DFB56">
            <w:pPr>
              <w:pStyle w:val="16"/>
              <w:rPr>
                <w:b w:val="0"/>
                <w:bCs w:val="0"/>
              </w:rPr>
            </w:pPr>
          </w:p>
        </w:tc>
      </w:tr>
    </w:tbl>
    <w:p w14:paraId="47601D04">
      <w:pPr>
        <w:ind w:left="0" w:leftChars="0" w:firstLine="0" w:firstLineChars="0"/>
        <w:rPr>
          <w:b w:val="0"/>
          <w:bCs w:val="0"/>
        </w:rPr>
      </w:pPr>
    </w:p>
    <w:p w14:paraId="2D374F95">
      <w:pPr>
        <w:pStyle w:val="3"/>
        <w:bidi w:val="0"/>
        <w:ind w:left="575" w:leftChars="0" w:hanging="575" w:firstLineChars="0"/>
        <w:rPr>
          <w:b/>
          <w:bCs w:val="0"/>
          <w:sz w:val="28"/>
          <w:szCs w:val="28"/>
        </w:rPr>
      </w:pPr>
      <w:bookmarkStart w:id="17" w:name="_Toc7858"/>
      <w:bookmarkStart w:id="18" w:name="_Toc24044"/>
      <w:bookmarkStart w:id="19" w:name="_Toc15697"/>
      <w:r>
        <w:rPr>
          <w:rFonts w:hint="eastAsia"/>
          <w:b/>
          <w:bCs w:val="0"/>
          <w:sz w:val="28"/>
          <w:szCs w:val="28"/>
        </w:rPr>
        <w:t>适用范围</w:t>
      </w:r>
      <w:bookmarkEnd w:id="17"/>
      <w:bookmarkEnd w:id="18"/>
      <w:bookmarkEnd w:id="19"/>
    </w:p>
    <w:p w14:paraId="2737FC46">
      <w:pPr>
        <w:ind w:firstLine="480"/>
        <w:rPr>
          <w:rFonts w:hint="eastAsia" w:eastAsia="宋体"/>
        </w:rPr>
      </w:pPr>
      <w:bookmarkStart w:id="20" w:name="_Toc218"/>
      <w:bookmarkStart w:id="21" w:name="_Toc15975"/>
      <w:r>
        <w:rPr>
          <w:rFonts w:hint="eastAsia" w:eastAsia="宋体"/>
        </w:rPr>
        <w:t>本方案适用于</w:t>
      </w:r>
      <w:r>
        <w:rPr>
          <w:rFonts w:hint="eastAsia" w:eastAsia="宋体"/>
        </w:rPr>
        <w:fldChar w:fldCharType="begin"/>
      </w:r>
      <w:r>
        <w:rPr>
          <w:rFonts w:hint="eastAsia" w:eastAsia="宋体"/>
        </w:rPr>
        <w:instrText xml:space="preserve"> REF 项目名称 </w:instrText>
      </w:r>
      <w:r>
        <w:rPr>
          <w:rFonts w:hint="eastAsia" w:eastAsia="宋体"/>
        </w:rPr>
        <w:fldChar w:fldCharType="separate"/>
      </w:r>
      <w:r>
        <w:rPr>
          <w:rFonts w:hint="eastAsia" w:eastAsia="宋体"/>
        </w:rPr>
        <w:t>天保至麻栗坡高速公路TJ-2标项目</w:t>
      </w:r>
      <w:r>
        <w:rPr>
          <w:rFonts w:hint="eastAsia" w:eastAsia="宋体"/>
        </w:rPr>
        <w:fldChar w:fldCharType="end"/>
      </w:r>
      <w:r>
        <w:rPr>
          <w:rFonts w:hint="eastAsia" w:eastAsia="宋体"/>
        </w:rPr>
        <w:fldChar w:fldCharType="begin"/>
      </w:r>
      <w:r>
        <w:rPr>
          <w:rFonts w:hint="eastAsia" w:eastAsia="宋体"/>
        </w:rPr>
        <w:instrText xml:space="preserve"> REF 设备位置 \h </w:instrText>
      </w:r>
      <w:r>
        <w:rPr>
          <w:rFonts w:hint="eastAsia" w:eastAsia="宋体"/>
        </w:rPr>
        <w:fldChar w:fldCharType="separate"/>
      </w:r>
      <w:r>
        <w:rPr>
          <w:rFonts w:hint="eastAsia" w:eastAsia="宋体"/>
        </w:rPr>
        <w:t>马鹿塘特大桥</w:t>
      </w:r>
      <w:r>
        <w:rPr>
          <w:rFonts w:hint="eastAsia" w:eastAsia="宋体"/>
          <w:lang w:val="en-US" w:eastAsia="zh-CN"/>
        </w:rPr>
        <w:t>6</w:t>
      </w:r>
      <w:r>
        <w:rPr>
          <w:rFonts w:hint="eastAsia" w:eastAsia="宋体"/>
        </w:rPr>
        <w:t>#索塔</w:t>
      </w:r>
      <w:r>
        <w:rPr>
          <w:rFonts w:hint="eastAsia" w:eastAsia="宋体"/>
        </w:rPr>
        <w:fldChar w:fldCharType="end"/>
      </w:r>
      <w:r>
        <w:rPr>
          <w:rFonts w:hint="eastAsia" w:eastAsia="宋体"/>
          <w:lang w:val="en-US" w:eastAsia="zh-CN"/>
        </w:rPr>
        <w:t>施工</w:t>
      </w:r>
      <w:r>
        <w:rPr>
          <w:rFonts w:hint="eastAsia" w:eastAsia="宋体"/>
        </w:rPr>
        <w:t>所使用的</w:t>
      </w:r>
      <w:r>
        <w:rPr>
          <w:rFonts w:hint="eastAsia" w:eastAsia="宋体"/>
          <w:lang w:val="en-US" w:eastAsia="zh-CN"/>
        </w:rPr>
        <w:t>1</w:t>
      </w:r>
      <w:r>
        <w:rPr>
          <w:rFonts w:hint="eastAsia" w:eastAsia="宋体"/>
        </w:rPr>
        <w:t>台</w:t>
      </w:r>
      <w:r>
        <w:rPr>
          <w:rFonts w:hint="eastAsia" w:eastAsia="宋体"/>
          <w:lang w:val="en-US" w:eastAsia="zh-CN"/>
        </w:rPr>
        <w:t>XGT360</w:t>
      </w:r>
      <w:r>
        <w:rPr>
          <w:rFonts w:hint="eastAsia" w:eastAsia="宋体"/>
          <w:lang w:eastAsia="zh-CN"/>
        </w:rPr>
        <w:t>-</w:t>
      </w:r>
      <w:r>
        <w:rPr>
          <w:rFonts w:hint="eastAsia" w:eastAsia="宋体"/>
          <w:lang w:val="en-US" w:eastAsia="zh-CN"/>
        </w:rPr>
        <w:t>20S1</w:t>
      </w:r>
      <w:r>
        <w:rPr>
          <w:rFonts w:hint="eastAsia" w:eastAsia="宋体"/>
          <w:lang w:eastAsia="zh-CN"/>
        </w:rPr>
        <w:t>塔式起重机</w:t>
      </w:r>
      <w:r>
        <w:rPr>
          <w:rFonts w:hint="eastAsia" w:eastAsia="宋体"/>
        </w:rPr>
        <w:t>的</w:t>
      </w:r>
      <w:r>
        <w:rPr>
          <w:rFonts w:hint="eastAsia" w:eastAsia="宋体"/>
          <w:lang w:val="en-US" w:eastAsia="zh-CN"/>
        </w:rPr>
        <w:t>拆除安全施工作业。主要包括设备拆除、降节等施工有关的工艺流程、注意事项。</w:t>
      </w:r>
    </w:p>
    <w:p w14:paraId="0AA477FE">
      <w:pPr>
        <w:pStyle w:val="2"/>
        <w:bidi w:val="0"/>
        <w:ind w:left="432" w:leftChars="0" w:hanging="432" w:firstLineChars="0"/>
        <w:rPr>
          <w:rFonts w:hint="eastAsia"/>
        </w:rPr>
      </w:pPr>
      <w:bookmarkStart w:id="22" w:name="_Toc14112"/>
      <w:r>
        <w:rPr>
          <w:rFonts w:hint="eastAsia"/>
        </w:rPr>
        <w:t>工程概况</w:t>
      </w:r>
      <w:bookmarkEnd w:id="20"/>
      <w:bookmarkEnd w:id="21"/>
      <w:bookmarkEnd w:id="22"/>
    </w:p>
    <w:p w14:paraId="15DEF54D">
      <w:pPr>
        <w:pStyle w:val="3"/>
        <w:bidi w:val="0"/>
        <w:ind w:left="575" w:leftChars="0" w:hanging="575" w:firstLineChars="0"/>
        <w:rPr>
          <w:b/>
          <w:bCs w:val="0"/>
          <w:sz w:val="28"/>
          <w:szCs w:val="28"/>
        </w:rPr>
      </w:pPr>
      <w:bookmarkStart w:id="23" w:name="_Toc24"/>
      <w:bookmarkStart w:id="24" w:name="_Toc31393"/>
      <w:bookmarkStart w:id="25" w:name="_Toc24863"/>
      <w:r>
        <w:rPr>
          <w:rFonts w:hint="eastAsia"/>
          <w:b/>
          <w:bCs w:val="0"/>
          <w:sz w:val="28"/>
          <w:szCs w:val="28"/>
        </w:rPr>
        <w:t>工程概况</w:t>
      </w:r>
      <w:bookmarkEnd w:id="23"/>
      <w:bookmarkEnd w:id="24"/>
      <w:bookmarkEnd w:id="25"/>
    </w:p>
    <w:p w14:paraId="4D8E9ADF">
      <w:pPr>
        <w:pStyle w:val="4"/>
        <w:bidi w:val="0"/>
        <w:ind w:left="720" w:leftChars="0" w:hanging="720" w:firstLineChars="0"/>
        <w:rPr>
          <w:rFonts w:hint="eastAsia"/>
          <w:b/>
          <w:bCs w:val="0"/>
        </w:rPr>
      </w:pPr>
      <w:r>
        <w:rPr>
          <w:rFonts w:hint="eastAsia"/>
          <w:b/>
          <w:bCs w:val="0"/>
        </w:rPr>
        <w:t>项目概况</w:t>
      </w:r>
    </w:p>
    <w:p w14:paraId="0E2D58BE">
      <w:pPr>
        <w:ind w:firstLine="480"/>
        <w:rPr>
          <w:rFonts w:hint="eastAsia" w:eastAsia="宋体"/>
        </w:rPr>
      </w:pPr>
      <w:bookmarkStart w:id="26" w:name="_Hlk50453250"/>
      <w:r>
        <w:rPr>
          <w:rFonts w:hint="eastAsia" w:eastAsia="宋体"/>
        </w:rPr>
        <w:t>国家高速公路网G5615天保至猴桥高速公路天保至文山段位于云南省东南部文山州境内，路线自南向北途经文山州麻栗坡县、西畴县、文山市。</w:t>
      </w:r>
    </w:p>
    <w:p w14:paraId="4471ADE6">
      <w:pPr>
        <w:ind w:firstLine="480"/>
        <w:rPr>
          <w:rFonts w:hint="eastAsia" w:eastAsia="宋体"/>
        </w:rPr>
      </w:pPr>
      <w:r>
        <w:rPr>
          <w:rFonts w:hint="eastAsia" w:eastAsia="宋体"/>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14:paraId="227629DD">
      <w:pPr>
        <w:ind w:firstLine="480"/>
        <w:rPr>
          <w:rFonts w:hint="eastAsia" w:eastAsia="宋体"/>
        </w:rPr>
      </w:pPr>
      <w:r>
        <w:rPr>
          <w:rFonts w:hint="eastAsia" w:eastAsia="宋体"/>
        </w:rPr>
        <w:t>项目地理位置如</w:t>
      </w:r>
      <w:r>
        <w:rPr>
          <w:rFonts w:hint="eastAsia" w:eastAsia="宋体"/>
        </w:rPr>
        <w:fldChar w:fldCharType="begin"/>
      </w:r>
      <w:r>
        <w:rPr>
          <w:rFonts w:hint="eastAsia" w:eastAsia="宋体"/>
        </w:rPr>
        <w:instrText xml:space="preserve"> REF _Ref93301894 \h </w:instrText>
      </w:r>
      <w:r>
        <w:rPr>
          <w:rFonts w:hint="eastAsia" w:eastAsia="宋体"/>
        </w:rPr>
        <w:fldChar w:fldCharType="separate"/>
      </w:r>
      <w:r>
        <w:rPr>
          <w:rFonts w:hint="eastAsia" w:eastAsia="宋体"/>
        </w:rPr>
        <w:t>图2.1.1-1</w:t>
      </w:r>
      <w:r>
        <w:rPr>
          <w:rFonts w:hint="eastAsia" w:eastAsia="宋体"/>
        </w:rPr>
        <w:fldChar w:fldCharType="end"/>
      </w:r>
      <w:r>
        <w:rPr>
          <w:rFonts w:hint="eastAsia" w:eastAsia="宋体"/>
        </w:rPr>
        <w:t>所示。</w:t>
      </w:r>
    </w:p>
    <w:bookmarkEnd w:id="26"/>
    <w:p w14:paraId="74E08320">
      <w:pPr>
        <w:ind w:left="0" w:leftChars="0" w:firstLine="0" w:firstLineChars="0"/>
        <w:jc w:val="center"/>
      </w:pPr>
      <w:r>
        <w:drawing>
          <wp:inline distT="0" distB="0" distL="114300" distR="114300">
            <wp:extent cx="5217160" cy="3595370"/>
            <wp:effectExtent l="9525" t="9525" r="12065" b="1460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7"/>
                    <a:stretch>
                      <a:fillRect/>
                    </a:stretch>
                  </pic:blipFill>
                  <pic:spPr>
                    <a:xfrm>
                      <a:off x="0" y="0"/>
                      <a:ext cx="5217160" cy="35953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F7EF59A">
      <w:pPr>
        <w:pStyle w:val="15"/>
        <w:ind w:firstLine="480"/>
        <w:rPr>
          <w:rFonts w:hint="default" w:eastAsia="宋体"/>
          <w:lang w:val="en-US" w:eastAsia="zh-CN"/>
        </w:rPr>
      </w:pPr>
      <w:r>
        <w:t xml:space="preserve">图 </w:t>
      </w:r>
      <w:r>
        <w:fldChar w:fldCharType="begin"/>
      </w:r>
      <w:r>
        <w:instrText xml:space="preserve"> STYLEREF 3 \s </w:instrText>
      </w:r>
      <w:r>
        <w:fldChar w:fldCharType="separate"/>
      </w:r>
      <w:r>
        <w:t>2.1.1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项目地理位置图</w:t>
      </w:r>
    </w:p>
    <w:p w14:paraId="7A706F9B">
      <w:pPr>
        <w:ind w:firstLine="480"/>
        <w:rPr>
          <w:rFonts w:hint="eastAsia" w:eastAsia="宋体"/>
        </w:rPr>
      </w:pPr>
      <w:r>
        <w:rPr>
          <w:rFonts w:hint="eastAsia" w:eastAsia="宋体"/>
        </w:rPr>
        <w:t>马鹿塘特大桥位于云南省文山州麻栗坡县天保镇南温河村境内，距离下游马鹿塘水电站约6.5公里，大桥始于天保镇永平岩脚西北向约1000米的山坡，由南向北跨在K284828-K29+310路段越南温河（马鹿塘水库），止于小寨村附近的岩腊山山坡处。</w:t>
      </w:r>
    </w:p>
    <w:p w14:paraId="3A97AAAE">
      <w:pPr>
        <w:ind w:firstLine="480"/>
        <w:rPr>
          <w:rFonts w:hint="eastAsia" w:eastAsia="宋体"/>
        </w:rPr>
      </w:pPr>
      <w:r>
        <w:rPr>
          <w:rFonts w:hint="eastAsia" w:eastAsia="宋体"/>
        </w:rPr>
        <w:t>马鹿塘特大桥起点桩号为K28+505.316（左线起点桩号ZK28+531.933），终点桩号K29+510.816（左线3点E号ZK29+537.433），全长1005.5m，是天保至文山高速公路的控制性工程。</w:t>
      </w:r>
    </w:p>
    <w:p w14:paraId="167D411D">
      <w:pPr>
        <w:ind w:firstLine="480"/>
        <w:rPr>
          <w:rFonts w:hint="eastAsia" w:eastAsia="宋体"/>
        </w:rPr>
      </w:pPr>
      <w:r>
        <w:rPr>
          <w:rFonts w:hint="eastAsia" w:eastAsia="宋体"/>
        </w:rPr>
        <w:t>马鹿塘特大桥由4×30m预应力混凝土箱梁引桥+（63+137+480+137+63m）主桥组成。马鹿塘特大桥主桥为双塔双索面半漂浮体系组合梁斜拉桥，主桥总长880m，平面线形按分离式路基设计。纵断面位于R-40700m的凸曲线、1.8%的上坡段、R-60000m的凸曲线、1.3%的上坡段和R-16900m的凸曲线上。</w:t>
      </w:r>
    </w:p>
    <w:p w14:paraId="2A7F09BF">
      <w:pPr>
        <w:ind w:firstLine="480"/>
        <w:rPr>
          <w:rFonts w:hint="eastAsia"/>
        </w:rPr>
      </w:pPr>
      <w:r>
        <w:rPr>
          <w:rFonts w:hint="eastAsia"/>
        </w:rPr>
        <w:t>马鹿塘特大桥主桥桥型布置图如</w:t>
      </w:r>
      <w:r>
        <w:fldChar w:fldCharType="begin"/>
      </w:r>
      <w:r>
        <w:instrText xml:space="preserve"> </w:instrText>
      </w:r>
      <w:r>
        <w:rPr>
          <w:rFonts w:hint="eastAsia"/>
        </w:rPr>
        <w:instrText xml:space="preserve">REF _Ref129263497 \h</w:instrText>
      </w:r>
      <w:r>
        <w:instrText xml:space="preserve"> </w:instrText>
      </w:r>
      <w:r>
        <w:fldChar w:fldCharType="separate"/>
      </w:r>
      <w:r>
        <w:rPr>
          <w:rFonts w:hint="eastAsia"/>
        </w:rPr>
        <w:t>图</w:t>
      </w:r>
      <w:r>
        <w:t>2.1.1</w:t>
      </w:r>
      <w:r>
        <w:rPr>
          <w:rFonts w:hint="eastAsia"/>
        </w:rPr>
        <w:t>-</w:t>
      </w:r>
      <w:r>
        <w:t>2</w:t>
      </w:r>
      <w:r>
        <w:fldChar w:fldCharType="end"/>
      </w:r>
      <w:r>
        <w:rPr>
          <w:rFonts w:hint="eastAsia"/>
        </w:rPr>
        <w:t>所示。</w:t>
      </w:r>
    </w:p>
    <w:p w14:paraId="4B37E449">
      <w:pPr>
        <w:ind w:left="0" w:leftChars="0" w:firstLine="0" w:firstLineChars="0"/>
        <w:jc w:val="center"/>
      </w:pPr>
      <w:r>
        <w:drawing>
          <wp:inline distT="0" distB="0" distL="0" distR="0">
            <wp:extent cx="5253355" cy="2720975"/>
            <wp:effectExtent l="0" t="0" r="444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53355" cy="2720975"/>
                    </a:xfrm>
                    <a:prstGeom prst="rect">
                      <a:avLst/>
                    </a:prstGeom>
                  </pic:spPr>
                </pic:pic>
              </a:graphicData>
            </a:graphic>
          </wp:inline>
        </w:drawing>
      </w:r>
    </w:p>
    <w:p w14:paraId="20227F37">
      <w:pPr>
        <w:pStyle w:val="15"/>
        <w:ind w:left="0" w:leftChars="0" w:firstLine="0" w:firstLineChars="0"/>
        <w:rPr>
          <w:rFonts w:hint="default" w:eastAsia="宋体"/>
          <w:lang w:val="en-US" w:eastAsia="zh-CN"/>
        </w:rPr>
      </w:pPr>
      <w:r>
        <w:t xml:space="preserve">图 </w:t>
      </w:r>
      <w:r>
        <w:fldChar w:fldCharType="begin"/>
      </w:r>
      <w:r>
        <w:instrText xml:space="preserve"> STYLEREF 3 \s </w:instrText>
      </w:r>
      <w:r>
        <w:fldChar w:fldCharType="separate"/>
      </w:r>
      <w:r>
        <w:t>2.1.1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马鹿塘特大桥桥型布置图（单位：cm）</w:t>
      </w:r>
    </w:p>
    <w:p w14:paraId="3A1C2429">
      <w:pPr>
        <w:rPr>
          <w:rFonts w:hint="eastAsia"/>
          <w:highlight w:val="none"/>
          <w:lang w:val="en-US" w:eastAsia="zh-CN"/>
        </w:rPr>
      </w:pPr>
    </w:p>
    <w:p w14:paraId="2938486C">
      <w:pPr>
        <w:ind w:left="0" w:leftChars="0" w:firstLine="0" w:firstLineChars="0"/>
        <w:rPr>
          <w:rFonts w:hint="default"/>
          <w:highlight w:val="none"/>
          <w:lang w:val="en-US" w:eastAsia="zh-CN"/>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4C9276">
      <w:pPr>
        <w:pStyle w:val="4"/>
        <w:bidi w:val="0"/>
        <w:ind w:left="720" w:leftChars="0" w:hanging="720" w:firstLineChars="0"/>
        <w:rPr>
          <w:rFonts w:hint="eastAsia"/>
          <w:b/>
          <w:bCs w:val="0"/>
        </w:rPr>
      </w:pPr>
      <w:r>
        <w:rPr>
          <w:rFonts w:hint="eastAsia"/>
          <w:b/>
          <w:bCs w:val="0"/>
        </w:rPr>
        <w:t>自然条件</w:t>
      </w:r>
    </w:p>
    <w:p w14:paraId="06FB7C87">
      <w:pPr>
        <w:pStyle w:val="5"/>
        <w:rPr>
          <w:b/>
          <w:bCs w:val="0"/>
        </w:rPr>
      </w:pPr>
      <w:r>
        <w:rPr>
          <w:rFonts w:hint="eastAsia"/>
          <w:b/>
          <w:bCs w:val="0"/>
        </w:rPr>
        <w:t>气候条件</w:t>
      </w:r>
    </w:p>
    <w:p w14:paraId="10C6C949">
      <w:pPr>
        <w:ind w:firstLine="480"/>
        <w:rPr>
          <w:rFonts w:hint="eastAsia" w:eastAsia="宋体"/>
        </w:rPr>
      </w:pPr>
      <w:r>
        <w:rPr>
          <w:rFonts w:hint="eastAsia" w:eastAsia="宋体"/>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14:paraId="76274785">
      <w:pPr>
        <w:pStyle w:val="5"/>
        <w:rPr>
          <w:b/>
          <w:bCs w:val="0"/>
        </w:rPr>
      </w:pPr>
      <w:r>
        <w:rPr>
          <w:rFonts w:hint="eastAsia"/>
          <w:b/>
          <w:bCs w:val="0"/>
        </w:rPr>
        <w:t>水文条件</w:t>
      </w:r>
    </w:p>
    <w:p w14:paraId="00D38E12">
      <w:pPr>
        <w:pStyle w:val="71"/>
        <w:keepNext w:val="0"/>
        <w:keepLines w:val="0"/>
        <w:pageBreakBefore w:val="0"/>
        <w:widowControl w:val="0"/>
        <w:numPr>
          <w:ilvl w:val="0"/>
          <w:numId w:val="11"/>
        </w:numPr>
        <w:kinsoku/>
        <w:wordWrap/>
        <w:overflowPunct/>
        <w:topLinePunct w:val="0"/>
        <w:autoSpaceDN/>
        <w:bidi w:val="0"/>
        <w:adjustRightInd/>
        <w:snapToGrid/>
        <w:ind w:firstLine="480" w:firstLineChars="200"/>
        <w:textAlignment w:val="auto"/>
        <w:rPr>
          <w:rFonts w:hint="eastAsia"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地表水</w:t>
      </w:r>
    </w:p>
    <w:p w14:paraId="4EFDF7F8">
      <w:pPr>
        <w:ind w:firstLine="480"/>
        <w:rPr>
          <w:rFonts w:hint="eastAsia" w:eastAsia="宋体"/>
          <w:highlight w:val="none"/>
        </w:rPr>
      </w:pPr>
      <w:r>
        <w:rPr>
          <w:rFonts w:hint="eastAsia" w:eastAsia="宋体"/>
          <w:highlight w:val="none"/>
        </w:rPr>
        <w:t>桥址区地表水较发育，地表水为大气降水形成的暂时性地表面流及冲沟流水，地表水断面流量受降雨量控制，主要顺坡及沟向低处排泄，汇流于南温河水库，部分沿裂隙下渗补给地下水。</w:t>
      </w:r>
    </w:p>
    <w:p w14:paraId="001EBE1D">
      <w:pPr>
        <w:ind w:firstLine="480"/>
        <w:rPr>
          <w:rFonts w:hint="eastAsia" w:eastAsia="宋体"/>
          <w:highlight w:val="none"/>
        </w:rPr>
      </w:pPr>
      <w:r>
        <w:rPr>
          <w:rFonts w:hint="eastAsia" w:eastAsia="宋体"/>
          <w:highlight w:val="none"/>
        </w:rPr>
        <w:t>马鹿塘电站水库于2009年11月10日开始蓄水，电站水库具有年调节特性，总库容5.4565亿立方米，调节库容4.2247亿立方米，设计正常蓄水位高程627m。</w:t>
      </w:r>
    </w:p>
    <w:p w14:paraId="36701562">
      <w:pPr>
        <w:pStyle w:val="71"/>
        <w:keepNext w:val="0"/>
        <w:keepLines w:val="0"/>
        <w:pageBreakBefore w:val="0"/>
        <w:widowControl w:val="0"/>
        <w:numPr>
          <w:ilvl w:val="0"/>
          <w:numId w:val="11"/>
        </w:numPr>
        <w:kinsoku/>
        <w:wordWrap/>
        <w:overflowPunct/>
        <w:topLinePunct w:val="0"/>
        <w:autoSpaceDN/>
        <w:bidi w:val="0"/>
        <w:adjustRightInd/>
        <w:snapToGrid/>
        <w:ind w:firstLine="480" w:firstLineChars="200"/>
        <w:textAlignment w:val="auto"/>
        <w:rPr>
          <w:rFonts w:ascii="宋体" w:hAnsi="宋体"/>
        </w:rPr>
      </w:pPr>
      <w:r>
        <w:rPr>
          <w:rFonts w:hint="eastAsia" w:ascii="宋体" w:hAnsi="宋体"/>
        </w:rPr>
        <w:t>地下水</w:t>
      </w:r>
    </w:p>
    <w:p w14:paraId="16D61714">
      <w:pPr>
        <w:ind w:firstLine="480"/>
        <w:rPr>
          <w:rFonts w:hint="eastAsia" w:eastAsia="宋体"/>
          <w:highlight w:val="none"/>
        </w:rPr>
      </w:pPr>
      <w:r>
        <w:rPr>
          <w:rFonts w:hint="eastAsia" w:eastAsia="宋体"/>
          <w:highlight w:val="none"/>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559.1～623.23m。</w:t>
      </w:r>
    </w:p>
    <w:p w14:paraId="30800ED3">
      <w:pPr>
        <w:pStyle w:val="5"/>
        <w:rPr>
          <w:rFonts w:hint="default"/>
          <w:b/>
          <w:bCs w:val="0"/>
          <w:lang w:val="en-US"/>
        </w:rPr>
      </w:pPr>
      <w:r>
        <w:rPr>
          <w:rFonts w:hint="eastAsia"/>
          <w:b/>
          <w:bCs w:val="0"/>
          <w:lang w:val="en-US" w:eastAsia="zh-CN"/>
        </w:rPr>
        <w:t>地质条件</w:t>
      </w:r>
    </w:p>
    <w:p w14:paraId="5EE0D96E">
      <w:pPr>
        <w:bidi w:val="0"/>
        <w:rPr>
          <w:rFonts w:hint="eastAsia" w:eastAsia="宋体"/>
          <w:highlight w:val="none"/>
        </w:rPr>
      </w:pPr>
      <w:r>
        <w:rPr>
          <w:rFonts w:hint="eastAsia" w:eastAsia="宋体"/>
          <w:highlight w:val="none"/>
        </w:rPr>
        <w:t>根据工程地质调绘及钻孔揭示资料，桥址区在勘探深度范围内上覆地层主要为第四系全新统残坡积层，下伏花岗片麻岩(Gn)组成。桥址区在勘探深度范围内可分为5个工程地质层，现由上而下分述如下：</w:t>
      </w:r>
    </w:p>
    <w:p w14:paraId="73023D74">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78-2砂质黏性土（Q4el+dl）：黄褐色，稍湿，可塑，土质不均，含砂约20%-40%，含角砾约10%，表层约30cm含大量植物根系。，钻探揭示层厚约1.40～10.00m，承载力基本容许值[fa0]=180kPa，摩阻力标准值qik=60kPa。</w:t>
      </w:r>
    </w:p>
    <w:p w14:paraId="37FC8BF1">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80-2砾质黏性土（Q4el+dl）：砾质黏性土：黄褐色，稍湿，可塑，土质不均，含砾约20%-30%，表层约30cm含大量植物根系。钻探揭示层厚约4.20m，承载力基本容许值[fa0]=200kPa，摩阻力标准值qik=65kPa。</w:t>
      </w:r>
    </w:p>
    <w:p w14:paraId="6E917FAE">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65-1全风化花岗片麻岩（Gn）：黄褐色，原岩结构构造已破坏，长石已风化成高岭土，残留矿物主要为石英。层厚：3.50～38.30m，承载力基本容许值[fa0]=320kPa，摩阻力标准值qik=55kPa。</w:t>
      </w:r>
    </w:p>
    <w:p w14:paraId="5EDC1BF6">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-2强风化花岗片麻岩（Gn）：灰白色，粗粒结构，片麻构造，主要矿物成分为长石、石英与黑云母等，节理裂隙发育，裂面铁质浸染，岩芯呈短柱状，，少量呈碎块状。层厚：0.60～59.30m，承载力基本容许值[fa0]=700kPa，摩阻力标准值qik=120kPa。</w:t>
      </w:r>
    </w:p>
    <w:p w14:paraId="75D45FB5">
      <w:pPr>
        <w:keepNext w:val="0"/>
        <w:keepLines w:val="0"/>
        <w:pageBreakBefore w:val="0"/>
        <w:widowControl w:val="0"/>
        <w:numPr>
          <w:ilvl w:val="0"/>
          <w:numId w:val="12"/>
        </w:numPr>
        <w:kinsoku/>
        <w:wordWrap/>
        <w:overflowPunct/>
        <w:topLinePunct w:val="0"/>
        <w:autoSpaceDE/>
        <w:autoSpaceDN/>
        <w:bidi w:val="0"/>
        <w:adjustRightInd/>
        <w:snapToGrid/>
        <w:ind w:left="0" w:leftChars="0" w:firstLine="480" w:firstLineChars="200"/>
        <w:textAlignment w:val="auto"/>
        <w:rPr>
          <w:rFonts w:hint="eastAsia" w:eastAsia="宋体"/>
          <w:highlight w:val="none"/>
        </w:rPr>
      </w:pPr>
      <w:r>
        <w:rPr>
          <w:rFonts w:hint="eastAsia" w:eastAsia="宋体"/>
          <w:highlight w:val="none"/>
        </w:rPr>
        <w:t>65-3中风化花岗片麻岩（Gn）：青灰色，粗粒结构，片麻构造，主要矿物成分以长石，石英与黑云母等。节理裂隙稍发育，岩芯呈短柱状，少量碎块状。锤击声脆。本次钻探揭露最大层厚37.60m（未揭穿），承载力基本容许值[fa0]=1500kPa，摩阻力标准值qik=180kPa。</w:t>
      </w:r>
    </w:p>
    <w:p w14:paraId="7DF2F981">
      <w:pPr>
        <w:pStyle w:val="4"/>
        <w:rPr>
          <w:b/>
          <w:bCs w:val="0"/>
        </w:rPr>
      </w:pPr>
      <w:bookmarkStart w:id="27" w:name="_Toc164179578"/>
      <w:bookmarkStart w:id="28" w:name="_Toc7414"/>
      <w:r>
        <w:rPr>
          <w:rFonts w:hint="eastAsia"/>
          <w:b/>
          <w:bCs w:val="0"/>
          <w:lang w:val="en-US" w:eastAsia="zh-CN"/>
        </w:rPr>
        <w:t>塔式起重机</w:t>
      </w:r>
      <w:r>
        <w:rPr>
          <w:rFonts w:hint="eastAsia"/>
          <w:b/>
          <w:bCs w:val="0"/>
        </w:rPr>
        <w:t>概况</w:t>
      </w:r>
    </w:p>
    <w:p w14:paraId="7142EAA3">
      <w:pPr>
        <w:pStyle w:val="5"/>
        <w:ind w:firstLineChars="0"/>
        <w:rPr>
          <w:b/>
          <w:bCs w:val="0"/>
        </w:rPr>
      </w:pPr>
      <w:r>
        <w:rPr>
          <w:rFonts w:hint="eastAsia"/>
          <w:b/>
          <w:bCs w:val="0"/>
          <w:lang w:val="en-US" w:eastAsia="zh-CN"/>
        </w:rPr>
        <w:t>塔式起重机</w:t>
      </w:r>
      <w:r>
        <w:rPr>
          <w:rFonts w:hint="eastAsia"/>
          <w:b/>
          <w:bCs w:val="0"/>
        </w:rPr>
        <w:t>主要技术参数</w:t>
      </w:r>
    </w:p>
    <w:p w14:paraId="7E9B0641">
      <w:pPr>
        <w:pStyle w:val="71"/>
        <w:numPr>
          <w:ilvl w:val="0"/>
          <w:numId w:val="13"/>
        </w:numPr>
        <w:ind w:firstLineChars="0"/>
      </w:pPr>
      <w:r>
        <w:rPr>
          <w:rFonts w:hint="eastAsia"/>
        </w:rPr>
        <w:t>整机性能参数</w:t>
      </w:r>
    </w:p>
    <w:p w14:paraId="36048752">
      <w:pPr>
        <w:bidi w:val="0"/>
        <w:rPr>
          <w:rFonts w:hint="eastAsia"/>
        </w:rPr>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w:t>
      </w:r>
      <w:r>
        <w:rPr>
          <w:rFonts w:hint="eastAsia"/>
          <w:lang w:val="en-US" w:eastAsia="zh-CN"/>
        </w:rPr>
        <w:t>3</w:t>
      </w:r>
      <w:r>
        <w:rPr>
          <w:rFonts w:hint="eastAsia"/>
          <w:lang w:val="en-US" w:eastAsia="zh-CN"/>
        </w:rPr>
        <w:fldChar w:fldCharType="end"/>
      </w:r>
      <w:r>
        <w:rPr>
          <w:rFonts w:hint="eastAsia"/>
          <w:lang w:val="en-US" w:eastAsia="zh-CN"/>
        </w:rPr>
        <w:t>-1</w:t>
      </w:r>
      <w:r>
        <w:fldChar w:fldCharType="end"/>
      </w:r>
      <w:r>
        <w:rPr>
          <w:rFonts w:hint="eastAsia"/>
        </w:rPr>
        <w:t>所示。</w:t>
      </w:r>
    </w:p>
    <w:p w14:paraId="1F1424BF">
      <w:pPr>
        <w:pStyle w:val="15"/>
        <w:keepNext/>
        <w:rPr>
          <w:rFonts w:hint="eastAsia" w:ascii="Times New Roman" w:hAnsi="Times New Roman" w:eastAsia="宋体"/>
        </w:rPr>
      </w:pPr>
      <w:r>
        <w:rPr>
          <w:rFonts w:hint="eastAsia" w:ascii="Times New Roman" w:hAnsi="Times New Roman" w:eastAsia="宋体"/>
        </w:rPr>
        <w:t xml:space="preserve">表 </w:t>
      </w:r>
      <w:r>
        <w:rPr>
          <w:rFonts w:hint="eastAsia" w:ascii="Times New Roman" w:hAnsi="Times New Roman" w:eastAsia="宋体"/>
        </w:rPr>
        <w:fldChar w:fldCharType="begin"/>
      </w:r>
      <w:r>
        <w:rPr>
          <w:rFonts w:hint="eastAsia" w:ascii="Times New Roman" w:hAnsi="Times New Roman" w:eastAsia="宋体"/>
        </w:rPr>
        <w:instrText xml:space="preserve"> STYLEREF 3 \s </w:instrText>
      </w:r>
      <w:r>
        <w:rPr>
          <w:rFonts w:hint="eastAsia" w:ascii="Times New Roman" w:hAnsi="Times New Roman" w:eastAsia="宋体"/>
        </w:rPr>
        <w:fldChar w:fldCharType="separate"/>
      </w:r>
      <w:r>
        <w:rPr>
          <w:rFonts w:hint="eastAsia" w:ascii="Times New Roman" w:hAnsi="Times New Roman" w:eastAsia="宋体"/>
        </w:rPr>
        <w:t>2.1.3</w:t>
      </w:r>
      <w:r>
        <w:rPr>
          <w:rFonts w:hint="eastAsia" w:ascii="Times New Roman" w:hAnsi="Times New Roman" w:eastAsia="宋体"/>
        </w:rPr>
        <w:fldChar w:fldCharType="end"/>
      </w:r>
      <w:r>
        <w:rPr>
          <w:rFonts w:hint="eastAsia" w:ascii="Times New Roman" w:hAnsi="Times New Roman" w:eastAsia="宋体"/>
          <w:lang w:eastAsia="zh-CN"/>
        </w:rPr>
        <w:t>-</w:t>
      </w:r>
      <w:r>
        <w:rPr>
          <w:rFonts w:hint="eastAsia" w:ascii="Times New Roman" w:hAnsi="Times New Roman" w:eastAsia="宋体"/>
        </w:rPr>
        <w:fldChar w:fldCharType="begin"/>
      </w:r>
      <w:r>
        <w:rPr>
          <w:rFonts w:hint="eastAsia" w:ascii="Times New Roman" w:hAnsi="Times New Roman" w:eastAsia="宋体"/>
        </w:rPr>
        <w:instrText xml:space="preserve"> SEQ 表 \* ARABIC \s 3 </w:instrText>
      </w:r>
      <w:r>
        <w:rPr>
          <w:rFonts w:hint="eastAsia" w:ascii="Times New Roman" w:hAnsi="Times New Roman" w:eastAsia="宋体"/>
        </w:rPr>
        <w:fldChar w:fldCharType="separate"/>
      </w:r>
      <w:r>
        <w:rPr>
          <w:rFonts w:hint="eastAsia" w:ascii="Times New Roman" w:hAnsi="Times New Roman" w:eastAsia="宋体"/>
        </w:rPr>
        <w:t>1</w:t>
      </w:r>
      <w:r>
        <w:rPr>
          <w:rFonts w:hint="eastAsia" w:ascii="Times New Roman" w:hAnsi="Times New Roman" w:eastAsia="宋体"/>
        </w:rPr>
        <w:fldChar w:fldCharType="end"/>
      </w:r>
      <w:r>
        <w:rPr>
          <w:rFonts w:hint="eastAsia"/>
        </w:rPr>
        <w:t xml:space="preserve"> 设备整机性能参数表</w:t>
      </w:r>
    </w:p>
    <w:p w14:paraId="5E7E2D6F">
      <w:pPr>
        <w:ind w:firstLine="0" w:firstLineChars="0"/>
        <w:jc w:val="center"/>
      </w:pPr>
      <w:r>
        <w:drawing>
          <wp:inline distT="0" distB="0" distL="114300" distR="114300">
            <wp:extent cx="5269230" cy="825500"/>
            <wp:effectExtent l="0" t="0" r="762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69230" cy="825500"/>
                    </a:xfrm>
                    <a:prstGeom prst="rect">
                      <a:avLst/>
                    </a:prstGeom>
                    <a:noFill/>
                    <a:ln>
                      <a:noFill/>
                    </a:ln>
                  </pic:spPr>
                </pic:pic>
              </a:graphicData>
            </a:graphic>
          </wp:inline>
        </w:drawing>
      </w:r>
      <w:r>
        <w:drawing>
          <wp:inline distT="0" distB="0" distL="114300" distR="114300">
            <wp:extent cx="5038725" cy="7334250"/>
            <wp:effectExtent l="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tretch>
                      <a:fillRect/>
                    </a:stretch>
                  </pic:blipFill>
                  <pic:spPr>
                    <a:xfrm>
                      <a:off x="0" y="0"/>
                      <a:ext cx="5038725" cy="7334250"/>
                    </a:xfrm>
                    <a:prstGeom prst="rect">
                      <a:avLst/>
                    </a:prstGeom>
                    <a:noFill/>
                    <a:ln>
                      <a:noFill/>
                    </a:ln>
                  </pic:spPr>
                </pic:pic>
              </a:graphicData>
            </a:graphic>
          </wp:inline>
        </w:drawing>
      </w:r>
      <w:r>
        <w:drawing>
          <wp:inline distT="0" distB="0" distL="114300" distR="114300">
            <wp:extent cx="4991100" cy="125730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4991100" cy="1257300"/>
                    </a:xfrm>
                    <a:prstGeom prst="rect">
                      <a:avLst/>
                    </a:prstGeom>
                    <a:noFill/>
                    <a:ln>
                      <a:noFill/>
                    </a:ln>
                  </pic:spPr>
                </pic:pic>
              </a:graphicData>
            </a:graphic>
          </wp:inline>
        </w:drawing>
      </w:r>
    </w:p>
    <w:p w14:paraId="3935C120">
      <w:pPr>
        <w:pStyle w:val="71"/>
        <w:numPr>
          <w:ilvl w:val="0"/>
          <w:numId w:val="13"/>
        </w:numPr>
        <w:ind w:firstLineChars="0"/>
      </w:pPr>
      <w:r>
        <w:rPr>
          <w:rFonts w:hint="eastAsia"/>
        </w:rPr>
        <w:t>载荷性能表</w:t>
      </w:r>
    </w:p>
    <w:p w14:paraId="34C190E9">
      <w:pPr>
        <w:ind w:firstLine="480"/>
        <w:rPr>
          <w:rFonts w:hint="eastAsia"/>
        </w:rPr>
      </w:pPr>
      <w:r>
        <w:rPr>
          <w:rFonts w:hint="eastAsia"/>
        </w:rPr>
        <w:t>设备载荷性能如</w:t>
      </w:r>
      <w:r>
        <w:rPr>
          <w:rFonts w:hint="eastAsia"/>
          <w:lang w:val="en-US" w:eastAsia="zh-CN"/>
        </w:rPr>
        <w:t>下图</w:t>
      </w:r>
      <w:r>
        <w:rPr>
          <w:rFonts w:hint="eastAsia"/>
        </w:rPr>
        <w:t>所示。</w:t>
      </w:r>
    </w:p>
    <w:p w14:paraId="5BD47230">
      <w:pPr>
        <w:pStyle w:val="332"/>
        <w:keepNext/>
        <w:bidi w:val="0"/>
        <w:rPr>
          <w:rFonts w:hint="eastAsia"/>
        </w:rPr>
      </w:pPr>
      <w:r>
        <w:rPr>
          <w:rFonts w:hint="eastAsia" w:ascii="Times New Roman" w:hAnsi="Times New Roman" w:eastAsia="宋体"/>
        </w:rPr>
        <w:t xml:space="preserve">表 </w:t>
      </w:r>
      <w:r>
        <w:rPr>
          <w:rFonts w:hint="eastAsia" w:ascii="Times New Roman" w:hAnsi="Times New Roman" w:eastAsia="宋体"/>
        </w:rPr>
        <w:fldChar w:fldCharType="begin"/>
      </w:r>
      <w:r>
        <w:rPr>
          <w:rFonts w:hint="eastAsia" w:ascii="Times New Roman" w:hAnsi="Times New Roman" w:eastAsia="宋体"/>
        </w:rPr>
        <w:instrText xml:space="preserve"> STYLEREF 3 \s </w:instrText>
      </w:r>
      <w:r>
        <w:rPr>
          <w:rFonts w:hint="eastAsia" w:ascii="Times New Roman" w:hAnsi="Times New Roman" w:eastAsia="宋体"/>
        </w:rPr>
        <w:fldChar w:fldCharType="separate"/>
      </w:r>
      <w:r>
        <w:rPr>
          <w:rFonts w:hint="eastAsia" w:ascii="Times New Roman" w:hAnsi="Times New Roman" w:eastAsia="宋体"/>
        </w:rPr>
        <w:t>2.1.3</w:t>
      </w:r>
      <w:r>
        <w:rPr>
          <w:rFonts w:hint="eastAsia" w:ascii="Times New Roman" w:hAnsi="Times New Roman" w:eastAsia="宋体"/>
        </w:rPr>
        <w:fldChar w:fldCharType="end"/>
      </w:r>
      <w:r>
        <w:rPr>
          <w:rFonts w:hint="eastAsia" w:ascii="Times New Roman" w:hAnsi="Times New Roman" w:eastAsia="宋体"/>
          <w:lang w:eastAsia="zh-CN"/>
        </w:rPr>
        <w:t>-</w:t>
      </w:r>
      <w:r>
        <w:rPr>
          <w:rFonts w:hint="eastAsia" w:ascii="Times New Roman" w:hAnsi="Times New Roman" w:eastAsia="宋体"/>
        </w:rPr>
        <w:fldChar w:fldCharType="begin"/>
      </w:r>
      <w:r>
        <w:rPr>
          <w:rFonts w:hint="eastAsia" w:ascii="Times New Roman" w:hAnsi="Times New Roman" w:eastAsia="宋体"/>
        </w:rPr>
        <w:instrText xml:space="preserve"> SEQ 表 \* ARABIC \s 3 </w:instrText>
      </w:r>
      <w:r>
        <w:rPr>
          <w:rFonts w:hint="eastAsia" w:ascii="Times New Roman" w:hAnsi="Times New Roman" w:eastAsia="宋体"/>
        </w:rPr>
        <w:fldChar w:fldCharType="separate"/>
      </w:r>
      <w:r>
        <w:rPr>
          <w:rFonts w:hint="eastAsia" w:ascii="Times New Roman" w:hAnsi="Times New Roman" w:eastAsia="宋体"/>
        </w:rPr>
        <w:t>2</w:t>
      </w:r>
      <w:r>
        <w:rPr>
          <w:rFonts w:hint="eastAsia" w:ascii="Times New Roman" w:hAnsi="Times New Roman" w:eastAsia="宋体"/>
        </w:rPr>
        <w:fldChar w:fldCharType="end"/>
      </w:r>
      <w:r>
        <w:rPr>
          <w:rFonts w:hint="eastAsia"/>
          <w:lang w:val="en-US" w:eastAsia="zh-CN"/>
        </w:rPr>
        <w:t xml:space="preserve"> </w:t>
      </w:r>
      <w:r>
        <w:rPr>
          <w:rFonts w:hint="eastAsia"/>
        </w:rPr>
        <w:t>载荷性能表</w:t>
      </w:r>
    </w:p>
    <w:p w14:paraId="219CF1F8">
      <w:pPr>
        <w:pStyle w:val="161"/>
        <w:bidi w:val="0"/>
      </w:pPr>
      <w:r>
        <w:drawing>
          <wp:inline distT="0" distB="0" distL="114300" distR="114300">
            <wp:extent cx="5269230" cy="3844925"/>
            <wp:effectExtent l="0" t="0" r="762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5269230" cy="3844925"/>
                    </a:xfrm>
                    <a:prstGeom prst="rect">
                      <a:avLst/>
                    </a:prstGeom>
                    <a:noFill/>
                    <a:ln>
                      <a:noFill/>
                    </a:ln>
                  </pic:spPr>
                </pic:pic>
              </a:graphicData>
            </a:graphic>
          </wp:inline>
        </w:drawing>
      </w:r>
    </w:p>
    <w:p w14:paraId="4540BCFA">
      <w:pPr>
        <w:pStyle w:val="5"/>
        <w:ind w:firstLineChars="0"/>
        <w:rPr>
          <w:b/>
          <w:bCs w:val="0"/>
        </w:rPr>
      </w:pPr>
      <w:r>
        <w:rPr>
          <w:rFonts w:hint="eastAsia"/>
          <w:b/>
          <w:bCs w:val="0"/>
        </w:rPr>
        <w:t>设备结构图</w:t>
      </w:r>
    </w:p>
    <w:p w14:paraId="37575700">
      <w:pPr>
        <w:bidi w:val="0"/>
        <w:rPr>
          <w:rFonts w:hint="eastAsia"/>
        </w:rPr>
      </w:pPr>
      <w:r>
        <w:t>设备结构图</w:t>
      </w:r>
      <w:r>
        <w:rPr>
          <w:rFonts w:hint="eastAsia"/>
        </w:rPr>
        <w:t>如</w:t>
      </w:r>
      <w:r>
        <w:rPr>
          <w:rFonts w:hint="eastAsia"/>
          <w:lang w:val="en-US" w:eastAsia="zh-CN"/>
        </w:rPr>
        <w:t>下表</w:t>
      </w:r>
      <w:r>
        <w:rPr>
          <w:rFonts w:hint="eastAsia"/>
        </w:rPr>
        <w:t>所示。</w:t>
      </w:r>
    </w:p>
    <w:p w14:paraId="66A58982">
      <w:pPr>
        <w:pStyle w:val="332"/>
        <w:bidi w:val="0"/>
      </w:pPr>
      <w:r>
        <w:drawing>
          <wp:inline distT="0" distB="0" distL="114300" distR="114300">
            <wp:extent cx="5273675" cy="6189980"/>
            <wp:effectExtent l="0" t="0" r="3175" b="12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5273675" cy="6189980"/>
                    </a:xfrm>
                    <a:prstGeom prst="rect">
                      <a:avLst/>
                    </a:prstGeom>
                    <a:noFill/>
                    <a:ln>
                      <a:noFill/>
                    </a:ln>
                  </pic:spPr>
                </pic:pic>
              </a:graphicData>
            </a:graphic>
          </wp:inline>
        </w:drawing>
      </w:r>
    </w:p>
    <w:p w14:paraId="4B99D8A9">
      <w:pPr>
        <w:pStyle w:val="15"/>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 xml:space="preserve">图 </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STYLEREF 3 \s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2.1.3</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SEQ 图 \* ARABIC \s 3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 xml:space="preserve">  设备结构图</w:t>
      </w:r>
    </w:p>
    <w:p w14:paraId="3213E147">
      <w:pPr>
        <w:pStyle w:val="4"/>
        <w:rPr>
          <w:rFonts w:hint="default" w:ascii="Times New Roman" w:hAnsi="Times New Roman" w:eastAsia="宋体"/>
          <w:b/>
          <w:bCs w:val="0"/>
          <w:highlight w:val="none"/>
          <w:lang w:val="en-US" w:eastAsia="zh-CN"/>
        </w:rPr>
      </w:pPr>
      <w:r>
        <w:rPr>
          <w:rFonts w:hint="eastAsia" w:ascii="Times New Roman" w:hAnsi="Times New Roman" w:eastAsia="宋体"/>
          <w:b/>
          <w:bCs w:val="0"/>
          <w:highlight w:val="none"/>
        </w:rPr>
        <w:t>危大工程情况</w:t>
      </w:r>
    </w:p>
    <w:p w14:paraId="72FC8C7B">
      <w:pPr>
        <w:pStyle w:val="5"/>
        <w:ind w:firstLineChars="0"/>
        <w:rPr>
          <w:b/>
          <w:bCs w:val="0"/>
        </w:rPr>
      </w:pPr>
      <w:r>
        <w:rPr>
          <w:rFonts w:hint="eastAsia"/>
          <w:b/>
          <w:bCs w:val="0"/>
          <w:lang w:val="en-US" w:eastAsia="zh-CN"/>
        </w:rPr>
        <w:t>塔式起重机</w:t>
      </w:r>
      <w:r>
        <w:rPr>
          <w:rFonts w:hint="eastAsia"/>
          <w:b/>
          <w:bCs w:val="0"/>
        </w:rPr>
        <w:t>主要技术参数</w:t>
      </w:r>
    </w:p>
    <w:p w14:paraId="67409807">
      <w:pPr>
        <w:pStyle w:val="15"/>
        <w:rPr>
          <w:rFonts w:hint="eastAsia" w:ascii="Times New Roman" w:hAnsi="Times New Roman" w:eastAsia="宋体"/>
          <w:highlight w:val="none"/>
          <w:lang w:val="en-US" w:eastAsia="zh-CN"/>
        </w:rPr>
      </w:pPr>
      <w:bookmarkStart w:id="29" w:name="_Ref130455117"/>
      <w:r>
        <w:rPr>
          <w:rFonts w:hint="eastAsia" w:ascii="Times New Roman" w:hAnsi="Times New Roman" w:eastAsia="宋体"/>
          <w:highlight w:val="none"/>
          <w:lang w:val="en-US" w:eastAsia="zh-CN"/>
        </w:rPr>
        <w:t>表</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STYLEREF 3 \s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2.1.4</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SEQ 表 \* ARABIC \s 3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end"/>
      </w:r>
      <w:bookmarkEnd w:id="29"/>
      <w:r>
        <w:rPr>
          <w:rFonts w:hint="eastAsia" w:ascii="Times New Roman" w:hAnsi="Times New Roman" w:eastAsia="宋体"/>
          <w:highlight w:val="none"/>
          <w:lang w:val="en-US" w:eastAsia="zh-CN"/>
        </w:rPr>
        <w:t xml:space="preserve"> </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REF 设备型号2 \h  \* MERGEFORMAT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XGT360-20S</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1</w:t>
      </w:r>
      <w:r>
        <w:rPr>
          <w:rFonts w:hint="eastAsia" w:ascii="Times New Roman" w:hAnsi="Times New Roman" w:eastAsia="宋体"/>
          <w:highlight w:val="none"/>
          <w:lang w:val="en-US" w:eastAsia="zh-CN"/>
        </w:rPr>
        <w:fldChar w:fldCharType="begin"/>
      </w:r>
      <w:r>
        <w:rPr>
          <w:rFonts w:hint="eastAsia" w:ascii="Times New Roman" w:hAnsi="Times New Roman" w:eastAsia="宋体"/>
          <w:highlight w:val="none"/>
          <w:lang w:val="en-US" w:eastAsia="zh-CN"/>
        </w:rPr>
        <w:instrText xml:space="preserve"> REF 设备类型 \h </w:instrText>
      </w:r>
      <w:r>
        <w:rPr>
          <w:rFonts w:hint="eastAsia" w:ascii="Times New Roman" w:hAnsi="Times New Roman" w:eastAsia="宋体"/>
          <w:highlight w:val="none"/>
          <w:lang w:val="en-US" w:eastAsia="zh-CN"/>
        </w:rPr>
        <w:fldChar w:fldCharType="separate"/>
      </w:r>
      <w:r>
        <w:rPr>
          <w:rFonts w:hint="eastAsia" w:ascii="Times New Roman" w:hAnsi="Times New Roman" w:eastAsia="宋体"/>
          <w:highlight w:val="none"/>
          <w:lang w:val="en-US" w:eastAsia="zh-CN"/>
        </w:rPr>
        <w:t>塔式起重机</w:t>
      </w:r>
      <w:r>
        <w:rPr>
          <w:rFonts w:hint="eastAsia" w:ascii="Times New Roman" w:hAnsi="Times New Roman" w:eastAsia="宋体"/>
          <w:highlight w:val="none"/>
          <w:lang w:val="en-US" w:eastAsia="zh-CN"/>
        </w:rPr>
        <w:fldChar w:fldCharType="end"/>
      </w:r>
      <w:r>
        <w:rPr>
          <w:rFonts w:hint="eastAsia" w:ascii="Times New Roman" w:hAnsi="Times New Roman" w:eastAsia="宋体"/>
          <w:highlight w:val="none"/>
          <w:lang w:val="en-US" w:eastAsia="zh-CN"/>
        </w:rPr>
        <w:t>拆除信息表</w:t>
      </w:r>
    </w:p>
    <w:tbl>
      <w:tblPr>
        <w:tblStyle w:val="399"/>
        <w:tblpPr w:leftFromText="180" w:rightFromText="180" w:vertAnchor="text" w:horzAnchor="page" w:tblpX="1796" w:tblpY="483"/>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757"/>
        <w:gridCol w:w="714"/>
        <w:gridCol w:w="794"/>
        <w:gridCol w:w="3560"/>
      </w:tblGrid>
      <w:tr w14:paraId="7AF18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18" w:type="pct"/>
            <w:shd w:val="clear" w:color="auto" w:fill="auto"/>
            <w:vAlign w:val="center"/>
          </w:tcPr>
          <w:p w14:paraId="45B97018">
            <w:pPr>
              <w:pStyle w:val="16"/>
              <w:rPr>
                <w:b/>
              </w:rPr>
            </w:pPr>
            <w:r>
              <w:rPr>
                <w:rFonts w:hint="eastAsia"/>
                <w:b/>
              </w:rPr>
              <w:t>序号</w:t>
            </w:r>
          </w:p>
        </w:tc>
        <w:tc>
          <w:tcPr>
            <w:tcW w:w="1626" w:type="pct"/>
            <w:shd w:val="clear" w:color="auto" w:fill="auto"/>
            <w:vAlign w:val="center"/>
          </w:tcPr>
          <w:p w14:paraId="372E782D">
            <w:pPr>
              <w:pStyle w:val="16"/>
              <w:rPr>
                <w:b/>
              </w:rPr>
            </w:pPr>
            <w:r>
              <w:rPr>
                <w:rFonts w:hint="eastAsia"/>
                <w:b/>
              </w:rPr>
              <w:t>项目</w:t>
            </w:r>
          </w:p>
        </w:tc>
        <w:tc>
          <w:tcPr>
            <w:tcW w:w="428" w:type="pct"/>
            <w:shd w:val="clear" w:color="auto" w:fill="auto"/>
            <w:vAlign w:val="center"/>
          </w:tcPr>
          <w:p w14:paraId="6966750A">
            <w:pPr>
              <w:pStyle w:val="16"/>
              <w:rPr>
                <w:b/>
              </w:rPr>
            </w:pPr>
            <w:r>
              <w:rPr>
                <w:rFonts w:hint="eastAsia"/>
                <w:b/>
              </w:rPr>
              <w:t>单位</w:t>
            </w:r>
          </w:p>
        </w:tc>
        <w:tc>
          <w:tcPr>
            <w:tcW w:w="427" w:type="pct"/>
            <w:shd w:val="clear" w:color="auto" w:fill="auto"/>
            <w:vAlign w:val="center"/>
          </w:tcPr>
          <w:p w14:paraId="653C56D7">
            <w:pPr>
              <w:pStyle w:val="16"/>
              <w:rPr>
                <w:b/>
              </w:rPr>
            </w:pPr>
            <w:r>
              <w:rPr>
                <w:rFonts w:hint="eastAsia"/>
                <w:b/>
              </w:rPr>
              <w:t>值</w:t>
            </w:r>
          </w:p>
        </w:tc>
        <w:tc>
          <w:tcPr>
            <w:tcW w:w="2097" w:type="pct"/>
            <w:shd w:val="clear" w:color="auto" w:fill="auto"/>
            <w:vAlign w:val="center"/>
          </w:tcPr>
          <w:p w14:paraId="69E29CA3">
            <w:pPr>
              <w:pStyle w:val="16"/>
              <w:rPr>
                <w:b/>
              </w:rPr>
            </w:pPr>
            <w:r>
              <w:rPr>
                <w:rFonts w:hint="eastAsia"/>
                <w:b/>
              </w:rPr>
              <w:t>备注</w:t>
            </w:r>
          </w:p>
        </w:tc>
      </w:tr>
      <w:tr w14:paraId="72D42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43575D67">
            <w:pPr>
              <w:pStyle w:val="16"/>
              <w:numPr>
                <w:ilvl w:val="0"/>
                <w:numId w:val="14"/>
              </w:numPr>
              <w:rPr>
                <w:b w:val="0"/>
                <w:bCs w:val="0"/>
              </w:rPr>
            </w:pPr>
          </w:p>
        </w:tc>
        <w:tc>
          <w:tcPr>
            <w:tcW w:w="1626" w:type="pct"/>
            <w:shd w:val="clear" w:color="auto" w:fill="auto"/>
            <w:vAlign w:val="center"/>
          </w:tcPr>
          <w:p w14:paraId="1E3B7A0F">
            <w:pPr>
              <w:pStyle w:val="16"/>
              <w:rPr>
                <w:b w:val="0"/>
                <w:bCs w:val="0"/>
              </w:rPr>
            </w:pPr>
            <w:r>
              <w:rPr>
                <w:rFonts w:hint="eastAsia"/>
                <w:b w:val="0"/>
                <w:bCs w:val="0"/>
              </w:rPr>
              <w:t>最终</w:t>
            </w:r>
            <w:r>
              <w:rPr>
                <w:rFonts w:hint="eastAsia"/>
                <w:b w:val="0"/>
                <w:bCs w:val="0"/>
                <w:lang w:val="en-US" w:eastAsia="zh-CN"/>
              </w:rPr>
              <w:t>拆除</w:t>
            </w:r>
            <w:r>
              <w:rPr>
                <w:rFonts w:hint="eastAsia"/>
                <w:b w:val="0"/>
                <w:bCs w:val="0"/>
              </w:rPr>
              <w:t>高度</w:t>
            </w:r>
          </w:p>
        </w:tc>
        <w:tc>
          <w:tcPr>
            <w:tcW w:w="428" w:type="pct"/>
            <w:shd w:val="clear" w:color="auto" w:fill="auto"/>
            <w:vAlign w:val="center"/>
          </w:tcPr>
          <w:p w14:paraId="55EAE89E">
            <w:pPr>
              <w:pStyle w:val="16"/>
              <w:rPr>
                <w:b w:val="0"/>
                <w:bCs w:val="0"/>
              </w:rPr>
            </w:pPr>
            <w:r>
              <w:rPr>
                <w:rFonts w:hint="eastAsia"/>
                <w:b w:val="0"/>
                <w:bCs w:val="0"/>
              </w:rPr>
              <w:t>m</w:t>
            </w:r>
          </w:p>
        </w:tc>
        <w:tc>
          <w:tcPr>
            <w:tcW w:w="427" w:type="pct"/>
            <w:shd w:val="clear" w:color="auto" w:fill="auto"/>
            <w:vAlign w:val="center"/>
          </w:tcPr>
          <w:p w14:paraId="3A362F3D">
            <w:pPr>
              <w:pStyle w:val="16"/>
              <w:rPr>
                <w:rFonts w:hint="default" w:eastAsia="宋体"/>
                <w:b w:val="0"/>
                <w:bCs w:val="0"/>
                <w:lang w:val="en-US" w:eastAsia="zh-CN"/>
              </w:rPr>
            </w:pPr>
            <w:r>
              <w:rPr>
                <w:rFonts w:hint="eastAsia"/>
                <w:b w:val="0"/>
                <w:bCs w:val="0"/>
                <w:lang w:val="en-US" w:eastAsia="zh-CN"/>
              </w:rPr>
              <w:t>261.15</w:t>
            </w:r>
          </w:p>
        </w:tc>
        <w:tc>
          <w:tcPr>
            <w:tcW w:w="2097" w:type="pct"/>
            <w:shd w:val="clear" w:color="auto" w:fill="auto"/>
            <w:vAlign w:val="center"/>
          </w:tcPr>
          <w:p w14:paraId="52338814">
            <w:pPr>
              <w:pStyle w:val="16"/>
              <w:rPr>
                <w:b w:val="0"/>
                <w:bCs w:val="0"/>
              </w:rPr>
            </w:pPr>
            <w:r>
              <w:rPr>
                <w:rFonts w:hint="eastAsia"/>
                <w:b w:val="0"/>
                <w:bCs w:val="0"/>
              </w:rPr>
              <w:t>相对基础顶标高，2节基础节、</w:t>
            </w:r>
            <w:r>
              <w:rPr>
                <w:rFonts w:hint="eastAsia"/>
                <w:b w:val="0"/>
                <w:bCs w:val="0"/>
                <w:lang w:val="en-US" w:eastAsia="zh-CN"/>
              </w:rPr>
              <w:t>82</w:t>
            </w:r>
            <w:r>
              <w:rPr>
                <w:rFonts w:hint="eastAsia"/>
                <w:b w:val="0"/>
                <w:bCs w:val="0"/>
              </w:rPr>
              <w:t>节标准节、1节特殊节</w:t>
            </w:r>
          </w:p>
        </w:tc>
      </w:tr>
      <w:tr w14:paraId="0A439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330ABDA8">
            <w:pPr>
              <w:pStyle w:val="16"/>
              <w:numPr>
                <w:ilvl w:val="0"/>
                <w:numId w:val="14"/>
              </w:numPr>
              <w:rPr>
                <w:b w:val="0"/>
                <w:bCs w:val="0"/>
              </w:rPr>
            </w:pPr>
          </w:p>
        </w:tc>
        <w:tc>
          <w:tcPr>
            <w:tcW w:w="1626" w:type="pct"/>
            <w:vMerge w:val="restart"/>
            <w:shd w:val="clear" w:color="auto" w:fill="auto"/>
            <w:vAlign w:val="center"/>
          </w:tcPr>
          <w:p w14:paraId="4D102B35">
            <w:pPr>
              <w:pStyle w:val="16"/>
              <w:rPr>
                <w:b w:val="0"/>
                <w:bCs w:val="0"/>
              </w:rPr>
            </w:pPr>
            <w:r>
              <w:rPr>
                <w:rFonts w:hint="eastAsia"/>
                <w:b w:val="0"/>
                <w:bCs w:val="0"/>
              </w:rPr>
              <w:t>附着以上最大标准节个数</w:t>
            </w:r>
          </w:p>
        </w:tc>
        <w:tc>
          <w:tcPr>
            <w:tcW w:w="428" w:type="pct"/>
            <w:vMerge w:val="restart"/>
            <w:shd w:val="clear" w:color="auto" w:fill="auto"/>
            <w:vAlign w:val="center"/>
          </w:tcPr>
          <w:p w14:paraId="602206C0">
            <w:pPr>
              <w:pStyle w:val="16"/>
              <w:rPr>
                <w:b w:val="0"/>
                <w:bCs w:val="0"/>
              </w:rPr>
            </w:pPr>
            <w:r>
              <w:rPr>
                <w:rFonts w:hint="eastAsia"/>
                <w:b w:val="0"/>
                <w:bCs w:val="0"/>
              </w:rPr>
              <w:t>个</w:t>
            </w:r>
          </w:p>
        </w:tc>
        <w:tc>
          <w:tcPr>
            <w:tcW w:w="427" w:type="pct"/>
            <w:shd w:val="clear" w:color="auto" w:fill="auto"/>
            <w:vAlign w:val="center"/>
          </w:tcPr>
          <w:p w14:paraId="62A595ED">
            <w:pPr>
              <w:pStyle w:val="16"/>
              <w:rPr>
                <w:rFonts w:hint="default" w:eastAsia="宋体"/>
                <w:b w:val="0"/>
                <w:bCs w:val="0"/>
                <w:lang w:val="en-US" w:eastAsia="zh-CN"/>
              </w:rPr>
            </w:pPr>
            <w:r>
              <w:rPr>
                <w:rFonts w:hint="eastAsia"/>
                <w:b w:val="0"/>
                <w:bCs w:val="0"/>
                <w:lang w:val="en-US" w:eastAsia="zh-CN"/>
              </w:rPr>
              <w:t>13.5</w:t>
            </w:r>
          </w:p>
        </w:tc>
        <w:tc>
          <w:tcPr>
            <w:tcW w:w="2097" w:type="pct"/>
            <w:shd w:val="clear" w:color="auto" w:fill="auto"/>
            <w:vAlign w:val="center"/>
          </w:tcPr>
          <w:p w14:paraId="49D2EA9B">
            <w:pPr>
              <w:pStyle w:val="16"/>
              <w:rPr>
                <w:b w:val="0"/>
                <w:bCs w:val="0"/>
              </w:rPr>
            </w:pPr>
            <w:r>
              <w:rPr>
                <w:rFonts w:hint="eastAsia"/>
                <w:b w:val="0"/>
                <w:bCs w:val="0"/>
              </w:rPr>
              <w:t>工作高度</w:t>
            </w:r>
            <w:r>
              <w:rPr>
                <w:rFonts w:hint="eastAsia"/>
                <w:b w:val="0"/>
                <w:bCs w:val="0"/>
                <w:i/>
              </w:rPr>
              <w:t>h</w:t>
            </w:r>
            <w:r>
              <w:rPr>
                <w:rFonts w:hint="eastAsia"/>
                <w:b w:val="0"/>
                <w:bCs w:val="0"/>
              </w:rPr>
              <w:t>≤</w:t>
            </w:r>
            <w:r>
              <w:rPr>
                <w:rFonts w:hint="eastAsia"/>
                <w:b w:val="0"/>
                <w:bCs w:val="0"/>
                <w:lang w:val="en-US" w:eastAsia="zh-CN"/>
              </w:rPr>
              <w:t>192</w:t>
            </w:r>
            <w:r>
              <w:rPr>
                <w:b w:val="0"/>
                <w:bCs w:val="0"/>
              </w:rPr>
              <w:t>m</w:t>
            </w:r>
          </w:p>
        </w:tc>
      </w:tr>
      <w:tr w14:paraId="6AE00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3FBD3FE0">
            <w:pPr>
              <w:pStyle w:val="16"/>
              <w:numPr>
                <w:ilvl w:val="0"/>
                <w:numId w:val="14"/>
              </w:numPr>
              <w:rPr>
                <w:b w:val="0"/>
                <w:bCs w:val="0"/>
              </w:rPr>
            </w:pPr>
          </w:p>
        </w:tc>
        <w:tc>
          <w:tcPr>
            <w:tcW w:w="1626" w:type="pct"/>
            <w:vMerge w:val="continue"/>
            <w:shd w:val="clear" w:color="auto" w:fill="auto"/>
            <w:vAlign w:val="center"/>
          </w:tcPr>
          <w:p w14:paraId="673ED2C0">
            <w:pPr>
              <w:pStyle w:val="16"/>
              <w:rPr>
                <w:b w:val="0"/>
                <w:bCs w:val="0"/>
              </w:rPr>
            </w:pPr>
          </w:p>
        </w:tc>
        <w:tc>
          <w:tcPr>
            <w:tcW w:w="428" w:type="pct"/>
            <w:vMerge w:val="continue"/>
            <w:shd w:val="clear" w:color="auto" w:fill="auto"/>
            <w:vAlign w:val="center"/>
          </w:tcPr>
          <w:p w14:paraId="7A0B47FE">
            <w:pPr>
              <w:pStyle w:val="16"/>
              <w:rPr>
                <w:b w:val="0"/>
                <w:bCs w:val="0"/>
              </w:rPr>
            </w:pPr>
          </w:p>
        </w:tc>
        <w:tc>
          <w:tcPr>
            <w:tcW w:w="427" w:type="pct"/>
            <w:shd w:val="clear" w:color="auto" w:fill="auto"/>
            <w:vAlign w:val="center"/>
          </w:tcPr>
          <w:p w14:paraId="3EDBFD6C">
            <w:pPr>
              <w:pStyle w:val="16"/>
              <w:rPr>
                <w:rFonts w:hint="default" w:eastAsia="宋体"/>
                <w:b w:val="0"/>
                <w:bCs w:val="0"/>
                <w:lang w:val="en-US" w:eastAsia="zh-CN"/>
              </w:rPr>
            </w:pPr>
            <w:r>
              <w:rPr>
                <w:b w:val="0"/>
                <w:bCs w:val="0"/>
              </w:rPr>
              <w:t>11</w:t>
            </w:r>
            <w:r>
              <w:rPr>
                <w:rFonts w:hint="eastAsia"/>
                <w:b w:val="0"/>
                <w:bCs w:val="0"/>
                <w:lang w:val="en-US" w:eastAsia="zh-CN"/>
              </w:rPr>
              <w:t>.5</w:t>
            </w:r>
          </w:p>
        </w:tc>
        <w:tc>
          <w:tcPr>
            <w:tcW w:w="2097" w:type="pct"/>
            <w:shd w:val="clear" w:color="auto" w:fill="auto"/>
            <w:vAlign w:val="center"/>
          </w:tcPr>
          <w:p w14:paraId="1D0E8807">
            <w:pPr>
              <w:pStyle w:val="16"/>
              <w:rPr>
                <w:b w:val="0"/>
                <w:bCs w:val="0"/>
              </w:rPr>
            </w:pPr>
            <w:r>
              <w:rPr>
                <w:rFonts w:hint="eastAsia"/>
                <w:b w:val="0"/>
                <w:bCs w:val="0"/>
                <w:lang w:val="en-US" w:eastAsia="zh-CN"/>
              </w:rPr>
              <w:t>282</w:t>
            </w:r>
            <w:r>
              <w:rPr>
                <w:b w:val="0"/>
                <w:bCs w:val="0"/>
              </w:rPr>
              <w:t>m＜</w:t>
            </w:r>
            <w:r>
              <w:rPr>
                <w:rFonts w:hint="eastAsia"/>
                <w:b w:val="0"/>
                <w:bCs w:val="0"/>
              </w:rPr>
              <w:t>工作高度</w:t>
            </w:r>
            <w:r>
              <w:rPr>
                <w:rFonts w:hint="eastAsia"/>
                <w:b w:val="0"/>
                <w:bCs w:val="0"/>
                <w:i/>
              </w:rPr>
              <w:t>h</w:t>
            </w:r>
            <w:r>
              <w:rPr>
                <w:rFonts w:hint="eastAsia"/>
                <w:b w:val="0"/>
                <w:bCs w:val="0"/>
              </w:rPr>
              <w:t>≤</w:t>
            </w:r>
            <w:r>
              <w:rPr>
                <w:rFonts w:hint="eastAsia"/>
                <w:b w:val="0"/>
                <w:bCs w:val="0"/>
                <w:lang w:val="en-US" w:eastAsia="zh-CN"/>
              </w:rPr>
              <w:t>336</w:t>
            </w:r>
            <w:r>
              <w:rPr>
                <w:rFonts w:hint="eastAsia"/>
                <w:b w:val="0"/>
                <w:bCs w:val="0"/>
              </w:rPr>
              <w:t>m</w:t>
            </w:r>
          </w:p>
        </w:tc>
      </w:tr>
      <w:tr w14:paraId="3896F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02C2C75">
            <w:pPr>
              <w:pStyle w:val="16"/>
              <w:numPr>
                <w:ilvl w:val="0"/>
                <w:numId w:val="14"/>
              </w:numPr>
              <w:rPr>
                <w:b w:val="0"/>
                <w:bCs w:val="0"/>
              </w:rPr>
            </w:pPr>
          </w:p>
        </w:tc>
        <w:tc>
          <w:tcPr>
            <w:tcW w:w="1626" w:type="pct"/>
            <w:vMerge w:val="continue"/>
            <w:shd w:val="clear" w:color="auto" w:fill="auto"/>
            <w:vAlign w:val="center"/>
          </w:tcPr>
          <w:p w14:paraId="6D3FB98A">
            <w:pPr>
              <w:pStyle w:val="16"/>
              <w:rPr>
                <w:b w:val="0"/>
                <w:bCs w:val="0"/>
              </w:rPr>
            </w:pPr>
          </w:p>
        </w:tc>
        <w:tc>
          <w:tcPr>
            <w:tcW w:w="428" w:type="pct"/>
            <w:vMerge w:val="continue"/>
            <w:shd w:val="clear" w:color="auto" w:fill="auto"/>
            <w:vAlign w:val="center"/>
          </w:tcPr>
          <w:p w14:paraId="557E94EE">
            <w:pPr>
              <w:pStyle w:val="16"/>
              <w:rPr>
                <w:b w:val="0"/>
                <w:bCs w:val="0"/>
              </w:rPr>
            </w:pPr>
          </w:p>
        </w:tc>
        <w:tc>
          <w:tcPr>
            <w:tcW w:w="427" w:type="pct"/>
            <w:shd w:val="clear" w:color="auto" w:fill="auto"/>
            <w:vAlign w:val="center"/>
          </w:tcPr>
          <w:p w14:paraId="2A4B0943">
            <w:pPr>
              <w:pStyle w:val="16"/>
              <w:rPr>
                <w:rFonts w:hint="default" w:eastAsia="宋体"/>
                <w:b w:val="0"/>
                <w:bCs w:val="0"/>
                <w:lang w:val="en-US" w:eastAsia="zh-CN"/>
              </w:rPr>
            </w:pPr>
            <w:r>
              <w:rPr>
                <w:b w:val="0"/>
                <w:bCs w:val="0"/>
              </w:rPr>
              <w:t>10</w:t>
            </w:r>
            <w:r>
              <w:rPr>
                <w:rFonts w:hint="eastAsia"/>
                <w:b w:val="0"/>
                <w:bCs w:val="0"/>
                <w:lang w:val="en-US" w:eastAsia="zh-CN"/>
              </w:rPr>
              <w:t>.5</w:t>
            </w:r>
          </w:p>
        </w:tc>
        <w:tc>
          <w:tcPr>
            <w:tcW w:w="2097" w:type="pct"/>
            <w:shd w:val="clear" w:color="auto" w:fill="auto"/>
            <w:vAlign w:val="center"/>
          </w:tcPr>
          <w:p w14:paraId="6895BE88">
            <w:pPr>
              <w:pStyle w:val="16"/>
              <w:rPr>
                <w:b w:val="0"/>
                <w:bCs w:val="0"/>
              </w:rPr>
            </w:pPr>
            <w:r>
              <w:rPr>
                <w:rFonts w:hint="eastAsia"/>
                <w:b w:val="0"/>
                <w:bCs w:val="0"/>
                <w:lang w:val="en-US" w:eastAsia="zh-CN"/>
              </w:rPr>
              <w:t>336</w:t>
            </w:r>
            <w:r>
              <w:rPr>
                <w:b w:val="0"/>
                <w:bCs w:val="0"/>
              </w:rPr>
              <w:t>m＜</w:t>
            </w:r>
            <w:r>
              <w:rPr>
                <w:rFonts w:hint="eastAsia"/>
                <w:b w:val="0"/>
                <w:bCs w:val="0"/>
              </w:rPr>
              <w:t>工作高度</w:t>
            </w:r>
            <w:r>
              <w:rPr>
                <w:rFonts w:hint="eastAsia"/>
                <w:b w:val="0"/>
                <w:bCs w:val="0"/>
                <w:i/>
              </w:rPr>
              <w:t>h</w:t>
            </w:r>
          </w:p>
        </w:tc>
      </w:tr>
      <w:tr w14:paraId="0463D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center"/>
          </w:tcPr>
          <w:p w14:paraId="28BF6864">
            <w:pPr>
              <w:pStyle w:val="16"/>
              <w:numPr>
                <w:ilvl w:val="0"/>
                <w:numId w:val="14"/>
              </w:numPr>
              <w:rPr>
                <w:b w:val="0"/>
                <w:bCs w:val="0"/>
              </w:rPr>
            </w:pPr>
          </w:p>
        </w:tc>
        <w:tc>
          <w:tcPr>
            <w:tcW w:w="1626" w:type="pct"/>
            <w:shd w:val="clear" w:color="auto" w:fill="auto"/>
            <w:vAlign w:val="center"/>
          </w:tcPr>
          <w:p w14:paraId="7B5564E7">
            <w:pPr>
              <w:pStyle w:val="16"/>
              <w:rPr>
                <w:b w:val="0"/>
                <w:bCs w:val="0"/>
              </w:rPr>
            </w:pPr>
            <w:r>
              <w:rPr>
                <w:rFonts w:hint="eastAsia"/>
                <w:b w:val="0"/>
                <w:bCs w:val="0"/>
              </w:rPr>
              <w:t>附着</w:t>
            </w:r>
          </w:p>
        </w:tc>
        <w:tc>
          <w:tcPr>
            <w:tcW w:w="428" w:type="pct"/>
            <w:shd w:val="clear" w:color="auto" w:fill="auto"/>
            <w:vAlign w:val="center"/>
          </w:tcPr>
          <w:p w14:paraId="14C97743">
            <w:pPr>
              <w:pStyle w:val="16"/>
              <w:rPr>
                <w:b w:val="0"/>
                <w:bCs w:val="0"/>
              </w:rPr>
            </w:pPr>
            <w:r>
              <w:rPr>
                <w:rFonts w:hint="eastAsia"/>
                <w:b w:val="0"/>
                <w:bCs w:val="0"/>
              </w:rPr>
              <w:t>道</w:t>
            </w:r>
          </w:p>
        </w:tc>
        <w:tc>
          <w:tcPr>
            <w:tcW w:w="427" w:type="pct"/>
            <w:shd w:val="clear" w:color="auto" w:fill="auto"/>
            <w:vAlign w:val="center"/>
          </w:tcPr>
          <w:p w14:paraId="355A2698">
            <w:pPr>
              <w:pStyle w:val="16"/>
              <w:rPr>
                <w:rFonts w:hint="default" w:eastAsia="宋体"/>
                <w:b w:val="0"/>
                <w:bCs w:val="0"/>
                <w:lang w:val="en-US" w:eastAsia="zh-CN"/>
              </w:rPr>
            </w:pPr>
            <w:r>
              <w:rPr>
                <w:rFonts w:hint="eastAsia"/>
                <w:b w:val="0"/>
                <w:bCs w:val="0"/>
                <w:lang w:val="en-US" w:eastAsia="zh-CN"/>
              </w:rPr>
              <w:t>14</w:t>
            </w:r>
          </w:p>
        </w:tc>
        <w:tc>
          <w:tcPr>
            <w:tcW w:w="2097" w:type="pct"/>
            <w:shd w:val="clear" w:color="auto" w:fill="auto"/>
            <w:vAlign w:val="center"/>
          </w:tcPr>
          <w:p w14:paraId="7FC60D5B">
            <w:pPr>
              <w:pStyle w:val="16"/>
              <w:rPr>
                <w:b w:val="0"/>
                <w:bCs w:val="0"/>
              </w:rPr>
            </w:pPr>
          </w:p>
        </w:tc>
      </w:tr>
      <w:tr w14:paraId="5D868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160FCD81">
            <w:pPr>
              <w:pStyle w:val="16"/>
              <w:numPr>
                <w:ilvl w:val="0"/>
                <w:numId w:val="14"/>
              </w:numPr>
              <w:rPr>
                <w:b w:val="0"/>
                <w:bCs w:val="0"/>
              </w:rPr>
            </w:pPr>
          </w:p>
        </w:tc>
        <w:tc>
          <w:tcPr>
            <w:tcW w:w="1626" w:type="pct"/>
            <w:shd w:val="clear" w:color="auto" w:fill="auto"/>
            <w:vAlign w:val="center"/>
          </w:tcPr>
          <w:p w14:paraId="2C25F7AC">
            <w:pPr>
              <w:pStyle w:val="16"/>
              <w:rPr>
                <w:b w:val="0"/>
                <w:bCs w:val="0"/>
              </w:rPr>
            </w:pPr>
            <w:r>
              <w:rPr>
                <w:rFonts w:hint="eastAsia"/>
                <w:b w:val="0"/>
                <w:bCs w:val="0"/>
              </w:rPr>
              <w:t>起重臂长</w:t>
            </w:r>
          </w:p>
        </w:tc>
        <w:tc>
          <w:tcPr>
            <w:tcW w:w="428" w:type="pct"/>
            <w:shd w:val="clear" w:color="auto" w:fill="auto"/>
            <w:vAlign w:val="center"/>
          </w:tcPr>
          <w:p w14:paraId="10F0B195">
            <w:pPr>
              <w:pStyle w:val="16"/>
              <w:rPr>
                <w:b w:val="0"/>
                <w:bCs w:val="0"/>
              </w:rPr>
            </w:pPr>
            <w:r>
              <w:rPr>
                <w:rFonts w:hint="eastAsia"/>
                <w:b w:val="0"/>
                <w:bCs w:val="0"/>
              </w:rPr>
              <w:t>m</w:t>
            </w:r>
          </w:p>
        </w:tc>
        <w:tc>
          <w:tcPr>
            <w:tcW w:w="427" w:type="pct"/>
            <w:shd w:val="clear" w:color="auto" w:fill="auto"/>
            <w:vAlign w:val="center"/>
          </w:tcPr>
          <w:p w14:paraId="6B2F02AF">
            <w:pPr>
              <w:pStyle w:val="16"/>
              <w:rPr>
                <w:b w:val="0"/>
                <w:bCs w:val="0"/>
              </w:rPr>
            </w:pPr>
            <w:r>
              <w:rPr>
                <w:b w:val="0"/>
                <w:bCs w:val="0"/>
              </w:rPr>
              <w:t>35</w:t>
            </w:r>
          </w:p>
        </w:tc>
        <w:tc>
          <w:tcPr>
            <w:tcW w:w="2097" w:type="pct"/>
            <w:shd w:val="clear" w:color="auto" w:fill="auto"/>
            <w:vAlign w:val="center"/>
          </w:tcPr>
          <w:p w14:paraId="356B28BA">
            <w:pPr>
              <w:pStyle w:val="16"/>
              <w:rPr>
                <w:rFonts w:hint="default" w:eastAsia="宋体"/>
                <w:b w:val="0"/>
                <w:bCs w:val="0"/>
                <w:lang w:val="en-US" w:eastAsia="zh-CN"/>
              </w:rPr>
            </w:pPr>
            <w:r>
              <w:rPr>
                <w:rFonts w:hint="eastAsia"/>
                <w:b w:val="0"/>
                <w:bCs w:val="0"/>
                <w:lang w:val="en-US" w:eastAsia="zh-CN"/>
              </w:rPr>
              <w:t>10</w:t>
            </w:r>
            <w:r>
              <w:rPr>
                <w:b w:val="0"/>
                <w:bCs w:val="0"/>
              </w:rPr>
              <w:t>+</w:t>
            </w:r>
            <w:r>
              <w:rPr>
                <w:rFonts w:hint="eastAsia"/>
                <w:b w:val="0"/>
                <w:bCs w:val="0"/>
                <w:lang w:val="en-US" w:eastAsia="zh-CN"/>
              </w:rPr>
              <w:t>5</w:t>
            </w:r>
            <w:r>
              <w:rPr>
                <w:b w:val="0"/>
                <w:bCs w:val="0"/>
              </w:rPr>
              <w:t>+10+5</w:t>
            </w:r>
            <w:r>
              <w:rPr>
                <w:rFonts w:hint="eastAsia"/>
                <w:b w:val="0"/>
                <w:bCs w:val="0"/>
                <w:lang w:val="en-US" w:eastAsia="zh-CN"/>
              </w:rPr>
              <w:t>+10</w:t>
            </w:r>
          </w:p>
        </w:tc>
      </w:tr>
      <w:tr w14:paraId="6E068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4D07473">
            <w:pPr>
              <w:pStyle w:val="16"/>
              <w:numPr>
                <w:ilvl w:val="0"/>
                <w:numId w:val="14"/>
              </w:numPr>
              <w:rPr>
                <w:b w:val="0"/>
                <w:bCs w:val="0"/>
              </w:rPr>
            </w:pPr>
          </w:p>
        </w:tc>
        <w:tc>
          <w:tcPr>
            <w:tcW w:w="1626" w:type="pct"/>
            <w:vMerge w:val="restart"/>
            <w:shd w:val="clear" w:color="auto" w:fill="auto"/>
            <w:vAlign w:val="center"/>
          </w:tcPr>
          <w:p w14:paraId="2586AB30">
            <w:pPr>
              <w:pStyle w:val="16"/>
              <w:rPr>
                <w:b w:val="0"/>
                <w:bCs w:val="0"/>
              </w:rPr>
            </w:pPr>
            <w:r>
              <w:rPr>
                <w:rFonts w:hint="eastAsia"/>
                <w:b w:val="0"/>
                <w:bCs w:val="0"/>
              </w:rPr>
              <w:t>最大吊重</w:t>
            </w:r>
          </w:p>
        </w:tc>
        <w:tc>
          <w:tcPr>
            <w:tcW w:w="428" w:type="pct"/>
            <w:vMerge w:val="restart"/>
            <w:shd w:val="clear" w:color="auto" w:fill="auto"/>
            <w:vAlign w:val="center"/>
          </w:tcPr>
          <w:p w14:paraId="7345839E">
            <w:pPr>
              <w:pStyle w:val="16"/>
              <w:rPr>
                <w:b w:val="0"/>
                <w:bCs w:val="0"/>
              </w:rPr>
            </w:pPr>
            <w:r>
              <w:rPr>
                <w:rFonts w:hint="eastAsia"/>
                <w:b w:val="0"/>
                <w:bCs w:val="0"/>
              </w:rPr>
              <w:t>t</w:t>
            </w:r>
          </w:p>
        </w:tc>
        <w:tc>
          <w:tcPr>
            <w:tcW w:w="427" w:type="pct"/>
            <w:shd w:val="clear" w:color="auto" w:fill="auto"/>
            <w:vAlign w:val="center"/>
          </w:tcPr>
          <w:p w14:paraId="52ECCBE7">
            <w:pPr>
              <w:pStyle w:val="16"/>
              <w:rPr>
                <w:b w:val="0"/>
                <w:bCs w:val="0"/>
              </w:rPr>
            </w:pPr>
            <w:r>
              <w:rPr>
                <w:b w:val="0"/>
                <w:bCs w:val="0"/>
              </w:rPr>
              <w:t>10</w:t>
            </w:r>
          </w:p>
        </w:tc>
        <w:tc>
          <w:tcPr>
            <w:tcW w:w="2097" w:type="pct"/>
            <w:shd w:val="clear" w:color="auto" w:fill="auto"/>
            <w:vAlign w:val="center"/>
          </w:tcPr>
          <w:p w14:paraId="7C794895">
            <w:pPr>
              <w:pStyle w:val="16"/>
              <w:rPr>
                <w:b w:val="0"/>
                <w:bCs w:val="0"/>
              </w:rPr>
            </w:pPr>
            <w:r>
              <w:rPr>
                <w:rFonts w:hint="eastAsia"/>
                <w:b w:val="0"/>
                <w:bCs w:val="0"/>
              </w:rPr>
              <w:t>二倍率（</w:t>
            </w:r>
            <w:r>
              <w:rPr>
                <w:rFonts w:hint="eastAsia"/>
                <w:b w:val="0"/>
                <w:bCs w:val="0"/>
                <w:lang w:val="en-US" w:eastAsia="zh-CN"/>
              </w:rPr>
              <w:t>3</w:t>
            </w:r>
            <w:r>
              <w:rPr>
                <w:b w:val="0"/>
                <w:bCs w:val="0"/>
              </w:rPr>
              <w:t>.5m吊幅处</w:t>
            </w:r>
            <w:r>
              <w:rPr>
                <w:rFonts w:hint="eastAsia"/>
                <w:b w:val="0"/>
                <w:bCs w:val="0"/>
              </w:rPr>
              <w:t>）</w:t>
            </w:r>
          </w:p>
        </w:tc>
      </w:tr>
      <w:tr w14:paraId="23843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0A9B6B50">
            <w:pPr>
              <w:pStyle w:val="16"/>
              <w:numPr>
                <w:ilvl w:val="0"/>
                <w:numId w:val="14"/>
              </w:numPr>
              <w:rPr>
                <w:b w:val="0"/>
                <w:bCs w:val="0"/>
              </w:rPr>
            </w:pPr>
          </w:p>
        </w:tc>
        <w:tc>
          <w:tcPr>
            <w:tcW w:w="1626" w:type="pct"/>
            <w:vMerge w:val="continue"/>
            <w:shd w:val="clear" w:color="auto" w:fill="auto"/>
            <w:vAlign w:val="center"/>
          </w:tcPr>
          <w:p w14:paraId="73BB745F">
            <w:pPr>
              <w:pStyle w:val="16"/>
              <w:rPr>
                <w:b w:val="0"/>
                <w:bCs w:val="0"/>
              </w:rPr>
            </w:pPr>
          </w:p>
        </w:tc>
        <w:tc>
          <w:tcPr>
            <w:tcW w:w="428" w:type="pct"/>
            <w:vMerge w:val="continue"/>
            <w:shd w:val="clear" w:color="auto" w:fill="auto"/>
            <w:vAlign w:val="center"/>
          </w:tcPr>
          <w:p w14:paraId="1D85ADD8">
            <w:pPr>
              <w:pStyle w:val="16"/>
              <w:rPr>
                <w:b w:val="0"/>
                <w:bCs w:val="0"/>
              </w:rPr>
            </w:pPr>
          </w:p>
        </w:tc>
        <w:tc>
          <w:tcPr>
            <w:tcW w:w="427" w:type="pct"/>
            <w:shd w:val="clear" w:color="auto" w:fill="auto"/>
            <w:vAlign w:val="center"/>
          </w:tcPr>
          <w:p w14:paraId="320D67FA">
            <w:pPr>
              <w:pStyle w:val="16"/>
              <w:rPr>
                <w:b w:val="0"/>
                <w:bCs w:val="0"/>
              </w:rPr>
            </w:pPr>
            <w:r>
              <w:rPr>
                <w:b w:val="0"/>
                <w:bCs w:val="0"/>
              </w:rPr>
              <w:t>20</w:t>
            </w:r>
          </w:p>
        </w:tc>
        <w:tc>
          <w:tcPr>
            <w:tcW w:w="2097" w:type="pct"/>
            <w:shd w:val="clear" w:color="auto" w:fill="auto"/>
            <w:vAlign w:val="center"/>
          </w:tcPr>
          <w:p w14:paraId="445C8581">
            <w:pPr>
              <w:pStyle w:val="16"/>
              <w:rPr>
                <w:b w:val="0"/>
                <w:bCs w:val="0"/>
              </w:rPr>
            </w:pPr>
            <w:r>
              <w:rPr>
                <w:rFonts w:hint="eastAsia"/>
                <w:b w:val="0"/>
                <w:bCs w:val="0"/>
              </w:rPr>
              <w:t>四倍率（</w:t>
            </w:r>
            <w:r>
              <w:rPr>
                <w:rFonts w:hint="eastAsia"/>
                <w:b w:val="0"/>
                <w:bCs w:val="0"/>
                <w:lang w:val="en-US" w:eastAsia="zh-CN"/>
              </w:rPr>
              <w:t>3</w:t>
            </w:r>
            <w:r>
              <w:rPr>
                <w:b w:val="0"/>
                <w:bCs w:val="0"/>
              </w:rPr>
              <w:t>.5m吊幅处</w:t>
            </w:r>
            <w:r>
              <w:rPr>
                <w:rFonts w:hint="eastAsia"/>
                <w:b w:val="0"/>
                <w:bCs w:val="0"/>
              </w:rPr>
              <w:t>）</w:t>
            </w:r>
          </w:p>
        </w:tc>
      </w:tr>
      <w:tr w14:paraId="3AACA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4F318D89">
            <w:pPr>
              <w:pStyle w:val="16"/>
              <w:numPr>
                <w:ilvl w:val="0"/>
                <w:numId w:val="14"/>
              </w:numPr>
              <w:rPr>
                <w:b w:val="0"/>
                <w:bCs w:val="0"/>
              </w:rPr>
            </w:pPr>
          </w:p>
        </w:tc>
        <w:tc>
          <w:tcPr>
            <w:tcW w:w="1626" w:type="pct"/>
            <w:vMerge w:val="restart"/>
            <w:shd w:val="clear" w:color="auto" w:fill="auto"/>
            <w:vAlign w:val="center"/>
          </w:tcPr>
          <w:p w14:paraId="0FFDC766">
            <w:pPr>
              <w:pStyle w:val="16"/>
              <w:rPr>
                <w:b w:val="0"/>
                <w:bCs w:val="0"/>
              </w:rPr>
            </w:pPr>
            <w:r>
              <w:rPr>
                <w:rFonts w:hint="eastAsia"/>
                <w:b w:val="0"/>
                <w:bCs w:val="0"/>
              </w:rPr>
              <w:t>臂端吊重</w:t>
            </w:r>
          </w:p>
        </w:tc>
        <w:tc>
          <w:tcPr>
            <w:tcW w:w="428" w:type="pct"/>
            <w:vMerge w:val="restart"/>
            <w:shd w:val="clear" w:color="auto" w:fill="auto"/>
            <w:vAlign w:val="center"/>
          </w:tcPr>
          <w:p w14:paraId="2C64357E">
            <w:pPr>
              <w:pStyle w:val="16"/>
              <w:rPr>
                <w:b w:val="0"/>
                <w:bCs w:val="0"/>
              </w:rPr>
            </w:pPr>
            <w:r>
              <w:rPr>
                <w:rFonts w:hint="eastAsia"/>
                <w:b w:val="0"/>
                <w:bCs w:val="0"/>
              </w:rPr>
              <w:t>t</w:t>
            </w:r>
          </w:p>
        </w:tc>
        <w:tc>
          <w:tcPr>
            <w:tcW w:w="427" w:type="pct"/>
            <w:shd w:val="clear" w:color="auto" w:fill="auto"/>
            <w:vAlign w:val="center"/>
          </w:tcPr>
          <w:p w14:paraId="7753D561">
            <w:pPr>
              <w:pStyle w:val="16"/>
              <w:rPr>
                <w:b w:val="0"/>
                <w:bCs w:val="0"/>
              </w:rPr>
            </w:pPr>
            <w:r>
              <w:rPr>
                <w:rFonts w:hint="eastAsia"/>
                <w:b w:val="0"/>
                <w:bCs w:val="0"/>
              </w:rPr>
              <w:t>1</w:t>
            </w:r>
            <w:r>
              <w:rPr>
                <w:b w:val="0"/>
                <w:bCs w:val="0"/>
              </w:rPr>
              <w:t>0</w:t>
            </w:r>
          </w:p>
        </w:tc>
        <w:tc>
          <w:tcPr>
            <w:tcW w:w="2097" w:type="pct"/>
            <w:shd w:val="clear" w:color="auto" w:fill="auto"/>
            <w:vAlign w:val="center"/>
          </w:tcPr>
          <w:p w14:paraId="32B705D7">
            <w:pPr>
              <w:pStyle w:val="16"/>
              <w:rPr>
                <w:b w:val="0"/>
                <w:bCs w:val="0"/>
              </w:rPr>
            </w:pPr>
            <w:r>
              <w:rPr>
                <w:rFonts w:hint="eastAsia"/>
                <w:b w:val="0"/>
                <w:bCs w:val="0"/>
              </w:rPr>
              <w:t>二倍率（</w:t>
            </w:r>
            <w:r>
              <w:rPr>
                <w:b w:val="0"/>
                <w:bCs w:val="0"/>
              </w:rPr>
              <w:t>35</w:t>
            </w:r>
            <w:r>
              <w:rPr>
                <w:rFonts w:hint="eastAsia"/>
                <w:b w:val="0"/>
                <w:bCs w:val="0"/>
              </w:rPr>
              <w:t>m吊幅处）</w:t>
            </w:r>
          </w:p>
        </w:tc>
      </w:tr>
      <w:tr w14:paraId="30604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753D8093">
            <w:pPr>
              <w:pStyle w:val="16"/>
              <w:numPr>
                <w:ilvl w:val="0"/>
                <w:numId w:val="14"/>
              </w:numPr>
              <w:rPr>
                <w:b w:val="0"/>
                <w:bCs w:val="0"/>
              </w:rPr>
            </w:pPr>
          </w:p>
        </w:tc>
        <w:tc>
          <w:tcPr>
            <w:tcW w:w="1626" w:type="pct"/>
            <w:vMerge w:val="continue"/>
            <w:shd w:val="clear" w:color="auto" w:fill="auto"/>
            <w:vAlign w:val="center"/>
          </w:tcPr>
          <w:p w14:paraId="0F963A92">
            <w:pPr>
              <w:pStyle w:val="16"/>
              <w:rPr>
                <w:b w:val="0"/>
                <w:bCs w:val="0"/>
              </w:rPr>
            </w:pPr>
          </w:p>
        </w:tc>
        <w:tc>
          <w:tcPr>
            <w:tcW w:w="428" w:type="pct"/>
            <w:vMerge w:val="continue"/>
            <w:shd w:val="clear" w:color="auto" w:fill="auto"/>
            <w:vAlign w:val="center"/>
          </w:tcPr>
          <w:p w14:paraId="38917B44">
            <w:pPr>
              <w:pStyle w:val="16"/>
              <w:rPr>
                <w:b w:val="0"/>
                <w:bCs w:val="0"/>
              </w:rPr>
            </w:pPr>
          </w:p>
        </w:tc>
        <w:tc>
          <w:tcPr>
            <w:tcW w:w="427" w:type="pct"/>
            <w:shd w:val="clear" w:color="auto" w:fill="auto"/>
            <w:vAlign w:val="center"/>
          </w:tcPr>
          <w:p w14:paraId="34E9C9F5">
            <w:pPr>
              <w:pStyle w:val="16"/>
              <w:rPr>
                <w:rFonts w:hint="default" w:eastAsia="宋体"/>
                <w:b w:val="0"/>
                <w:bCs w:val="0"/>
                <w:lang w:val="en-US" w:eastAsia="zh-CN"/>
              </w:rPr>
            </w:pPr>
            <w:r>
              <w:rPr>
                <w:rFonts w:hint="eastAsia"/>
                <w:b w:val="0"/>
                <w:bCs w:val="0"/>
                <w:lang w:val="en-US" w:eastAsia="zh-CN"/>
              </w:rPr>
              <w:t>10.6</w:t>
            </w:r>
          </w:p>
        </w:tc>
        <w:tc>
          <w:tcPr>
            <w:tcW w:w="2097" w:type="pct"/>
            <w:shd w:val="clear" w:color="auto" w:fill="auto"/>
            <w:vAlign w:val="center"/>
          </w:tcPr>
          <w:p w14:paraId="4234D0E3">
            <w:pPr>
              <w:pStyle w:val="16"/>
              <w:rPr>
                <w:b w:val="0"/>
                <w:bCs w:val="0"/>
              </w:rPr>
            </w:pPr>
            <w:r>
              <w:rPr>
                <w:rFonts w:hint="eastAsia"/>
                <w:b w:val="0"/>
                <w:bCs w:val="0"/>
              </w:rPr>
              <w:t>四倍率（</w:t>
            </w:r>
            <w:r>
              <w:rPr>
                <w:b w:val="0"/>
                <w:bCs w:val="0"/>
              </w:rPr>
              <w:t>35</w:t>
            </w:r>
            <w:r>
              <w:rPr>
                <w:rFonts w:hint="eastAsia"/>
                <w:b w:val="0"/>
                <w:bCs w:val="0"/>
              </w:rPr>
              <w:t>m吊幅处）</w:t>
            </w:r>
          </w:p>
        </w:tc>
      </w:tr>
      <w:tr w14:paraId="3D49E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6E6B1CDE">
            <w:pPr>
              <w:pStyle w:val="16"/>
              <w:numPr>
                <w:ilvl w:val="0"/>
                <w:numId w:val="14"/>
              </w:numPr>
              <w:rPr>
                <w:b w:val="0"/>
                <w:bCs w:val="0"/>
              </w:rPr>
            </w:pPr>
          </w:p>
        </w:tc>
        <w:tc>
          <w:tcPr>
            <w:tcW w:w="1626" w:type="pct"/>
            <w:shd w:val="clear" w:color="auto" w:fill="auto"/>
            <w:vAlign w:val="center"/>
          </w:tcPr>
          <w:p w14:paraId="605190A5">
            <w:pPr>
              <w:pStyle w:val="16"/>
              <w:rPr>
                <w:b w:val="0"/>
                <w:bCs w:val="0"/>
              </w:rPr>
            </w:pPr>
            <w:r>
              <w:rPr>
                <w:rFonts w:hint="eastAsia"/>
                <w:b w:val="0"/>
                <w:bCs w:val="0"/>
              </w:rPr>
              <w:t>平衡重</w:t>
            </w:r>
          </w:p>
        </w:tc>
        <w:tc>
          <w:tcPr>
            <w:tcW w:w="428" w:type="pct"/>
            <w:shd w:val="clear" w:color="auto" w:fill="auto"/>
            <w:vAlign w:val="center"/>
          </w:tcPr>
          <w:p w14:paraId="0DEE2901">
            <w:pPr>
              <w:pStyle w:val="16"/>
              <w:rPr>
                <w:b w:val="0"/>
                <w:bCs w:val="0"/>
              </w:rPr>
            </w:pPr>
            <w:r>
              <w:rPr>
                <w:rFonts w:hint="eastAsia"/>
                <w:b w:val="0"/>
                <w:bCs w:val="0"/>
              </w:rPr>
              <w:t>t</w:t>
            </w:r>
          </w:p>
        </w:tc>
        <w:tc>
          <w:tcPr>
            <w:tcW w:w="427" w:type="pct"/>
            <w:shd w:val="clear" w:color="auto" w:fill="auto"/>
            <w:vAlign w:val="center"/>
          </w:tcPr>
          <w:p w14:paraId="3CC79D96">
            <w:pPr>
              <w:pStyle w:val="16"/>
              <w:rPr>
                <w:rFonts w:hint="default" w:eastAsia="宋体"/>
                <w:b w:val="0"/>
                <w:bCs w:val="0"/>
                <w:lang w:val="en-US" w:eastAsia="zh-CN"/>
              </w:rPr>
            </w:pPr>
            <w:r>
              <w:rPr>
                <w:rFonts w:hint="eastAsia"/>
                <w:b w:val="0"/>
                <w:bCs w:val="0"/>
                <w:lang w:val="en-US" w:eastAsia="zh-CN"/>
              </w:rPr>
              <w:t>16.6</w:t>
            </w:r>
          </w:p>
        </w:tc>
        <w:tc>
          <w:tcPr>
            <w:tcW w:w="2097" w:type="pct"/>
            <w:shd w:val="clear" w:color="auto" w:fill="auto"/>
            <w:vAlign w:val="center"/>
          </w:tcPr>
          <w:p w14:paraId="6674C886">
            <w:pPr>
              <w:pStyle w:val="16"/>
              <w:rPr>
                <w:b w:val="0"/>
                <w:bCs w:val="0"/>
              </w:rPr>
            </w:pPr>
            <w:r>
              <w:rPr>
                <w:rFonts w:hint="eastAsia"/>
                <w:b w:val="0"/>
                <w:bCs w:val="0"/>
                <w:lang w:val="en-US" w:eastAsia="zh-CN"/>
              </w:rPr>
              <w:t>5</w:t>
            </w:r>
            <w:r>
              <w:rPr>
                <w:rFonts w:hint="eastAsia"/>
                <w:b w:val="0"/>
                <w:bCs w:val="0"/>
              </w:rPr>
              <w:t>块</w:t>
            </w:r>
            <w:r>
              <w:rPr>
                <w:b w:val="0"/>
                <w:bCs w:val="0"/>
              </w:rPr>
              <w:t>3.32</w:t>
            </w:r>
            <w:r>
              <w:rPr>
                <w:rFonts w:hint="eastAsia"/>
                <w:b w:val="0"/>
                <w:bCs w:val="0"/>
              </w:rPr>
              <w:t>t</w:t>
            </w:r>
          </w:p>
        </w:tc>
      </w:tr>
      <w:tr w14:paraId="2FB6C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1750D490">
            <w:pPr>
              <w:pStyle w:val="16"/>
              <w:numPr>
                <w:ilvl w:val="0"/>
                <w:numId w:val="14"/>
              </w:numPr>
              <w:rPr>
                <w:b w:val="0"/>
                <w:bCs w:val="0"/>
              </w:rPr>
            </w:pPr>
          </w:p>
        </w:tc>
        <w:tc>
          <w:tcPr>
            <w:tcW w:w="1626" w:type="pct"/>
            <w:shd w:val="clear" w:color="auto" w:fill="auto"/>
            <w:vAlign w:val="center"/>
          </w:tcPr>
          <w:p w14:paraId="18A9D990">
            <w:pPr>
              <w:pStyle w:val="16"/>
              <w:rPr>
                <w:b w:val="0"/>
                <w:bCs w:val="0"/>
              </w:rPr>
            </w:pPr>
            <w:r>
              <w:rPr>
                <w:rFonts w:hint="eastAsia"/>
                <w:b w:val="0"/>
                <w:bCs w:val="0"/>
              </w:rPr>
              <w:t>基础形式</w:t>
            </w:r>
          </w:p>
        </w:tc>
        <w:tc>
          <w:tcPr>
            <w:tcW w:w="856" w:type="pct"/>
            <w:gridSpan w:val="2"/>
            <w:shd w:val="clear" w:color="auto" w:fill="auto"/>
            <w:vAlign w:val="center"/>
          </w:tcPr>
          <w:p w14:paraId="6C72DE86">
            <w:pPr>
              <w:pStyle w:val="16"/>
              <w:rPr>
                <w:b w:val="0"/>
                <w:bCs w:val="0"/>
              </w:rPr>
            </w:pPr>
            <w:r>
              <w:rPr>
                <w:rFonts w:hint="eastAsia"/>
                <w:b w:val="0"/>
                <w:bCs w:val="0"/>
              </w:rPr>
              <w:t>扩大基础</w:t>
            </w:r>
          </w:p>
        </w:tc>
        <w:tc>
          <w:tcPr>
            <w:tcW w:w="2097" w:type="pct"/>
            <w:shd w:val="clear" w:color="auto" w:fill="auto"/>
            <w:vAlign w:val="center"/>
          </w:tcPr>
          <w:p w14:paraId="3EB390FE">
            <w:pPr>
              <w:pStyle w:val="16"/>
              <w:rPr>
                <w:b w:val="0"/>
                <w:bCs w:val="0"/>
              </w:rPr>
            </w:pPr>
            <w:r>
              <w:rPr>
                <w:rFonts w:hint="eastAsia"/>
                <w:b w:val="0"/>
                <w:bCs w:val="0"/>
                <w:lang w:val="en-US" w:eastAsia="zh-CN"/>
              </w:rPr>
              <w:t>8.3</w:t>
            </w:r>
            <w:r>
              <w:rPr>
                <w:b w:val="0"/>
                <w:bCs w:val="0"/>
              </w:rPr>
              <w:t>×</w:t>
            </w:r>
            <w:r>
              <w:rPr>
                <w:rFonts w:hint="eastAsia"/>
                <w:b w:val="0"/>
                <w:bCs w:val="0"/>
                <w:lang w:val="en-US" w:eastAsia="zh-CN"/>
              </w:rPr>
              <w:t>8.3</w:t>
            </w:r>
            <w:r>
              <w:rPr>
                <w:b w:val="0"/>
                <w:bCs w:val="0"/>
              </w:rPr>
              <w:t>×</w:t>
            </w:r>
            <w:r>
              <w:rPr>
                <w:rFonts w:hint="eastAsia"/>
                <w:b w:val="0"/>
                <w:bCs w:val="0"/>
                <w:lang w:val="en-US" w:eastAsia="zh-CN"/>
              </w:rPr>
              <w:t>1.7</w:t>
            </w:r>
            <w:r>
              <w:rPr>
                <w:rFonts w:hint="eastAsia"/>
                <w:b w:val="0"/>
                <w:bCs w:val="0"/>
              </w:rPr>
              <w:t>（m）</w:t>
            </w:r>
          </w:p>
        </w:tc>
      </w:tr>
      <w:tr w14:paraId="5CC5E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8" w:type="pct"/>
            <w:shd w:val="clear" w:color="auto" w:fill="auto"/>
            <w:vAlign w:val="top"/>
          </w:tcPr>
          <w:p w14:paraId="5BBB1BF1">
            <w:pPr>
              <w:pStyle w:val="16"/>
              <w:numPr>
                <w:ilvl w:val="0"/>
                <w:numId w:val="14"/>
              </w:numPr>
              <w:rPr>
                <w:b w:val="0"/>
                <w:bCs w:val="0"/>
              </w:rPr>
            </w:pPr>
          </w:p>
        </w:tc>
        <w:tc>
          <w:tcPr>
            <w:tcW w:w="1626" w:type="pct"/>
            <w:shd w:val="clear" w:color="auto" w:fill="auto"/>
            <w:vAlign w:val="center"/>
          </w:tcPr>
          <w:p w14:paraId="77BF23D1">
            <w:pPr>
              <w:pStyle w:val="16"/>
              <w:rPr>
                <w:b w:val="0"/>
                <w:bCs w:val="0"/>
              </w:rPr>
            </w:pPr>
            <w:r>
              <w:rPr>
                <w:rFonts w:hint="eastAsia"/>
                <w:b w:val="0"/>
                <w:bCs w:val="0"/>
              </w:rPr>
              <w:t>支腿形式</w:t>
            </w:r>
          </w:p>
        </w:tc>
        <w:tc>
          <w:tcPr>
            <w:tcW w:w="856" w:type="pct"/>
            <w:gridSpan w:val="2"/>
            <w:shd w:val="clear" w:color="auto" w:fill="auto"/>
            <w:vAlign w:val="center"/>
          </w:tcPr>
          <w:p w14:paraId="5F3BB575">
            <w:pPr>
              <w:pStyle w:val="16"/>
              <w:rPr>
                <w:b w:val="0"/>
                <w:bCs w:val="0"/>
              </w:rPr>
            </w:pPr>
            <w:r>
              <w:rPr>
                <w:rFonts w:hint="eastAsia"/>
                <w:b w:val="0"/>
                <w:bCs w:val="0"/>
              </w:rPr>
              <w:t>固定支腿</w:t>
            </w:r>
          </w:p>
        </w:tc>
        <w:tc>
          <w:tcPr>
            <w:tcW w:w="2097" w:type="pct"/>
            <w:shd w:val="clear" w:color="auto" w:fill="auto"/>
            <w:vAlign w:val="center"/>
          </w:tcPr>
          <w:p w14:paraId="23D84A77">
            <w:pPr>
              <w:pStyle w:val="16"/>
              <w:rPr>
                <w:b w:val="0"/>
                <w:bCs w:val="0"/>
              </w:rPr>
            </w:pPr>
            <w:r>
              <w:rPr>
                <w:rFonts w:hint="eastAsia"/>
                <w:b w:val="0"/>
                <w:bCs w:val="0"/>
              </w:rPr>
              <w:t>预埋式</w:t>
            </w:r>
          </w:p>
        </w:tc>
      </w:tr>
    </w:tbl>
    <w:p w14:paraId="2E6B2B0B">
      <w:pPr>
        <w:ind w:firstLine="480"/>
      </w:pPr>
      <w:r>
        <w:rPr>
          <w:rFonts w:hint="eastAsia"/>
        </w:rPr>
        <w:t>2台</w:t>
      </w:r>
      <w:r>
        <w:rPr>
          <w:rFonts w:hint="eastAsia"/>
          <w:lang w:eastAsia="zh-CN"/>
        </w:rPr>
        <w:t>塔机</w:t>
      </w:r>
      <w:r>
        <w:rPr>
          <w:rFonts w:hint="eastAsia"/>
        </w:rPr>
        <w:t>存在大臂交叉现象，</w:t>
      </w:r>
      <w:r>
        <w:rPr>
          <w:rFonts w:hint="eastAsia"/>
          <w:lang w:eastAsia="zh-CN"/>
        </w:rPr>
        <w:t>塔机</w:t>
      </w:r>
      <w:r>
        <w:rPr>
          <w:rFonts w:hint="eastAsia"/>
        </w:rPr>
        <w:t>水平、垂直距离满足安全距离要求。</w:t>
      </w:r>
    </w:p>
    <w:p w14:paraId="5F6ECE7C">
      <w:pPr>
        <w:rPr>
          <w:rFonts w:hint="eastAsia"/>
          <w:lang w:val="en-US" w:eastAsia="zh-CN"/>
        </w:rPr>
      </w:pPr>
      <w:r>
        <w:rPr>
          <w:rFonts w:hint="eastAsia"/>
          <w:bCs/>
        </w:rPr>
        <w:t>设备</w:t>
      </w:r>
      <w:r>
        <w:rPr>
          <w:rFonts w:hint="eastAsia"/>
          <w:bCs/>
          <w:lang w:val="en-US" w:eastAsia="zh-CN"/>
        </w:rPr>
        <w:t>拆除</w:t>
      </w:r>
      <w:r>
        <w:rPr>
          <w:rFonts w:hint="eastAsia"/>
          <w:bCs/>
        </w:rPr>
        <w:t>平面布置图、立面布置图如</w:t>
      </w:r>
      <w:r>
        <w:rPr>
          <w:bCs/>
        </w:rPr>
        <w:fldChar w:fldCharType="begin"/>
      </w:r>
      <w:r>
        <w:rPr>
          <w:bCs/>
        </w:rPr>
        <w:instrText xml:space="preserve"> </w:instrText>
      </w:r>
      <w:r>
        <w:rPr>
          <w:rFonts w:hint="eastAsia"/>
          <w:bCs/>
        </w:rPr>
        <w:instrText xml:space="preserve">REF _Ref123718991 \h</w:instrText>
      </w:r>
      <w:r>
        <w:rPr>
          <w:bCs/>
        </w:rPr>
        <w:instrText xml:space="preserve"> </w:instrText>
      </w:r>
      <w:r>
        <w:rPr>
          <w:bCs/>
        </w:rPr>
        <w:fldChar w:fldCharType="separate"/>
      </w:r>
      <w:r>
        <w:rPr>
          <w:rFonts w:hint="eastAsia"/>
        </w:rPr>
        <w:t>图</w:t>
      </w:r>
      <w:r>
        <w:t>2.1.4</w:t>
      </w:r>
      <w:r>
        <w:rPr>
          <w:rFonts w:hint="eastAsia"/>
        </w:rPr>
        <w:t>-</w:t>
      </w:r>
      <w:r>
        <w:t>1</w:t>
      </w:r>
      <w:r>
        <w:rPr>
          <w:bCs/>
        </w:rPr>
        <w:fldChar w:fldCharType="end"/>
      </w:r>
      <w:r>
        <w:rPr>
          <w:rFonts w:hint="eastAsia"/>
          <w:bCs/>
        </w:rPr>
        <w:t>、</w:t>
      </w:r>
      <w:r>
        <w:rPr>
          <w:bCs/>
        </w:rPr>
        <w:fldChar w:fldCharType="begin"/>
      </w:r>
      <w:r>
        <w:rPr>
          <w:bCs/>
        </w:rPr>
        <w:instrText xml:space="preserve"> REF _Ref123718992 \h </w:instrText>
      </w:r>
      <w:r>
        <w:rPr>
          <w:bCs/>
        </w:rPr>
        <w:fldChar w:fldCharType="separate"/>
      </w:r>
      <w:r>
        <w:rPr>
          <w:rFonts w:hint="eastAsia"/>
        </w:rPr>
        <w:t>图</w:t>
      </w:r>
      <w:r>
        <w:t>2.1.4</w:t>
      </w:r>
      <w:r>
        <w:rPr>
          <w:rFonts w:hint="eastAsia"/>
        </w:rPr>
        <w:t>-</w:t>
      </w:r>
      <w:r>
        <w:t>2</w:t>
      </w:r>
      <w:r>
        <w:rPr>
          <w:bCs/>
        </w:rPr>
        <w:fldChar w:fldCharType="end"/>
      </w:r>
      <w:r>
        <w:rPr>
          <w:rFonts w:hint="eastAsia"/>
          <w:bCs/>
        </w:rPr>
        <w:t>所示</w:t>
      </w:r>
    </w:p>
    <w:p w14:paraId="2F61BAB5">
      <w:pPr>
        <w:pStyle w:val="15"/>
        <w:bidi w:val="0"/>
        <w:rPr>
          <w:rFonts w:hint="eastAsia"/>
          <w:lang w:val="en-US" w:eastAsia="zh-CN"/>
        </w:rPr>
      </w:pPr>
      <w:r>
        <w:drawing>
          <wp:inline distT="0" distB="0" distL="114300" distR="114300">
            <wp:extent cx="5272405" cy="4533900"/>
            <wp:effectExtent l="0" t="0" r="4445" b="0"/>
            <wp:docPr id="8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pic:cNvPicPr>
                      <a:picLocks noChangeAspect="1"/>
                    </pic:cNvPicPr>
                  </pic:nvPicPr>
                  <pic:blipFill>
                    <a:blip r:embed="rId24"/>
                    <a:stretch>
                      <a:fillRect/>
                    </a:stretch>
                  </pic:blipFill>
                  <pic:spPr>
                    <a:xfrm>
                      <a:off x="0" y="0"/>
                      <a:ext cx="5272405" cy="4533900"/>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2.1.4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塔式起重机位置平面布置图（单位：mm）</w:t>
      </w:r>
    </w:p>
    <w:p w14:paraId="6EBADB4E">
      <w:pPr>
        <w:pStyle w:val="15"/>
      </w:pPr>
      <w:r>
        <w:drawing>
          <wp:inline distT="0" distB="0" distL="114300" distR="114300">
            <wp:extent cx="5271135" cy="7453630"/>
            <wp:effectExtent l="0" t="0" r="5715" b="13970"/>
            <wp:docPr id="76" name="图片 76" descr="6#立面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立面图_01"/>
                    <pic:cNvPicPr>
                      <a:picLocks noChangeAspect="1"/>
                    </pic:cNvPicPr>
                  </pic:nvPicPr>
                  <pic:blipFill>
                    <a:blip r:embed="rId25"/>
                    <a:stretch>
                      <a:fillRect/>
                    </a:stretch>
                  </pic:blipFill>
                  <pic:spPr>
                    <a:xfrm>
                      <a:off x="0" y="0"/>
                      <a:ext cx="5271135" cy="7453630"/>
                    </a:xfrm>
                    <a:prstGeom prst="rect">
                      <a:avLst/>
                    </a:prstGeom>
                  </pic:spPr>
                </pic:pic>
              </a:graphicData>
            </a:graphic>
          </wp:inline>
        </w:drawing>
      </w:r>
      <w:r>
        <w:t xml:space="preserve">图 </w:t>
      </w:r>
      <w:r>
        <w:fldChar w:fldCharType="begin"/>
      </w:r>
      <w:r>
        <w:instrText xml:space="preserve"> STYLEREF 3 \s </w:instrText>
      </w:r>
      <w:r>
        <w:fldChar w:fldCharType="separate"/>
      </w:r>
      <w:r>
        <w:t>2.1.4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highlight w:val="none"/>
          <w:lang w:val="en-US" w:eastAsia="zh-CN"/>
        </w:rPr>
        <w:t xml:space="preserve"> </w:t>
      </w:r>
      <w:r>
        <w:rPr>
          <w:rFonts w:hint="eastAsia"/>
          <w:lang w:val="en-US" w:eastAsia="zh-CN"/>
        </w:rPr>
        <w:t>塔式起重机位置立面布置图（单位：mm）</w:t>
      </w:r>
    </w:p>
    <w:p w14:paraId="6302107E">
      <w:pPr>
        <w:pStyle w:val="4"/>
        <w:rPr>
          <w:b/>
          <w:bCs w:val="0"/>
        </w:rPr>
      </w:pPr>
      <w:r>
        <w:rPr>
          <w:rFonts w:hint="eastAsia"/>
          <w:b/>
          <w:bCs w:val="0"/>
        </w:rPr>
        <w:t>危大工程情况</w:t>
      </w:r>
    </w:p>
    <w:p w14:paraId="76D602FA">
      <w:pPr>
        <w:ind w:firstLine="480"/>
      </w:pPr>
      <w:r>
        <w:rPr>
          <w:rFonts w:hint="eastAsia"/>
        </w:rPr>
        <w:t>根据《公路工程施工安全技术规范》（</w:t>
      </w:r>
      <w:r>
        <w:t>JTG F90-2015</w:t>
      </w:r>
      <w:r>
        <w:rPr>
          <w:rFonts w:hint="eastAsia"/>
        </w:rPr>
        <w:t>），本方案满足危险性较大的工程中起重吊装工程类别需编制专项施工方案第3条：起重机械设备自身的安装、拆卸。</w:t>
      </w:r>
    </w:p>
    <w:p w14:paraId="31FB0F9C">
      <w:pPr>
        <w:pStyle w:val="4"/>
        <w:rPr>
          <w:b/>
          <w:bCs w:val="0"/>
        </w:rPr>
      </w:pPr>
      <w:r>
        <w:rPr>
          <w:rFonts w:hint="eastAsia"/>
          <w:b/>
          <w:bCs w:val="0"/>
        </w:rPr>
        <w:t>工程项目参与单位概况</w:t>
      </w:r>
    </w:p>
    <w:p w14:paraId="37F0861A">
      <w:pPr>
        <w:pStyle w:val="15"/>
      </w:pP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2.1.6</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r>
        <w:rPr>
          <w:rFonts w:hint="eastAsia"/>
        </w:rPr>
        <w:t xml:space="preserve"> 项目参建方信息</w:t>
      </w:r>
    </w:p>
    <w:tbl>
      <w:tblPr>
        <w:tblStyle w:val="1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2"/>
        <w:gridCol w:w="5158"/>
      </w:tblGrid>
      <w:tr w14:paraId="2B47D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6622BEF9">
            <w:pPr>
              <w:pStyle w:val="16"/>
              <w:rPr>
                <w:b/>
              </w:rPr>
            </w:pPr>
            <w:r>
              <w:rPr>
                <w:rFonts w:hint="eastAsia"/>
                <w:b/>
              </w:rPr>
              <w:t>序号</w:t>
            </w:r>
          </w:p>
        </w:tc>
        <w:tc>
          <w:tcPr>
            <w:tcW w:w="1515" w:type="pct"/>
            <w:shd w:val="clear" w:color="auto" w:fill="auto"/>
            <w:vAlign w:val="center"/>
          </w:tcPr>
          <w:p w14:paraId="6BFCEACB">
            <w:pPr>
              <w:pStyle w:val="16"/>
              <w:rPr>
                <w:b/>
              </w:rPr>
            </w:pPr>
            <w:r>
              <w:rPr>
                <w:rFonts w:hint="eastAsia"/>
                <w:b/>
              </w:rPr>
              <w:t>参与方类型</w:t>
            </w:r>
          </w:p>
        </w:tc>
        <w:tc>
          <w:tcPr>
            <w:tcW w:w="3026" w:type="pct"/>
            <w:shd w:val="clear" w:color="auto" w:fill="auto"/>
            <w:vAlign w:val="center"/>
          </w:tcPr>
          <w:p w14:paraId="2CA16127">
            <w:pPr>
              <w:pStyle w:val="16"/>
              <w:rPr>
                <w:b/>
              </w:rPr>
            </w:pPr>
            <w:r>
              <w:rPr>
                <w:rFonts w:hint="eastAsia"/>
                <w:b/>
              </w:rPr>
              <w:t>单位名称</w:t>
            </w:r>
          </w:p>
        </w:tc>
      </w:tr>
      <w:tr w14:paraId="6B870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1C516676">
            <w:pPr>
              <w:pStyle w:val="16"/>
              <w:numPr>
                <w:ilvl w:val="0"/>
                <w:numId w:val="15"/>
              </w:numPr>
            </w:pPr>
          </w:p>
        </w:tc>
        <w:tc>
          <w:tcPr>
            <w:tcW w:w="1515" w:type="pct"/>
            <w:shd w:val="clear" w:color="auto" w:fill="auto"/>
            <w:vAlign w:val="center"/>
          </w:tcPr>
          <w:p w14:paraId="7D791B3A">
            <w:pPr>
              <w:pStyle w:val="16"/>
              <w:rPr>
                <w:b w:val="0"/>
                <w:bCs w:val="0"/>
              </w:rPr>
            </w:pPr>
            <w:r>
              <w:rPr>
                <w:b w:val="0"/>
                <w:bCs w:val="0"/>
              </w:rPr>
              <w:t>建设单位</w:t>
            </w:r>
          </w:p>
        </w:tc>
        <w:tc>
          <w:tcPr>
            <w:tcW w:w="3026" w:type="pct"/>
            <w:shd w:val="clear" w:color="auto" w:fill="auto"/>
            <w:vAlign w:val="top"/>
          </w:tcPr>
          <w:p w14:paraId="258CDCD5">
            <w:pPr>
              <w:pStyle w:val="16"/>
              <w:rPr>
                <w:b w:val="0"/>
                <w:bCs w:val="0"/>
              </w:rPr>
            </w:pPr>
          </w:p>
        </w:tc>
      </w:tr>
      <w:tr w14:paraId="33DB4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A4B27AB">
            <w:pPr>
              <w:pStyle w:val="16"/>
              <w:numPr>
                <w:ilvl w:val="0"/>
                <w:numId w:val="15"/>
              </w:numPr>
            </w:pPr>
          </w:p>
        </w:tc>
        <w:tc>
          <w:tcPr>
            <w:tcW w:w="1515" w:type="pct"/>
            <w:shd w:val="clear" w:color="auto" w:fill="auto"/>
            <w:vAlign w:val="center"/>
          </w:tcPr>
          <w:p w14:paraId="4C91F3EE">
            <w:pPr>
              <w:pStyle w:val="16"/>
              <w:rPr>
                <w:b w:val="0"/>
                <w:bCs w:val="0"/>
              </w:rPr>
            </w:pPr>
            <w:r>
              <w:rPr>
                <w:b w:val="0"/>
                <w:bCs w:val="0"/>
              </w:rPr>
              <w:t>勘察设计单位</w:t>
            </w:r>
          </w:p>
        </w:tc>
        <w:tc>
          <w:tcPr>
            <w:tcW w:w="3026" w:type="pct"/>
            <w:shd w:val="clear" w:color="auto" w:fill="auto"/>
            <w:vAlign w:val="top"/>
          </w:tcPr>
          <w:p w14:paraId="35DE8352">
            <w:pPr>
              <w:pStyle w:val="16"/>
              <w:rPr>
                <w:b w:val="0"/>
                <w:bCs w:val="0"/>
              </w:rPr>
            </w:pPr>
          </w:p>
        </w:tc>
      </w:tr>
      <w:tr w14:paraId="689DD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23CA0053">
            <w:pPr>
              <w:pStyle w:val="16"/>
              <w:numPr>
                <w:ilvl w:val="0"/>
                <w:numId w:val="15"/>
              </w:numPr>
            </w:pPr>
          </w:p>
        </w:tc>
        <w:tc>
          <w:tcPr>
            <w:tcW w:w="1515" w:type="pct"/>
            <w:shd w:val="clear" w:color="auto" w:fill="auto"/>
            <w:vAlign w:val="center"/>
          </w:tcPr>
          <w:p w14:paraId="70F78A2B">
            <w:pPr>
              <w:pStyle w:val="16"/>
              <w:rPr>
                <w:b w:val="0"/>
                <w:bCs w:val="0"/>
              </w:rPr>
            </w:pPr>
            <w:r>
              <w:rPr>
                <w:b w:val="0"/>
                <w:bCs w:val="0"/>
              </w:rPr>
              <w:t>监理单位</w:t>
            </w:r>
          </w:p>
        </w:tc>
        <w:tc>
          <w:tcPr>
            <w:tcW w:w="3026" w:type="pct"/>
            <w:shd w:val="clear" w:color="auto" w:fill="auto"/>
            <w:vAlign w:val="top"/>
          </w:tcPr>
          <w:p w14:paraId="39794348">
            <w:pPr>
              <w:pStyle w:val="16"/>
              <w:rPr>
                <w:b w:val="0"/>
                <w:bCs w:val="0"/>
              </w:rPr>
            </w:pPr>
          </w:p>
        </w:tc>
      </w:tr>
      <w:tr w14:paraId="7776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9AC44B7">
            <w:pPr>
              <w:pStyle w:val="16"/>
              <w:numPr>
                <w:ilvl w:val="0"/>
                <w:numId w:val="15"/>
              </w:numPr>
            </w:pPr>
          </w:p>
        </w:tc>
        <w:tc>
          <w:tcPr>
            <w:tcW w:w="1515" w:type="pct"/>
            <w:shd w:val="clear" w:color="auto" w:fill="auto"/>
            <w:vAlign w:val="center"/>
          </w:tcPr>
          <w:p w14:paraId="61F9E16E">
            <w:pPr>
              <w:pStyle w:val="16"/>
              <w:rPr>
                <w:b w:val="0"/>
                <w:bCs w:val="0"/>
              </w:rPr>
            </w:pPr>
            <w:r>
              <w:rPr>
                <w:b w:val="0"/>
                <w:bCs w:val="0"/>
              </w:rPr>
              <w:t>施工单位</w:t>
            </w:r>
          </w:p>
        </w:tc>
        <w:tc>
          <w:tcPr>
            <w:tcW w:w="3026" w:type="pct"/>
            <w:shd w:val="clear" w:color="auto" w:fill="auto"/>
            <w:vAlign w:val="center"/>
          </w:tcPr>
          <w:p w14:paraId="2258633B">
            <w:pPr>
              <w:pStyle w:val="16"/>
              <w:rPr>
                <w:b w:val="0"/>
                <w:bCs w:val="0"/>
              </w:rPr>
            </w:pPr>
          </w:p>
        </w:tc>
      </w:tr>
      <w:tr w14:paraId="55B7F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5BD59A4">
            <w:pPr>
              <w:pStyle w:val="16"/>
              <w:numPr>
                <w:ilvl w:val="0"/>
                <w:numId w:val="15"/>
              </w:numPr>
            </w:pPr>
          </w:p>
        </w:tc>
        <w:tc>
          <w:tcPr>
            <w:tcW w:w="1515" w:type="pct"/>
            <w:shd w:val="clear" w:color="auto" w:fill="auto"/>
            <w:vAlign w:val="center"/>
          </w:tcPr>
          <w:p w14:paraId="78FC789B">
            <w:pPr>
              <w:pStyle w:val="16"/>
              <w:rPr>
                <w:b w:val="0"/>
                <w:bCs w:val="0"/>
              </w:rPr>
            </w:pPr>
            <w:r>
              <w:rPr>
                <w:rFonts w:hint="eastAsia"/>
                <w:b w:val="0"/>
                <w:bCs w:val="0"/>
                <w:lang w:val="en-US" w:eastAsia="zh-CN"/>
              </w:rPr>
              <w:t>塔式起重机拆除</w:t>
            </w:r>
            <w:r>
              <w:rPr>
                <w:rFonts w:hint="eastAsia"/>
                <w:b w:val="0"/>
                <w:bCs w:val="0"/>
              </w:rPr>
              <w:t>单位</w:t>
            </w:r>
          </w:p>
        </w:tc>
        <w:tc>
          <w:tcPr>
            <w:tcW w:w="3026" w:type="pct"/>
            <w:shd w:val="clear" w:color="auto" w:fill="auto"/>
            <w:vAlign w:val="center"/>
          </w:tcPr>
          <w:p w14:paraId="0EF5DFB2">
            <w:pPr>
              <w:pStyle w:val="16"/>
              <w:rPr>
                <w:rFonts w:hint="eastAsia" w:eastAsia="宋体"/>
                <w:b w:val="0"/>
                <w:bCs w:val="0"/>
                <w:lang w:eastAsia="zh-CN"/>
              </w:rPr>
            </w:pPr>
            <w:r>
              <w:rPr>
                <w:rFonts w:hint="eastAsia" w:ascii="Times New Roman" w:hAnsi="Times New Roman" w:eastAsia="宋体" w:cs="Times New Roman"/>
                <w:b w:val="0"/>
                <w:bCs w:val="0"/>
                <w:lang w:val="en-US" w:eastAsia="zh-CN"/>
              </w:rPr>
              <w:t>重庆钱桥建筑设备租赁有限公司</w:t>
            </w:r>
          </w:p>
        </w:tc>
      </w:tr>
    </w:tbl>
    <w:p w14:paraId="559B4525">
      <w:pPr>
        <w:pStyle w:val="3"/>
        <w:bidi w:val="0"/>
        <w:ind w:left="575" w:leftChars="0" w:hanging="575" w:firstLineChars="0"/>
        <w:rPr>
          <w:b/>
          <w:bCs w:val="0"/>
          <w:sz w:val="28"/>
          <w:szCs w:val="28"/>
        </w:rPr>
      </w:pPr>
      <w:bookmarkStart w:id="30" w:name="_Toc22601"/>
      <w:bookmarkStart w:id="31" w:name="_Toc6234"/>
      <w:bookmarkStart w:id="32" w:name="_Toc22396"/>
      <w:r>
        <w:rPr>
          <w:b/>
          <w:bCs w:val="0"/>
          <w:sz w:val="28"/>
          <w:szCs w:val="28"/>
        </w:rPr>
        <w:t>工程特点</w:t>
      </w:r>
      <w:bookmarkEnd w:id="27"/>
      <w:bookmarkEnd w:id="30"/>
      <w:bookmarkEnd w:id="31"/>
      <w:bookmarkEnd w:id="32"/>
    </w:p>
    <w:p w14:paraId="294D89A5">
      <w:pPr>
        <w:pStyle w:val="71"/>
        <w:keepNext w:val="0"/>
        <w:keepLines w:val="0"/>
        <w:pageBreakBefore w:val="0"/>
        <w:widowControl w:val="0"/>
        <w:numPr>
          <w:ilvl w:val="0"/>
          <w:numId w:val="16"/>
        </w:numPr>
        <w:shd w:val="clear"/>
        <w:kinsoku/>
        <w:wordWrap/>
        <w:overflowPunct/>
        <w:topLinePunct w:val="0"/>
        <w:autoSpaceDE/>
        <w:autoSpaceDN/>
        <w:bidi w:val="0"/>
        <w:adjustRightInd/>
        <w:snapToGrid/>
        <w:ind w:firstLine="480" w:firstLineChars="200"/>
        <w:textAlignment w:val="auto"/>
        <w:rPr>
          <w:highlight w:val="none"/>
        </w:rPr>
      </w:pPr>
      <w:bookmarkStart w:id="33" w:name="_Toc109714866"/>
      <w:bookmarkStart w:id="34" w:name="_Toc11714"/>
      <w:bookmarkStart w:id="35" w:name="_Toc58781207"/>
      <w:r>
        <w:rPr>
          <w:highlight w:val="none"/>
        </w:rPr>
        <w:t>现场</w:t>
      </w:r>
      <w:r>
        <w:rPr>
          <w:rFonts w:hint="eastAsia"/>
          <w:highlight w:val="none"/>
          <w:lang w:eastAsia="zh-CN"/>
        </w:rPr>
        <w:t>拆除</w:t>
      </w:r>
      <w:r>
        <w:rPr>
          <w:highlight w:val="none"/>
        </w:rPr>
        <w:t>场地受限，</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部件</w:t>
      </w:r>
      <w:r>
        <w:rPr>
          <w:highlight w:val="none"/>
        </w:rPr>
        <w:t>吊装难度大；</w:t>
      </w:r>
    </w:p>
    <w:p w14:paraId="17F9CB15">
      <w:pPr>
        <w:pStyle w:val="71"/>
        <w:keepNext w:val="0"/>
        <w:keepLines w:val="0"/>
        <w:pageBreakBefore w:val="0"/>
        <w:widowControl w:val="0"/>
        <w:numPr>
          <w:ilvl w:val="0"/>
          <w:numId w:val="16"/>
        </w:numPr>
        <w:shd w:val="clear"/>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000000"/>
        </w:rPr>
      </w:pPr>
      <w:r>
        <w:rPr>
          <w:rFonts w:hint="eastAsia"/>
          <w:highlight w:val="none"/>
        </w:rPr>
        <w:t>本施工过程包含高空作业，安全风险较大。</w:t>
      </w:r>
    </w:p>
    <w:bookmarkEnd w:id="33"/>
    <w:bookmarkEnd w:id="34"/>
    <w:bookmarkEnd w:id="35"/>
    <w:p w14:paraId="0CE90661">
      <w:pPr>
        <w:pStyle w:val="3"/>
        <w:bidi w:val="0"/>
        <w:ind w:left="575" w:leftChars="0" w:hanging="575" w:firstLineChars="0"/>
        <w:rPr>
          <w:b/>
          <w:bCs w:val="0"/>
          <w:sz w:val="28"/>
          <w:szCs w:val="28"/>
        </w:rPr>
      </w:pPr>
      <w:bookmarkStart w:id="36" w:name="_Toc15672"/>
      <w:bookmarkStart w:id="37" w:name="_Toc14404"/>
      <w:bookmarkStart w:id="38" w:name="_Toc25244"/>
      <w:r>
        <w:rPr>
          <w:rFonts w:hint="eastAsia"/>
          <w:b/>
          <w:bCs w:val="0"/>
          <w:sz w:val="28"/>
          <w:szCs w:val="28"/>
        </w:rPr>
        <w:t>施工平面布置</w:t>
      </w:r>
      <w:bookmarkEnd w:id="28"/>
      <w:bookmarkEnd w:id="36"/>
      <w:r>
        <w:rPr>
          <w:rFonts w:hint="eastAsia"/>
          <w:b/>
          <w:bCs w:val="0"/>
          <w:sz w:val="28"/>
          <w:szCs w:val="28"/>
          <w:lang w:val="en-US" w:eastAsia="zh-CN"/>
        </w:rPr>
        <w:t>图</w:t>
      </w:r>
      <w:bookmarkEnd w:id="37"/>
      <w:bookmarkEnd w:id="38"/>
    </w:p>
    <w:p w14:paraId="5F210C7A">
      <w:pPr>
        <w:rPr>
          <w:rFonts w:hint="eastAsia"/>
          <w:lang w:val="en-US" w:eastAsia="zh-CN"/>
        </w:rPr>
      </w:pPr>
      <w:r>
        <w:rPr>
          <w:rFonts w:hint="eastAsia"/>
          <w:lang w:val="en-US" w:eastAsia="zh-CN"/>
        </w:rPr>
        <w:t>施工平面布置图见下图：</w:t>
      </w:r>
    </w:p>
    <w:p w14:paraId="512E2568">
      <w:pPr>
        <w:pStyle w:val="15"/>
        <w:bidi w:val="0"/>
        <w:rPr>
          <w:rFonts w:hint="default" w:eastAsia="宋体"/>
          <w:lang w:val="en-US" w:eastAsia="zh-CN"/>
        </w:rPr>
      </w:pPr>
      <w:r>
        <w:drawing>
          <wp:inline distT="0" distB="0" distL="114300" distR="114300">
            <wp:extent cx="5272405" cy="4533900"/>
            <wp:effectExtent l="0" t="0" r="4445" b="0"/>
            <wp:docPr id="8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0"/>
                    <pic:cNvPicPr>
                      <a:picLocks noChangeAspect="1"/>
                    </pic:cNvPicPr>
                  </pic:nvPicPr>
                  <pic:blipFill>
                    <a:blip r:embed="rId24"/>
                    <a:stretch>
                      <a:fillRect/>
                    </a:stretch>
                  </pic:blipFill>
                  <pic:spPr>
                    <a:xfrm>
                      <a:off x="0" y="0"/>
                      <a:ext cx="5272405" cy="4533900"/>
                    </a:xfrm>
                    <a:prstGeom prst="rect">
                      <a:avLst/>
                    </a:prstGeom>
                    <a:noFill/>
                    <a:ln>
                      <a:noFill/>
                    </a:ln>
                  </pic:spPr>
                </pic:pic>
              </a:graphicData>
            </a:graphic>
          </wp:inline>
        </w:drawing>
      </w:r>
      <w:r>
        <w:rPr>
          <w:rFonts w:hint="eastAsia" w:ascii="Times New Roman" w:hAnsi="Times New Roman" w:cstheme="majorBidi"/>
          <w:color w:val="auto"/>
          <w:szCs w:val="20"/>
        </w:rPr>
        <w:t xml:space="preserve">图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2.3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图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w:t>
      </w:r>
      <w:r>
        <w:rPr>
          <w:rFonts w:hint="eastAsia" w:cstheme="majorBidi"/>
          <w:color w:val="auto"/>
          <w:szCs w:val="20"/>
          <w:lang w:val="en-US" w:eastAsia="zh-CN"/>
        </w:rPr>
        <w:t>施工</w:t>
      </w:r>
      <w:r>
        <w:rPr>
          <w:rFonts w:hint="eastAsia" w:ascii="Times New Roman" w:hAnsi="Times New Roman" w:cstheme="majorBidi"/>
          <w:color w:val="auto"/>
          <w:szCs w:val="20"/>
        </w:rPr>
        <w:t>平面布置图</w:t>
      </w:r>
      <w:r>
        <w:rPr>
          <w:rFonts w:hint="eastAsia" w:ascii="Times New Roman" w:hAnsi="Times New Roman" w:cstheme="majorBidi"/>
          <w:color w:val="auto"/>
          <w:szCs w:val="20"/>
          <w:lang w:eastAsia="zh-CN"/>
        </w:rPr>
        <w:t>（</w:t>
      </w:r>
      <w:r>
        <w:rPr>
          <w:rFonts w:hint="eastAsia" w:ascii="Times New Roman" w:hAnsi="Times New Roman" w:cstheme="majorBidi"/>
          <w:color w:val="auto"/>
          <w:szCs w:val="20"/>
          <w:lang w:val="en-US" w:eastAsia="zh-CN"/>
        </w:rPr>
        <w:t>单位：</w:t>
      </w:r>
      <w:r>
        <w:rPr>
          <w:rFonts w:hint="eastAsia" w:cstheme="majorBidi"/>
          <w:color w:val="auto"/>
          <w:szCs w:val="20"/>
          <w:lang w:val="en-US" w:eastAsia="zh-CN"/>
        </w:rPr>
        <w:t>m</w:t>
      </w:r>
      <w:r>
        <w:rPr>
          <w:rFonts w:hint="eastAsia" w:ascii="Times New Roman" w:hAnsi="Times New Roman" w:cstheme="majorBidi"/>
          <w:color w:val="auto"/>
          <w:szCs w:val="20"/>
          <w:lang w:val="en-US" w:eastAsia="zh-CN"/>
        </w:rPr>
        <w:t>m）</w:t>
      </w:r>
    </w:p>
    <w:p w14:paraId="6E550C9E">
      <w:pPr>
        <w:rPr>
          <w:rFonts w:hint="default"/>
          <w:lang w:val="en-US" w:eastAsia="zh-CN"/>
        </w:rPr>
        <w:sectPr>
          <w:headerReference r:id="rId8" w:type="default"/>
          <w:footerReference r:id="rId9" w:type="default"/>
          <w:pgSz w:w="11906" w:h="16838"/>
          <w:pgMar w:top="1440" w:right="1800" w:bottom="1440" w:left="1800" w:header="794" w:footer="680" w:gutter="0"/>
          <w:pgBorders>
            <w:top w:val="none" w:sz="0" w:space="0"/>
            <w:left w:val="none" w:sz="0" w:space="0"/>
            <w:bottom w:val="none" w:sz="0" w:space="0"/>
            <w:right w:val="none" w:sz="0" w:space="0"/>
          </w:pgBorders>
          <w:pgNumType w:fmt="decimal"/>
          <w:cols w:space="425" w:num="1"/>
          <w:docGrid w:type="lines" w:linePitch="326" w:charSpace="0"/>
        </w:sectPr>
      </w:pPr>
    </w:p>
    <w:p w14:paraId="64BA72F5">
      <w:pPr>
        <w:pStyle w:val="3"/>
        <w:bidi w:val="0"/>
      </w:pPr>
      <w:bookmarkStart w:id="39" w:name="_Toc18454"/>
      <w:bookmarkStart w:id="40" w:name="_Toc21756"/>
      <w:bookmarkStart w:id="41" w:name="_Toc6119"/>
      <w:bookmarkStart w:id="42" w:name="_Toc29195"/>
      <w:r>
        <w:rPr>
          <w:rFonts w:hint="eastAsia"/>
        </w:rPr>
        <w:t>施工要求</w:t>
      </w:r>
      <w:bookmarkEnd w:id="39"/>
      <w:bookmarkEnd w:id="40"/>
      <w:bookmarkEnd w:id="41"/>
      <w:bookmarkEnd w:id="42"/>
    </w:p>
    <w:p w14:paraId="21496064">
      <w:pPr>
        <w:pStyle w:val="4"/>
        <w:bidi w:val="0"/>
        <w:ind w:left="720" w:leftChars="0" w:hanging="720" w:firstLineChars="0"/>
        <w:rPr>
          <w:rFonts w:hint="eastAsia"/>
          <w:b/>
          <w:bCs w:val="0"/>
        </w:rPr>
      </w:pPr>
      <w:r>
        <w:rPr>
          <w:rFonts w:hint="eastAsia"/>
          <w:b/>
          <w:bCs w:val="0"/>
        </w:rPr>
        <w:t>工期要求</w:t>
      </w:r>
    </w:p>
    <w:p w14:paraId="2032580A">
      <w:r>
        <w:rPr>
          <w:rFonts w:hint="eastAsia"/>
        </w:rPr>
        <w:t>根据总体施工进度安排，</w:t>
      </w:r>
      <w:r>
        <w:rPr>
          <w:rFonts w:hint="eastAsia"/>
          <w:lang w:val="en-US" w:eastAsia="zh-CN"/>
        </w:rPr>
        <w:t>塔式起重机拆除</w:t>
      </w:r>
      <w:r>
        <w:rPr>
          <w:rFonts w:hint="eastAsia"/>
        </w:rPr>
        <w:t>完毕总工期为</w:t>
      </w:r>
      <w:r>
        <w:rPr>
          <w:rFonts w:hint="eastAsia"/>
          <w:lang w:val="en-US" w:eastAsia="zh-CN"/>
        </w:rPr>
        <w:t>10</w:t>
      </w:r>
      <w:r>
        <w:rPr>
          <w:rFonts w:hint="eastAsia"/>
        </w:rPr>
        <w:t>天，施工计划开始时间为</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19</w:t>
      </w:r>
      <w:r>
        <w:rPr>
          <w:rFonts w:hint="eastAsia"/>
          <w:highlight w:val="none"/>
        </w:rPr>
        <w:t>日，完成时间为202</w:t>
      </w:r>
      <w:r>
        <w:rPr>
          <w:rFonts w:hint="eastAsia"/>
          <w:highlight w:val="none"/>
          <w:lang w:val="en-US" w:eastAsia="zh-CN"/>
        </w:rPr>
        <w:t>5</w:t>
      </w:r>
      <w:r>
        <w:rPr>
          <w:rFonts w:hint="eastAsia"/>
          <w:highlight w:val="none"/>
        </w:rPr>
        <w:t>年</w:t>
      </w:r>
      <w:r>
        <w:rPr>
          <w:rFonts w:hint="eastAsia"/>
          <w:highlight w:val="none"/>
          <w:lang w:val="en-US" w:eastAsia="zh-CN"/>
        </w:rPr>
        <w:t>9</w:t>
      </w:r>
      <w:r>
        <w:rPr>
          <w:rFonts w:hint="eastAsia"/>
          <w:highlight w:val="none"/>
        </w:rPr>
        <w:t>月</w:t>
      </w:r>
      <w:r>
        <w:rPr>
          <w:rFonts w:hint="eastAsia"/>
          <w:highlight w:val="none"/>
          <w:lang w:val="en-US" w:eastAsia="zh-CN"/>
        </w:rPr>
        <w:t>28</w:t>
      </w:r>
      <w:r>
        <w:rPr>
          <w:rFonts w:hint="eastAsia"/>
          <w:highlight w:val="none"/>
        </w:rPr>
        <w:t>日。</w:t>
      </w:r>
    </w:p>
    <w:p w14:paraId="4EDF9473">
      <w:pPr>
        <w:pStyle w:val="4"/>
        <w:rPr>
          <w:b/>
          <w:bCs w:val="0"/>
        </w:rPr>
      </w:pPr>
      <w:r>
        <w:rPr>
          <w:rFonts w:hint="eastAsia"/>
          <w:b/>
          <w:bCs w:val="0"/>
        </w:rPr>
        <w:t>质量要</w:t>
      </w:r>
      <w:r>
        <w:rPr>
          <w:rFonts w:hint="eastAsia"/>
          <w:b/>
          <w:bCs w:val="0"/>
          <w:lang w:val="en-US" w:eastAsia="zh-CN"/>
        </w:rPr>
        <w:t>求</w:t>
      </w:r>
    </w:p>
    <w:p w14:paraId="560AD38D">
      <w:pPr>
        <w:ind w:left="480" w:leftChars="200" w:firstLine="0" w:firstLineChars="0"/>
      </w:pPr>
      <w:r>
        <w:rPr>
          <w:rFonts w:hint="eastAsia"/>
        </w:rPr>
        <w:t>消除质量隐患,杜绝质量事故。</w:t>
      </w:r>
    </w:p>
    <w:p w14:paraId="0CF32DF2">
      <w:pPr>
        <w:pStyle w:val="4"/>
        <w:rPr>
          <w:b/>
          <w:bCs w:val="0"/>
        </w:rPr>
      </w:pPr>
      <w:r>
        <w:rPr>
          <w:rFonts w:hint="eastAsia"/>
          <w:b/>
          <w:bCs w:val="0"/>
        </w:rPr>
        <w:t>安全文明施工要求</w:t>
      </w:r>
    </w:p>
    <w:p w14:paraId="5B31B22F">
      <w:pPr>
        <w:numPr>
          <w:ilvl w:val="0"/>
          <w:numId w:val="17"/>
        </w:numPr>
      </w:pPr>
      <w:r>
        <w:rPr>
          <w:rFonts w:hint="eastAsia"/>
        </w:rPr>
        <w:t>杜绝一般等级(含)以上安全生产责任事故；</w:t>
      </w:r>
    </w:p>
    <w:p w14:paraId="0058E6F2">
      <w:pPr>
        <w:numPr>
          <w:ilvl w:val="0"/>
          <w:numId w:val="17"/>
        </w:numPr>
      </w:pPr>
      <w:r>
        <w:rPr>
          <w:rFonts w:hint="eastAsia"/>
        </w:rPr>
        <w:t>防范和降低环境污染,杜绝违法违规事件。</w:t>
      </w:r>
    </w:p>
    <w:p w14:paraId="47C6E020">
      <w:pPr>
        <w:pStyle w:val="4"/>
        <w:rPr>
          <w:b/>
          <w:bCs w:val="0"/>
        </w:rPr>
      </w:pPr>
      <w:r>
        <w:rPr>
          <w:rFonts w:hint="eastAsia"/>
          <w:b/>
          <w:bCs w:val="0"/>
        </w:rPr>
        <w:t>环境保护要求</w:t>
      </w:r>
    </w:p>
    <w:p w14:paraId="33910BC2">
      <w:pPr>
        <w:ind w:firstLine="480"/>
      </w:pPr>
      <w:r>
        <w:t>严格执行上级单位及主管部门关于环境保护的规定，建立健全环水保管理体系，加强各项环境保护工程措施。</w:t>
      </w:r>
    </w:p>
    <w:p w14:paraId="5E7CED0A">
      <w:pPr>
        <w:pStyle w:val="4"/>
        <w:rPr>
          <w:b/>
          <w:bCs w:val="0"/>
        </w:rPr>
      </w:pPr>
      <w:r>
        <w:rPr>
          <w:rFonts w:hint="eastAsia"/>
          <w:b/>
          <w:bCs w:val="0"/>
        </w:rPr>
        <w:t>节能减排要求</w:t>
      </w:r>
    </w:p>
    <w:p w14:paraId="799E711F">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3DDC12F1">
      <w:pPr>
        <w:pStyle w:val="4"/>
        <w:rPr>
          <w:b/>
          <w:bCs w:val="0"/>
        </w:rPr>
      </w:pPr>
      <w:r>
        <w:rPr>
          <w:rFonts w:hint="eastAsia"/>
          <w:b/>
          <w:bCs w:val="0"/>
          <w:lang w:val="en-US" w:eastAsia="zh-CN"/>
        </w:rPr>
        <w:t>拆除</w:t>
      </w:r>
      <w:r>
        <w:rPr>
          <w:rFonts w:hint="eastAsia"/>
          <w:b/>
          <w:bCs w:val="0"/>
        </w:rPr>
        <w:t>场地</w:t>
      </w:r>
      <w:r>
        <w:rPr>
          <w:b/>
          <w:bCs w:val="0"/>
        </w:rPr>
        <w:t>要求</w:t>
      </w:r>
    </w:p>
    <w:p w14:paraId="43DADC66">
      <w:pPr>
        <w:keepNext w:val="0"/>
        <w:keepLines w:val="0"/>
        <w:pageBreakBefore w:val="0"/>
        <w:widowControl w:val="0"/>
        <w:numPr>
          <w:ilvl w:val="0"/>
          <w:numId w:val="18"/>
        </w:numPr>
        <w:kinsoku/>
        <w:wordWrap/>
        <w:overflowPunct/>
        <w:topLinePunct w:val="0"/>
        <w:autoSpaceDE/>
        <w:autoSpaceDN/>
        <w:bidi w:val="0"/>
        <w:adjustRightInd/>
        <w:snapToGrid/>
        <w:ind w:firstLine="480" w:firstLineChars="200"/>
        <w:textAlignment w:val="auto"/>
      </w:pPr>
      <w:r>
        <w:rPr>
          <w:rFonts w:hint="eastAsia"/>
          <w:lang w:val="en-US" w:eastAsia="zh-CN"/>
        </w:rPr>
        <w:t>拆除</w:t>
      </w:r>
      <w:r>
        <w:rPr>
          <w:rFonts w:hint="eastAsia"/>
        </w:rPr>
        <w:t>场地大小应满足设备各部件顺利装卸车、拆解；</w:t>
      </w:r>
    </w:p>
    <w:p w14:paraId="5FD27959">
      <w:pPr>
        <w:keepNext w:val="0"/>
        <w:keepLines w:val="0"/>
        <w:pageBreakBefore w:val="0"/>
        <w:widowControl w:val="0"/>
        <w:numPr>
          <w:ilvl w:val="0"/>
          <w:numId w:val="18"/>
        </w:numPr>
        <w:kinsoku/>
        <w:wordWrap/>
        <w:overflowPunct/>
        <w:topLinePunct w:val="0"/>
        <w:autoSpaceDE/>
        <w:autoSpaceDN/>
        <w:bidi w:val="0"/>
        <w:adjustRightInd/>
        <w:snapToGrid/>
        <w:ind w:firstLine="480" w:firstLineChars="200"/>
        <w:textAlignment w:val="auto"/>
      </w:pPr>
      <w:r>
        <w:rPr>
          <w:rFonts w:hint="eastAsia"/>
          <w:lang w:val="en-US" w:eastAsia="zh-CN"/>
        </w:rPr>
        <w:t>拆除</w:t>
      </w:r>
      <w:r>
        <w:rPr>
          <w:rFonts w:hint="eastAsia"/>
        </w:rPr>
        <w:t>场地承载力应大于极限起重吊装工况下起重设备对</w:t>
      </w:r>
      <w:r>
        <w:rPr>
          <w:rFonts w:hint="eastAsia"/>
          <w:lang w:val="en-US" w:eastAsia="zh-CN"/>
        </w:rPr>
        <w:t>拆除</w:t>
      </w:r>
      <w:r>
        <w:rPr>
          <w:rFonts w:hint="eastAsia"/>
        </w:rPr>
        <w:t>场地的压力。</w:t>
      </w:r>
    </w:p>
    <w:p w14:paraId="287A6FB1">
      <w:pPr>
        <w:pStyle w:val="4"/>
        <w:rPr>
          <w:b/>
          <w:bCs w:val="0"/>
        </w:rPr>
      </w:pPr>
      <w:r>
        <w:rPr>
          <w:rFonts w:hint="eastAsia"/>
          <w:b/>
          <w:bCs w:val="0"/>
        </w:rPr>
        <w:t>运输及</w:t>
      </w:r>
      <w:r>
        <w:rPr>
          <w:rFonts w:hint="eastAsia"/>
          <w:b/>
          <w:bCs w:val="0"/>
          <w:lang w:val="en-US" w:eastAsia="zh-CN"/>
        </w:rPr>
        <w:t>退场</w:t>
      </w:r>
      <w:r>
        <w:rPr>
          <w:b/>
          <w:bCs w:val="0"/>
        </w:rPr>
        <w:t>要求</w:t>
      </w:r>
    </w:p>
    <w:p w14:paraId="70B6BCED">
      <w:pPr>
        <w:numPr>
          <w:ilvl w:val="0"/>
          <w:numId w:val="19"/>
        </w:numPr>
        <w:ind w:firstLineChars="0"/>
      </w:pPr>
      <w:r>
        <w:rPr>
          <w:rFonts w:hint="eastAsia"/>
        </w:rPr>
        <w:t>设备机械部件运输时应在运输车上做好支撑，并绑扎牢固，避免行驶过程中由于晃动等情况致使部件结构损坏；</w:t>
      </w:r>
    </w:p>
    <w:p w14:paraId="09470AC6">
      <w:pPr>
        <w:numPr>
          <w:ilvl w:val="0"/>
          <w:numId w:val="19"/>
        </w:numPr>
        <w:ind w:firstLineChars="0"/>
      </w:pPr>
      <w:r>
        <w:rPr>
          <w:rFonts w:hint="eastAsia"/>
        </w:rPr>
        <w:t>设备各电气部件应在运输车上遮盖防雨布，保持电气设备干燥；</w:t>
      </w:r>
    </w:p>
    <w:p w14:paraId="2D7AC9B5">
      <w:pPr>
        <w:numPr>
          <w:ilvl w:val="0"/>
          <w:numId w:val="19"/>
        </w:numPr>
      </w:pPr>
      <w:r>
        <w:rPr>
          <w:rFonts w:hint="eastAsia"/>
        </w:rPr>
        <w:t>设备各部件</w:t>
      </w:r>
      <w:r>
        <w:rPr>
          <w:rFonts w:hint="eastAsia"/>
          <w:lang w:val="en-US" w:eastAsia="zh-CN"/>
        </w:rPr>
        <w:t>退场</w:t>
      </w:r>
      <w:r>
        <w:rPr>
          <w:rFonts w:hint="eastAsia"/>
        </w:rPr>
        <w:t>时</w:t>
      </w:r>
      <w:r>
        <w:rPr>
          <w:rFonts w:hint="eastAsia"/>
          <w:lang w:val="en-US" w:eastAsia="zh-CN"/>
        </w:rPr>
        <w:t>应</w:t>
      </w:r>
      <w:r>
        <w:rPr>
          <w:rFonts w:hint="eastAsia"/>
        </w:rPr>
        <w:t>检查各部件结构的完整性。</w:t>
      </w:r>
    </w:p>
    <w:p w14:paraId="21F9A49E">
      <w:pPr>
        <w:pStyle w:val="3"/>
        <w:bidi w:val="0"/>
        <w:ind w:left="575" w:leftChars="0" w:hanging="575" w:firstLineChars="0"/>
        <w:rPr>
          <w:rFonts w:hint="eastAsia"/>
          <w:b/>
          <w:bCs w:val="0"/>
          <w:sz w:val="28"/>
          <w:szCs w:val="28"/>
          <w:lang w:val="en-US" w:eastAsia="zh-CN"/>
        </w:rPr>
      </w:pPr>
      <w:bookmarkStart w:id="43" w:name="_Toc27519"/>
      <w:bookmarkStart w:id="44" w:name="_Toc30936"/>
      <w:bookmarkStart w:id="45" w:name="_Toc3723"/>
      <w:r>
        <w:rPr>
          <w:rFonts w:hint="eastAsia"/>
          <w:b/>
          <w:bCs w:val="0"/>
          <w:sz w:val="28"/>
          <w:szCs w:val="28"/>
          <w:lang w:val="en-US" w:eastAsia="zh-CN"/>
        </w:rPr>
        <w:t>技术保证条件</w:t>
      </w:r>
      <w:bookmarkEnd w:id="43"/>
      <w:bookmarkEnd w:id="44"/>
      <w:bookmarkEnd w:id="45"/>
    </w:p>
    <w:p w14:paraId="5B6C4894">
      <w:pPr>
        <w:numPr>
          <w:ilvl w:val="0"/>
          <w:numId w:val="20"/>
        </w:numPr>
        <w:ind w:firstLineChars="0"/>
      </w:pPr>
      <w:r>
        <w:rPr>
          <w:rFonts w:hint="eastAsia"/>
        </w:rPr>
        <w:t>对</w:t>
      </w:r>
      <w:r>
        <w:rPr>
          <w:rFonts w:hint="eastAsia"/>
          <w:lang w:val="en-US" w:eastAsia="zh-CN"/>
        </w:rPr>
        <w:t>拆除</w:t>
      </w:r>
      <w:r>
        <w:rPr>
          <w:rFonts w:hint="eastAsia"/>
        </w:rPr>
        <w:t>的起吊构件的重量、幅度进行详细的核算；</w:t>
      </w:r>
    </w:p>
    <w:p w14:paraId="642937D8">
      <w:pPr>
        <w:numPr>
          <w:ilvl w:val="0"/>
          <w:numId w:val="20"/>
        </w:numPr>
      </w:pPr>
      <w:r>
        <w:rPr>
          <w:rFonts w:hint="eastAsia"/>
        </w:rPr>
        <w:t>对</w:t>
      </w:r>
      <w:r>
        <w:rPr>
          <w:rFonts w:hint="eastAsia"/>
          <w:lang w:val="en-US" w:eastAsia="zh-CN"/>
        </w:rPr>
        <w:t>退场</w:t>
      </w:r>
      <w:r>
        <w:rPr>
          <w:rFonts w:hint="eastAsia"/>
        </w:rPr>
        <w:t>设备进行进场检验，确保设备性能及施工条件可靠；</w:t>
      </w:r>
    </w:p>
    <w:p w14:paraId="1C5050C2">
      <w:pPr>
        <w:numPr>
          <w:ilvl w:val="0"/>
          <w:numId w:val="20"/>
        </w:numPr>
      </w:pPr>
      <w:r>
        <w:rPr>
          <w:rFonts w:hint="eastAsia"/>
        </w:rPr>
        <w:t>方案模拟现场的实际作业情况，保证</w:t>
      </w:r>
      <w:r>
        <w:rPr>
          <w:rFonts w:hint="eastAsia"/>
          <w:lang w:val="en-US" w:eastAsia="zh-CN"/>
        </w:rPr>
        <w:t>拆除</w:t>
      </w:r>
      <w:r>
        <w:rPr>
          <w:rFonts w:hint="eastAsia"/>
        </w:rPr>
        <w:t>场地空间足够，避免吊装过程中的干涉；</w:t>
      </w:r>
    </w:p>
    <w:p w14:paraId="5036DC8C">
      <w:pPr>
        <w:numPr>
          <w:ilvl w:val="0"/>
          <w:numId w:val="20"/>
        </w:numPr>
      </w:pPr>
      <w:r>
        <w:rPr>
          <w:rFonts w:hint="eastAsia"/>
        </w:rPr>
        <w:t>合理安排</w:t>
      </w:r>
      <w:r>
        <w:rPr>
          <w:rFonts w:hint="eastAsia"/>
          <w:lang w:val="en-US" w:eastAsia="zh-CN"/>
        </w:rPr>
        <w:t>拆除</w:t>
      </w:r>
      <w:r>
        <w:rPr>
          <w:rFonts w:hint="eastAsia"/>
        </w:rPr>
        <w:t>工序，协调好场地堆放及构件倒运顺序；</w:t>
      </w:r>
    </w:p>
    <w:p w14:paraId="6B236006">
      <w:pPr>
        <w:rPr>
          <w:rFonts w:hint="eastAsia" w:eastAsia="宋体"/>
          <w:lang w:val="en-US" w:eastAsia="zh-CN"/>
        </w:rPr>
      </w:pPr>
      <w:r>
        <w:rPr>
          <w:rFonts w:hint="eastAsia"/>
        </w:rPr>
        <w:t>加强技术交底，确保作业过程安全。</w:t>
      </w:r>
    </w:p>
    <w:p w14:paraId="7DB253BC">
      <w:pPr>
        <w:pStyle w:val="2"/>
        <w:bidi w:val="0"/>
        <w:ind w:left="432" w:leftChars="0" w:hanging="432" w:firstLineChars="0"/>
        <w:rPr>
          <w:rFonts w:hint="eastAsia"/>
        </w:rPr>
      </w:pPr>
      <w:bookmarkStart w:id="46" w:name="_Toc12008"/>
      <w:bookmarkStart w:id="47" w:name="_Toc20391"/>
      <w:bookmarkStart w:id="48" w:name="_Toc2493"/>
      <w:r>
        <w:rPr>
          <w:rFonts w:hint="eastAsia"/>
        </w:rPr>
        <w:t>施工计划</w:t>
      </w:r>
      <w:bookmarkEnd w:id="46"/>
      <w:bookmarkEnd w:id="47"/>
      <w:bookmarkEnd w:id="48"/>
    </w:p>
    <w:p w14:paraId="19ECD68C">
      <w:pPr>
        <w:pStyle w:val="3"/>
        <w:rPr>
          <w:b/>
          <w:bCs w:val="0"/>
          <w:sz w:val="28"/>
          <w:szCs w:val="28"/>
        </w:rPr>
      </w:pPr>
      <w:bookmarkStart w:id="49" w:name="_Toc22865"/>
      <w:bookmarkStart w:id="50" w:name="_Toc10419"/>
      <w:bookmarkStart w:id="51" w:name="_Toc12834"/>
      <w:bookmarkStart w:id="52" w:name="_Toc28189"/>
      <w:r>
        <w:rPr>
          <w:rFonts w:hint="eastAsia"/>
          <w:b/>
          <w:bCs w:val="0"/>
          <w:sz w:val="28"/>
          <w:szCs w:val="28"/>
        </w:rPr>
        <w:t>工程总体目标</w:t>
      </w:r>
      <w:bookmarkEnd w:id="49"/>
      <w:bookmarkEnd w:id="50"/>
      <w:bookmarkEnd w:id="51"/>
      <w:bookmarkEnd w:id="52"/>
    </w:p>
    <w:p w14:paraId="2094D36D">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安全管理目标</w:t>
      </w:r>
    </w:p>
    <w:p w14:paraId="7A8868DF">
      <w:pPr>
        <w:ind w:firstLine="480"/>
      </w:pPr>
      <w:r>
        <w:rPr>
          <w:rFonts w:hint="eastAsia"/>
        </w:rPr>
        <w:t>杜绝一般等级</w:t>
      </w:r>
      <w:r>
        <w:rPr>
          <w:rFonts w:hint="eastAsia"/>
          <w:lang w:eastAsia="zh-CN"/>
        </w:rPr>
        <w:t>（</w:t>
      </w:r>
      <w:r>
        <w:rPr>
          <w:rFonts w:hint="eastAsia"/>
          <w:lang w:val="en-US" w:eastAsia="zh-CN"/>
        </w:rPr>
        <w:t>含）</w:t>
      </w:r>
      <w:r>
        <w:rPr>
          <w:rFonts w:hint="eastAsia"/>
        </w:rPr>
        <w:t>以上安全生产责任事故。</w:t>
      </w:r>
    </w:p>
    <w:p w14:paraId="0F1274FE">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质量管理目标</w:t>
      </w:r>
    </w:p>
    <w:p w14:paraId="1D448EB5">
      <w:pPr>
        <w:ind w:firstLine="480"/>
      </w:pPr>
      <w:r>
        <w:rPr>
          <w:rFonts w:hint="eastAsia"/>
        </w:rPr>
        <w:t>消除质量隐患</w:t>
      </w:r>
      <w:r>
        <w:rPr>
          <w:rFonts w:hint="eastAsia"/>
          <w:lang w:eastAsia="zh-CN"/>
        </w:rPr>
        <w:t>，</w:t>
      </w:r>
      <w:r>
        <w:rPr>
          <w:rFonts w:hint="eastAsia"/>
        </w:rPr>
        <w:t>杜绝质量事故。</w:t>
      </w:r>
    </w:p>
    <w:p w14:paraId="7307271B">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文明施工及保护目标</w:t>
      </w:r>
    </w:p>
    <w:p w14:paraId="3058E4DA">
      <w:pPr>
        <w:ind w:firstLine="480"/>
      </w:pPr>
      <w:r>
        <w:rPr>
          <w:rFonts w:hint="eastAsia"/>
        </w:rPr>
        <w:t>防范和降低环境污染,杜绝违法违规事件。</w:t>
      </w:r>
    </w:p>
    <w:p w14:paraId="272E44AE">
      <w:pPr>
        <w:pStyle w:val="3"/>
        <w:bidi w:val="0"/>
        <w:rPr>
          <w:b/>
          <w:bCs w:val="0"/>
          <w:sz w:val="28"/>
          <w:szCs w:val="28"/>
        </w:rPr>
      </w:pPr>
      <w:bookmarkStart w:id="53" w:name="_Toc31479"/>
      <w:bookmarkStart w:id="54" w:name="_Toc26611"/>
      <w:bookmarkStart w:id="55" w:name="_Toc5570"/>
      <w:bookmarkStart w:id="56" w:name="_Toc15551"/>
      <w:r>
        <w:rPr>
          <w:rFonts w:hint="eastAsia"/>
          <w:b/>
          <w:bCs w:val="0"/>
          <w:sz w:val="28"/>
          <w:szCs w:val="28"/>
        </w:rPr>
        <w:t>施工进度计划</w:t>
      </w:r>
      <w:bookmarkEnd w:id="53"/>
      <w:bookmarkEnd w:id="54"/>
      <w:bookmarkEnd w:id="55"/>
      <w:bookmarkEnd w:id="56"/>
    </w:p>
    <w:p w14:paraId="24E8A1FE">
      <w:pPr>
        <w:ind w:firstLine="480"/>
        <w:rPr>
          <w:rFonts w:hint="eastAsia"/>
          <w:highlight w:val="none"/>
        </w:rPr>
      </w:pPr>
      <w:r>
        <w:rPr>
          <w:rFonts w:hint="eastAsia"/>
          <w:highlight w:val="none"/>
          <w:lang w:val="en-US" w:eastAsia="zh-CN"/>
        </w:rPr>
        <w:t>塔机拆除</w:t>
      </w:r>
      <w:r>
        <w:rPr>
          <w:rFonts w:hint="eastAsia"/>
        </w:rPr>
        <w:t>总工期为</w:t>
      </w:r>
      <w:r>
        <w:rPr>
          <w:rFonts w:hint="eastAsia"/>
          <w:lang w:val="en-US" w:eastAsia="zh-CN"/>
        </w:rPr>
        <w:t>10</w:t>
      </w:r>
      <w:r>
        <w:rPr>
          <w:rFonts w:hint="eastAsia"/>
        </w:rPr>
        <w:t>天，施工计划开始时间为202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19</w:t>
      </w:r>
      <w:r>
        <w:rPr>
          <w:rFonts w:hint="eastAsia"/>
        </w:rPr>
        <w:t>日，完成时间为202</w:t>
      </w:r>
      <w:r>
        <w:rPr>
          <w:rFonts w:hint="eastAsia"/>
          <w:lang w:val="en-US" w:eastAsia="zh-CN"/>
        </w:rPr>
        <w:t>5</w:t>
      </w:r>
      <w:r>
        <w:rPr>
          <w:rFonts w:hint="eastAsia"/>
        </w:rPr>
        <w:t>年</w:t>
      </w:r>
      <w:r>
        <w:rPr>
          <w:rFonts w:hint="eastAsia"/>
          <w:lang w:val="en-US" w:eastAsia="zh-CN"/>
        </w:rPr>
        <w:t>9</w:t>
      </w:r>
      <w:r>
        <w:rPr>
          <w:rFonts w:hint="eastAsia"/>
        </w:rPr>
        <w:t>月</w:t>
      </w:r>
      <w:r>
        <w:rPr>
          <w:rFonts w:hint="eastAsia"/>
          <w:lang w:val="en-US" w:eastAsia="zh-CN"/>
        </w:rPr>
        <w:t>28</w:t>
      </w:r>
      <w:r>
        <w:rPr>
          <w:rFonts w:hint="eastAsia"/>
        </w:rPr>
        <w:t>日</w:t>
      </w:r>
      <w:r>
        <w:rPr>
          <w:rFonts w:hint="eastAsia"/>
          <w:highlight w:val="none"/>
        </w:rPr>
        <w:t>。</w:t>
      </w:r>
    </w:p>
    <w:p w14:paraId="75F872D0">
      <w:pPr>
        <w:ind w:firstLine="480"/>
        <w:rPr>
          <w:rFonts w:hint="eastAsia" w:ascii="Times New Roman" w:hAnsi="Times New Roman" w:cs="Times New Roman"/>
        </w:rPr>
      </w:pPr>
      <w:r>
        <w:rPr>
          <w:rFonts w:hint="eastAsia"/>
        </w:rPr>
        <w:t>单台</w:t>
      </w:r>
      <w:r>
        <w:rPr>
          <w:rFonts w:hint="eastAsia"/>
          <w:lang w:val="en-US" w:eastAsia="zh-CN"/>
        </w:rPr>
        <w:t>XGT360-20S1（6#）</w:t>
      </w:r>
      <w:r>
        <w:rPr>
          <w:rFonts w:hint="eastAsia"/>
        </w:rPr>
        <w:t>塔机</w:t>
      </w:r>
      <w:r>
        <w:rPr>
          <w:rFonts w:hint="eastAsia"/>
          <w:lang w:val="en-US" w:eastAsia="zh-CN"/>
        </w:rPr>
        <w:t>拆除</w:t>
      </w:r>
      <w:r>
        <w:rPr>
          <w:rFonts w:hint="eastAsia"/>
        </w:rPr>
        <w:t>的施工进度见下表，如遇天气等其他不可控因素，工期顺延。</w:t>
      </w:r>
    </w:p>
    <w:p w14:paraId="51735936">
      <w:pPr>
        <w:ind w:firstLine="480"/>
        <w:jc w:val="center"/>
        <w:rPr>
          <w:rFonts w:hint="eastAsia" w:ascii="Times New Roman" w:hAnsi="Times New Roman" w:cs="Times New Roman"/>
        </w:rPr>
      </w:pPr>
      <w:r>
        <w:rPr>
          <w:rFonts w:hint="eastAsia" w:ascii="Times New Roman" w:hAnsi="Times New Roman" w:eastAsia="宋体" w:cstheme="majorBidi"/>
          <w:b/>
          <w:color w:val="auto"/>
          <w:kern w:val="2"/>
          <w:sz w:val="21"/>
          <w:szCs w:val="20"/>
          <w:lang w:val="en-US" w:eastAsia="zh-CN" w:bidi="ar-SA"/>
        </w:rPr>
        <w:t xml:space="preserve">表 3.2-1 </w:t>
      </w:r>
      <w:r>
        <w:rPr>
          <w:rFonts w:hint="eastAsia" w:cstheme="majorBidi"/>
          <w:b/>
          <w:color w:val="auto"/>
          <w:kern w:val="2"/>
          <w:sz w:val="21"/>
          <w:szCs w:val="20"/>
          <w:lang w:val="en-US" w:eastAsia="zh-CN" w:bidi="ar-SA"/>
        </w:rPr>
        <w:t>XGT360-20S1（6#）塔机拆除</w:t>
      </w:r>
      <w:r>
        <w:rPr>
          <w:rFonts w:hint="eastAsia" w:ascii="Times New Roman" w:hAnsi="Times New Roman" w:eastAsia="宋体" w:cstheme="majorBidi"/>
          <w:b/>
          <w:color w:val="auto"/>
          <w:kern w:val="2"/>
          <w:sz w:val="21"/>
          <w:szCs w:val="20"/>
          <w:lang w:val="en-US" w:eastAsia="zh-CN" w:bidi="ar-SA"/>
        </w:rPr>
        <w:t>进度计划表</w:t>
      </w:r>
    </w:p>
    <w:tbl>
      <w:tblPr>
        <w:tblStyle w:val="127"/>
        <w:tblW w:w="508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3688"/>
        <w:gridCol w:w="1975"/>
        <w:gridCol w:w="1120"/>
        <w:gridCol w:w="1132"/>
      </w:tblGrid>
      <w:tr w14:paraId="7080F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tcBorders>
              <w:tl2br w:val="nil"/>
            </w:tcBorders>
            <w:shd w:val="clear" w:color="auto" w:fill="FFFFFF"/>
            <w:vAlign w:val="center"/>
          </w:tcPr>
          <w:p w14:paraId="27506275">
            <w:pPr>
              <w:pStyle w:val="16"/>
              <w:rPr>
                <w:rFonts w:cstheme="minorBidi"/>
                <w:b w:val="0"/>
              </w:rPr>
            </w:pPr>
            <w:r>
              <w:rPr>
                <w:rFonts w:hint="eastAsia" w:cstheme="minorBidi"/>
                <w:b w:val="0"/>
              </w:rPr>
              <w:t>序号</w:t>
            </w:r>
          </w:p>
        </w:tc>
        <w:tc>
          <w:tcPr>
            <w:tcW w:w="2128" w:type="pct"/>
            <w:shd w:val="clear" w:color="auto" w:fill="FFFFFF"/>
            <w:vAlign w:val="center"/>
          </w:tcPr>
          <w:p w14:paraId="20291332">
            <w:pPr>
              <w:pStyle w:val="16"/>
              <w:rPr>
                <w:rFonts w:cstheme="minorBidi"/>
                <w:b w:val="0"/>
              </w:rPr>
            </w:pPr>
            <w:r>
              <w:rPr>
                <w:rFonts w:hint="eastAsia" w:cstheme="minorBidi"/>
                <w:b w:val="0"/>
                <w:lang w:val="en-US" w:eastAsia="zh-CN"/>
              </w:rPr>
              <w:t>拆除</w:t>
            </w:r>
            <w:r>
              <w:rPr>
                <w:rFonts w:hint="eastAsia" w:cstheme="minorBidi"/>
                <w:b w:val="0"/>
              </w:rPr>
              <w:t>内容</w:t>
            </w:r>
          </w:p>
        </w:tc>
        <w:tc>
          <w:tcPr>
            <w:tcW w:w="1139" w:type="pct"/>
            <w:shd w:val="clear" w:color="auto" w:fill="FFFFFF"/>
            <w:vAlign w:val="center"/>
          </w:tcPr>
          <w:p w14:paraId="17EE5CD3">
            <w:pPr>
              <w:pStyle w:val="16"/>
              <w:rPr>
                <w:rFonts w:cstheme="minorBidi"/>
                <w:b w:val="0"/>
              </w:rPr>
            </w:pPr>
            <w:r>
              <w:rPr>
                <w:rFonts w:hint="eastAsia" w:cstheme="minorBidi"/>
                <w:b w:val="0"/>
              </w:rPr>
              <w:t>关键设备</w:t>
            </w:r>
          </w:p>
        </w:tc>
        <w:tc>
          <w:tcPr>
            <w:tcW w:w="646" w:type="pct"/>
            <w:shd w:val="clear" w:color="auto" w:fill="FFFFFF"/>
            <w:vAlign w:val="center"/>
          </w:tcPr>
          <w:p w14:paraId="47EB718F">
            <w:pPr>
              <w:pStyle w:val="16"/>
              <w:rPr>
                <w:rFonts w:cstheme="minorBidi"/>
                <w:b w:val="0"/>
              </w:rPr>
            </w:pPr>
            <w:r>
              <w:rPr>
                <w:rFonts w:hint="eastAsia" w:cstheme="minorBidi"/>
                <w:b w:val="0"/>
              </w:rPr>
              <w:t>时间（天）</w:t>
            </w:r>
          </w:p>
        </w:tc>
        <w:tc>
          <w:tcPr>
            <w:tcW w:w="653" w:type="pct"/>
            <w:shd w:val="clear" w:color="auto" w:fill="FFFFFF"/>
            <w:vAlign w:val="center"/>
          </w:tcPr>
          <w:p w14:paraId="003A4F7E">
            <w:pPr>
              <w:pStyle w:val="16"/>
              <w:rPr>
                <w:rFonts w:cstheme="minorBidi"/>
                <w:b w:val="0"/>
              </w:rPr>
            </w:pPr>
            <w:r>
              <w:rPr>
                <w:rFonts w:hint="eastAsia" w:cstheme="minorBidi"/>
                <w:b w:val="0"/>
              </w:rPr>
              <w:t>备注</w:t>
            </w:r>
          </w:p>
        </w:tc>
      </w:tr>
      <w:tr w14:paraId="12F48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4EE33DE8">
            <w:pPr>
              <w:pStyle w:val="16"/>
              <w:rPr>
                <w:rFonts w:cstheme="minorBidi"/>
                <w:b w:val="0"/>
              </w:rPr>
            </w:pPr>
            <w:r>
              <w:rPr>
                <w:rFonts w:hint="eastAsia" w:cstheme="minorBidi"/>
                <w:b w:val="0"/>
              </w:rPr>
              <w:t>1</w:t>
            </w:r>
          </w:p>
        </w:tc>
        <w:tc>
          <w:tcPr>
            <w:tcW w:w="2128" w:type="pct"/>
            <w:shd w:val="clear" w:color="auto" w:fill="FFFFFF"/>
            <w:vAlign w:val="center"/>
          </w:tcPr>
          <w:p w14:paraId="70A091B4">
            <w:pPr>
              <w:pStyle w:val="16"/>
              <w:rPr>
                <w:rFonts w:hint="default" w:cstheme="minorBidi"/>
                <w:b w:val="0"/>
                <w:lang w:val="en-US"/>
              </w:rPr>
            </w:pPr>
            <w:r>
              <w:rPr>
                <w:rFonts w:hint="eastAsia" w:cstheme="minorBidi"/>
                <w:b w:val="0"/>
                <w:lang w:val="en-US" w:eastAsia="zh-CN"/>
              </w:rPr>
              <w:t>起重臂、平衡臂、配重拆除</w:t>
            </w:r>
          </w:p>
        </w:tc>
        <w:tc>
          <w:tcPr>
            <w:tcW w:w="1139" w:type="pct"/>
            <w:shd w:val="clear" w:color="auto" w:fill="FFFFFF"/>
            <w:vAlign w:val="center"/>
          </w:tcPr>
          <w:p w14:paraId="243C1044">
            <w:pPr>
              <w:pStyle w:val="16"/>
              <w:ind w:firstLine="0" w:firstLineChars="0"/>
              <w:rPr>
                <w:rFonts w:cstheme="minorBidi"/>
                <w:b w:val="0"/>
              </w:rPr>
            </w:pPr>
            <w:r>
              <w:rPr>
                <w:rFonts w:hint="eastAsia" w:cstheme="minorBidi"/>
                <w:b w:val="0"/>
                <w:lang w:val="en-US" w:eastAsia="zh-CN"/>
              </w:rPr>
              <w:t>XGT600-32S塔式起重机</w:t>
            </w:r>
          </w:p>
        </w:tc>
        <w:tc>
          <w:tcPr>
            <w:tcW w:w="646" w:type="pct"/>
            <w:shd w:val="clear" w:color="auto" w:fill="FFFFFF"/>
            <w:vAlign w:val="center"/>
          </w:tcPr>
          <w:p w14:paraId="4E915B1F">
            <w:pPr>
              <w:pStyle w:val="16"/>
              <w:rPr>
                <w:rFonts w:hint="default" w:eastAsia="宋体" w:cstheme="minorBidi"/>
                <w:b w:val="0"/>
                <w:lang w:val="en-US" w:eastAsia="zh-CN"/>
              </w:rPr>
            </w:pPr>
            <w:r>
              <w:rPr>
                <w:rFonts w:hint="eastAsia" w:cstheme="minorBidi"/>
                <w:b w:val="0"/>
                <w:lang w:val="en-US" w:eastAsia="zh-CN"/>
              </w:rPr>
              <w:t>2</w:t>
            </w:r>
          </w:p>
        </w:tc>
        <w:tc>
          <w:tcPr>
            <w:tcW w:w="653" w:type="pct"/>
            <w:shd w:val="clear" w:color="auto" w:fill="FFFFFF"/>
            <w:vAlign w:val="center"/>
          </w:tcPr>
          <w:p w14:paraId="3FDAD0DA">
            <w:pPr>
              <w:pStyle w:val="16"/>
              <w:rPr>
                <w:rFonts w:cstheme="minorBidi"/>
                <w:b w:val="0"/>
              </w:rPr>
            </w:pPr>
          </w:p>
        </w:tc>
      </w:tr>
      <w:tr w14:paraId="17AF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13879906">
            <w:pPr>
              <w:pStyle w:val="16"/>
              <w:rPr>
                <w:rFonts w:cstheme="minorBidi"/>
                <w:b w:val="0"/>
              </w:rPr>
            </w:pPr>
            <w:r>
              <w:rPr>
                <w:rFonts w:hint="eastAsia" w:cstheme="minorBidi"/>
                <w:b w:val="0"/>
              </w:rPr>
              <w:t>2</w:t>
            </w:r>
          </w:p>
        </w:tc>
        <w:tc>
          <w:tcPr>
            <w:tcW w:w="2128" w:type="pct"/>
            <w:shd w:val="clear" w:color="auto" w:fill="FFFFFF"/>
            <w:vAlign w:val="center"/>
          </w:tcPr>
          <w:p w14:paraId="6C05B4D7">
            <w:pPr>
              <w:pStyle w:val="16"/>
              <w:rPr>
                <w:rFonts w:hint="default" w:eastAsia="宋体" w:cstheme="minorBidi"/>
                <w:b w:val="0"/>
                <w:lang w:val="en-US" w:eastAsia="zh-CN"/>
              </w:rPr>
            </w:pPr>
            <w:r>
              <w:rPr>
                <w:rFonts w:hint="eastAsia" w:cstheme="minorBidi"/>
                <w:b w:val="0"/>
                <w:lang w:val="en-US" w:eastAsia="zh-CN"/>
              </w:rPr>
              <w:t>回转总成、特殊节、爬升架拆除</w:t>
            </w:r>
          </w:p>
        </w:tc>
        <w:tc>
          <w:tcPr>
            <w:tcW w:w="1139" w:type="pct"/>
            <w:shd w:val="clear" w:color="auto" w:fill="FFFFFF"/>
            <w:vAlign w:val="center"/>
          </w:tcPr>
          <w:p w14:paraId="1E627CEC">
            <w:pPr>
              <w:pStyle w:val="16"/>
              <w:ind w:firstLine="0" w:firstLineChars="0"/>
              <w:rPr>
                <w:rFonts w:hint="default" w:eastAsia="宋体" w:cstheme="minorBidi"/>
                <w:b w:val="0"/>
                <w:lang w:val="en-US" w:eastAsia="zh-CN"/>
              </w:rPr>
            </w:pPr>
            <w:r>
              <w:rPr>
                <w:rFonts w:hint="eastAsia" w:cstheme="minorBidi"/>
                <w:b w:val="0"/>
                <w:lang w:val="en-US" w:eastAsia="zh-CN"/>
              </w:rPr>
              <w:t>XGT600-32S塔式起重机</w:t>
            </w:r>
          </w:p>
        </w:tc>
        <w:tc>
          <w:tcPr>
            <w:tcW w:w="646" w:type="pct"/>
            <w:shd w:val="clear" w:color="auto" w:fill="FFFFFF"/>
            <w:vAlign w:val="center"/>
          </w:tcPr>
          <w:p w14:paraId="028A9C1B">
            <w:pPr>
              <w:pStyle w:val="16"/>
              <w:rPr>
                <w:rFonts w:hint="default" w:eastAsia="宋体" w:cstheme="minorBidi"/>
                <w:b w:val="0"/>
                <w:lang w:val="en-US" w:eastAsia="zh-CN"/>
              </w:rPr>
            </w:pPr>
            <w:r>
              <w:rPr>
                <w:rFonts w:hint="eastAsia" w:cstheme="minorBidi"/>
                <w:b w:val="0"/>
                <w:lang w:val="en-US" w:eastAsia="zh-CN"/>
              </w:rPr>
              <w:t>1</w:t>
            </w:r>
          </w:p>
        </w:tc>
        <w:tc>
          <w:tcPr>
            <w:tcW w:w="653" w:type="pct"/>
            <w:shd w:val="clear" w:color="auto" w:fill="FFFFFF"/>
            <w:vAlign w:val="center"/>
          </w:tcPr>
          <w:p w14:paraId="6C9C1CAF">
            <w:pPr>
              <w:pStyle w:val="16"/>
              <w:rPr>
                <w:rFonts w:cstheme="minorBidi"/>
                <w:b w:val="0"/>
              </w:rPr>
            </w:pPr>
          </w:p>
        </w:tc>
      </w:tr>
      <w:tr w14:paraId="40DAA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 w:type="pct"/>
            <w:shd w:val="clear" w:color="auto" w:fill="FFFFFF"/>
            <w:vAlign w:val="center"/>
          </w:tcPr>
          <w:p w14:paraId="5658E5DB">
            <w:pPr>
              <w:pStyle w:val="16"/>
              <w:rPr>
                <w:rFonts w:cstheme="minorBidi"/>
                <w:b w:val="0"/>
              </w:rPr>
            </w:pPr>
            <w:r>
              <w:rPr>
                <w:rFonts w:hint="eastAsia" w:cstheme="minorBidi"/>
                <w:b w:val="0"/>
              </w:rPr>
              <w:t>3</w:t>
            </w:r>
          </w:p>
        </w:tc>
        <w:tc>
          <w:tcPr>
            <w:tcW w:w="2128" w:type="pct"/>
            <w:shd w:val="clear" w:color="auto" w:fill="FFFFFF"/>
            <w:vAlign w:val="center"/>
          </w:tcPr>
          <w:p w14:paraId="07D1F1F2">
            <w:pPr>
              <w:pStyle w:val="16"/>
              <w:rPr>
                <w:rFonts w:hint="default" w:cstheme="minorBidi"/>
                <w:b w:val="0"/>
                <w:lang w:val="en-US"/>
              </w:rPr>
            </w:pPr>
            <w:r>
              <w:rPr>
                <w:rFonts w:hint="eastAsia" w:cstheme="minorBidi"/>
                <w:b w:val="0"/>
                <w:lang w:val="en-US" w:eastAsia="zh-CN"/>
              </w:rPr>
              <w:t>标准节、附着、基础节拆除</w:t>
            </w:r>
          </w:p>
        </w:tc>
        <w:tc>
          <w:tcPr>
            <w:tcW w:w="1139" w:type="pct"/>
            <w:shd w:val="clear" w:color="auto" w:fill="FFFFFF"/>
            <w:vAlign w:val="center"/>
          </w:tcPr>
          <w:p w14:paraId="16BEC79E">
            <w:pPr>
              <w:pStyle w:val="16"/>
              <w:ind w:firstLine="0" w:firstLineChars="0"/>
              <w:rPr>
                <w:rFonts w:hint="eastAsia" w:eastAsia="宋体" w:cstheme="minorBidi"/>
                <w:b w:val="0"/>
                <w:lang w:eastAsia="zh-CN"/>
              </w:rPr>
            </w:pPr>
            <w:r>
              <w:rPr>
                <w:rFonts w:hint="eastAsia" w:cstheme="minorBidi"/>
                <w:b w:val="0"/>
                <w:lang w:val="en-US" w:eastAsia="zh-CN"/>
              </w:rPr>
              <w:t>XGT600-32S塔式起重机</w:t>
            </w:r>
          </w:p>
        </w:tc>
        <w:tc>
          <w:tcPr>
            <w:tcW w:w="646" w:type="pct"/>
            <w:shd w:val="clear" w:color="auto" w:fill="FFFFFF"/>
            <w:vAlign w:val="center"/>
          </w:tcPr>
          <w:p w14:paraId="2294580E">
            <w:pPr>
              <w:pStyle w:val="16"/>
              <w:rPr>
                <w:rFonts w:hint="default" w:eastAsia="宋体" w:cstheme="minorBidi"/>
                <w:b w:val="0"/>
                <w:lang w:val="en-US" w:eastAsia="zh-CN"/>
              </w:rPr>
            </w:pPr>
            <w:r>
              <w:rPr>
                <w:rFonts w:hint="eastAsia" w:cstheme="minorBidi"/>
                <w:b w:val="0"/>
                <w:lang w:val="en-US" w:eastAsia="zh-CN"/>
              </w:rPr>
              <w:t>7</w:t>
            </w:r>
          </w:p>
        </w:tc>
        <w:tc>
          <w:tcPr>
            <w:tcW w:w="653" w:type="pct"/>
            <w:shd w:val="clear" w:color="auto" w:fill="FFFFFF"/>
            <w:vAlign w:val="center"/>
          </w:tcPr>
          <w:p w14:paraId="7AD409BF">
            <w:pPr>
              <w:pStyle w:val="16"/>
              <w:rPr>
                <w:rFonts w:cstheme="minorBidi"/>
                <w:b w:val="0"/>
              </w:rPr>
            </w:pPr>
          </w:p>
        </w:tc>
      </w:tr>
      <w:tr w14:paraId="7FAE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00" w:type="pct"/>
            <w:gridSpan w:val="3"/>
            <w:shd w:val="clear" w:color="auto" w:fill="FFFFFF"/>
            <w:vAlign w:val="center"/>
          </w:tcPr>
          <w:p w14:paraId="018851E9">
            <w:pPr>
              <w:pStyle w:val="16"/>
              <w:rPr>
                <w:rFonts w:cstheme="minorBidi"/>
                <w:b w:val="0"/>
              </w:rPr>
            </w:pPr>
            <w:r>
              <w:rPr>
                <w:rFonts w:hint="eastAsia" w:cstheme="minorBidi"/>
                <w:b w:val="0"/>
              </w:rPr>
              <w:t>合计</w:t>
            </w:r>
          </w:p>
        </w:tc>
        <w:tc>
          <w:tcPr>
            <w:tcW w:w="646" w:type="pct"/>
            <w:shd w:val="clear" w:color="auto" w:fill="FFFFFF"/>
            <w:vAlign w:val="center"/>
          </w:tcPr>
          <w:p w14:paraId="0FA663F4">
            <w:pPr>
              <w:pStyle w:val="16"/>
              <w:rPr>
                <w:rFonts w:hint="default" w:eastAsia="宋体" w:cstheme="minorBidi"/>
                <w:b w:val="0"/>
                <w:lang w:val="en-US" w:eastAsia="zh-CN"/>
              </w:rPr>
            </w:pPr>
            <w:r>
              <w:rPr>
                <w:rFonts w:hint="eastAsia" w:cstheme="minorBidi"/>
                <w:b w:val="0"/>
                <w:lang w:val="en-US" w:eastAsia="zh-CN"/>
              </w:rPr>
              <w:t>10</w:t>
            </w:r>
          </w:p>
        </w:tc>
        <w:tc>
          <w:tcPr>
            <w:tcW w:w="653" w:type="pct"/>
            <w:shd w:val="clear" w:color="auto" w:fill="FFFFFF"/>
            <w:vAlign w:val="center"/>
          </w:tcPr>
          <w:p w14:paraId="30BE9703">
            <w:pPr>
              <w:pStyle w:val="16"/>
              <w:rPr>
                <w:rFonts w:cstheme="minorBidi"/>
                <w:b w:val="0"/>
              </w:rPr>
            </w:pPr>
          </w:p>
        </w:tc>
      </w:tr>
    </w:tbl>
    <w:p w14:paraId="7F8153FD">
      <w:pPr>
        <w:pStyle w:val="3"/>
        <w:pBdr>
          <w:top w:val="none" w:color="auto" w:sz="0" w:space="0"/>
          <w:left w:val="none" w:color="auto" w:sz="0" w:space="0"/>
          <w:bottom w:val="none" w:color="auto" w:sz="0" w:space="0"/>
          <w:right w:val="none" w:color="auto" w:sz="0" w:space="0"/>
          <w:between w:val="none" w:color="auto" w:sz="0" w:space="0"/>
        </w:pBdr>
        <w:rPr>
          <w:b/>
          <w:bCs w:val="0"/>
          <w:sz w:val="28"/>
          <w:szCs w:val="28"/>
        </w:rPr>
      </w:pPr>
      <w:bookmarkStart w:id="57" w:name="_Toc25122"/>
      <w:bookmarkStart w:id="58" w:name="_Toc692"/>
      <w:bookmarkStart w:id="59" w:name="_Toc20771"/>
      <w:bookmarkStart w:id="60" w:name="_Toc24197"/>
      <w:r>
        <w:rPr>
          <w:rFonts w:hint="eastAsia"/>
          <w:b/>
          <w:bCs w:val="0"/>
          <w:sz w:val="28"/>
          <w:szCs w:val="28"/>
        </w:rPr>
        <w:t>材料及设备计划</w:t>
      </w:r>
      <w:bookmarkEnd w:id="57"/>
      <w:bookmarkEnd w:id="58"/>
      <w:bookmarkEnd w:id="59"/>
      <w:bookmarkEnd w:id="60"/>
    </w:p>
    <w:p w14:paraId="25EF50C3">
      <w:pPr>
        <w:ind w:firstLine="480"/>
      </w:pPr>
      <w:r>
        <w:rPr>
          <w:rFonts w:hint="eastAsia"/>
        </w:rPr>
        <w:t>为保证现场设备</w:t>
      </w:r>
      <w:r>
        <w:rPr>
          <w:rFonts w:hint="eastAsia"/>
          <w:lang w:val="en-US" w:eastAsia="zh-CN"/>
        </w:rPr>
        <w:t>拆除</w:t>
      </w:r>
      <w:r>
        <w:rPr>
          <w:rFonts w:hint="eastAsia"/>
        </w:rPr>
        <w:t>，材料及设备计划下表</w:t>
      </w:r>
    </w:p>
    <w:p w14:paraId="0014F221">
      <w:pPr>
        <w:pStyle w:val="15"/>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ascii="Times New Roman" w:hAnsi="Times New Roman" w:eastAsia="宋体" w:cstheme="majorBidi"/>
          <w:b/>
          <w:color w:val="auto"/>
          <w:kern w:val="2"/>
          <w:sz w:val="21"/>
          <w:szCs w:val="20"/>
          <w:lang w:val="en-US" w:eastAsia="zh-CN" w:bidi="ar-SA"/>
        </w:rPr>
        <w:t>材料及设备计划表</w:t>
      </w:r>
    </w:p>
    <w:tbl>
      <w:tblPr>
        <w:tblStyle w:val="81"/>
        <w:tblW w:w="522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3"/>
        <w:gridCol w:w="1367"/>
        <w:gridCol w:w="2790"/>
        <w:gridCol w:w="1019"/>
        <w:gridCol w:w="2990"/>
      </w:tblGrid>
      <w:tr w14:paraId="737AE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312" w:type="pct"/>
            <w:tcBorders>
              <w:tl2br w:val="nil"/>
            </w:tcBorders>
            <w:shd w:val="clear" w:color="auto" w:fill="FFFFFF"/>
            <w:vAlign w:val="center"/>
          </w:tcPr>
          <w:p w14:paraId="242EAB96">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序号</w:t>
            </w:r>
          </w:p>
        </w:tc>
        <w:tc>
          <w:tcPr>
            <w:tcW w:w="785" w:type="pct"/>
            <w:shd w:val="clear" w:color="auto" w:fill="FFFFFF"/>
            <w:vAlign w:val="center"/>
          </w:tcPr>
          <w:p w14:paraId="04C0F5A4">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名称</w:t>
            </w:r>
          </w:p>
        </w:tc>
        <w:tc>
          <w:tcPr>
            <w:tcW w:w="1602" w:type="pct"/>
            <w:shd w:val="clear" w:color="auto" w:fill="FFFFFF"/>
            <w:vAlign w:val="center"/>
          </w:tcPr>
          <w:p w14:paraId="63B591DB">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型号</w:t>
            </w:r>
          </w:p>
        </w:tc>
        <w:tc>
          <w:tcPr>
            <w:tcW w:w="585" w:type="pct"/>
            <w:shd w:val="clear" w:color="auto" w:fill="FFFFFF"/>
            <w:vAlign w:val="center"/>
          </w:tcPr>
          <w:p w14:paraId="1A601E3E">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数量</w:t>
            </w:r>
          </w:p>
        </w:tc>
        <w:tc>
          <w:tcPr>
            <w:tcW w:w="1713" w:type="pct"/>
            <w:shd w:val="clear" w:color="auto" w:fill="FFFFFF"/>
            <w:vAlign w:val="center"/>
          </w:tcPr>
          <w:p w14:paraId="0C3AF570">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备注</w:t>
            </w:r>
          </w:p>
        </w:tc>
      </w:tr>
      <w:tr w14:paraId="07578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09E9FAF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671B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2775C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5" w:type="pct"/>
            <w:shd w:val="clear" w:color="auto" w:fill="FFFFFF"/>
            <w:vAlign w:val="center"/>
          </w:tcPr>
          <w:p w14:paraId="27A19BB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塔式起重机</w:t>
            </w:r>
          </w:p>
        </w:tc>
        <w:tc>
          <w:tcPr>
            <w:tcW w:w="1602" w:type="pct"/>
            <w:shd w:val="clear" w:color="auto" w:fill="FFFFFF"/>
            <w:vAlign w:val="center"/>
          </w:tcPr>
          <w:p w14:paraId="77F2580F">
            <w:pPr>
              <w:pStyle w:val="328"/>
              <w:ind w:firstLine="0" w:firstLineChars="0"/>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imes New Roman"/>
                <w:b w:val="0"/>
                <w:bCs w:val="0"/>
                <w:lang w:val="en-US" w:eastAsia="zh-CN"/>
              </w:rPr>
              <w:t>XGT600-32S</w:t>
            </w:r>
          </w:p>
        </w:tc>
        <w:tc>
          <w:tcPr>
            <w:tcW w:w="585" w:type="pct"/>
            <w:shd w:val="clear" w:color="auto" w:fill="FFFFFF"/>
            <w:vAlign w:val="center"/>
          </w:tcPr>
          <w:p w14:paraId="794B266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1713" w:type="pct"/>
            <w:shd w:val="clear" w:color="auto" w:fill="FFFFFF"/>
            <w:vAlign w:val="center"/>
          </w:tcPr>
          <w:p w14:paraId="595536D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p>
        </w:tc>
      </w:tr>
      <w:tr w14:paraId="46DA5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A31A9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28DAF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656D58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1</w:t>
            </w:r>
          </w:p>
        </w:tc>
        <w:tc>
          <w:tcPr>
            <w:tcW w:w="785" w:type="pct"/>
            <w:shd w:val="clear" w:color="auto" w:fill="FFFFFF"/>
            <w:vAlign w:val="center"/>
          </w:tcPr>
          <w:p w14:paraId="0868C1D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602" w:type="pct"/>
            <w:shd w:val="clear" w:color="auto" w:fill="FFFFFF"/>
            <w:vAlign w:val="center"/>
          </w:tcPr>
          <w:p w14:paraId="7979B3C5">
            <w:pPr>
              <w:pStyle w:val="328"/>
              <w:ind w:firstLine="0" w:firstLineChars="0"/>
              <w:rPr>
                <w:rFonts w:hint="default" w:ascii="Times New Roman" w:hAnsi="Times New Roman" w:eastAsia="宋体" w:cstheme="minorBidi"/>
                <w:b w:val="0"/>
                <w:color w:val="000000"/>
                <w:kern w:val="2"/>
                <w:sz w:val="21"/>
                <w:szCs w:val="21"/>
                <w:highlight w:val="yellow"/>
                <w:lang w:val="en-US" w:eastAsia="zh-CN" w:bidi="ar-SA"/>
              </w:rPr>
            </w:pPr>
            <w:r>
              <w:rPr>
                <w:rFonts w:hint="eastAsia" w:cs="Times New Roman"/>
                <w:b w:val="0"/>
                <w:bCs w:val="0"/>
                <w:lang w:val="en-US" w:eastAsia="zh-CN"/>
              </w:rPr>
              <w:t>16</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85" w:type="pct"/>
            <w:shd w:val="clear" w:color="auto" w:fill="FFFFFF"/>
            <w:vAlign w:val="center"/>
          </w:tcPr>
          <w:p w14:paraId="1878C9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 xml:space="preserve">2 </w:t>
            </w:r>
            <w:r>
              <w:rPr>
                <w:rFonts w:hint="eastAsia" w:ascii="Times New Roman" w:hAnsi="Times New Roman" w:eastAsia="宋体" w:cstheme="minorBidi"/>
                <w:b w:val="0"/>
                <w:color w:val="000000"/>
                <w:kern w:val="2"/>
                <w:sz w:val="21"/>
                <w:szCs w:val="21"/>
                <w:lang w:val="en-US" w:eastAsia="zh-CN" w:bidi="ar-SA"/>
              </w:rPr>
              <w:t>根</w:t>
            </w:r>
          </w:p>
        </w:tc>
        <w:tc>
          <w:tcPr>
            <w:tcW w:w="1713" w:type="pct"/>
            <w:shd w:val="clear" w:color="auto" w:fill="FFFFFF"/>
            <w:vAlign w:val="center"/>
          </w:tcPr>
          <w:p w14:paraId="0F561385">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吊装构件</w:t>
            </w:r>
          </w:p>
        </w:tc>
      </w:tr>
      <w:tr w14:paraId="2F4E7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D57EC17">
            <w:pPr>
              <w:widowControl w:val="0"/>
              <w:spacing w:line="240" w:lineRule="auto"/>
              <w:ind w:firstLine="0" w:firstLineChars="0"/>
              <w:jc w:val="center"/>
              <w:rPr>
                <w:rFonts w:hint="default"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2</w:t>
            </w:r>
          </w:p>
        </w:tc>
        <w:tc>
          <w:tcPr>
            <w:tcW w:w="785" w:type="pct"/>
            <w:shd w:val="clear" w:color="auto" w:fill="FFFFFF"/>
            <w:vAlign w:val="center"/>
          </w:tcPr>
          <w:p w14:paraId="73A5A7A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602" w:type="pct"/>
            <w:shd w:val="clear" w:color="auto" w:fill="FFFFFF"/>
            <w:vAlign w:val="center"/>
          </w:tcPr>
          <w:p w14:paraId="2675BEE3">
            <w:pPr>
              <w:pStyle w:val="328"/>
              <w:ind w:firstLine="0" w:firstLineChars="0"/>
              <w:rPr>
                <w:rFonts w:hint="eastAsia" w:ascii="Times New Roman" w:hAnsi="Times New Roman" w:eastAsia="宋体" w:cstheme="minorBidi"/>
                <w:b w:val="0"/>
                <w:color w:val="000000"/>
                <w:kern w:val="2"/>
                <w:sz w:val="21"/>
                <w:szCs w:val="21"/>
                <w:highlight w:val="yellow"/>
                <w:lang w:val="en-US" w:eastAsia="zh-CN" w:bidi="ar-SA"/>
              </w:rPr>
            </w:pPr>
            <w:r>
              <w:rPr>
                <w:rFonts w:hint="eastAsia" w:cs="Times New Roman"/>
                <w:b w:val="0"/>
                <w:bCs w:val="0"/>
                <w:lang w:val="en-US" w:eastAsia="zh-CN"/>
              </w:rPr>
              <w:t>20</w:t>
            </w:r>
            <w:r>
              <w:rPr>
                <w:rFonts w:cs="Times New Roman"/>
                <w:b w:val="0"/>
                <w:bCs w:val="0"/>
              </w:rPr>
              <w:t>mm</w:t>
            </w:r>
            <w:r>
              <w:rPr>
                <w:rFonts w:eastAsia="仿宋" w:cs="Times New Roman"/>
                <w:b w:val="0"/>
                <w:bCs w:val="0"/>
              </w:rPr>
              <w:t>6×19</w:t>
            </w:r>
            <w:r>
              <w:rPr>
                <w:rFonts w:hint="eastAsia" w:eastAsia="仿宋" w:cs="Times New Roman"/>
                <w:b w:val="0"/>
                <w:bCs w:val="0"/>
                <w:lang w:val="en-US" w:eastAsia="zh-CN"/>
              </w:rPr>
              <w:t>W</w:t>
            </w:r>
            <w:r>
              <w:rPr>
                <w:rFonts w:eastAsia="仿宋" w:cs="Times New Roman"/>
                <w:b w:val="0"/>
                <w:bCs w:val="0"/>
              </w:rPr>
              <w:t>+</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85" w:type="pct"/>
            <w:shd w:val="clear" w:color="auto" w:fill="FFFFFF"/>
            <w:vAlign w:val="center"/>
          </w:tcPr>
          <w:p w14:paraId="3D0DDA9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1713" w:type="pct"/>
            <w:shd w:val="clear" w:color="auto" w:fill="FFFFFF"/>
            <w:vAlign w:val="center"/>
          </w:tcPr>
          <w:p w14:paraId="3F2D1FD8">
            <w:pPr>
              <w:widowControl w:val="0"/>
              <w:spacing w:line="240" w:lineRule="auto"/>
              <w:ind w:firstLine="0" w:firstLineChars="0"/>
              <w:jc w:val="center"/>
              <w:rPr>
                <w:rFonts w:hint="eastAsia"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吊装构件</w:t>
            </w:r>
          </w:p>
        </w:tc>
      </w:tr>
      <w:tr w14:paraId="74375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5CD1F9A">
            <w:pPr>
              <w:widowControl w:val="0"/>
              <w:spacing w:line="240" w:lineRule="auto"/>
              <w:ind w:firstLine="0" w:firstLineChars="0"/>
              <w:jc w:val="center"/>
              <w:rPr>
                <w:rFonts w:hint="default"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3</w:t>
            </w:r>
          </w:p>
        </w:tc>
        <w:tc>
          <w:tcPr>
            <w:tcW w:w="785" w:type="pct"/>
            <w:shd w:val="clear" w:color="auto" w:fill="FFFFFF"/>
            <w:vAlign w:val="center"/>
          </w:tcPr>
          <w:p w14:paraId="58780DA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602" w:type="pct"/>
            <w:shd w:val="clear" w:color="auto" w:fill="FFFFFF"/>
            <w:vAlign w:val="center"/>
          </w:tcPr>
          <w:p w14:paraId="38623DC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5</w:t>
            </w:r>
            <w:r>
              <w:rPr>
                <w:rFonts w:hint="eastAsia" w:ascii="Times New Roman" w:hAnsi="Times New Roman" w:eastAsia="宋体" w:cstheme="minorBidi"/>
                <w:b w:val="0"/>
                <w:color w:val="000000"/>
                <w:kern w:val="2"/>
                <w:sz w:val="21"/>
                <w:szCs w:val="21"/>
                <w:lang w:val="en-US" w:eastAsia="zh-CN" w:bidi="ar-SA"/>
              </w:rPr>
              <w:t>吨</w:t>
            </w:r>
          </w:p>
        </w:tc>
        <w:tc>
          <w:tcPr>
            <w:tcW w:w="585" w:type="pct"/>
            <w:shd w:val="clear" w:color="auto" w:fill="FFFFFF"/>
            <w:vAlign w:val="center"/>
          </w:tcPr>
          <w:p w14:paraId="35E3B12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1713" w:type="pct"/>
            <w:shd w:val="clear" w:color="auto" w:fill="FFFFFF"/>
            <w:vAlign w:val="center"/>
          </w:tcPr>
          <w:p w14:paraId="38042C1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w:t>
            </w:r>
          </w:p>
        </w:tc>
      </w:tr>
      <w:tr w14:paraId="56408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6B49AA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0BDAF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B7138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5" w:type="pct"/>
            <w:shd w:val="clear" w:color="auto" w:fill="FFFFFF"/>
            <w:vAlign w:val="center"/>
          </w:tcPr>
          <w:p w14:paraId="2F06190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602" w:type="pct"/>
            <w:shd w:val="clear" w:color="auto" w:fill="FFFFFF"/>
            <w:vAlign w:val="center"/>
          </w:tcPr>
          <w:p w14:paraId="0A5B93C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585" w:type="pct"/>
            <w:shd w:val="clear" w:color="auto" w:fill="FFFFFF"/>
            <w:vAlign w:val="center"/>
          </w:tcPr>
          <w:p w14:paraId="21BED7C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1713" w:type="pct"/>
            <w:shd w:val="clear" w:color="auto" w:fill="FFFFFF"/>
            <w:vAlign w:val="center"/>
          </w:tcPr>
          <w:p w14:paraId="2E5282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用，根据需求配置</w:t>
            </w:r>
          </w:p>
        </w:tc>
      </w:tr>
      <w:tr w14:paraId="754B2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0EBA8E4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785" w:type="pct"/>
            <w:shd w:val="clear" w:color="auto" w:fill="FFFFFF"/>
            <w:vAlign w:val="center"/>
          </w:tcPr>
          <w:p w14:paraId="0D29FBC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602" w:type="pct"/>
            <w:shd w:val="clear" w:color="auto" w:fill="FFFFFF"/>
            <w:vAlign w:val="center"/>
          </w:tcPr>
          <w:p w14:paraId="771832A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58C4C2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1713" w:type="pct"/>
            <w:shd w:val="clear" w:color="auto" w:fill="FFFFFF"/>
            <w:vAlign w:val="center"/>
          </w:tcPr>
          <w:p w14:paraId="0EB05F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用（随机）</w:t>
            </w:r>
          </w:p>
        </w:tc>
      </w:tr>
      <w:tr w14:paraId="0D8E7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4CDF6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785" w:type="pct"/>
            <w:shd w:val="clear" w:color="auto" w:fill="FFFFFF"/>
            <w:vAlign w:val="center"/>
          </w:tcPr>
          <w:p w14:paraId="7623D3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602" w:type="pct"/>
            <w:shd w:val="clear" w:color="auto" w:fill="FFFFFF"/>
            <w:vAlign w:val="center"/>
          </w:tcPr>
          <w:p w14:paraId="0DDDFE4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585" w:type="pct"/>
            <w:shd w:val="clear" w:color="auto" w:fill="FFFFFF"/>
            <w:vAlign w:val="center"/>
          </w:tcPr>
          <w:p w14:paraId="34EBE40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1713" w:type="pct"/>
            <w:shd w:val="clear" w:color="auto" w:fill="FFFFFF"/>
            <w:vAlign w:val="center"/>
          </w:tcPr>
          <w:p w14:paraId="7701CB4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拆除</w:t>
            </w:r>
            <w:r>
              <w:rPr>
                <w:rFonts w:hint="eastAsia" w:ascii="Times New Roman" w:hAnsi="Times New Roman" w:eastAsia="宋体" w:cstheme="minorBidi"/>
                <w:b w:val="0"/>
                <w:color w:val="000000"/>
                <w:kern w:val="2"/>
                <w:sz w:val="21"/>
                <w:szCs w:val="21"/>
                <w:lang w:val="en-US" w:eastAsia="zh-CN" w:bidi="ar-SA"/>
              </w:rPr>
              <w:t>用</w:t>
            </w:r>
          </w:p>
        </w:tc>
      </w:tr>
      <w:tr w14:paraId="0960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594DA5F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785" w:type="pct"/>
            <w:shd w:val="clear" w:color="auto" w:fill="FFFFFF"/>
            <w:vAlign w:val="center"/>
          </w:tcPr>
          <w:p w14:paraId="053B247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602" w:type="pct"/>
            <w:shd w:val="clear" w:color="auto" w:fill="FFFFFF"/>
            <w:vAlign w:val="center"/>
          </w:tcPr>
          <w:p w14:paraId="7657892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585" w:type="pct"/>
            <w:shd w:val="clear" w:color="auto" w:fill="FFFFFF"/>
            <w:vAlign w:val="center"/>
          </w:tcPr>
          <w:p w14:paraId="7A2C8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1713" w:type="pct"/>
            <w:shd w:val="clear" w:color="auto" w:fill="FFFFFF"/>
            <w:vAlign w:val="center"/>
          </w:tcPr>
          <w:p w14:paraId="3673DBF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4835D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06CAFD9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785" w:type="pct"/>
            <w:shd w:val="clear" w:color="auto" w:fill="FFFFFF"/>
            <w:vAlign w:val="center"/>
          </w:tcPr>
          <w:p w14:paraId="06C8E7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602" w:type="pct"/>
            <w:shd w:val="clear" w:color="auto" w:fill="FFFFFF"/>
            <w:vAlign w:val="center"/>
          </w:tcPr>
          <w:p w14:paraId="28F8196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585" w:type="pct"/>
            <w:shd w:val="clear" w:color="auto" w:fill="FFFFFF"/>
            <w:vAlign w:val="center"/>
          </w:tcPr>
          <w:p w14:paraId="54D5F0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1713" w:type="pct"/>
            <w:shd w:val="clear" w:color="auto" w:fill="FFFFFF"/>
            <w:vAlign w:val="center"/>
          </w:tcPr>
          <w:p w14:paraId="19DDE5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36FCB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7E4BF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785" w:type="pct"/>
            <w:shd w:val="clear" w:color="auto" w:fill="FFFFFF"/>
            <w:vAlign w:val="center"/>
          </w:tcPr>
          <w:p w14:paraId="40228A9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602" w:type="pct"/>
            <w:shd w:val="clear" w:color="auto" w:fill="FFFFFF"/>
            <w:vAlign w:val="center"/>
          </w:tcPr>
          <w:p w14:paraId="611536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585" w:type="pct"/>
            <w:shd w:val="clear" w:color="auto" w:fill="FFFFFF"/>
            <w:vAlign w:val="center"/>
          </w:tcPr>
          <w:p w14:paraId="3B8F285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1713" w:type="pct"/>
            <w:shd w:val="clear" w:color="auto" w:fill="FFFFFF"/>
            <w:vAlign w:val="center"/>
          </w:tcPr>
          <w:p w14:paraId="760E07A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现场拆除用</w:t>
            </w:r>
          </w:p>
        </w:tc>
      </w:tr>
      <w:tr w14:paraId="300A0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98EF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1D5E0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B0ABA5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785" w:type="pct"/>
            <w:shd w:val="clear" w:color="auto" w:fill="FFFFFF"/>
            <w:vAlign w:val="center"/>
          </w:tcPr>
          <w:p w14:paraId="6B53A0D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602" w:type="pct"/>
            <w:shd w:val="clear" w:color="auto" w:fill="FFFFFF"/>
            <w:vAlign w:val="center"/>
          </w:tcPr>
          <w:p w14:paraId="227D1C6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17FB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1713" w:type="pct"/>
            <w:shd w:val="clear" w:color="auto" w:fill="FFFFFF"/>
            <w:vAlign w:val="center"/>
          </w:tcPr>
          <w:p w14:paraId="58BD8B2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E4DD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1A1A43B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785" w:type="pct"/>
            <w:shd w:val="clear" w:color="auto" w:fill="FFFFFF"/>
            <w:vAlign w:val="center"/>
          </w:tcPr>
          <w:p w14:paraId="602B943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602" w:type="pct"/>
            <w:shd w:val="clear" w:color="auto" w:fill="FFFFFF"/>
            <w:vAlign w:val="center"/>
          </w:tcPr>
          <w:p w14:paraId="62E69E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1E5DD4A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1713" w:type="pct"/>
            <w:shd w:val="clear" w:color="auto" w:fill="FFFFFF"/>
            <w:vAlign w:val="center"/>
          </w:tcPr>
          <w:p w14:paraId="026AD73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3CF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6A4B496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785" w:type="pct"/>
            <w:shd w:val="clear" w:color="auto" w:fill="FFFFFF"/>
            <w:vAlign w:val="center"/>
          </w:tcPr>
          <w:p w14:paraId="1CA9C1D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602" w:type="pct"/>
            <w:shd w:val="clear" w:color="auto" w:fill="FFFFFF"/>
            <w:vAlign w:val="center"/>
          </w:tcPr>
          <w:p w14:paraId="78FFDAE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5E7D3B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1713" w:type="pct"/>
            <w:shd w:val="clear" w:color="auto" w:fill="FFFFFF"/>
            <w:vAlign w:val="center"/>
          </w:tcPr>
          <w:p w14:paraId="4DF6ECA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6C163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38A7FCE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785" w:type="pct"/>
            <w:shd w:val="clear" w:color="auto" w:fill="FFFFFF"/>
            <w:vAlign w:val="center"/>
          </w:tcPr>
          <w:p w14:paraId="1A3B3F8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602" w:type="pct"/>
            <w:shd w:val="clear" w:color="auto" w:fill="FFFFFF"/>
            <w:vAlign w:val="center"/>
          </w:tcPr>
          <w:p w14:paraId="7FB95D5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585" w:type="pct"/>
            <w:shd w:val="clear" w:color="auto" w:fill="FFFFFF"/>
            <w:vAlign w:val="center"/>
          </w:tcPr>
          <w:p w14:paraId="2535958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1713" w:type="pct"/>
            <w:shd w:val="clear" w:color="auto" w:fill="FFFFFF"/>
            <w:vAlign w:val="center"/>
          </w:tcPr>
          <w:p w14:paraId="30A779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6E2D0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F3E1B5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785" w:type="pct"/>
            <w:shd w:val="clear" w:color="auto" w:fill="FFFFFF"/>
            <w:vAlign w:val="center"/>
          </w:tcPr>
          <w:p w14:paraId="7B8A584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602" w:type="pct"/>
            <w:shd w:val="clear" w:color="auto" w:fill="FFFFFF"/>
            <w:vAlign w:val="center"/>
          </w:tcPr>
          <w:p w14:paraId="25F896F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46622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1713" w:type="pct"/>
            <w:shd w:val="clear" w:color="auto" w:fill="FFFFFF"/>
            <w:vAlign w:val="center"/>
          </w:tcPr>
          <w:p w14:paraId="6502FF0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F36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8E56B4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785" w:type="pct"/>
            <w:shd w:val="clear" w:color="auto" w:fill="FFFFFF"/>
            <w:vAlign w:val="center"/>
          </w:tcPr>
          <w:p w14:paraId="30BA1A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602" w:type="pct"/>
            <w:shd w:val="clear" w:color="auto" w:fill="FFFFFF"/>
            <w:vAlign w:val="center"/>
          </w:tcPr>
          <w:p w14:paraId="607358D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6FE4625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1713" w:type="pct"/>
            <w:shd w:val="clear" w:color="auto" w:fill="FFFFFF"/>
            <w:vAlign w:val="center"/>
          </w:tcPr>
          <w:p w14:paraId="00644D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414A7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2" w:type="pct"/>
            <w:shd w:val="clear" w:color="auto" w:fill="FFFFFF"/>
            <w:vAlign w:val="center"/>
          </w:tcPr>
          <w:p w14:paraId="7261717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785" w:type="pct"/>
            <w:shd w:val="clear" w:color="auto" w:fill="FFFFFF"/>
            <w:vAlign w:val="center"/>
          </w:tcPr>
          <w:p w14:paraId="1742B9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602" w:type="pct"/>
            <w:shd w:val="clear" w:color="auto" w:fill="FFFFFF"/>
            <w:vAlign w:val="center"/>
          </w:tcPr>
          <w:p w14:paraId="75C01A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585" w:type="pct"/>
            <w:shd w:val="clear" w:color="auto" w:fill="FFFFFF"/>
            <w:vAlign w:val="center"/>
          </w:tcPr>
          <w:p w14:paraId="1E865BA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1713" w:type="pct"/>
            <w:shd w:val="clear" w:color="auto" w:fill="FFFFFF"/>
            <w:vAlign w:val="center"/>
          </w:tcPr>
          <w:p w14:paraId="7AE2E6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527B6E2A">
      <w:pPr>
        <w:rPr>
          <w:rFonts w:hint="default"/>
          <w:lang w:val="en-US" w:eastAsia="zh-CN"/>
        </w:rPr>
      </w:pPr>
    </w:p>
    <w:p w14:paraId="5D637488">
      <w:pPr>
        <w:pStyle w:val="2"/>
        <w:bidi w:val="0"/>
        <w:ind w:left="432" w:leftChars="0" w:hanging="432" w:firstLineChars="0"/>
        <w:rPr>
          <w:rFonts w:hint="eastAsia"/>
        </w:rPr>
      </w:pPr>
      <w:bookmarkStart w:id="61" w:name="_Toc19910"/>
      <w:bookmarkStart w:id="62" w:name="_Toc30814"/>
      <w:bookmarkStart w:id="63" w:name="_Toc28712"/>
      <w:r>
        <w:rPr>
          <w:rFonts w:hint="eastAsia"/>
          <w:lang w:val="en-US" w:eastAsia="zh-CN"/>
        </w:rPr>
        <w:t>施工方案概述</w:t>
      </w:r>
      <w:bookmarkEnd w:id="61"/>
      <w:bookmarkEnd w:id="62"/>
      <w:bookmarkEnd w:id="63"/>
    </w:p>
    <w:p w14:paraId="6A9514CE">
      <w:pPr>
        <w:pStyle w:val="3"/>
        <w:bidi w:val="0"/>
        <w:ind w:left="575" w:leftChars="0" w:hanging="575" w:firstLineChars="0"/>
        <w:rPr>
          <w:b/>
          <w:bCs w:val="0"/>
          <w:sz w:val="28"/>
          <w:szCs w:val="28"/>
        </w:rPr>
      </w:pPr>
      <w:bookmarkStart w:id="64" w:name="_Toc9013"/>
      <w:bookmarkStart w:id="65" w:name="_Toc27325"/>
      <w:bookmarkStart w:id="66" w:name="_Toc13349"/>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施工工艺流程</w:t>
      </w:r>
      <w:bookmarkEnd w:id="64"/>
      <w:bookmarkEnd w:id="65"/>
      <w:bookmarkEnd w:id="66"/>
    </w:p>
    <w:p w14:paraId="72117BA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将塔机旋转至拆卸区域，保证该区域无影响拆卸作业的任何障碍。按下述顺序，进行塔机拆卸。拆塔具体程序如下： </w:t>
      </w:r>
    </w:p>
    <w:p w14:paraId="3DD453CE">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1）拆下平衡臂配重(留1块3.32t的配重) ；</w:t>
      </w:r>
    </w:p>
    <w:p w14:paraId="61123BF3">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2）起重臂的拆卸(留起重臂臂根节) ；</w:t>
      </w:r>
    </w:p>
    <w:p w14:paraId="048EB37D">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3）拆卸留下的1块3.32t的配重；</w:t>
      </w:r>
    </w:p>
    <w:p w14:paraId="6E8C685F">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4）平衡臂的拆卸 ；</w:t>
      </w:r>
    </w:p>
    <w:p w14:paraId="3C00B866">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5）拆卸起重臂臂根节 ；</w:t>
      </w:r>
    </w:p>
    <w:p w14:paraId="36D89C8D">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6）拆卸回转总成 ；</w:t>
      </w:r>
    </w:p>
    <w:p w14:paraId="5456DA92">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7）拆卸特殊节 ；</w:t>
      </w:r>
    </w:p>
    <w:p w14:paraId="63935349">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8）拆卸爬升架；</w:t>
      </w:r>
    </w:p>
    <w:p w14:paraId="47E9CC9F">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9）拆卸标准节；</w:t>
      </w:r>
    </w:p>
    <w:p w14:paraId="0CB36E87">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10）拆卸附着；</w:t>
      </w:r>
    </w:p>
    <w:p w14:paraId="6138BE3F">
      <w:pPr>
        <w:keepNext w:val="0"/>
        <w:keepLines w:val="0"/>
        <w:widowControl/>
        <w:suppressLineNumbers w:val="0"/>
        <w:jc w:val="left"/>
      </w:pPr>
      <w:r>
        <w:rPr>
          <w:rFonts w:hint="eastAsia" w:ascii="Times New Roman" w:hAnsi="Times New Roman" w:eastAsia="宋体" w:cs="Times New Roman"/>
          <w:color w:val="000000"/>
          <w:kern w:val="0"/>
          <w:sz w:val="24"/>
          <w:szCs w:val="24"/>
          <w:lang w:val="en-US" w:eastAsia="zh-CN" w:bidi="ar"/>
        </w:rPr>
        <w:t>11）拆卸基础节。</w:t>
      </w:r>
    </w:p>
    <w:p w14:paraId="3E0B2F5A">
      <w:pPr>
        <w:pStyle w:val="3"/>
        <w:bidi w:val="0"/>
        <w:ind w:left="575" w:leftChars="0" w:hanging="575" w:firstLineChars="0"/>
        <w:rPr>
          <w:b/>
          <w:bCs w:val="0"/>
          <w:sz w:val="28"/>
          <w:szCs w:val="28"/>
        </w:rPr>
      </w:pPr>
      <w:bookmarkStart w:id="67" w:name="_Toc4184"/>
      <w:bookmarkStart w:id="68" w:name="_Toc15268"/>
      <w:bookmarkStart w:id="69" w:name="_Toc26817"/>
      <w:r>
        <w:rPr>
          <w:rFonts w:hint="eastAsia"/>
          <w:b/>
          <w:bCs w:val="0"/>
          <w:sz w:val="28"/>
          <w:szCs w:val="28"/>
        </w:rPr>
        <w:t>主要设备选型</w:t>
      </w:r>
      <w:bookmarkEnd w:id="67"/>
      <w:bookmarkEnd w:id="68"/>
      <w:bookmarkEnd w:id="69"/>
    </w:p>
    <w:p w14:paraId="47F53402">
      <w:pPr>
        <w:pStyle w:val="4"/>
        <w:bidi w:val="0"/>
        <w:ind w:left="720" w:leftChars="0" w:hanging="720" w:firstLineChars="0"/>
        <w:rPr>
          <w:rFonts w:hint="eastAsia"/>
          <w:b/>
          <w:bCs w:val="0"/>
          <w:lang w:val="en-US" w:eastAsia="zh-CN"/>
        </w:rPr>
      </w:pPr>
      <w:r>
        <w:rPr>
          <w:rFonts w:hint="eastAsia"/>
          <w:b/>
          <w:bCs w:val="0"/>
          <w:lang w:val="en-US" w:eastAsia="zh-CN"/>
        </w:rPr>
        <w:t>辅助起重设备选型</w:t>
      </w:r>
    </w:p>
    <w:p w14:paraId="1B42E617">
      <w:pPr>
        <w:ind w:firstLine="480"/>
      </w:pPr>
      <w:r>
        <w:rPr>
          <w:rFonts w:hint="eastAsia"/>
          <w:lang w:val="en-US" w:eastAsia="zh-CN"/>
        </w:rPr>
        <w:t>XGT360-20S1（6#）塔机的拆除采用XGT600-32S进行拆除</w:t>
      </w:r>
      <w:r>
        <w:t>。</w:t>
      </w:r>
    </w:p>
    <w:p w14:paraId="638646AD">
      <w:pPr>
        <w:keepNext/>
        <w:keepLines w:val="0"/>
        <w:pageBreakBefore w:val="0"/>
        <w:widowControl w:val="0"/>
        <w:kinsoku/>
        <w:wordWrap/>
        <w:overflowPunct/>
        <w:topLinePunct w:val="0"/>
        <w:autoSpaceDE/>
        <w:autoSpaceDN/>
        <w:bidi w:val="0"/>
        <w:adjustRightInd/>
        <w:snapToGrid/>
        <w:ind w:firstLine="480"/>
        <w:jc w:val="center"/>
        <w:textAlignment w:val="auto"/>
        <w:rPr>
          <w:rFonts w:hint="eastAsia"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XGT600-32S载荷性能表</w:t>
      </w:r>
    </w:p>
    <w:p w14:paraId="462DFC72">
      <w:pPr>
        <w:pStyle w:val="14"/>
        <w:ind w:left="0" w:leftChars="0" w:firstLine="0" w:firstLineChars="0"/>
        <w:jc w:val="center"/>
        <w:rPr>
          <w:rFonts w:hint="eastAsia" w:eastAsia="宋体"/>
          <w:lang w:val="en-US" w:eastAsia="zh-CN"/>
        </w:rPr>
      </w:pPr>
      <w:r>
        <w:drawing>
          <wp:inline distT="0" distB="0" distL="114300" distR="114300">
            <wp:extent cx="5266690" cy="4084955"/>
            <wp:effectExtent l="0" t="0" r="10160" b="10795"/>
            <wp:docPr id="8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9"/>
                    <pic:cNvPicPr>
                      <a:picLocks noChangeAspect="1"/>
                    </pic:cNvPicPr>
                  </pic:nvPicPr>
                  <pic:blipFill>
                    <a:blip r:embed="rId26"/>
                    <a:stretch>
                      <a:fillRect/>
                    </a:stretch>
                  </pic:blipFill>
                  <pic:spPr>
                    <a:xfrm>
                      <a:off x="0" y="0"/>
                      <a:ext cx="5266690" cy="4084955"/>
                    </a:xfrm>
                    <a:prstGeom prst="rect">
                      <a:avLst/>
                    </a:prstGeom>
                    <a:noFill/>
                    <a:ln>
                      <a:noFill/>
                    </a:ln>
                  </pic:spPr>
                </pic:pic>
              </a:graphicData>
            </a:graphic>
          </wp:inline>
        </w:drawing>
      </w:r>
    </w:p>
    <w:p w14:paraId="6109580C">
      <w:pPr>
        <w:pStyle w:val="15"/>
        <w:rPr>
          <w:rFonts w:hint="eastAsia"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2</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XGT360-20S1（6#）塔机拆除时XGT600-32S负荷率</w:t>
      </w:r>
    </w:p>
    <w:tbl>
      <w:tblPr>
        <w:tblStyle w:val="44"/>
        <w:tblW w:w="82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487"/>
        <w:gridCol w:w="1051"/>
        <w:gridCol w:w="1649"/>
        <w:gridCol w:w="2050"/>
        <w:gridCol w:w="1383"/>
      </w:tblGrid>
      <w:tr w14:paraId="11C25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638" w:type="dxa"/>
            <w:vMerge w:val="restart"/>
            <w:vAlign w:val="center"/>
          </w:tcPr>
          <w:p w14:paraId="7BAF8002">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both"/>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序号</w:t>
            </w:r>
          </w:p>
        </w:tc>
        <w:tc>
          <w:tcPr>
            <w:tcW w:w="4187" w:type="dxa"/>
            <w:gridSpan w:val="3"/>
            <w:vAlign w:val="center"/>
          </w:tcPr>
          <w:p w14:paraId="71C7D49D">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工况</w:t>
            </w:r>
          </w:p>
        </w:tc>
        <w:tc>
          <w:tcPr>
            <w:tcW w:w="2050" w:type="dxa"/>
            <w:vAlign w:val="center"/>
          </w:tcPr>
          <w:p w14:paraId="2E98CE4A">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eastAsia" w:cs="Times New Roman"/>
                <w:b/>
                <w:bCs/>
                <w:kern w:val="2"/>
                <w:sz w:val="21"/>
                <w:szCs w:val="21"/>
                <w:lang w:val="en-US" w:eastAsia="zh-CN" w:bidi="ar-SA"/>
              </w:rPr>
              <w:t>XGT600-32S塔机</w:t>
            </w:r>
            <w:r>
              <w:rPr>
                <w:rFonts w:hint="default" w:ascii="Times New Roman" w:hAnsi="Times New Roman" w:eastAsia="宋体" w:cs="Times New Roman"/>
                <w:b/>
                <w:bCs/>
                <w:kern w:val="2"/>
                <w:sz w:val="21"/>
                <w:szCs w:val="21"/>
                <w:lang w:val="en-US" w:eastAsia="zh-CN" w:bidi="ar-SA"/>
              </w:rPr>
              <w:t>起重能力</w:t>
            </w:r>
          </w:p>
        </w:tc>
        <w:tc>
          <w:tcPr>
            <w:tcW w:w="1383" w:type="dxa"/>
            <w:vMerge w:val="restart"/>
            <w:vAlign w:val="center"/>
          </w:tcPr>
          <w:p w14:paraId="0E8DAE3C">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负荷率</w:t>
            </w:r>
          </w:p>
        </w:tc>
      </w:tr>
      <w:tr w14:paraId="0DC3E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638" w:type="dxa"/>
            <w:vMerge w:val="continue"/>
            <w:vAlign w:val="center"/>
          </w:tcPr>
          <w:p w14:paraId="42B8DA7F">
            <w:pPr>
              <w:keepNext w:val="0"/>
              <w:keepLines w:val="0"/>
              <w:pageBreakBefore w:val="0"/>
              <w:widowControl/>
              <w:kinsoku/>
              <w:wordWrap/>
              <w:overflowPunct/>
              <w:topLinePunct w:val="0"/>
              <w:autoSpaceDE/>
              <w:autoSpaceDN/>
              <w:bidi w:val="0"/>
              <w:adjustRightInd w:val="0"/>
              <w:snapToGrid w:val="0"/>
              <w:spacing w:before="156" w:after="156"/>
              <w:ind w:left="0" w:firstLine="0" w:firstLineChars="0"/>
              <w:jc w:val="center"/>
              <w:rPr>
                <w:rFonts w:hint="default" w:ascii="Times New Roman" w:hAnsi="Times New Roman" w:eastAsia="宋体" w:cs="Times New Roman"/>
                <w:b/>
                <w:bCs/>
                <w:kern w:val="2"/>
                <w:sz w:val="21"/>
                <w:szCs w:val="21"/>
                <w:lang w:val="en-US" w:eastAsia="zh-CN" w:bidi="ar-SA"/>
              </w:rPr>
            </w:pPr>
          </w:p>
        </w:tc>
        <w:tc>
          <w:tcPr>
            <w:tcW w:w="1487" w:type="dxa"/>
            <w:vAlign w:val="center"/>
          </w:tcPr>
          <w:p w14:paraId="3DBCCDFA">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吊装构件</w:t>
            </w:r>
          </w:p>
        </w:tc>
        <w:tc>
          <w:tcPr>
            <w:tcW w:w="1051" w:type="dxa"/>
            <w:vAlign w:val="center"/>
          </w:tcPr>
          <w:p w14:paraId="7A88198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吊重（</w:t>
            </w:r>
            <w:r>
              <w:rPr>
                <w:rFonts w:hint="eastAsia" w:cs="Times New Roman"/>
                <w:b/>
                <w:bCs/>
                <w:kern w:val="2"/>
                <w:sz w:val="21"/>
                <w:szCs w:val="21"/>
                <w:lang w:val="en-US" w:eastAsia="zh-CN" w:bidi="ar-SA"/>
              </w:rPr>
              <w:t>t</w:t>
            </w:r>
            <w:r>
              <w:rPr>
                <w:rFonts w:hint="default" w:ascii="Times New Roman" w:hAnsi="Times New Roman" w:eastAsia="宋体" w:cs="Times New Roman"/>
                <w:b/>
                <w:bCs/>
                <w:kern w:val="2"/>
                <w:sz w:val="21"/>
                <w:szCs w:val="21"/>
                <w:lang w:val="en-US" w:eastAsia="zh-CN" w:bidi="ar-SA"/>
              </w:rPr>
              <w:t>）</w:t>
            </w:r>
          </w:p>
        </w:tc>
        <w:tc>
          <w:tcPr>
            <w:tcW w:w="1649" w:type="dxa"/>
            <w:vAlign w:val="center"/>
          </w:tcPr>
          <w:p w14:paraId="12621C1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吊装幅度（m）</w:t>
            </w:r>
          </w:p>
        </w:tc>
        <w:tc>
          <w:tcPr>
            <w:tcW w:w="2050" w:type="dxa"/>
            <w:vAlign w:val="center"/>
          </w:tcPr>
          <w:p w14:paraId="7A06F8A8">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起重量（t）</w:t>
            </w:r>
          </w:p>
        </w:tc>
        <w:tc>
          <w:tcPr>
            <w:tcW w:w="1383" w:type="dxa"/>
            <w:vMerge w:val="continue"/>
            <w:vAlign w:val="center"/>
          </w:tcPr>
          <w:p w14:paraId="5BC477A1">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p>
        </w:tc>
      </w:tr>
      <w:tr w14:paraId="1B232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31B6439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76DDA641">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基础节</w:t>
            </w:r>
            <w:r>
              <w:rPr>
                <w:rFonts w:hint="eastAsia" w:cs="Times New Roman"/>
                <w:b w:val="0"/>
                <w:bCs w:val="0"/>
                <w:kern w:val="2"/>
                <w:sz w:val="21"/>
                <w:szCs w:val="21"/>
                <w:lang w:val="en-US" w:eastAsia="zh-CN" w:bidi="ar-SA"/>
              </w:rPr>
              <w:fldChar w:fldCharType="begin"/>
            </w:r>
            <w:r>
              <w:rPr>
                <w:rFonts w:hint="eastAsia" w:cs="Times New Roman"/>
                <w:b w:val="0"/>
                <w:bCs w:val="0"/>
                <w:kern w:val="2"/>
                <w:sz w:val="21"/>
                <w:szCs w:val="21"/>
                <w:lang w:val="en-US" w:eastAsia="zh-CN" w:bidi="ar-SA"/>
              </w:rPr>
              <w:instrText xml:space="preserve"> = 1 \* ROMAN \* MERGEFORMAT </w:instrText>
            </w:r>
            <w:r>
              <w:rPr>
                <w:rFonts w:hint="eastAsia" w:cs="Times New Roman"/>
                <w:b w:val="0"/>
                <w:bCs w:val="0"/>
                <w:kern w:val="2"/>
                <w:sz w:val="21"/>
                <w:szCs w:val="21"/>
                <w:lang w:val="en-US" w:eastAsia="zh-CN" w:bidi="ar-SA"/>
              </w:rPr>
              <w:fldChar w:fldCharType="separate"/>
            </w:r>
            <w:r>
              <w:t>I</w:t>
            </w:r>
            <w:r>
              <w:rPr>
                <w:rFonts w:hint="eastAsia" w:cs="Times New Roman"/>
                <w:b w:val="0"/>
                <w:bCs w:val="0"/>
                <w:kern w:val="2"/>
                <w:sz w:val="21"/>
                <w:szCs w:val="21"/>
                <w:lang w:val="en-US" w:eastAsia="zh-CN" w:bidi="ar-SA"/>
              </w:rPr>
              <w:fldChar w:fldCharType="end"/>
            </w:r>
          </w:p>
        </w:tc>
        <w:tc>
          <w:tcPr>
            <w:tcW w:w="1051" w:type="dxa"/>
            <w:vAlign w:val="center"/>
          </w:tcPr>
          <w:p w14:paraId="79AD45B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5.02</w:t>
            </w:r>
          </w:p>
        </w:tc>
        <w:tc>
          <w:tcPr>
            <w:tcW w:w="1649" w:type="dxa"/>
            <w:vAlign w:val="center"/>
          </w:tcPr>
          <w:p w14:paraId="6680227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55F4E86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154CA74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40.10%</w:t>
            </w:r>
          </w:p>
        </w:tc>
      </w:tr>
      <w:tr w14:paraId="0C72D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8C233C3">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3CA716B3">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基础节</w:t>
            </w:r>
            <w:r>
              <w:rPr>
                <w:rFonts w:hint="eastAsia" w:cs="Times New Roman"/>
                <w:b w:val="0"/>
                <w:bCs w:val="0"/>
                <w:kern w:val="2"/>
                <w:sz w:val="21"/>
                <w:szCs w:val="21"/>
                <w:lang w:val="en-US" w:eastAsia="zh-CN" w:bidi="ar-SA"/>
              </w:rPr>
              <w:fldChar w:fldCharType="begin"/>
            </w:r>
            <w:r>
              <w:rPr>
                <w:rFonts w:hint="eastAsia" w:cs="Times New Roman"/>
                <w:b w:val="0"/>
                <w:bCs w:val="0"/>
                <w:kern w:val="2"/>
                <w:sz w:val="21"/>
                <w:szCs w:val="21"/>
                <w:lang w:val="en-US" w:eastAsia="zh-CN" w:bidi="ar-SA"/>
              </w:rPr>
              <w:instrText xml:space="preserve"> = 2 \* ROMAN \* MERGEFORMAT </w:instrText>
            </w:r>
            <w:r>
              <w:rPr>
                <w:rFonts w:hint="eastAsia" w:cs="Times New Roman"/>
                <w:b w:val="0"/>
                <w:bCs w:val="0"/>
                <w:kern w:val="2"/>
                <w:sz w:val="21"/>
                <w:szCs w:val="21"/>
                <w:lang w:val="en-US" w:eastAsia="zh-CN" w:bidi="ar-SA"/>
              </w:rPr>
              <w:fldChar w:fldCharType="separate"/>
            </w:r>
            <w:r>
              <w:t>II</w:t>
            </w:r>
            <w:r>
              <w:rPr>
                <w:rFonts w:hint="eastAsia" w:cs="Times New Roman"/>
                <w:b w:val="0"/>
                <w:bCs w:val="0"/>
                <w:kern w:val="2"/>
                <w:sz w:val="21"/>
                <w:szCs w:val="21"/>
                <w:lang w:val="en-US" w:eastAsia="zh-CN" w:bidi="ar-SA"/>
              </w:rPr>
              <w:fldChar w:fldCharType="end"/>
            </w:r>
          </w:p>
        </w:tc>
        <w:tc>
          <w:tcPr>
            <w:tcW w:w="1051" w:type="dxa"/>
            <w:vAlign w:val="center"/>
          </w:tcPr>
          <w:p w14:paraId="011E4F3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5.06</w:t>
            </w:r>
          </w:p>
        </w:tc>
        <w:tc>
          <w:tcPr>
            <w:tcW w:w="1649" w:type="dxa"/>
            <w:vAlign w:val="center"/>
          </w:tcPr>
          <w:p w14:paraId="41E931F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0ED19D1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12.52</w:t>
            </w:r>
          </w:p>
        </w:tc>
        <w:tc>
          <w:tcPr>
            <w:tcW w:w="1383" w:type="dxa"/>
            <w:vAlign w:val="center"/>
          </w:tcPr>
          <w:p w14:paraId="0809642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40.42%</w:t>
            </w:r>
          </w:p>
        </w:tc>
      </w:tr>
      <w:tr w14:paraId="2AB43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6562435D">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3A609C5F">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标准节</w:t>
            </w:r>
          </w:p>
        </w:tc>
        <w:tc>
          <w:tcPr>
            <w:tcW w:w="1051" w:type="dxa"/>
            <w:vAlign w:val="center"/>
          </w:tcPr>
          <w:p w14:paraId="0A3D15D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1.846</w:t>
            </w:r>
          </w:p>
        </w:tc>
        <w:tc>
          <w:tcPr>
            <w:tcW w:w="1649" w:type="dxa"/>
            <w:vAlign w:val="center"/>
          </w:tcPr>
          <w:p w14:paraId="2CCBE88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6066AAE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12.52</w:t>
            </w:r>
          </w:p>
        </w:tc>
        <w:tc>
          <w:tcPr>
            <w:tcW w:w="1383" w:type="dxa"/>
            <w:vAlign w:val="center"/>
          </w:tcPr>
          <w:p w14:paraId="1BF932A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14.74%</w:t>
            </w:r>
          </w:p>
        </w:tc>
      </w:tr>
      <w:tr w14:paraId="79E1F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62046795">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1F3838A0">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爬升架</w:t>
            </w:r>
          </w:p>
        </w:tc>
        <w:tc>
          <w:tcPr>
            <w:tcW w:w="1051" w:type="dxa"/>
            <w:vAlign w:val="center"/>
          </w:tcPr>
          <w:p w14:paraId="6AAEA83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5.642</w:t>
            </w:r>
          </w:p>
        </w:tc>
        <w:tc>
          <w:tcPr>
            <w:tcW w:w="1649" w:type="dxa"/>
            <w:vAlign w:val="center"/>
          </w:tcPr>
          <w:p w14:paraId="7790300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5C204E8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19AE3DF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45.06%</w:t>
            </w:r>
          </w:p>
        </w:tc>
      </w:tr>
      <w:tr w14:paraId="36FAF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A219A6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4D9FEFE7">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特殊节</w:t>
            </w:r>
          </w:p>
        </w:tc>
        <w:tc>
          <w:tcPr>
            <w:tcW w:w="1051" w:type="dxa"/>
            <w:vAlign w:val="center"/>
          </w:tcPr>
          <w:p w14:paraId="36E5CB9F">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2.62</w:t>
            </w:r>
          </w:p>
        </w:tc>
        <w:tc>
          <w:tcPr>
            <w:tcW w:w="1649" w:type="dxa"/>
            <w:vAlign w:val="center"/>
          </w:tcPr>
          <w:p w14:paraId="2B709237">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7C7F0CA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12.52</w:t>
            </w:r>
          </w:p>
        </w:tc>
        <w:tc>
          <w:tcPr>
            <w:tcW w:w="1383" w:type="dxa"/>
            <w:vAlign w:val="center"/>
          </w:tcPr>
          <w:p w14:paraId="78324E0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20.93%</w:t>
            </w:r>
          </w:p>
        </w:tc>
      </w:tr>
      <w:tr w14:paraId="0F78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F50BC40">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4D2F36D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回转总成</w:t>
            </w:r>
          </w:p>
        </w:tc>
        <w:tc>
          <w:tcPr>
            <w:tcW w:w="1051" w:type="dxa"/>
            <w:vAlign w:val="center"/>
          </w:tcPr>
          <w:p w14:paraId="4583CF9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7.675</w:t>
            </w:r>
          </w:p>
        </w:tc>
        <w:tc>
          <w:tcPr>
            <w:tcW w:w="1649" w:type="dxa"/>
            <w:vAlign w:val="center"/>
          </w:tcPr>
          <w:p w14:paraId="17A8495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4EE35F2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5FDC21B4">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61.30%</w:t>
            </w:r>
          </w:p>
        </w:tc>
      </w:tr>
      <w:tr w14:paraId="6BD6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7A94132">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1FA59BA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平衡臂</w:t>
            </w:r>
          </w:p>
        </w:tc>
        <w:tc>
          <w:tcPr>
            <w:tcW w:w="1051" w:type="dxa"/>
            <w:vAlign w:val="center"/>
          </w:tcPr>
          <w:p w14:paraId="4F6B4E66">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6.17</w:t>
            </w:r>
          </w:p>
        </w:tc>
        <w:tc>
          <w:tcPr>
            <w:tcW w:w="1649" w:type="dxa"/>
            <w:vAlign w:val="center"/>
          </w:tcPr>
          <w:p w14:paraId="2D2BF46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3EE843E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1143C04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49.28%</w:t>
            </w:r>
          </w:p>
        </w:tc>
      </w:tr>
      <w:tr w14:paraId="63E09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ED3B22C">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6EAAB5B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平衡重A</w:t>
            </w:r>
          </w:p>
        </w:tc>
        <w:tc>
          <w:tcPr>
            <w:tcW w:w="1051" w:type="dxa"/>
            <w:vAlign w:val="center"/>
          </w:tcPr>
          <w:p w14:paraId="65B447D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3.32</w:t>
            </w:r>
          </w:p>
        </w:tc>
        <w:tc>
          <w:tcPr>
            <w:tcW w:w="1649" w:type="dxa"/>
            <w:vAlign w:val="center"/>
          </w:tcPr>
          <w:p w14:paraId="7782B8B1">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69FB070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64D2EF6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26.52%</w:t>
            </w:r>
          </w:p>
        </w:tc>
      </w:tr>
      <w:tr w14:paraId="7C3C2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D565D64">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5E8CC47F">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臂根节</w:t>
            </w:r>
          </w:p>
        </w:tc>
        <w:tc>
          <w:tcPr>
            <w:tcW w:w="1051" w:type="dxa"/>
            <w:vAlign w:val="center"/>
          </w:tcPr>
          <w:p w14:paraId="3A672163">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5.872</w:t>
            </w:r>
          </w:p>
        </w:tc>
        <w:tc>
          <w:tcPr>
            <w:tcW w:w="1649" w:type="dxa"/>
            <w:vAlign w:val="center"/>
          </w:tcPr>
          <w:p w14:paraId="798685F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42E14A6F">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5273853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46.90%</w:t>
            </w:r>
          </w:p>
        </w:tc>
      </w:tr>
      <w:tr w14:paraId="0AC96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638" w:type="dxa"/>
            <w:vAlign w:val="center"/>
          </w:tcPr>
          <w:p w14:paraId="6BF3DA3E">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76EF241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臂节</w:t>
            </w:r>
            <w:r>
              <w:rPr>
                <w:rFonts w:hint="default" w:ascii="Times New Roman" w:hAnsi="Times New Roman" w:eastAsia="宋体" w:cs="Times New Roman"/>
                <w:b w:val="0"/>
                <w:bCs w:val="0"/>
                <w:kern w:val="2"/>
                <w:sz w:val="21"/>
                <w:szCs w:val="21"/>
                <w:highlight w:val="none"/>
                <w:lang w:val="en-US" w:eastAsia="zh-CN" w:bidi="ar-SA"/>
              </w:rPr>
              <w:t>二</w:t>
            </w:r>
          </w:p>
        </w:tc>
        <w:tc>
          <w:tcPr>
            <w:tcW w:w="1051" w:type="dxa"/>
            <w:vAlign w:val="center"/>
          </w:tcPr>
          <w:p w14:paraId="1608C36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1.765</w:t>
            </w:r>
          </w:p>
        </w:tc>
        <w:tc>
          <w:tcPr>
            <w:tcW w:w="1649" w:type="dxa"/>
            <w:vAlign w:val="center"/>
          </w:tcPr>
          <w:p w14:paraId="42DB972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2E10795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2AE7CAC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14.10%</w:t>
            </w:r>
          </w:p>
        </w:tc>
      </w:tr>
      <w:tr w14:paraId="6CE5C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2564FED">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6D4D0914">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w:t>
            </w:r>
            <w:r>
              <w:rPr>
                <w:rFonts w:hint="eastAsia" w:cs="Times New Roman"/>
                <w:b w:val="0"/>
                <w:bCs w:val="0"/>
                <w:kern w:val="2"/>
                <w:sz w:val="21"/>
                <w:szCs w:val="21"/>
                <w:highlight w:val="none"/>
                <w:lang w:val="en-US" w:eastAsia="zh-CN" w:bidi="ar-SA"/>
              </w:rPr>
              <w:t>臂节</w:t>
            </w:r>
            <w:r>
              <w:rPr>
                <w:rFonts w:hint="default" w:ascii="Times New Roman" w:hAnsi="Times New Roman" w:eastAsia="宋体" w:cs="Times New Roman"/>
                <w:b w:val="0"/>
                <w:bCs w:val="0"/>
                <w:kern w:val="2"/>
                <w:sz w:val="21"/>
                <w:szCs w:val="21"/>
                <w:highlight w:val="none"/>
                <w:lang w:val="en-US" w:eastAsia="zh-CN" w:bidi="ar-SA"/>
              </w:rPr>
              <w:t>三</w:t>
            </w:r>
          </w:p>
        </w:tc>
        <w:tc>
          <w:tcPr>
            <w:tcW w:w="1051" w:type="dxa"/>
            <w:vAlign w:val="center"/>
          </w:tcPr>
          <w:p w14:paraId="43A9DE6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2.652</w:t>
            </w:r>
          </w:p>
        </w:tc>
        <w:tc>
          <w:tcPr>
            <w:tcW w:w="1649" w:type="dxa"/>
            <w:vAlign w:val="center"/>
          </w:tcPr>
          <w:p w14:paraId="5F50B32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2A222C6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u w:val="none"/>
                <w:lang w:val="en-US" w:eastAsia="zh-CN" w:bidi="ar"/>
              </w:rPr>
              <w:t>12.52</w:t>
            </w:r>
          </w:p>
        </w:tc>
        <w:tc>
          <w:tcPr>
            <w:tcW w:w="1383" w:type="dxa"/>
            <w:vAlign w:val="center"/>
          </w:tcPr>
          <w:p w14:paraId="51F5B94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21.18%</w:t>
            </w:r>
          </w:p>
        </w:tc>
      </w:tr>
      <w:tr w14:paraId="4A5BF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2282ECE9">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29EE8DBC">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w:t>
            </w:r>
            <w:r>
              <w:rPr>
                <w:rFonts w:hint="eastAsia" w:cs="Times New Roman"/>
                <w:b w:val="0"/>
                <w:bCs w:val="0"/>
                <w:kern w:val="2"/>
                <w:sz w:val="21"/>
                <w:szCs w:val="21"/>
                <w:lang w:val="en-US" w:eastAsia="zh-CN" w:bidi="ar-SA"/>
              </w:rPr>
              <w:t>臂节</w:t>
            </w:r>
            <w:r>
              <w:rPr>
                <w:rFonts w:hint="default" w:ascii="Times New Roman" w:hAnsi="Times New Roman" w:eastAsia="宋体" w:cs="Times New Roman"/>
                <w:b w:val="0"/>
                <w:bCs w:val="0"/>
                <w:kern w:val="2"/>
                <w:sz w:val="21"/>
                <w:szCs w:val="21"/>
                <w:lang w:val="en-US" w:eastAsia="zh-CN" w:bidi="ar-SA"/>
              </w:rPr>
              <w:t>四</w:t>
            </w:r>
          </w:p>
        </w:tc>
        <w:tc>
          <w:tcPr>
            <w:tcW w:w="1051" w:type="dxa"/>
            <w:vAlign w:val="center"/>
          </w:tcPr>
          <w:p w14:paraId="476A752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b w:val="0"/>
                <w:bCs w:val="0"/>
                <w:kern w:val="2"/>
                <w:sz w:val="21"/>
                <w:szCs w:val="21"/>
                <w:lang w:val="en-US" w:eastAsia="zh-CN" w:bidi="ar-SA"/>
              </w:rPr>
              <w:t>0.965</w:t>
            </w:r>
          </w:p>
        </w:tc>
        <w:tc>
          <w:tcPr>
            <w:tcW w:w="1649" w:type="dxa"/>
            <w:vAlign w:val="center"/>
          </w:tcPr>
          <w:p w14:paraId="34FABF4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45</w:t>
            </w:r>
          </w:p>
        </w:tc>
        <w:tc>
          <w:tcPr>
            <w:tcW w:w="2050" w:type="dxa"/>
            <w:vAlign w:val="center"/>
          </w:tcPr>
          <w:p w14:paraId="2E6F9B9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eastAsia" w:cs="Times New Roman"/>
                <w:i w:val="0"/>
                <w:iCs w:val="0"/>
                <w:color w:val="000000"/>
                <w:kern w:val="0"/>
                <w:sz w:val="21"/>
                <w:szCs w:val="21"/>
                <w:u w:val="none"/>
                <w:lang w:val="en-US" w:eastAsia="zh-CN" w:bidi="ar"/>
              </w:rPr>
              <w:t>12.52</w:t>
            </w:r>
          </w:p>
        </w:tc>
        <w:tc>
          <w:tcPr>
            <w:tcW w:w="1383" w:type="dxa"/>
            <w:vAlign w:val="center"/>
          </w:tcPr>
          <w:p w14:paraId="765E165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7.71%</w:t>
            </w:r>
          </w:p>
        </w:tc>
      </w:tr>
      <w:tr w14:paraId="48E9D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38" w:type="dxa"/>
            <w:vAlign w:val="center"/>
          </w:tcPr>
          <w:p w14:paraId="1B2B6250">
            <w:pPr>
              <w:keepNext w:val="0"/>
              <w:keepLines w:val="0"/>
              <w:pageBreakBefore w:val="0"/>
              <w:widowControl/>
              <w:numPr>
                <w:ilvl w:val="0"/>
                <w:numId w:val="21"/>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7" w:type="dxa"/>
            <w:vAlign w:val="center"/>
          </w:tcPr>
          <w:p w14:paraId="1CC311A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w:t>
            </w:r>
            <w:r>
              <w:rPr>
                <w:rFonts w:hint="eastAsia" w:cs="Times New Roman"/>
                <w:b w:val="0"/>
                <w:bCs w:val="0"/>
                <w:kern w:val="2"/>
                <w:sz w:val="21"/>
                <w:szCs w:val="21"/>
                <w:lang w:val="en-US" w:eastAsia="zh-CN" w:bidi="ar-SA"/>
              </w:rPr>
              <w:t>臂节五及臂端节</w:t>
            </w:r>
          </w:p>
        </w:tc>
        <w:tc>
          <w:tcPr>
            <w:tcW w:w="1051" w:type="dxa"/>
            <w:vAlign w:val="center"/>
          </w:tcPr>
          <w:p w14:paraId="5B0B954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b w:val="0"/>
                <w:bCs w:val="0"/>
                <w:kern w:val="2"/>
                <w:sz w:val="21"/>
                <w:szCs w:val="21"/>
                <w:lang w:val="en-US" w:eastAsia="zh-CN" w:bidi="ar-SA"/>
              </w:rPr>
            </w:pPr>
            <w:r>
              <w:rPr>
                <w:rFonts w:hint="eastAsia" w:cs="Times New Roman"/>
                <w:b w:val="0"/>
                <w:bCs w:val="0"/>
                <w:kern w:val="2"/>
                <w:sz w:val="21"/>
                <w:szCs w:val="21"/>
                <w:lang w:val="en-US" w:eastAsia="zh-CN" w:bidi="ar-SA"/>
              </w:rPr>
              <w:t>1.649</w:t>
            </w:r>
          </w:p>
        </w:tc>
        <w:tc>
          <w:tcPr>
            <w:tcW w:w="1649" w:type="dxa"/>
            <w:vAlign w:val="center"/>
          </w:tcPr>
          <w:p w14:paraId="175B5BC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w:t>
            </w:r>
          </w:p>
        </w:tc>
        <w:tc>
          <w:tcPr>
            <w:tcW w:w="2050" w:type="dxa"/>
            <w:vAlign w:val="center"/>
          </w:tcPr>
          <w:p w14:paraId="324DCC5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12.52</w:t>
            </w:r>
          </w:p>
        </w:tc>
        <w:tc>
          <w:tcPr>
            <w:tcW w:w="1383" w:type="dxa"/>
            <w:vAlign w:val="center"/>
          </w:tcPr>
          <w:p w14:paraId="12704DE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13.17%</w:t>
            </w:r>
          </w:p>
        </w:tc>
      </w:tr>
    </w:tbl>
    <w:p w14:paraId="041A49A6">
      <w:pPr>
        <w:pStyle w:val="4"/>
        <w:bidi w:val="0"/>
        <w:ind w:left="720" w:leftChars="0" w:hanging="720" w:firstLineChars="0"/>
        <w:rPr>
          <w:rFonts w:hint="eastAsia"/>
          <w:b/>
          <w:bCs w:val="0"/>
          <w:lang w:val="en-US" w:eastAsia="zh-CN"/>
        </w:rPr>
      </w:pPr>
      <w:r>
        <w:rPr>
          <w:rFonts w:hint="eastAsia"/>
          <w:b/>
          <w:bCs w:val="0"/>
          <w:lang w:val="en-US" w:eastAsia="zh-CN"/>
        </w:rPr>
        <w:t>XGT360-20S1（6#）塔机拆除平面布置</w:t>
      </w:r>
    </w:p>
    <w:p w14:paraId="073E25CB">
      <w:pPr>
        <w:ind w:left="0" w:leftChars="0" w:firstLine="0" w:firstLineChars="0"/>
        <w:jc w:val="center"/>
      </w:pPr>
      <w:r>
        <w:drawing>
          <wp:inline distT="0" distB="0" distL="114300" distR="114300">
            <wp:extent cx="5272405" cy="4533900"/>
            <wp:effectExtent l="0" t="0" r="4445" b="0"/>
            <wp:docPr id="8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pic:cNvPicPr>
                      <a:picLocks noChangeAspect="1"/>
                    </pic:cNvPicPr>
                  </pic:nvPicPr>
                  <pic:blipFill>
                    <a:blip r:embed="rId24"/>
                    <a:stretch>
                      <a:fillRect/>
                    </a:stretch>
                  </pic:blipFill>
                  <pic:spPr>
                    <a:xfrm>
                      <a:off x="0" y="0"/>
                      <a:ext cx="5272405" cy="4533900"/>
                    </a:xfrm>
                    <a:prstGeom prst="rect">
                      <a:avLst/>
                    </a:prstGeom>
                    <a:noFill/>
                    <a:ln>
                      <a:noFill/>
                    </a:ln>
                  </pic:spPr>
                </pic:pic>
              </a:graphicData>
            </a:graphic>
          </wp:inline>
        </w:drawing>
      </w:r>
    </w:p>
    <w:p w14:paraId="09558CC5">
      <w:pPr>
        <w:pStyle w:val="15"/>
        <w:rPr>
          <w:rFonts w:hint="default" w:eastAsia="宋体"/>
          <w:lang w:val="en-US" w:eastAsia="zh-CN"/>
        </w:rPr>
      </w:pPr>
      <w:r>
        <w:t xml:space="preserve">图 </w:t>
      </w:r>
      <w:r>
        <w:fldChar w:fldCharType="begin"/>
      </w:r>
      <w:r>
        <w:instrText xml:space="preserve"> STYLEREF 3 \s </w:instrText>
      </w:r>
      <w:r>
        <w:fldChar w:fldCharType="separate"/>
      </w:r>
      <w:r>
        <w:t>4.2.2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XGT360-20S1（6#）塔机拆除时平面图</w:t>
      </w:r>
    </w:p>
    <w:p w14:paraId="5B118154">
      <w:pPr>
        <w:pStyle w:val="4"/>
        <w:bidi w:val="0"/>
        <w:ind w:left="720" w:leftChars="0" w:hanging="720" w:firstLineChars="0"/>
        <w:rPr>
          <w:rFonts w:hint="eastAsia"/>
          <w:b/>
          <w:bCs w:val="0"/>
          <w:lang w:val="en-US" w:eastAsia="zh-CN"/>
        </w:rPr>
      </w:pPr>
      <w:r>
        <w:rPr>
          <w:rFonts w:hint="eastAsia"/>
          <w:b/>
          <w:bCs w:val="0"/>
          <w:lang w:val="en-US" w:eastAsia="zh-CN"/>
        </w:rPr>
        <w:t>吊装钢丝绳选型</w:t>
      </w:r>
    </w:p>
    <w:p w14:paraId="731F7240">
      <w:pPr>
        <w:ind w:firstLine="480"/>
        <w:rPr>
          <w:rFonts w:ascii="宋体" w:hAnsi="宋体" w:cs="宋体"/>
        </w:rPr>
      </w:pPr>
      <w:r>
        <w:rPr>
          <w:rFonts w:hint="eastAsia" w:ascii="宋体" w:hAnsi="宋体" w:cs="宋体"/>
        </w:rPr>
        <w:t>相应验算详见第</w:t>
      </w:r>
      <w:r>
        <w:rPr>
          <w:rFonts w:hint="eastAsia" w:ascii="宋体" w:hAnsi="宋体" w:cs="宋体"/>
          <w:lang w:val="en-US" w:eastAsia="zh-CN"/>
        </w:rPr>
        <w:t>10</w:t>
      </w:r>
      <w:r>
        <w:rPr>
          <w:rFonts w:hint="eastAsia" w:ascii="宋体" w:hAnsi="宋体" w:cs="宋体"/>
        </w:rPr>
        <w:t>章节</w:t>
      </w:r>
    </w:p>
    <w:p w14:paraId="7C049FBA">
      <w:pPr>
        <w:pStyle w:val="3"/>
        <w:bidi w:val="0"/>
        <w:ind w:left="575" w:leftChars="0" w:hanging="575" w:firstLineChars="0"/>
        <w:rPr>
          <w:b/>
          <w:bCs w:val="0"/>
          <w:sz w:val="28"/>
          <w:szCs w:val="28"/>
        </w:rPr>
      </w:pPr>
      <w:bookmarkStart w:id="70" w:name="_Toc8537"/>
      <w:bookmarkStart w:id="71" w:name="_Toc16811"/>
      <w:bookmarkStart w:id="72" w:name="_Toc17089"/>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前施工准备</w:t>
      </w:r>
      <w:bookmarkEnd w:id="70"/>
      <w:bookmarkEnd w:id="71"/>
      <w:bookmarkEnd w:id="72"/>
    </w:p>
    <w:p w14:paraId="37D29087">
      <w:pPr>
        <w:pStyle w:val="4"/>
        <w:bidi w:val="0"/>
        <w:ind w:left="720" w:leftChars="0" w:hanging="720" w:firstLineChars="0"/>
        <w:rPr>
          <w:rFonts w:hint="eastAsia"/>
          <w:b/>
          <w:bCs w:val="0"/>
          <w:lang w:val="en-US" w:eastAsia="zh-CN"/>
        </w:rPr>
      </w:pPr>
      <w:r>
        <w:rPr>
          <w:rFonts w:hint="eastAsia"/>
          <w:b/>
          <w:bCs w:val="0"/>
          <w:lang w:val="en-US" w:eastAsia="zh-CN"/>
        </w:rPr>
        <w:t>技术准备</w:t>
      </w:r>
    </w:p>
    <w:p w14:paraId="600FA250">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rPr>
      </w:pPr>
      <w:r>
        <w:rPr>
          <w:rFonts w:hint="eastAsia" w:ascii="Times New Roman" w:hAnsi="Times New Roman" w:eastAsia="宋体" w:cs="Times New Roman"/>
        </w:rPr>
        <w:t>设备技术资料查验、</w:t>
      </w:r>
      <w:r>
        <w:rPr>
          <w:rFonts w:hint="eastAsia" w:ascii="Times New Roman" w:hAnsi="Times New Roman" w:eastAsia="宋体" w:cs="Times New Roman"/>
          <w:lang w:val="en-US" w:eastAsia="zh-CN"/>
        </w:rPr>
        <w:t>拆除</w:t>
      </w:r>
      <w:r>
        <w:rPr>
          <w:rFonts w:hint="eastAsia" w:ascii="Times New Roman" w:hAnsi="Times New Roman" w:eastAsia="宋体" w:cs="Times New Roman"/>
        </w:rPr>
        <w:t>方案、人员及工器具审核及报备工作。</w:t>
      </w:r>
    </w:p>
    <w:p w14:paraId="75C6686C">
      <w:pPr>
        <w:pStyle w:val="4"/>
        <w:bidi w:val="0"/>
        <w:ind w:left="720" w:leftChars="0" w:hanging="720" w:firstLineChars="0"/>
        <w:rPr>
          <w:rFonts w:hint="eastAsia"/>
          <w:b/>
          <w:bCs w:val="0"/>
          <w:lang w:val="en-US" w:eastAsia="zh-CN"/>
        </w:rPr>
      </w:pPr>
      <w:r>
        <w:rPr>
          <w:rFonts w:hint="eastAsia"/>
          <w:b/>
          <w:bCs w:val="0"/>
          <w:lang w:val="en-US" w:eastAsia="zh-CN"/>
        </w:rPr>
        <w:t>组织准备</w:t>
      </w:r>
    </w:p>
    <w:p w14:paraId="353B5DD0">
      <w:pPr>
        <w:ind w:firstLine="480"/>
      </w:pPr>
      <w:r>
        <w:rPr>
          <w:rFonts w:hint="eastAsia"/>
        </w:rPr>
        <w:t>（1）施工队伍应有合格的</w:t>
      </w:r>
      <w:r>
        <w:rPr>
          <w:rFonts w:hint="eastAsia"/>
          <w:lang w:val="en-US" w:eastAsia="zh-CN"/>
        </w:rPr>
        <w:t>拆除</w:t>
      </w:r>
      <w:r>
        <w:rPr>
          <w:rFonts w:hint="eastAsia"/>
        </w:rPr>
        <w:t>资质，且熟悉塔式起重机</w:t>
      </w:r>
      <w:r>
        <w:rPr>
          <w:rFonts w:hint="eastAsia"/>
          <w:lang w:val="en-US" w:eastAsia="zh-CN"/>
        </w:rPr>
        <w:t>拆除</w:t>
      </w:r>
      <w:r>
        <w:rPr>
          <w:rFonts w:hint="eastAsia"/>
        </w:rPr>
        <w:t>工艺。</w:t>
      </w:r>
    </w:p>
    <w:p w14:paraId="257B9278">
      <w:pPr>
        <w:ind w:firstLine="480"/>
      </w:pPr>
      <w:r>
        <w:rPr>
          <w:rFonts w:hint="eastAsia"/>
        </w:rPr>
        <w:t>（2）成立</w:t>
      </w:r>
      <w:r>
        <w:rPr>
          <w:rFonts w:hint="eastAsia"/>
          <w:lang w:val="en-US" w:eastAsia="zh-CN"/>
        </w:rPr>
        <w:t>拆除</w:t>
      </w:r>
      <w:r>
        <w:rPr>
          <w:rFonts w:hint="eastAsia"/>
        </w:rPr>
        <w:t>安全领导小组和</w:t>
      </w:r>
      <w:r>
        <w:rPr>
          <w:rFonts w:hint="eastAsia"/>
          <w:lang w:val="en-US" w:eastAsia="zh-CN"/>
        </w:rPr>
        <w:t>拆除</w:t>
      </w:r>
      <w:r>
        <w:rPr>
          <w:rFonts w:hint="eastAsia"/>
        </w:rPr>
        <w:t>工作小组，对整个</w:t>
      </w:r>
      <w:r>
        <w:rPr>
          <w:rFonts w:hint="eastAsia"/>
          <w:lang w:val="en-US" w:eastAsia="zh-CN"/>
        </w:rPr>
        <w:t>拆除</w:t>
      </w:r>
      <w:r>
        <w:rPr>
          <w:rFonts w:hint="eastAsia"/>
        </w:rPr>
        <w:t>过程进行有效监管。</w:t>
      </w:r>
    </w:p>
    <w:p w14:paraId="576DEBD6">
      <w:pPr>
        <w:ind w:firstLine="480"/>
      </w:pPr>
      <w:r>
        <w:rPr>
          <w:rFonts w:hint="eastAsia"/>
        </w:rPr>
        <w:t>（3）组织学习安全技术措施，现场进行技术交底，落实每项工作。</w:t>
      </w:r>
    </w:p>
    <w:p w14:paraId="2A4BA511">
      <w:pPr>
        <w:ind w:firstLine="480"/>
      </w:pPr>
      <w:r>
        <w:rPr>
          <w:rFonts w:hint="eastAsia"/>
        </w:rPr>
        <w:t>（4）所有进行</w:t>
      </w:r>
      <w:r>
        <w:rPr>
          <w:rFonts w:hint="eastAsia"/>
          <w:lang w:val="en-US" w:eastAsia="zh-CN"/>
        </w:rPr>
        <w:t>拆除</w:t>
      </w:r>
      <w:r>
        <w:rPr>
          <w:rFonts w:hint="eastAsia"/>
        </w:rPr>
        <w:t>的有关人员，均需持证上岗，并针对本工程经过培训。</w:t>
      </w:r>
    </w:p>
    <w:p w14:paraId="1F3E85EA">
      <w:pPr>
        <w:pStyle w:val="4"/>
        <w:bidi w:val="0"/>
        <w:ind w:left="720" w:leftChars="0" w:hanging="720" w:firstLineChars="0"/>
        <w:rPr>
          <w:rFonts w:hint="eastAsia"/>
          <w:b/>
          <w:bCs w:val="0"/>
          <w:lang w:val="en-US" w:eastAsia="zh-CN"/>
        </w:rPr>
      </w:pPr>
      <w:r>
        <w:rPr>
          <w:rFonts w:hint="eastAsia"/>
          <w:b/>
          <w:bCs w:val="0"/>
          <w:lang w:val="en-US" w:eastAsia="zh-CN"/>
        </w:rPr>
        <w:t>工索具、起重设备准备</w:t>
      </w:r>
    </w:p>
    <w:p w14:paraId="320F6ED2">
      <w:pPr>
        <w:ind w:firstLine="480"/>
      </w:pPr>
      <w:r>
        <w:rPr>
          <w:rFonts w:hint="eastAsia"/>
        </w:rPr>
        <w:t>（1）准备好</w:t>
      </w:r>
      <w:r>
        <w:rPr>
          <w:rFonts w:hint="eastAsia"/>
          <w:lang w:val="en-US" w:eastAsia="zh-CN"/>
        </w:rPr>
        <w:t>拆除</w:t>
      </w:r>
      <w:r>
        <w:rPr>
          <w:rFonts w:hint="eastAsia"/>
        </w:rPr>
        <w:t>人员的安全带，安全绳，防滑鞋，安全帽等。</w:t>
      </w:r>
    </w:p>
    <w:p w14:paraId="70F75177">
      <w:pPr>
        <w:ind w:firstLine="480"/>
      </w:pPr>
      <w:r>
        <w:rPr>
          <w:rFonts w:hint="eastAsia"/>
        </w:rPr>
        <w:t>（2）定好吊装主要部件的尺寸，重量，高度，确定起重设备规格，并准备好吊装机具，</w:t>
      </w:r>
      <w:r>
        <w:rPr>
          <w:rFonts w:hint="eastAsia"/>
          <w:lang w:val="en-US" w:eastAsia="zh-CN"/>
        </w:rPr>
        <w:t>拆除</w:t>
      </w:r>
      <w:r>
        <w:rPr>
          <w:rFonts w:hint="eastAsia"/>
        </w:rPr>
        <w:t>工具（扳手、大锤、钢丝绳、手拉葫芦、氧气乙炔）等。</w:t>
      </w:r>
    </w:p>
    <w:p w14:paraId="31ED1B72">
      <w:pPr>
        <w:ind w:firstLine="480"/>
      </w:pPr>
      <w:r>
        <w:rPr>
          <w:rFonts w:hint="eastAsia"/>
        </w:rPr>
        <w:t>（3）所有起重设备应进行试吊，确保设备完好。</w:t>
      </w:r>
    </w:p>
    <w:p w14:paraId="6068772F">
      <w:pPr>
        <w:ind w:firstLine="480"/>
      </w:pPr>
      <w:r>
        <w:rPr>
          <w:rFonts w:hint="eastAsia"/>
        </w:rPr>
        <w:t>（4）所有手动吊装、焊接、测量等工具，均需经计量检验合格，方可用于本工程。</w:t>
      </w:r>
    </w:p>
    <w:p w14:paraId="1409BA7B">
      <w:pPr>
        <w:pStyle w:val="4"/>
        <w:bidi w:val="0"/>
        <w:ind w:left="720" w:leftChars="0" w:hanging="720" w:firstLineChars="0"/>
        <w:rPr>
          <w:rFonts w:hint="eastAsia"/>
          <w:b/>
          <w:bCs w:val="0"/>
          <w:lang w:val="en-US" w:eastAsia="zh-CN"/>
        </w:rPr>
      </w:pPr>
      <w:r>
        <w:rPr>
          <w:rFonts w:hint="eastAsia"/>
          <w:b/>
          <w:bCs w:val="0"/>
          <w:lang w:val="en-US" w:eastAsia="zh-CN"/>
        </w:rPr>
        <w:t>检查准备</w:t>
      </w:r>
    </w:p>
    <w:p w14:paraId="31F9D18C">
      <w:pPr>
        <w:ind w:firstLine="480"/>
      </w:pPr>
      <w:r>
        <w:rPr>
          <w:rFonts w:hint="eastAsia"/>
        </w:rPr>
        <w:t>正式施工前，做好主要施工机具和分项工艺的检验工作。根据检验结果，对工艺进行进一步的修改及细化。</w:t>
      </w:r>
    </w:p>
    <w:p w14:paraId="18306A92">
      <w:pPr>
        <w:ind w:firstLine="480"/>
      </w:pPr>
      <w:r>
        <w:rPr>
          <w:rFonts w:hint="eastAsia"/>
        </w:rPr>
        <w:t>（1）设备检查</w:t>
      </w:r>
    </w:p>
    <w:p w14:paraId="5B0D2438">
      <w:pPr>
        <w:ind w:firstLine="480"/>
      </w:pPr>
      <w:r>
        <w:rPr>
          <w:rFonts w:hint="eastAsia"/>
        </w:rPr>
        <w:t>a</w:t>
      </w:r>
      <w:r>
        <w:rPr>
          <w:rFonts w:hint="eastAsia"/>
          <w:lang w:eastAsia="zh-CN"/>
        </w:rPr>
        <w:t>塔机</w:t>
      </w:r>
      <w:r>
        <w:rPr>
          <w:rFonts w:hint="eastAsia"/>
        </w:rPr>
        <w:t>所有钢构件无变形、无裂纹；</w:t>
      </w:r>
      <w:r>
        <w:rPr>
          <w:rFonts w:hint="eastAsia"/>
          <w:lang w:eastAsia="zh-CN"/>
        </w:rPr>
        <w:t>塔机</w:t>
      </w:r>
      <w:r>
        <w:rPr>
          <w:rFonts w:hint="eastAsia"/>
        </w:rPr>
        <w:t>所有电机机座是否固定牢靠，传动部位有无变形、裂纹；</w:t>
      </w:r>
    </w:p>
    <w:p w14:paraId="1A106ACE">
      <w:pPr>
        <w:ind w:firstLine="480"/>
      </w:pPr>
      <w:r>
        <w:rPr>
          <w:rFonts w:hint="eastAsia"/>
        </w:rPr>
        <w:t>b</w:t>
      </w:r>
      <w:r>
        <w:rPr>
          <w:rFonts w:hint="eastAsia"/>
          <w:lang w:eastAsia="zh-CN"/>
        </w:rPr>
        <w:t>塔机</w:t>
      </w:r>
      <w:r>
        <w:rPr>
          <w:rFonts w:hint="eastAsia"/>
        </w:rPr>
        <w:t>所有滑轮部位有无防钢丝绳脱槽装置，滑轮轴有无磨损，滑轮座是否固定牢靠；</w:t>
      </w:r>
      <w:r>
        <w:rPr>
          <w:rFonts w:hint="eastAsia"/>
          <w:lang w:eastAsia="zh-CN"/>
        </w:rPr>
        <w:t>塔机</w:t>
      </w:r>
      <w:r>
        <w:rPr>
          <w:rFonts w:hint="eastAsia"/>
        </w:rPr>
        <w:t>所有防护栏杆是否完好，焊接牢靠，无锈蚀；</w:t>
      </w:r>
    </w:p>
    <w:p w14:paraId="4E6CB6A1">
      <w:pPr>
        <w:ind w:firstLine="480"/>
      </w:pPr>
      <w:r>
        <w:rPr>
          <w:rFonts w:hint="eastAsia"/>
        </w:rPr>
        <w:t>c</w:t>
      </w:r>
      <w:r>
        <w:rPr>
          <w:rFonts w:hint="eastAsia"/>
          <w:lang w:eastAsia="zh-CN"/>
        </w:rPr>
        <w:t>塔机</w:t>
      </w:r>
      <w:r>
        <w:rPr>
          <w:rFonts w:hint="eastAsia"/>
        </w:rPr>
        <w:t>所有柱销孔和销柱体符合要求，无晃动、无严重磨损；</w:t>
      </w:r>
    </w:p>
    <w:p w14:paraId="57A8102F">
      <w:pPr>
        <w:ind w:firstLine="480"/>
      </w:pPr>
      <w:r>
        <w:rPr>
          <w:rFonts w:hint="eastAsia"/>
        </w:rPr>
        <w:t>d</w:t>
      </w:r>
      <w:r>
        <w:rPr>
          <w:rFonts w:hint="eastAsia"/>
          <w:lang w:eastAsia="zh-CN"/>
        </w:rPr>
        <w:t>塔机</w:t>
      </w:r>
      <w:r>
        <w:rPr>
          <w:rFonts w:hint="eastAsia"/>
        </w:rPr>
        <w:t>所有柱销上的开口销是否配套，并开口；</w:t>
      </w:r>
    </w:p>
    <w:p w14:paraId="3AD5C47B">
      <w:pPr>
        <w:ind w:firstLine="480"/>
      </w:pPr>
      <w:r>
        <w:rPr>
          <w:rFonts w:hint="eastAsia"/>
        </w:rPr>
        <w:t>e检查钢丝绳磨损状况；检查顶升套架围栏支撑连接部位部件是否完好；</w:t>
      </w:r>
    </w:p>
    <w:p w14:paraId="76499B3A">
      <w:pPr>
        <w:ind w:firstLine="480"/>
      </w:pPr>
      <w:r>
        <w:rPr>
          <w:rFonts w:hint="eastAsia"/>
        </w:rPr>
        <w:t>f检查顶升套架机构滑动部位及支撑的爪钩等处是否完好；</w:t>
      </w:r>
    </w:p>
    <w:p w14:paraId="1CF8A89D">
      <w:pPr>
        <w:ind w:firstLine="480"/>
      </w:pPr>
      <w:r>
        <w:rPr>
          <w:rFonts w:hint="eastAsia"/>
        </w:rPr>
        <w:t xml:space="preserve">g检查顶升套架标准节安装推入机构是否完好，各部件无变形； </w:t>
      </w:r>
    </w:p>
    <w:p w14:paraId="61DAB306">
      <w:pPr>
        <w:ind w:firstLine="480"/>
      </w:pPr>
      <w:r>
        <w:rPr>
          <w:rFonts w:hint="eastAsia"/>
        </w:rPr>
        <w:t>h检查回转支撑机构是否润滑良好，螺栓是否紧固；</w:t>
      </w:r>
    </w:p>
    <w:p w14:paraId="3EF3FBC7">
      <w:pPr>
        <w:ind w:firstLine="480"/>
      </w:pPr>
      <w:r>
        <w:rPr>
          <w:rFonts w:hint="eastAsia"/>
        </w:rPr>
        <w:t>i检查电器是否完好无损，电缆线无老化、裸露，各电气绝缘保证良好；</w:t>
      </w:r>
    </w:p>
    <w:p w14:paraId="544E7CBE">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E736DB4">
      <w:pPr>
        <w:ind w:firstLine="480"/>
      </w:pPr>
      <w:r>
        <w:rPr>
          <w:rFonts w:hint="eastAsia"/>
        </w:rPr>
        <w:t>k检查刹车部位是否完好，刹车皮是否磨损严重；</w:t>
      </w:r>
    </w:p>
    <w:p w14:paraId="0A70F302">
      <w:pPr>
        <w:ind w:firstLine="480"/>
      </w:pPr>
      <w:r>
        <w:rPr>
          <w:rFonts w:hint="eastAsia"/>
        </w:rPr>
        <w:t>l查</w:t>
      </w:r>
      <w:r>
        <w:rPr>
          <w:rFonts w:hint="eastAsia"/>
          <w:lang w:eastAsia="zh-CN"/>
        </w:rPr>
        <w:t>塔机</w:t>
      </w:r>
      <w:r>
        <w:rPr>
          <w:rFonts w:hint="eastAsia"/>
        </w:rPr>
        <w:t>小车行走轮是否润滑良好，有无严重磨损和裂纹；检查配重、配重吊环是否牢固，完好。</w:t>
      </w:r>
    </w:p>
    <w:p w14:paraId="64BE07D6">
      <w:pPr>
        <w:pStyle w:val="4"/>
        <w:bidi w:val="0"/>
        <w:ind w:left="720" w:leftChars="0" w:hanging="720" w:firstLineChars="0"/>
        <w:rPr>
          <w:rFonts w:hint="eastAsia"/>
          <w:b/>
          <w:bCs w:val="0"/>
          <w:lang w:val="en-US" w:eastAsia="zh-CN"/>
        </w:rPr>
      </w:pPr>
      <w:r>
        <w:rPr>
          <w:rFonts w:hint="eastAsia"/>
          <w:b/>
          <w:bCs w:val="0"/>
          <w:lang w:val="en-US" w:eastAsia="zh-CN"/>
        </w:rPr>
        <w:t>其他</w:t>
      </w:r>
    </w:p>
    <w:p w14:paraId="026F1D42">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w:t>
      </w:r>
      <w:r>
        <w:rPr>
          <w:rFonts w:hint="eastAsia"/>
          <w:lang w:val="en-US" w:eastAsia="zh-CN"/>
        </w:rPr>
        <w:t>拆除</w:t>
      </w:r>
      <w:r>
        <w:rPr>
          <w:rFonts w:hint="eastAsia"/>
        </w:rPr>
        <w:t>单位提供当地气象局三天内的天气报告。</w:t>
      </w:r>
    </w:p>
    <w:p w14:paraId="181AFEBF">
      <w:pPr>
        <w:ind w:firstLine="480"/>
      </w:pPr>
      <w:r>
        <w:rPr>
          <w:rFonts w:hint="eastAsia"/>
        </w:rPr>
        <w:t>（2）划分安全警戒区域，指定监护人员，非工作人员不得进入警戒区。</w:t>
      </w:r>
    </w:p>
    <w:p w14:paraId="66AACBA7">
      <w:pPr>
        <w:ind w:firstLine="480"/>
      </w:pPr>
      <w:r>
        <w:rPr>
          <w:rFonts w:hint="eastAsia"/>
        </w:rPr>
        <w:t>（3）每台塔式起重机设立专用配电箱，符合《建筑与市政工程施工现场临时用电安全技术标准》</w:t>
      </w:r>
      <w:r>
        <w:rPr>
          <w:rFonts w:hint="eastAsia"/>
          <w:lang w:eastAsia="zh-CN"/>
        </w:rPr>
        <w:t>（</w:t>
      </w:r>
      <w:r>
        <w:rPr>
          <w:rFonts w:hint="eastAsia"/>
          <w:lang w:val="en-US" w:eastAsia="zh-CN"/>
        </w:rPr>
        <w:t>J</w:t>
      </w:r>
      <w:r>
        <w:rPr>
          <w:rFonts w:hint="eastAsia"/>
          <w:lang w:eastAsia="zh-CN"/>
        </w:rPr>
        <w:t>G</w:t>
      </w:r>
      <w:r>
        <w:rPr>
          <w:rFonts w:hint="eastAsia"/>
          <w:lang w:val="en-US" w:eastAsia="zh-CN"/>
        </w:rPr>
        <w:t>J/</w:t>
      </w:r>
      <w:r>
        <w:rPr>
          <w:rFonts w:hint="eastAsia"/>
          <w:lang w:eastAsia="zh-CN"/>
        </w:rPr>
        <w:t>T</w:t>
      </w:r>
      <w:r>
        <w:rPr>
          <w:rFonts w:hint="eastAsia"/>
        </w:rPr>
        <w:t>T46-2024</w:t>
      </w:r>
      <w:r>
        <w:rPr>
          <w:rFonts w:hint="eastAsia"/>
          <w:lang w:eastAsia="zh-CN"/>
        </w:rPr>
        <w:t>）</w:t>
      </w:r>
      <w:r>
        <w:rPr>
          <w:rFonts w:hint="eastAsia"/>
        </w:rPr>
        <w:t>相关要求。</w:t>
      </w:r>
    </w:p>
    <w:p w14:paraId="7789721A">
      <w:pPr>
        <w:pStyle w:val="3"/>
        <w:bidi w:val="0"/>
        <w:rPr>
          <w:b/>
          <w:bCs w:val="0"/>
          <w:sz w:val="28"/>
          <w:szCs w:val="28"/>
        </w:rPr>
      </w:pPr>
      <w:bookmarkStart w:id="73" w:name="_Toc19615"/>
      <w:bookmarkStart w:id="74" w:name="_Toc2299"/>
      <w:bookmarkStart w:id="75" w:name="_Toc16632"/>
      <w:r>
        <w:rPr>
          <w:rFonts w:hint="eastAsia"/>
          <w:b/>
          <w:bCs w:val="0"/>
          <w:sz w:val="28"/>
          <w:szCs w:val="28"/>
          <w:lang w:val="en-US" w:eastAsia="zh-CN"/>
        </w:rPr>
        <w:t>XGT360-20S1</w:t>
      </w:r>
      <w:r>
        <w:rPr>
          <w:rFonts w:hint="eastAsia"/>
          <w:b/>
          <w:bCs w:val="0"/>
          <w:sz w:val="28"/>
          <w:szCs w:val="28"/>
          <w:lang w:eastAsia="zh-CN"/>
        </w:rPr>
        <w:t>塔机</w:t>
      </w:r>
      <w:r>
        <w:rPr>
          <w:rFonts w:hint="eastAsia"/>
          <w:b/>
          <w:bCs w:val="0"/>
          <w:sz w:val="28"/>
          <w:szCs w:val="28"/>
          <w:lang w:val="en-US" w:eastAsia="zh-CN"/>
        </w:rPr>
        <w:t>拆除</w:t>
      </w:r>
      <w:r>
        <w:rPr>
          <w:rFonts w:hint="eastAsia"/>
          <w:b/>
          <w:bCs w:val="0"/>
          <w:sz w:val="28"/>
          <w:szCs w:val="28"/>
        </w:rPr>
        <w:t>具体步骤</w:t>
      </w:r>
      <w:bookmarkEnd w:id="73"/>
      <w:bookmarkEnd w:id="74"/>
      <w:bookmarkEnd w:id="75"/>
    </w:p>
    <w:p w14:paraId="39A4076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拆除前的准备工作</w:t>
      </w:r>
    </w:p>
    <w:p w14:paraId="65989CA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1.由于拆卸塔机时，建筑物已建完，工作场地受限制，应注意工作程序和吊装堆放位置，保证没有障碍物影响拆塔操作，不可马虎大意，否则容易发生人身安全事故。</w:t>
      </w:r>
    </w:p>
    <w:p w14:paraId="397ABE27">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2.拆塔过程中，塔机应处于平衡状态。</w:t>
      </w:r>
    </w:p>
    <w:p w14:paraId="566309E1">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3.禁止在拆卸时起升吊钩进行任何起升或者下降操作。</w:t>
      </w:r>
    </w:p>
    <w:p w14:paraId="12965285">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4.拆卸过程中，禁止塔身上部进行回转操作。</w:t>
      </w:r>
    </w:p>
    <w:p w14:paraId="13A31954">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5.拆卸进行前，应将起重臂回转至爬升架引进标准节一侧。</w:t>
      </w:r>
    </w:p>
    <w:p w14:paraId="3D2D2815">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6.塔机拆塔之前，顶升机构由于长期停止使用，应对顶升机构进行保养和试运转，在试运转过程中，应有目的地对限位器，回转机构的制动器等进行可靠性检查；</w:t>
      </w:r>
    </w:p>
    <w:p w14:paraId="0F6A6156">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7.对于拆卸的部件，如起重臂、平衡臂等必须遵守规章，以防止当拆卸某一部件时，其余部分有失去平衡的危险。</w:t>
      </w:r>
    </w:p>
    <w:p w14:paraId="09B3D89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8.在拆塔过程中，吊运钢丝绳及吊带的选择要合理，物件捆绑必须牢固。</w:t>
      </w:r>
    </w:p>
    <w:p w14:paraId="349DF077">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9.塔机拆卸对顶升机构来说是重载连续作业，所以应对顶升机构的主要受力件经常检查；</w:t>
      </w:r>
    </w:p>
    <w:p w14:paraId="4403F600">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10.顶升机构工作时，所有操作人员应集中精力观察各相对运动件的相对位置是否正常(如滚轮与主弦杆之间，爬升架与塔身之间)，是否有阻碍爬升架运动(特别是下降运动时)的物件；</w:t>
      </w:r>
    </w:p>
    <w:p w14:paraId="4864E4DA">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11.顶升系统的检查与测试：</w:t>
      </w:r>
    </w:p>
    <w:p w14:paraId="21D0A9F8">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1)检查液压系统各部件是否完好、有无漏、渗油现象。顶升油缸运动是否顺畅、到位。</w:t>
      </w:r>
    </w:p>
    <w:p w14:paraId="43C96DDC">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2)检查顶升油箱油位计显示油量在油缸完全收回时是否在1/3到2/3刻度之间，如果油量减少应及时补油。</w:t>
      </w:r>
    </w:p>
    <w:p w14:paraId="4357620F">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3)操作顶升控制手柄进行试顶升动作，当液压系统压力到达溢流阀设定的压力后保持10秒，如果压力一直保持不变，则顶升系统可进行顶升加节操作。</w:t>
      </w:r>
    </w:p>
    <w:p w14:paraId="752747B2">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拆除注意事项</w:t>
      </w:r>
    </w:p>
    <w:p w14:paraId="6A68817C">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rPr>
          <w:rFonts w:hint="eastAsia"/>
        </w:rPr>
        <w:t>拆卸作业前必须仔细阅读本说明书，并按本说明书中拆卸顺序进行；</w:t>
      </w:r>
    </w:p>
    <w:p w14:paraId="463C63B7">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rPr>
          <w:rFonts w:hint="eastAsia"/>
        </w:rPr>
        <w:t>拆卸必须由专业且富有经验的拆卸人员进行，拆卸时必须要有固定的地面指挥人员，拆卸人员要在拆卸过程中认真负责，注意各种作业的安全规程；</w:t>
      </w:r>
    </w:p>
    <w:p w14:paraId="15CA2C04">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t>在风速超过</w:t>
      </w:r>
      <w:r>
        <w:rPr>
          <w:rFonts w:hint="eastAsia"/>
          <w:lang w:val="en-US" w:eastAsia="zh-CN"/>
        </w:rPr>
        <w:t>四级风速</w:t>
      </w:r>
      <w:r>
        <w:t>的情况下塔机不得进行拆卸作业</w:t>
      </w:r>
      <w:r>
        <w:rPr>
          <w:rFonts w:hint="eastAsia"/>
        </w:rPr>
        <w:t>；</w:t>
      </w:r>
    </w:p>
    <w:p w14:paraId="08074257">
      <w:pPr>
        <w:keepNext w:val="0"/>
        <w:keepLines w:val="0"/>
        <w:pageBreakBefore w:val="0"/>
        <w:widowControl w:val="0"/>
        <w:numPr>
          <w:ilvl w:val="0"/>
          <w:numId w:val="22"/>
        </w:numPr>
        <w:kinsoku/>
        <w:wordWrap/>
        <w:overflowPunct/>
        <w:topLinePunct w:val="0"/>
        <w:autoSpaceDE/>
        <w:autoSpaceDN/>
        <w:bidi w:val="0"/>
        <w:adjustRightInd/>
        <w:snapToGrid/>
        <w:ind w:left="0" w:firstLine="480"/>
        <w:textAlignment w:val="auto"/>
      </w:pPr>
      <w:r>
        <w:t>使用辅助</w:t>
      </w:r>
      <w:r>
        <w:rPr>
          <w:rFonts w:hint="eastAsia"/>
        </w:rPr>
        <w:t>吊机</w:t>
      </w:r>
      <w:r>
        <w:t>拆卸塔机时必须注意安全</w:t>
      </w:r>
      <w:r>
        <w:rPr>
          <w:rFonts w:hint="eastAsia"/>
        </w:rPr>
        <w:t>：</w:t>
      </w:r>
    </w:p>
    <w:p w14:paraId="1988AF84">
      <w:pPr>
        <w:keepNext w:val="0"/>
        <w:keepLines w:val="0"/>
        <w:pageBreakBefore w:val="0"/>
        <w:widowControl w:val="0"/>
        <w:numPr>
          <w:ilvl w:val="0"/>
          <w:numId w:val="23"/>
        </w:numPr>
        <w:kinsoku/>
        <w:wordWrap/>
        <w:overflowPunct/>
        <w:topLinePunct w:val="0"/>
        <w:autoSpaceDE/>
        <w:autoSpaceDN/>
        <w:bidi w:val="0"/>
        <w:adjustRightInd/>
        <w:snapToGrid/>
        <w:ind w:left="0" w:firstLine="480"/>
        <w:textAlignment w:val="auto"/>
      </w:pPr>
      <w:r>
        <w:t>严禁超载</w:t>
      </w:r>
      <w:r>
        <w:rPr>
          <w:rFonts w:hint="eastAsia"/>
        </w:rPr>
        <w:t>；</w:t>
      </w:r>
    </w:p>
    <w:p w14:paraId="2D4DDF81">
      <w:pPr>
        <w:keepNext w:val="0"/>
        <w:keepLines w:val="0"/>
        <w:pageBreakBefore w:val="0"/>
        <w:widowControl w:val="0"/>
        <w:numPr>
          <w:ilvl w:val="0"/>
          <w:numId w:val="23"/>
        </w:numPr>
        <w:kinsoku/>
        <w:wordWrap/>
        <w:overflowPunct/>
        <w:topLinePunct w:val="0"/>
        <w:autoSpaceDE/>
        <w:autoSpaceDN/>
        <w:bidi w:val="0"/>
        <w:adjustRightInd/>
        <w:snapToGrid/>
        <w:ind w:left="0" w:firstLine="480"/>
        <w:textAlignment w:val="auto"/>
        <w:rPr>
          <w:rFonts w:hint="eastAsia"/>
          <w:lang w:val="en-US" w:eastAsia="zh-CN"/>
        </w:rPr>
      </w:pPr>
      <w:r>
        <w:t>吊具良好，并根据起吊部件重量选择合适的幅度，注意吊点位置。</w:t>
      </w:r>
    </w:p>
    <w:p w14:paraId="2FD6E7F5">
      <w:pPr>
        <w:pStyle w:val="4"/>
        <w:bidi w:val="0"/>
        <w:ind w:left="720" w:leftChars="0" w:hanging="720" w:firstLineChars="0"/>
        <w:rPr>
          <w:rFonts w:hint="eastAsia"/>
          <w:b/>
          <w:bCs w:val="0"/>
          <w:lang w:val="en-US" w:eastAsia="zh-CN"/>
        </w:rPr>
      </w:pPr>
      <w:r>
        <w:rPr>
          <w:rFonts w:hint="eastAsia"/>
          <w:b/>
          <w:bCs w:val="0"/>
          <w:lang w:val="en-US" w:eastAsia="zh-CN"/>
        </w:rPr>
        <w:t>拆除吊钩与钢丝绳</w:t>
      </w:r>
    </w:p>
    <w:p w14:paraId="49224C68">
      <w:pPr>
        <w:pStyle w:val="5"/>
        <w:bidi w:val="0"/>
        <w:ind w:left="864" w:leftChars="0" w:hanging="864" w:firstLineChars="0"/>
        <w:rPr>
          <w:rFonts w:hint="eastAsia" w:ascii="Times New Roman" w:hAnsi="Times New Roman" w:eastAsia="宋体" w:cs="Times New Roman"/>
          <w:b/>
          <w:bCs w:val="0"/>
          <w:lang w:val="en-US" w:eastAsia="zh-CN"/>
        </w:rPr>
      </w:pPr>
      <w:r>
        <w:rPr>
          <w:rFonts w:hint="eastAsia" w:ascii="Times New Roman" w:hAnsi="Times New Roman" w:eastAsia="宋体" w:cs="Times New Roman"/>
          <w:b/>
          <w:bCs w:val="0"/>
          <w:lang w:val="en-US" w:eastAsia="zh-CN"/>
        </w:rPr>
        <w:t>拆除吊钩与起升钢丝绳</w:t>
      </w:r>
    </w:p>
    <w:p w14:paraId="42464193">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起升钢丝绳的拆卸与穿绕步骤相反。</w:t>
      </w:r>
    </w:p>
    <w:p w14:paraId="1C4E79E6">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用变幅机构将载重小车开至起重臂臂尖并放下吊钩至地面准备好的临时支架上，使起升绳不受力。</w:t>
      </w:r>
    </w:p>
    <w:p w14:paraId="09A729B3">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用固定绳夹将起升绳固定在载重小车上，并从防扭装置上拆下防扭装置上的楔形接头。</w:t>
      </w:r>
    </w:p>
    <w:p w14:paraId="6CF773E5">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缓慢开动起升机构提升吊钩离地面约1米处，检查起升绳是否固定牢固。</w:t>
      </w:r>
    </w:p>
    <w:p w14:paraId="6C25F70C">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用变幅机构将载重小车开至起重臂臂根，放下吊钩将其固定在临时支架上。</w:t>
      </w:r>
    </w:p>
    <w:p w14:paraId="07838611">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拆卸起升绳与楔形接头的连接，然后松开固定绳夹。</w:t>
      </w:r>
    </w:p>
    <w:p w14:paraId="732D1A9A">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缓慢启动起升机构，依次从吊钩和载重小车的滑轮组及导向滑轮、起重量限制器滑、托辊拆卸起升绳，最后将其收至起升机构。注意收绳时钢丝绳端用麻绳溜放，防止甩绳。</w:t>
      </w:r>
    </w:p>
    <w:p w14:paraId="75F6D0C5">
      <w:pPr>
        <w:pStyle w:val="5"/>
        <w:bidi w:val="0"/>
        <w:ind w:left="864" w:leftChars="0" w:hanging="864" w:firstLineChars="0"/>
        <w:rPr>
          <w:rFonts w:hint="eastAsia" w:ascii="Times New Roman" w:hAnsi="Times New Roman" w:eastAsia="宋体" w:cs="Times New Roman"/>
          <w:b/>
          <w:bCs w:val="0"/>
          <w:kern w:val="2"/>
          <w:sz w:val="24"/>
          <w:szCs w:val="21"/>
          <w:lang w:val="en-US" w:eastAsia="zh-CN" w:bidi="ar-SA"/>
        </w:rPr>
      </w:pPr>
      <w:r>
        <w:rPr>
          <w:rFonts w:hint="eastAsia" w:ascii="Times New Roman" w:hAnsi="Times New Roman" w:eastAsia="宋体" w:cs="Times New Roman"/>
          <w:b/>
          <w:bCs w:val="0"/>
          <w:kern w:val="2"/>
          <w:sz w:val="24"/>
          <w:szCs w:val="21"/>
          <w:lang w:val="en-US" w:eastAsia="zh-CN" w:bidi="ar-SA"/>
        </w:rPr>
        <w:t>拆除变幅钢丝绳</w:t>
      </w:r>
    </w:p>
    <w:p w14:paraId="65A7873F">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作业人员通过塔身内爬梯上到回转总成平台，将安全带交替系挂在起重臂栏杆上，行走至载重小车处解除后变幅钢丝绳与载重小车的连接。</w:t>
      </w:r>
    </w:p>
    <w:p w14:paraId="66FC6815">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启动变幅卷筒缓慢回收钢丝绳，回收时作业人员随钢丝绳同步行进，避免钢丝绳掉落，直到后起升钢丝绳全部收至变幅卷筒处。</w:t>
      </w:r>
    </w:p>
    <w:p w14:paraId="7C31D28E">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作业人员将安全带交替系挂在起重臂栏杆上，行走至载重小车处解除前变幅钢丝绳与载重小车的连接。</w:t>
      </w:r>
    </w:p>
    <w:p w14:paraId="5ED6F2CF">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启动变幅卷筒缓慢回收钢丝绳，回收时作业人员随钢丝绳同步行进，避免钢丝绳掉落，直到前起升钢丝绳全部收至变幅卷筒处。</w:t>
      </w:r>
    </w:p>
    <w:p w14:paraId="3B22C07F">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bookmarkStart w:id="76" w:name="_Toc1572"/>
      <w:bookmarkStart w:id="77" w:name="_Toc24600"/>
      <w:bookmarkStart w:id="78" w:name="_Toc22261"/>
      <w:bookmarkStart w:id="79" w:name="_Toc3498"/>
      <w:bookmarkStart w:id="80" w:name="_Toc24551"/>
      <w:r>
        <w:rPr>
          <w:rFonts w:hint="eastAsia" w:cstheme="majorBidi"/>
          <w:b/>
          <w:bCs w:val="0"/>
          <w:kern w:val="2"/>
          <w:sz w:val="24"/>
          <w:szCs w:val="24"/>
          <w:lang w:val="en-US" w:eastAsia="zh-CN" w:bidi="ar-SA"/>
        </w:rPr>
        <w:t>拆除电控系统</w:t>
      </w:r>
    </w:p>
    <w:p w14:paraId="4708F9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将影响塔机部件吊装的电控系统线路断开，并向一端缠绕收拢。</w:t>
      </w:r>
    </w:p>
    <w:p w14:paraId="4DB2657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拆除部分平衡重</w:t>
      </w:r>
    </w:p>
    <w:p w14:paraId="53350D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先拆卸4块3.32t平衡重，剩余1块3.32t平衡重。</w:t>
      </w:r>
    </w:p>
    <w:p w14:paraId="3559C8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XGT600-32S吊装作业半径45m，额定起重量为12.52t&gt;3.32t，满足拆卸吊装要求。</w:t>
      </w:r>
    </w:p>
    <w:p w14:paraId="507010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平衡重吊装采用两点吊，以平衡重顶部预埋的2个吊耳板作为吊装孔，采用2根16mm6×19W+IWR1870Mpa的钢丝绳配套GB/T 25854-6-DW5卸扣进行起吊。</w:t>
      </w:r>
    </w:p>
    <w:p w14:paraId="763CD1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16358A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塔式起重机平衡重拆卸时设置警戒区，起吊安排专人负责指挥，专人操作，严禁无关人员进入起重作业范围内。</w:t>
      </w:r>
    </w:p>
    <w:p w14:paraId="72ED72A1">
      <w:pPr>
        <w:pStyle w:val="15"/>
      </w:pPr>
      <w:r>
        <w:drawing>
          <wp:inline distT="0" distB="0" distL="114300" distR="114300">
            <wp:extent cx="4829175" cy="2037080"/>
            <wp:effectExtent l="0" t="0" r="9525" b="1270"/>
            <wp:docPr id="8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3"/>
                    <pic:cNvPicPr>
                      <a:picLocks noChangeAspect="1"/>
                    </pic:cNvPicPr>
                  </pic:nvPicPr>
                  <pic:blipFill>
                    <a:blip r:embed="rId27"/>
                    <a:stretch>
                      <a:fillRect/>
                    </a:stretch>
                  </pic:blipFill>
                  <pic:spPr>
                    <a:xfrm>
                      <a:off x="0" y="0"/>
                      <a:ext cx="4829175" cy="2037080"/>
                    </a:xfrm>
                    <a:prstGeom prst="rect">
                      <a:avLst/>
                    </a:prstGeom>
                    <a:noFill/>
                    <a:ln>
                      <a:noFill/>
                    </a:ln>
                  </pic:spPr>
                </pic:pic>
              </a:graphicData>
            </a:graphic>
          </wp:inline>
        </w:drawing>
      </w:r>
    </w:p>
    <w:p w14:paraId="309ADA41">
      <w:pPr>
        <w:pStyle w:val="15"/>
        <w:rPr>
          <w:rFonts w:hint="default" w:eastAsia="宋体"/>
          <w:lang w:val="en-US" w:eastAsia="zh-CN"/>
        </w:rPr>
      </w:pPr>
      <w:r>
        <w:t xml:space="preserve">图 </w:t>
      </w:r>
      <w:r>
        <w:fldChar w:fldCharType="begin"/>
      </w:r>
      <w:r>
        <w:instrText xml:space="preserve"> STYLEREF 3 \s </w:instrText>
      </w:r>
      <w:r>
        <w:fldChar w:fldCharType="separate"/>
      </w:r>
      <w:r>
        <w:t>4.4.5</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拆除平衡重立面图</w:t>
      </w:r>
    </w:p>
    <w:p w14:paraId="273F9AB2">
      <w:pPr>
        <w:pStyle w:val="15"/>
      </w:pPr>
      <w:r>
        <w:drawing>
          <wp:inline distT="0" distB="0" distL="114300" distR="114300">
            <wp:extent cx="4367530" cy="3956050"/>
            <wp:effectExtent l="0" t="0" r="13970" b="6350"/>
            <wp:docPr id="8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4"/>
                    <pic:cNvPicPr>
                      <a:picLocks noChangeAspect="1"/>
                    </pic:cNvPicPr>
                  </pic:nvPicPr>
                  <pic:blipFill>
                    <a:blip r:embed="rId28"/>
                    <a:stretch>
                      <a:fillRect/>
                    </a:stretch>
                  </pic:blipFill>
                  <pic:spPr>
                    <a:xfrm>
                      <a:off x="0" y="0"/>
                      <a:ext cx="4367530" cy="3956050"/>
                    </a:xfrm>
                    <a:prstGeom prst="rect">
                      <a:avLst/>
                    </a:prstGeom>
                    <a:noFill/>
                    <a:ln>
                      <a:noFill/>
                    </a:ln>
                  </pic:spPr>
                </pic:pic>
              </a:graphicData>
            </a:graphic>
          </wp:inline>
        </w:drawing>
      </w:r>
    </w:p>
    <w:p w14:paraId="202152C7">
      <w:pPr>
        <w:pStyle w:val="15"/>
        <w:rPr>
          <w:rFonts w:hint="default" w:eastAsia="宋体"/>
          <w:lang w:val="en-US" w:eastAsia="zh-CN"/>
        </w:rPr>
      </w:pPr>
      <w:r>
        <w:t xml:space="preserve">图 </w:t>
      </w:r>
      <w:r>
        <w:fldChar w:fldCharType="begin"/>
      </w:r>
      <w:r>
        <w:instrText xml:space="preserve"> STYLEREF 3 \s </w:instrText>
      </w:r>
      <w:r>
        <w:fldChar w:fldCharType="separate"/>
      </w:r>
      <w:r>
        <w:t>4.4.5</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拆除平衡重平面图</w:t>
      </w:r>
    </w:p>
    <w:p w14:paraId="176FDD48">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拆除部分起重臂</w:t>
      </w:r>
    </w:p>
    <w:p w14:paraId="74FFC3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先拆卸除起重臂臂根节的起重臂，起重臂采用分节吊装，其中最大起重量为起重臂臂节三重量为2.652t。</w:t>
      </w:r>
    </w:p>
    <w:p w14:paraId="221215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XGT600-32S吊装作业半径45m，额定起重量为12.52t&gt;2.652t，满足拆卸吊装要求。</w:t>
      </w:r>
    </w:p>
    <w:p w14:paraId="7FB7EA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起重臂臂节2、臂节3、臂节4、臂节5吊装采用两点吊，以起重臂顶部吊耳板作为吊装孔，采用2根16mm6×19W+IWR1870Mpa的钢丝绳配套GB/T 25854-6-DW5卸扣进行起吊。</w:t>
      </w:r>
    </w:p>
    <w:p w14:paraId="160F43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启动吊机，将钢丝绳缓慢提升至起重臂上方时，作业人员通过爬梯爬至回转总成平台上，将安全带交替系挂在起重臂安全绳上，沿下弦杆走行至起重臂吊点位置处。吊机放松吊钩，将另一端钢丝绳与起重臂腹杆吊点连接，采用卸扣固定，同时在起重臂腹杆上栓好2根溜绳。作业人员沿下弦杆走行至上一节起重臂处，吊机轻轻将起重臂往上抬，拆卸起重臂之间的连接销轴，吊机起升吊钩，将起重臂竖直起吊一定安全高度后，再将起重臂下放至地面，稳固后吊机放松吊钩，作业人员在地面上解除钢丝绳与起重臂吊点的连接。</w:t>
      </w:r>
    </w:p>
    <w:p w14:paraId="62A19A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剩余起重臂拆卸步骤同起重臂臂节五及臂端节拆卸步骤。</w:t>
      </w:r>
    </w:p>
    <w:p w14:paraId="6CB6D0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塔式起重机起重臂拆卸时设置警戒区，起吊安排专人负责指挥，专人操作，严禁无关人员进入起重作业范围内。</w:t>
      </w:r>
    </w:p>
    <w:p w14:paraId="48E2E292">
      <w:pPr>
        <w:ind w:left="0" w:leftChars="0" w:firstLine="0" w:firstLineChars="0"/>
        <w:jc w:val="center"/>
      </w:pPr>
      <w:r>
        <w:drawing>
          <wp:inline distT="0" distB="0" distL="114300" distR="114300">
            <wp:extent cx="5271135" cy="2273935"/>
            <wp:effectExtent l="0" t="0" r="5715" b="12065"/>
            <wp:docPr id="8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5"/>
                    <pic:cNvPicPr>
                      <a:picLocks noChangeAspect="1"/>
                    </pic:cNvPicPr>
                  </pic:nvPicPr>
                  <pic:blipFill>
                    <a:blip r:embed="rId29"/>
                    <a:stretch>
                      <a:fillRect/>
                    </a:stretch>
                  </pic:blipFill>
                  <pic:spPr>
                    <a:xfrm>
                      <a:off x="0" y="0"/>
                      <a:ext cx="5271135" cy="2273935"/>
                    </a:xfrm>
                    <a:prstGeom prst="rect">
                      <a:avLst/>
                    </a:prstGeom>
                    <a:noFill/>
                    <a:ln>
                      <a:noFill/>
                    </a:ln>
                  </pic:spPr>
                </pic:pic>
              </a:graphicData>
            </a:graphic>
          </wp:inline>
        </w:drawing>
      </w:r>
    </w:p>
    <w:p w14:paraId="620EBB67">
      <w:pPr>
        <w:pStyle w:val="15"/>
        <w:rPr>
          <w:rFonts w:hint="default" w:eastAsia="宋体"/>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拆除起重臂臂节五及臂端节立面图</w:t>
      </w:r>
    </w:p>
    <w:p w14:paraId="0862BF6B">
      <w:pPr>
        <w:ind w:left="0" w:leftChars="0" w:firstLine="0" w:firstLineChars="0"/>
        <w:jc w:val="center"/>
      </w:pPr>
      <w:r>
        <w:drawing>
          <wp:inline distT="0" distB="0" distL="114300" distR="114300">
            <wp:extent cx="3341370" cy="2966085"/>
            <wp:effectExtent l="0" t="0" r="11430" b="5715"/>
            <wp:docPr id="8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6"/>
                    <pic:cNvPicPr>
                      <a:picLocks noChangeAspect="1"/>
                    </pic:cNvPicPr>
                  </pic:nvPicPr>
                  <pic:blipFill>
                    <a:blip r:embed="rId30"/>
                    <a:stretch>
                      <a:fillRect/>
                    </a:stretch>
                  </pic:blipFill>
                  <pic:spPr>
                    <a:xfrm>
                      <a:off x="0" y="0"/>
                      <a:ext cx="3341370" cy="2966085"/>
                    </a:xfrm>
                    <a:prstGeom prst="rect">
                      <a:avLst/>
                    </a:prstGeom>
                    <a:noFill/>
                    <a:ln>
                      <a:noFill/>
                    </a:ln>
                  </pic:spPr>
                </pic:pic>
              </a:graphicData>
            </a:graphic>
          </wp:inline>
        </w:drawing>
      </w:r>
    </w:p>
    <w:p w14:paraId="56848CA5">
      <w:pPr>
        <w:pStyle w:val="15"/>
        <w:rPr>
          <w:rFonts w:hint="eastAsia" w:eastAsia="宋体"/>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拆除起重臂臂节五及臂端节平面图</w:t>
      </w:r>
    </w:p>
    <w:p w14:paraId="52FF94A1">
      <w:pPr>
        <w:pStyle w:val="15"/>
      </w:pPr>
      <w:r>
        <w:drawing>
          <wp:inline distT="0" distB="0" distL="114300" distR="114300">
            <wp:extent cx="4936490" cy="2350770"/>
            <wp:effectExtent l="0" t="0" r="16510" b="11430"/>
            <wp:docPr id="8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7"/>
                    <pic:cNvPicPr>
                      <a:picLocks noChangeAspect="1"/>
                    </pic:cNvPicPr>
                  </pic:nvPicPr>
                  <pic:blipFill>
                    <a:blip r:embed="rId31"/>
                    <a:stretch>
                      <a:fillRect/>
                    </a:stretch>
                  </pic:blipFill>
                  <pic:spPr>
                    <a:xfrm>
                      <a:off x="0" y="0"/>
                      <a:ext cx="4936490" cy="2350770"/>
                    </a:xfrm>
                    <a:prstGeom prst="rect">
                      <a:avLst/>
                    </a:prstGeom>
                    <a:noFill/>
                    <a:ln>
                      <a:noFill/>
                    </a:ln>
                  </pic:spPr>
                </pic:pic>
              </a:graphicData>
            </a:graphic>
          </wp:inline>
        </w:drawing>
      </w:r>
    </w:p>
    <w:p w14:paraId="0F48FBCE">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拆除起重臂臂节四立面图</w:t>
      </w:r>
    </w:p>
    <w:p w14:paraId="1A47B102">
      <w:pPr>
        <w:ind w:left="0" w:leftChars="0" w:firstLine="0" w:firstLineChars="0"/>
        <w:jc w:val="center"/>
      </w:pPr>
      <w:r>
        <w:drawing>
          <wp:inline distT="0" distB="0" distL="114300" distR="114300">
            <wp:extent cx="2728595" cy="2439035"/>
            <wp:effectExtent l="0" t="0" r="14605" b="18415"/>
            <wp:docPr id="9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8"/>
                    <pic:cNvPicPr>
                      <a:picLocks noChangeAspect="1"/>
                    </pic:cNvPicPr>
                  </pic:nvPicPr>
                  <pic:blipFill>
                    <a:blip r:embed="rId32"/>
                    <a:stretch>
                      <a:fillRect/>
                    </a:stretch>
                  </pic:blipFill>
                  <pic:spPr>
                    <a:xfrm>
                      <a:off x="0" y="0"/>
                      <a:ext cx="2728595" cy="2439035"/>
                    </a:xfrm>
                    <a:prstGeom prst="rect">
                      <a:avLst/>
                    </a:prstGeom>
                    <a:noFill/>
                    <a:ln>
                      <a:noFill/>
                    </a:ln>
                  </pic:spPr>
                </pic:pic>
              </a:graphicData>
            </a:graphic>
          </wp:inline>
        </w:drawing>
      </w:r>
    </w:p>
    <w:p w14:paraId="1B4BB567">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拆除起重臂臂节四平面图</w:t>
      </w:r>
    </w:p>
    <w:p w14:paraId="4CE7DD1A">
      <w:pPr>
        <w:pStyle w:val="15"/>
      </w:pPr>
      <w:r>
        <w:drawing>
          <wp:inline distT="0" distB="0" distL="114300" distR="114300">
            <wp:extent cx="4551680" cy="1965960"/>
            <wp:effectExtent l="0" t="0" r="1270" b="15240"/>
            <wp:docPr id="9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9"/>
                    <pic:cNvPicPr>
                      <a:picLocks noChangeAspect="1"/>
                    </pic:cNvPicPr>
                  </pic:nvPicPr>
                  <pic:blipFill>
                    <a:blip r:embed="rId33"/>
                    <a:stretch>
                      <a:fillRect/>
                    </a:stretch>
                  </pic:blipFill>
                  <pic:spPr>
                    <a:xfrm>
                      <a:off x="0" y="0"/>
                      <a:ext cx="4551680" cy="1965960"/>
                    </a:xfrm>
                    <a:prstGeom prst="rect">
                      <a:avLst/>
                    </a:prstGeom>
                    <a:noFill/>
                    <a:ln>
                      <a:noFill/>
                    </a:ln>
                  </pic:spPr>
                </pic:pic>
              </a:graphicData>
            </a:graphic>
          </wp:inline>
        </w:drawing>
      </w:r>
    </w:p>
    <w:p w14:paraId="694416E1">
      <w:pPr>
        <w:pStyle w:val="15"/>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lang w:val="en-US" w:eastAsia="zh-CN"/>
        </w:rPr>
        <w:t xml:space="preserve"> 拆除起重臂臂节三立面图</w:t>
      </w:r>
    </w:p>
    <w:p w14:paraId="09F70666">
      <w:pPr>
        <w:ind w:left="0" w:leftChars="0" w:firstLine="0" w:firstLineChars="0"/>
        <w:jc w:val="center"/>
      </w:pPr>
      <w:r>
        <w:drawing>
          <wp:inline distT="0" distB="0" distL="114300" distR="114300">
            <wp:extent cx="3552190" cy="3352800"/>
            <wp:effectExtent l="0" t="0" r="10160" b="0"/>
            <wp:docPr id="9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0"/>
                    <pic:cNvPicPr>
                      <a:picLocks noChangeAspect="1"/>
                    </pic:cNvPicPr>
                  </pic:nvPicPr>
                  <pic:blipFill>
                    <a:blip r:embed="rId34"/>
                    <a:stretch>
                      <a:fillRect/>
                    </a:stretch>
                  </pic:blipFill>
                  <pic:spPr>
                    <a:xfrm>
                      <a:off x="0" y="0"/>
                      <a:ext cx="3552190" cy="3352800"/>
                    </a:xfrm>
                    <a:prstGeom prst="rect">
                      <a:avLst/>
                    </a:prstGeom>
                    <a:noFill/>
                    <a:ln>
                      <a:noFill/>
                    </a:ln>
                  </pic:spPr>
                </pic:pic>
              </a:graphicData>
            </a:graphic>
          </wp:inline>
        </w:drawing>
      </w:r>
    </w:p>
    <w:p w14:paraId="47249C17">
      <w:pPr>
        <w:pStyle w:val="15"/>
        <w:rPr>
          <w:rFonts w:hint="eastAsia"/>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rPr>
          <w:rFonts w:hint="eastAsia"/>
          <w:lang w:val="en-US" w:eastAsia="zh-CN"/>
        </w:rPr>
        <w:t xml:space="preserve"> 拆除起重臂臂节三平面图</w:t>
      </w:r>
    </w:p>
    <w:p w14:paraId="5B525AEB">
      <w:pPr>
        <w:pStyle w:val="16"/>
      </w:pPr>
      <w:r>
        <w:drawing>
          <wp:inline distT="0" distB="0" distL="114300" distR="114300">
            <wp:extent cx="4288155" cy="2360930"/>
            <wp:effectExtent l="0" t="0" r="17145" b="1270"/>
            <wp:docPr id="9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1"/>
                    <pic:cNvPicPr>
                      <a:picLocks noChangeAspect="1"/>
                    </pic:cNvPicPr>
                  </pic:nvPicPr>
                  <pic:blipFill>
                    <a:blip r:embed="rId35"/>
                    <a:stretch>
                      <a:fillRect/>
                    </a:stretch>
                  </pic:blipFill>
                  <pic:spPr>
                    <a:xfrm>
                      <a:off x="0" y="0"/>
                      <a:ext cx="4288155" cy="2360930"/>
                    </a:xfrm>
                    <a:prstGeom prst="rect">
                      <a:avLst/>
                    </a:prstGeom>
                    <a:noFill/>
                    <a:ln>
                      <a:noFill/>
                    </a:ln>
                  </pic:spPr>
                </pic:pic>
              </a:graphicData>
            </a:graphic>
          </wp:inline>
        </w:drawing>
      </w:r>
    </w:p>
    <w:p w14:paraId="4D12B488">
      <w:pPr>
        <w:pStyle w:val="15"/>
        <w:rPr>
          <w:rFonts w:hint="eastAsia"/>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7</w:t>
      </w:r>
      <w:r>
        <w:fldChar w:fldCharType="end"/>
      </w:r>
      <w:r>
        <w:rPr>
          <w:rFonts w:hint="eastAsia"/>
          <w:lang w:val="en-US" w:eastAsia="zh-CN"/>
        </w:rPr>
        <w:t xml:space="preserve"> 拆除起重臂臂节二立面图</w:t>
      </w:r>
    </w:p>
    <w:p w14:paraId="1DFC4792">
      <w:pPr>
        <w:pStyle w:val="16"/>
      </w:pPr>
      <w:r>
        <w:drawing>
          <wp:inline distT="0" distB="0" distL="114300" distR="114300">
            <wp:extent cx="4262755" cy="3854450"/>
            <wp:effectExtent l="0" t="0" r="4445" b="12700"/>
            <wp:docPr id="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2"/>
                    <pic:cNvPicPr>
                      <a:picLocks noChangeAspect="1"/>
                    </pic:cNvPicPr>
                  </pic:nvPicPr>
                  <pic:blipFill>
                    <a:blip r:embed="rId36"/>
                    <a:stretch>
                      <a:fillRect/>
                    </a:stretch>
                  </pic:blipFill>
                  <pic:spPr>
                    <a:xfrm>
                      <a:off x="0" y="0"/>
                      <a:ext cx="4262755" cy="3854450"/>
                    </a:xfrm>
                    <a:prstGeom prst="rect">
                      <a:avLst/>
                    </a:prstGeom>
                    <a:noFill/>
                    <a:ln>
                      <a:noFill/>
                    </a:ln>
                  </pic:spPr>
                </pic:pic>
              </a:graphicData>
            </a:graphic>
          </wp:inline>
        </w:drawing>
      </w:r>
    </w:p>
    <w:p w14:paraId="13CD1812">
      <w:pPr>
        <w:pStyle w:val="15"/>
        <w:rPr>
          <w:rFonts w:hint="eastAsia"/>
          <w:lang w:val="en-US" w:eastAsia="zh-CN"/>
        </w:rPr>
      </w:pPr>
      <w:r>
        <w:t xml:space="preserve">图 </w:t>
      </w:r>
      <w:r>
        <w:fldChar w:fldCharType="begin"/>
      </w:r>
      <w:r>
        <w:instrText xml:space="preserve"> STYLEREF 3 \s </w:instrText>
      </w:r>
      <w:r>
        <w:fldChar w:fldCharType="separate"/>
      </w:r>
      <w:r>
        <w:t>4.4.6</w:t>
      </w:r>
      <w:r>
        <w:fldChar w:fldCharType="end"/>
      </w:r>
      <w:r>
        <w:rPr>
          <w:rFonts w:hint="eastAsia"/>
          <w:lang w:eastAsia="zh-CN"/>
        </w:rPr>
        <w:t>-</w:t>
      </w:r>
      <w:r>
        <w:fldChar w:fldCharType="begin"/>
      </w:r>
      <w:r>
        <w:instrText xml:space="preserve"> SEQ 图 \* ARABIC \s 3 </w:instrText>
      </w:r>
      <w:r>
        <w:fldChar w:fldCharType="separate"/>
      </w:r>
      <w:r>
        <w:t>8</w:t>
      </w:r>
      <w:r>
        <w:fldChar w:fldCharType="end"/>
      </w:r>
      <w:r>
        <w:rPr>
          <w:rFonts w:hint="eastAsia"/>
          <w:lang w:val="en-US" w:eastAsia="zh-CN"/>
        </w:rPr>
        <w:t xml:space="preserve"> 拆除起重臂臂节二平面图</w:t>
      </w:r>
    </w:p>
    <w:p w14:paraId="1831A207">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拆除剩余平衡重</w:t>
      </w:r>
    </w:p>
    <w:p w14:paraId="10B4E8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拆卸剩余1块3.32t平衡重。</w:t>
      </w:r>
    </w:p>
    <w:p w14:paraId="6DA86A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XGT600-32S吊装作业半径45m，额定起重量为12.52t&gt;3.32t，满足拆卸吊装要求。</w:t>
      </w:r>
    </w:p>
    <w:p w14:paraId="2E9CA3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平衡重吊装采用两点吊，以平衡重顶部预埋的2个吊耳板作为吊装孔，采用2根16mm6×19W+IWR1870Mpa的钢丝绳配套GB/T 25854-6-DW5卸扣进行起吊。</w:t>
      </w:r>
    </w:p>
    <w:p w14:paraId="3FFF5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平衡重上方时，缓慢放松吊钩，作业人员通过平衡臂走道走行至平衡臂尾部，将安全带系挂在平衡臂横杆上，再将卸扣与平衡重吊耳通过销轴连接，打开平衡臂尾部的挡杆。吊机起升吊钩，将平衡重竖直起吊一定高度后，解除平衡重孔的销轴，吊机将平衡重沿平衡臂尾部槽口缓慢向外移出平衡臂，将平衡重下放至地面，作业人员在地面上解除卸扣与平衡重吊耳的连接。</w:t>
      </w:r>
    </w:p>
    <w:p w14:paraId="745BCA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塔式起重机平衡重拆卸时设置警戒区，起吊安排专人负责指挥，专人操作，严禁无关人员进入起重作业范围内。</w:t>
      </w:r>
    </w:p>
    <w:p w14:paraId="0C448B93">
      <w:pPr>
        <w:pStyle w:val="15"/>
      </w:pPr>
      <w:r>
        <w:drawing>
          <wp:inline distT="0" distB="0" distL="114300" distR="114300">
            <wp:extent cx="5262880" cy="2606675"/>
            <wp:effectExtent l="0" t="0" r="13970" b="3175"/>
            <wp:docPr id="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3"/>
                    <pic:cNvPicPr>
                      <a:picLocks noChangeAspect="1"/>
                    </pic:cNvPicPr>
                  </pic:nvPicPr>
                  <pic:blipFill>
                    <a:blip r:embed="rId37"/>
                    <a:stretch>
                      <a:fillRect/>
                    </a:stretch>
                  </pic:blipFill>
                  <pic:spPr>
                    <a:xfrm>
                      <a:off x="0" y="0"/>
                      <a:ext cx="5262880" cy="260667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4.4.7</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拆除平衡重立面图</w:t>
      </w:r>
    </w:p>
    <w:p w14:paraId="18C3C891">
      <w:pPr>
        <w:pStyle w:val="15"/>
      </w:pPr>
      <w:r>
        <w:drawing>
          <wp:inline distT="0" distB="0" distL="114300" distR="114300">
            <wp:extent cx="5123180" cy="4622800"/>
            <wp:effectExtent l="0" t="0" r="1270" b="6350"/>
            <wp:docPr id="10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4"/>
                    <pic:cNvPicPr>
                      <a:picLocks noChangeAspect="1"/>
                    </pic:cNvPicPr>
                  </pic:nvPicPr>
                  <pic:blipFill>
                    <a:blip r:embed="rId38"/>
                    <a:stretch>
                      <a:fillRect/>
                    </a:stretch>
                  </pic:blipFill>
                  <pic:spPr>
                    <a:xfrm>
                      <a:off x="0" y="0"/>
                      <a:ext cx="5123180" cy="4622800"/>
                    </a:xfrm>
                    <a:prstGeom prst="rect">
                      <a:avLst/>
                    </a:prstGeom>
                    <a:noFill/>
                    <a:ln>
                      <a:noFill/>
                    </a:ln>
                  </pic:spPr>
                </pic:pic>
              </a:graphicData>
            </a:graphic>
          </wp:inline>
        </w:drawing>
      </w:r>
    </w:p>
    <w:p w14:paraId="4BE0E13F">
      <w:pPr>
        <w:pStyle w:val="15"/>
        <w:rPr>
          <w:rFonts w:hint="eastAsia"/>
          <w:lang w:val="en-US" w:eastAsia="zh-CN"/>
        </w:rPr>
      </w:pPr>
      <w:r>
        <w:t xml:space="preserve">图 </w:t>
      </w:r>
      <w:r>
        <w:fldChar w:fldCharType="begin"/>
      </w:r>
      <w:r>
        <w:instrText xml:space="preserve"> STYLEREF 3 \s </w:instrText>
      </w:r>
      <w:r>
        <w:fldChar w:fldCharType="separate"/>
      </w:r>
      <w:r>
        <w:t>4.4.7</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拆除平衡重平面图</w:t>
      </w:r>
    </w:p>
    <w:p w14:paraId="622D4CCB">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拆除平衡臂</w:t>
      </w:r>
    </w:p>
    <w:p w14:paraId="1013A4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平衡臂采用整体吊装，起重量为6.17t，XGT600-32S吊装作业半径45m，额定起重量为12.52t&gt;6.17t，满足拆卸吊装要求。</w:t>
      </w:r>
    </w:p>
    <w:p w14:paraId="754DEE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平衡臂吊装采用四点吊，以平衡臂臂节顶部4个吊耳板作为吊装孔，采用4根20mm6×19W+IWR 1870Mpa的钢丝绳配套GB/T 25854-6-DW5卸扣进行起吊。</w:t>
      </w:r>
    </w:p>
    <w:p w14:paraId="49CAA3D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作业人员在地面先将钢丝绳一端挂在吊机吊钩上，另一端与卸扣连接，启动吊机，将卸扣缓慢提升至平衡臂上方，作业人员将安全带系挂在平衡臂横杆上，通过平衡臂走道走行至平衡臂臂节吊耳位置，吊机放松吊钩，作业人员将卸扣与平衡臂吊耳通过销轴连接，同时在平衡臂杆件上栓好2根溜绳。作业人员通过平衡臂走道走行至回转总成处，将安全带系挂在回转总成的横杆上，吊机稍微提起平衡臂，使吊装钢丝绳和平衡臂处于紧绷状态，解除平衡臂下弦杆与回转总成的连接销轴，吊机提升平衡臂，使平衡臂与回转总成倾斜至一定角度，拆卸平衡臂和回转总成上弦杆连接销轴。吊机起升吊钩，将平衡臂提升至一定安全高度后，再将平衡臂下放至地面，作业人员在地面上解除卸扣与平衡臂吊耳的连接。</w:t>
      </w:r>
    </w:p>
    <w:p w14:paraId="7DFD2B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塔式起重机平衡臂拆卸时设置警戒区，起吊安排专人负责指挥，专人操作，严禁无关人员进入起重作业范围内。</w:t>
      </w:r>
    </w:p>
    <w:p w14:paraId="59BB0926">
      <w:pPr>
        <w:pStyle w:val="15"/>
      </w:pPr>
      <w:r>
        <w:drawing>
          <wp:inline distT="0" distB="0" distL="114300" distR="114300">
            <wp:extent cx="5267325" cy="3063875"/>
            <wp:effectExtent l="0" t="0" r="9525" b="3175"/>
            <wp:docPr id="10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5"/>
                    <pic:cNvPicPr>
                      <a:picLocks noChangeAspect="1"/>
                    </pic:cNvPicPr>
                  </pic:nvPicPr>
                  <pic:blipFill>
                    <a:blip r:embed="rId39"/>
                    <a:stretch>
                      <a:fillRect/>
                    </a:stretch>
                  </pic:blipFill>
                  <pic:spPr>
                    <a:xfrm>
                      <a:off x="0" y="0"/>
                      <a:ext cx="5267325" cy="306387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4.4.8</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拆除平衡臂立面图</w:t>
      </w:r>
    </w:p>
    <w:p w14:paraId="24E3647B">
      <w:pPr>
        <w:ind w:left="0" w:leftChars="0" w:firstLine="0" w:firstLineChars="0"/>
        <w:jc w:val="center"/>
      </w:pPr>
      <w:r>
        <w:drawing>
          <wp:inline distT="0" distB="0" distL="114300" distR="114300">
            <wp:extent cx="4245610" cy="3856990"/>
            <wp:effectExtent l="0" t="0" r="2540" b="10160"/>
            <wp:docPr id="10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6"/>
                    <pic:cNvPicPr>
                      <a:picLocks noChangeAspect="1"/>
                    </pic:cNvPicPr>
                  </pic:nvPicPr>
                  <pic:blipFill>
                    <a:blip r:embed="rId40"/>
                    <a:stretch>
                      <a:fillRect/>
                    </a:stretch>
                  </pic:blipFill>
                  <pic:spPr>
                    <a:xfrm>
                      <a:off x="0" y="0"/>
                      <a:ext cx="4245610" cy="3856990"/>
                    </a:xfrm>
                    <a:prstGeom prst="rect">
                      <a:avLst/>
                    </a:prstGeom>
                    <a:noFill/>
                    <a:ln>
                      <a:noFill/>
                    </a:ln>
                  </pic:spPr>
                </pic:pic>
              </a:graphicData>
            </a:graphic>
          </wp:inline>
        </w:drawing>
      </w:r>
    </w:p>
    <w:p w14:paraId="622488EA">
      <w:pPr>
        <w:pStyle w:val="15"/>
      </w:pPr>
      <w:r>
        <w:t xml:space="preserve">图 </w:t>
      </w:r>
      <w:r>
        <w:fldChar w:fldCharType="begin"/>
      </w:r>
      <w:r>
        <w:instrText xml:space="preserve"> STYLEREF 3 \s </w:instrText>
      </w:r>
      <w:r>
        <w:fldChar w:fldCharType="separate"/>
      </w:r>
      <w:r>
        <w:t>4.4.8</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拆除平衡臂平面图</w:t>
      </w:r>
    </w:p>
    <w:p w14:paraId="475F4E61">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拆除起重臂臂根节</w:t>
      </w:r>
    </w:p>
    <w:p w14:paraId="2C85A7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起重臂臂根节重量为5.872t，XGT600-32S吊装作业半径45m，额定起重量为12.52t&gt;5.872t，满足拆卸吊装要求。</w:t>
      </w:r>
    </w:p>
    <w:p w14:paraId="27965E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起重臂臂根节吊装采用四点吊，以起重臂顶部吊耳板作为吊装孔，采用4根20mm6×19W+IWR1870Mpa的钢丝绳配套GB/T 25854-6-DW5卸扣进行起吊。</w:t>
      </w:r>
    </w:p>
    <w:p w14:paraId="4EA9D4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在地面先将钢丝绳一端挂在吊机吊钩上，启动吊机，将钢丝绳缓慢提升至起重臂上方时，作业人员通过爬梯爬至回转总成平台上，将安全带交替系挂在起重臂安全绳上，沿下弦杆走行至起重臂吊点位置处。吊机放松吊钩，将另一端钢丝绳与起重臂腹杆节点捆绑连接，采用卸扣固定，同时在起重臂腹杆上栓好2根溜绳。作业人员沿下弦杆走行至回转总成处，吊机轻轻将起重臂往上抬，拆卸起重臂之间的连接销轴，吊机起升吊钩，将起重臂竖直起吊一定安全高度后，再将起重臂下放至地面，稳固后吊机放松吊钩，作业人员在地面上解除钢丝绳与起重臂吊点的连接。</w:t>
      </w:r>
    </w:p>
    <w:p w14:paraId="76705C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塔式起重机起重臂拆卸时设置警戒区，起吊安排专人负责指挥，专人操作，严禁无关人员进入起重作业范围内。</w:t>
      </w:r>
    </w:p>
    <w:p w14:paraId="621D6D5C">
      <w:pPr>
        <w:pStyle w:val="15"/>
      </w:pPr>
      <w:r>
        <w:drawing>
          <wp:inline distT="0" distB="0" distL="114300" distR="114300">
            <wp:extent cx="5029835" cy="2793365"/>
            <wp:effectExtent l="0" t="0" r="18415" b="6985"/>
            <wp:docPr id="10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8"/>
                    <pic:cNvPicPr>
                      <a:picLocks noChangeAspect="1"/>
                    </pic:cNvPicPr>
                  </pic:nvPicPr>
                  <pic:blipFill>
                    <a:blip r:embed="rId41"/>
                    <a:stretch>
                      <a:fillRect/>
                    </a:stretch>
                  </pic:blipFill>
                  <pic:spPr>
                    <a:xfrm>
                      <a:off x="0" y="0"/>
                      <a:ext cx="5029835" cy="2793365"/>
                    </a:xfrm>
                    <a:prstGeom prst="rect">
                      <a:avLst/>
                    </a:prstGeom>
                    <a:noFill/>
                    <a:ln>
                      <a:noFill/>
                    </a:ln>
                  </pic:spPr>
                </pic:pic>
              </a:graphicData>
            </a:graphic>
          </wp:inline>
        </w:drawing>
      </w:r>
    </w:p>
    <w:p w14:paraId="2AB2F35C">
      <w:pPr>
        <w:pStyle w:val="15"/>
      </w:pPr>
      <w:r>
        <w:t xml:space="preserve">图 </w:t>
      </w:r>
      <w:r>
        <w:fldChar w:fldCharType="begin"/>
      </w:r>
      <w:r>
        <w:instrText xml:space="preserve"> STYLEREF 3 \s </w:instrText>
      </w:r>
      <w:r>
        <w:fldChar w:fldCharType="separate"/>
      </w:r>
      <w:r>
        <w:t>4.4.9</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拆除起重臂臂根节立面图</w:t>
      </w:r>
    </w:p>
    <w:p w14:paraId="2749E9AB">
      <w:pPr>
        <w:pStyle w:val="15"/>
      </w:pPr>
      <w:r>
        <w:drawing>
          <wp:inline distT="0" distB="0" distL="114300" distR="114300">
            <wp:extent cx="4905375" cy="4453255"/>
            <wp:effectExtent l="0" t="0" r="9525" b="4445"/>
            <wp:docPr id="1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7"/>
                    <pic:cNvPicPr>
                      <a:picLocks noChangeAspect="1"/>
                    </pic:cNvPicPr>
                  </pic:nvPicPr>
                  <pic:blipFill>
                    <a:blip r:embed="rId42"/>
                    <a:stretch>
                      <a:fillRect/>
                    </a:stretch>
                  </pic:blipFill>
                  <pic:spPr>
                    <a:xfrm>
                      <a:off x="0" y="0"/>
                      <a:ext cx="4905375" cy="4453255"/>
                    </a:xfrm>
                    <a:prstGeom prst="rect">
                      <a:avLst/>
                    </a:prstGeom>
                    <a:noFill/>
                    <a:ln>
                      <a:noFill/>
                    </a:ln>
                  </pic:spPr>
                </pic:pic>
              </a:graphicData>
            </a:graphic>
          </wp:inline>
        </w:drawing>
      </w:r>
    </w:p>
    <w:p w14:paraId="4FD2C719">
      <w:pPr>
        <w:pStyle w:val="15"/>
        <w:rPr>
          <w:rFonts w:hint="eastAsia"/>
          <w:lang w:val="en-US" w:eastAsia="zh-CN"/>
        </w:rPr>
      </w:pPr>
      <w:r>
        <w:t xml:space="preserve">图 </w:t>
      </w:r>
      <w:r>
        <w:fldChar w:fldCharType="begin"/>
      </w:r>
      <w:r>
        <w:instrText xml:space="preserve"> STYLEREF 3 \s </w:instrText>
      </w:r>
      <w:r>
        <w:fldChar w:fldCharType="separate"/>
      </w:r>
      <w:r>
        <w:t>4.4.9</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拆除起重臂臂根节平面图</w:t>
      </w:r>
    </w:p>
    <w:p w14:paraId="42F970EB">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拆除回转总成</w:t>
      </w:r>
    </w:p>
    <w:p w14:paraId="5D5A33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回转总成重量为7.675t，XGT600-32S吊装作业半径45m，额定起重量为12.52t&gt;7.675t，满足拆卸吊装要求。</w:t>
      </w:r>
    </w:p>
    <w:p w14:paraId="687E1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回转总成吊装采用四点吊，以回转总成顶部4个吊耳板作为吊装孔，采用4根20mm6×19W+IWR 1870Mpa的钢丝绳配套GB/T 25854-6-DW5卸扣进行起吊。</w:t>
      </w:r>
    </w:p>
    <w:p w14:paraId="48A7AA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回转总成上方，作业人员通过爬梯爬至回转总成顶部，将安全带系挂在回转总成顶部的横杆上，位于回转总成平台上。吊机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的连接，使回转总成与特殊节断开。吊机起升吊钩，将回转总成提升一定安全高度后，再将回转总成下放至地面，作业人员在地面上解除卸扣与回转总成的连接。</w:t>
      </w:r>
    </w:p>
    <w:p w14:paraId="634CFC8E">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宋体" w:hAnsi="宋体" w:eastAsia="宋体" w:cs="宋体"/>
          <w:color w:val="auto"/>
          <w:lang w:val="en-US" w:eastAsia="zh-CN"/>
        </w:rPr>
        <w:t>塔式起重机回转总成拆卸时设置警戒区，起吊安排专人负责指挥，专人操作，严禁无关人员进入起重作业范围内。</w:t>
      </w:r>
    </w:p>
    <w:p w14:paraId="4C92B467">
      <w:pPr>
        <w:pStyle w:val="15"/>
      </w:pPr>
      <w:r>
        <w:drawing>
          <wp:inline distT="0" distB="0" distL="114300" distR="114300">
            <wp:extent cx="5267960" cy="4243705"/>
            <wp:effectExtent l="0" t="0" r="8890" b="4445"/>
            <wp:docPr id="10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9"/>
                    <pic:cNvPicPr>
                      <a:picLocks noChangeAspect="1"/>
                    </pic:cNvPicPr>
                  </pic:nvPicPr>
                  <pic:blipFill>
                    <a:blip r:embed="rId43"/>
                    <a:stretch>
                      <a:fillRect/>
                    </a:stretch>
                  </pic:blipFill>
                  <pic:spPr>
                    <a:xfrm>
                      <a:off x="0" y="0"/>
                      <a:ext cx="5267960" cy="424370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4.4.10</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拆除回转总成立面图</w:t>
      </w:r>
    </w:p>
    <w:p w14:paraId="44CC82A5">
      <w:pPr>
        <w:pStyle w:val="15"/>
        <w:rPr>
          <w:rFonts w:hint="eastAsia"/>
          <w:lang w:val="en-US" w:eastAsia="zh-CN"/>
        </w:rPr>
      </w:pPr>
      <w:r>
        <w:drawing>
          <wp:inline distT="0" distB="0" distL="114300" distR="114300">
            <wp:extent cx="5270500" cy="4728845"/>
            <wp:effectExtent l="0" t="0" r="6350" b="14605"/>
            <wp:docPr id="10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0"/>
                    <pic:cNvPicPr>
                      <a:picLocks noChangeAspect="1"/>
                    </pic:cNvPicPr>
                  </pic:nvPicPr>
                  <pic:blipFill>
                    <a:blip r:embed="rId44"/>
                    <a:stretch>
                      <a:fillRect/>
                    </a:stretch>
                  </pic:blipFill>
                  <pic:spPr>
                    <a:xfrm>
                      <a:off x="0" y="0"/>
                      <a:ext cx="5270500" cy="472884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4.4.10</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拆除回转总成平面图</w:t>
      </w:r>
    </w:p>
    <w:p w14:paraId="546CF461">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拆除特殊节</w:t>
      </w:r>
    </w:p>
    <w:p w14:paraId="23FBA0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特殊节重量为2.62t，XGT600-32S吊装作业半径45m，额定起重量为12.52t&gt;2.62t，满足拆卸吊装要求。</w:t>
      </w:r>
    </w:p>
    <w:p w14:paraId="073634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特殊节吊装采用四点吊，以特殊节顶部4个吊耳板作为吊装孔，采用4根</w:t>
      </w:r>
      <w:r>
        <w:rPr>
          <w:rFonts w:hint="eastAsia" w:ascii="宋体" w:hAnsi="宋体" w:cs="宋体"/>
          <w:color w:val="auto"/>
          <w:lang w:val="en-US" w:eastAsia="zh-CN"/>
        </w:rPr>
        <w:t>20</w:t>
      </w:r>
      <w:r>
        <w:rPr>
          <w:rFonts w:hint="eastAsia" w:ascii="宋体" w:hAnsi="宋体" w:eastAsia="宋体" w:cs="宋体"/>
          <w:color w:val="auto"/>
          <w:lang w:val="en-US" w:eastAsia="zh-CN"/>
        </w:rPr>
        <w:t>mm6×19W+IWR 1870Mpa的钢丝绳配套GB/T 25854-6-DW</w:t>
      </w:r>
      <w:r>
        <w:rPr>
          <w:rFonts w:hint="eastAsia" w:ascii="宋体" w:hAnsi="宋体" w:cs="宋体"/>
          <w:color w:val="auto"/>
          <w:lang w:val="en-US" w:eastAsia="zh-CN"/>
        </w:rPr>
        <w:t>5</w:t>
      </w:r>
      <w:r>
        <w:rPr>
          <w:rFonts w:hint="eastAsia" w:ascii="宋体" w:hAnsi="宋体" w:eastAsia="宋体" w:cs="宋体"/>
          <w:color w:val="auto"/>
          <w:lang w:val="en-US" w:eastAsia="zh-CN"/>
        </w:rPr>
        <w:t>卸扣进行起吊。</w:t>
      </w:r>
    </w:p>
    <w:p w14:paraId="458099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在地面上先将钢丝绳一端挂在吊机吊钩上，另一端与卸扣连接，启动吊机，将卸扣缓慢提升至特殊节上方，作业人员通过爬梯爬至特殊节顶部，将安全带系挂在特殊节顶部横杆上，位于特殊节顶部平台上。吊机放松吊钩，作业人员将卸扣与特殊节顶部的4个销轴孔用销轴连接，同时在特殊节杆件上栓好2根溜绳，作业人员解除安全带，通过爬梯爬至爬升架顶部，将安全带系挂在爬升架顶部横杆上，站立在爬升架顶部的平台上，解除特殊节与爬升架之间的销轴连接，使特殊节与爬升架断开，回缩顶升油缸，将爬升架的爬升支承在塔身上，同时解除特殊节与塔身之间的销轴连接，使特殊节与塔身断开。吊机起升吊钩，将特殊节提升一定安全高度后，再将特殊节下放至地面，作业人员在地面上解除卸扣与特殊节的连接。</w:t>
      </w:r>
    </w:p>
    <w:p w14:paraId="719D14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塔式起重机特殊节拆卸时设置警戒区，起吊安排专人负责指挥，专人操作，严禁无关人员进入起重作业范围内。</w:t>
      </w:r>
    </w:p>
    <w:p w14:paraId="73699202">
      <w:pPr>
        <w:pStyle w:val="15"/>
      </w:pPr>
      <w:r>
        <w:drawing>
          <wp:inline distT="0" distB="0" distL="114300" distR="114300">
            <wp:extent cx="4660265" cy="2277745"/>
            <wp:effectExtent l="0" t="0" r="6985"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5"/>
                    <a:stretch>
                      <a:fillRect/>
                    </a:stretch>
                  </pic:blipFill>
                  <pic:spPr>
                    <a:xfrm>
                      <a:off x="0" y="0"/>
                      <a:ext cx="4660265" cy="2277745"/>
                    </a:xfrm>
                    <a:prstGeom prst="rect">
                      <a:avLst/>
                    </a:prstGeom>
                    <a:noFill/>
                    <a:ln>
                      <a:noFill/>
                    </a:ln>
                  </pic:spPr>
                </pic:pic>
              </a:graphicData>
            </a:graphic>
          </wp:inline>
        </w:drawing>
      </w:r>
    </w:p>
    <w:p w14:paraId="5ED21077">
      <w:pPr>
        <w:pStyle w:val="15"/>
      </w:pPr>
      <w:r>
        <w:t xml:space="preserve">图 </w:t>
      </w:r>
      <w:r>
        <w:fldChar w:fldCharType="begin"/>
      </w:r>
      <w:r>
        <w:instrText xml:space="preserve"> STYLEREF 3 \s </w:instrText>
      </w:r>
      <w:r>
        <w:fldChar w:fldCharType="separate"/>
      </w:r>
      <w:r>
        <w:t>4.4.11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拆除特殊节立面图</w:t>
      </w:r>
    </w:p>
    <w:p w14:paraId="5268E92B">
      <w:pPr>
        <w:pStyle w:val="15"/>
      </w:pPr>
      <w:r>
        <w:drawing>
          <wp:inline distT="0" distB="0" distL="114300" distR="114300">
            <wp:extent cx="4642485" cy="4165600"/>
            <wp:effectExtent l="0" t="0" r="5715" b="6350"/>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0"/>
                    <pic:cNvPicPr>
                      <a:picLocks noChangeAspect="1"/>
                    </pic:cNvPicPr>
                  </pic:nvPicPr>
                  <pic:blipFill>
                    <a:blip r:embed="rId44"/>
                    <a:stretch>
                      <a:fillRect/>
                    </a:stretch>
                  </pic:blipFill>
                  <pic:spPr>
                    <a:xfrm>
                      <a:off x="0" y="0"/>
                      <a:ext cx="4642485" cy="4165600"/>
                    </a:xfrm>
                    <a:prstGeom prst="rect">
                      <a:avLst/>
                    </a:prstGeom>
                    <a:noFill/>
                    <a:ln>
                      <a:noFill/>
                    </a:ln>
                  </pic:spPr>
                </pic:pic>
              </a:graphicData>
            </a:graphic>
          </wp:inline>
        </w:drawing>
      </w:r>
    </w:p>
    <w:p w14:paraId="3A023E6B">
      <w:pPr>
        <w:pStyle w:val="15"/>
        <w:rPr>
          <w:rFonts w:hint="eastAsia"/>
          <w:lang w:val="en-US" w:eastAsia="zh-CN"/>
        </w:rPr>
      </w:pPr>
      <w:r>
        <w:t xml:space="preserve">图 </w:t>
      </w:r>
      <w:r>
        <w:fldChar w:fldCharType="begin"/>
      </w:r>
      <w:r>
        <w:instrText xml:space="preserve"> STYLEREF 3 \s </w:instrText>
      </w:r>
      <w:r>
        <w:fldChar w:fldCharType="separate"/>
      </w:r>
      <w:r>
        <w:t>4.4.11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拆除特殊节平面图</w:t>
      </w:r>
    </w:p>
    <w:p w14:paraId="1FB8503D">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拆除爬升架</w:t>
      </w:r>
    </w:p>
    <w:p w14:paraId="5590A0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爬升架吊重为5.</w:t>
      </w:r>
      <w:r>
        <w:rPr>
          <w:rFonts w:hint="eastAsia" w:ascii="宋体" w:hAnsi="宋体" w:cs="宋体"/>
          <w:color w:val="auto"/>
          <w:lang w:val="en-US" w:eastAsia="zh-CN"/>
        </w:rPr>
        <w:t>642</w:t>
      </w:r>
      <w:r>
        <w:rPr>
          <w:rFonts w:hint="eastAsia" w:ascii="宋体" w:hAnsi="宋体" w:eastAsia="宋体" w:cs="宋体"/>
          <w:color w:val="auto"/>
          <w:lang w:val="en-US" w:eastAsia="zh-CN"/>
        </w:rPr>
        <w:t>t，XGT600-32S吊装作业半径45m，额定起重量为12.52t&gt;5.</w:t>
      </w:r>
      <w:r>
        <w:rPr>
          <w:rFonts w:hint="eastAsia" w:ascii="宋体" w:hAnsi="宋体" w:cs="宋体"/>
          <w:color w:val="auto"/>
          <w:lang w:val="en-US" w:eastAsia="zh-CN"/>
        </w:rPr>
        <w:t>642</w:t>
      </w:r>
      <w:r>
        <w:rPr>
          <w:rFonts w:hint="eastAsia" w:ascii="宋体" w:hAnsi="宋体" w:eastAsia="宋体" w:cs="宋体"/>
          <w:color w:val="auto"/>
          <w:lang w:val="en-US" w:eastAsia="zh-CN"/>
        </w:rPr>
        <w:t>t，满足拆卸吊装要求。</w:t>
      </w:r>
    </w:p>
    <w:p w14:paraId="7E00FD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爬升架吊装采用四点吊，以爬升架顶部4个吊耳板作为吊装孔，采用4根</w:t>
      </w:r>
      <w:r>
        <w:rPr>
          <w:rFonts w:hint="eastAsia" w:ascii="宋体" w:hAnsi="宋体" w:cs="宋体"/>
          <w:color w:val="auto"/>
          <w:lang w:val="en-US" w:eastAsia="zh-CN"/>
        </w:rPr>
        <w:t>20</w:t>
      </w:r>
      <w:r>
        <w:rPr>
          <w:rFonts w:hint="eastAsia" w:ascii="宋体" w:hAnsi="宋体" w:eastAsia="宋体" w:cs="宋体"/>
          <w:color w:val="auto"/>
          <w:lang w:val="en-US" w:eastAsia="zh-CN"/>
        </w:rPr>
        <w:t>mm6×19W+IWR 1870Mpa的钢丝绳配套GB/T 25854-6-DW</w:t>
      </w:r>
      <w:r>
        <w:rPr>
          <w:rFonts w:hint="eastAsia" w:ascii="宋体" w:hAnsi="宋体" w:cs="宋体"/>
          <w:color w:val="auto"/>
          <w:lang w:val="en-US" w:eastAsia="zh-CN"/>
        </w:rPr>
        <w:t>5</w:t>
      </w:r>
      <w:r>
        <w:rPr>
          <w:rFonts w:hint="eastAsia" w:ascii="宋体" w:hAnsi="宋体" w:eastAsia="宋体" w:cs="宋体"/>
          <w:color w:val="auto"/>
          <w:lang w:val="en-US" w:eastAsia="zh-CN"/>
        </w:rPr>
        <w:t>卸扣进行起吊。</w:t>
      </w:r>
    </w:p>
    <w:p w14:paraId="070909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爬升架上方，作业人员通过爬梯爬至爬升架顶部，将安全带系挂在爬升架顶部平台的栏杆上，位于爬升架顶部的平台上。吊机放松吊钩，作业人员将卸扣与爬升架连接，同时在爬升架杆件上栓好2根溜绳，作业人员解除安全带，作业人员通过爬梯爬至标准节对应的爬升架爬爪处，将安全带系挂在标准节横杆上，解除爬升架与标准节之间的约束。吊机起升吊钩，将爬升架提升一定安全高度后，再将爬升架下放至地面，作业人员在地面上解除卸扣与爬升架的连接。</w:t>
      </w:r>
    </w:p>
    <w:p w14:paraId="0386AE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塔式起重机爬升架拆卸时设置警戒区，起吊安排专人负责指挥，专人操作，严禁无关人员进入起重作业范围内。</w:t>
      </w:r>
    </w:p>
    <w:p w14:paraId="50D247C6">
      <w:pPr>
        <w:pStyle w:val="15"/>
      </w:pPr>
      <w:r>
        <w:drawing>
          <wp:inline distT="0" distB="0" distL="114300" distR="114300">
            <wp:extent cx="5273040" cy="3418205"/>
            <wp:effectExtent l="0" t="0" r="381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6"/>
                    <a:stretch>
                      <a:fillRect/>
                    </a:stretch>
                  </pic:blipFill>
                  <pic:spPr>
                    <a:xfrm>
                      <a:off x="0" y="0"/>
                      <a:ext cx="5273040" cy="341820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拆除爬升架立面图</w:t>
      </w:r>
    </w:p>
    <w:p w14:paraId="04543300">
      <w:pPr>
        <w:pStyle w:val="15"/>
        <w:rPr>
          <w:rFonts w:hint="eastAsia"/>
          <w:lang w:val="en-US" w:eastAsia="zh-CN"/>
        </w:rPr>
      </w:pPr>
      <w:r>
        <w:drawing>
          <wp:inline distT="0" distB="0" distL="114300" distR="114300">
            <wp:extent cx="5270500" cy="4728845"/>
            <wp:effectExtent l="0" t="0" r="6350" b="14605"/>
            <wp:docPr id="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0"/>
                    <pic:cNvPicPr>
                      <a:picLocks noChangeAspect="1"/>
                    </pic:cNvPicPr>
                  </pic:nvPicPr>
                  <pic:blipFill>
                    <a:blip r:embed="rId44"/>
                    <a:stretch>
                      <a:fillRect/>
                    </a:stretch>
                  </pic:blipFill>
                  <pic:spPr>
                    <a:xfrm>
                      <a:off x="0" y="0"/>
                      <a:ext cx="5270500" cy="472884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拆除爬升架平面图</w:t>
      </w:r>
    </w:p>
    <w:p w14:paraId="28E4CB1A">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拆除标准节</w:t>
      </w:r>
    </w:p>
    <w:p w14:paraId="7B1463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标准节吊重为1.8</w:t>
      </w:r>
      <w:r>
        <w:rPr>
          <w:rFonts w:hint="eastAsia" w:ascii="宋体" w:hAnsi="宋体" w:cs="宋体"/>
          <w:color w:val="auto"/>
          <w:lang w:val="en-US" w:eastAsia="zh-CN"/>
        </w:rPr>
        <w:t>46</w:t>
      </w:r>
      <w:r>
        <w:rPr>
          <w:rFonts w:hint="eastAsia" w:ascii="宋体" w:hAnsi="宋体" w:eastAsia="宋体" w:cs="宋体"/>
          <w:color w:val="auto"/>
          <w:lang w:val="en-US" w:eastAsia="zh-CN"/>
        </w:rPr>
        <w:t>t，XGT600-32S吊装作业半径45m，额定起重量为12.52t&gt;1.8</w:t>
      </w:r>
      <w:r>
        <w:rPr>
          <w:rFonts w:hint="eastAsia" w:ascii="宋体" w:hAnsi="宋体" w:cs="宋体"/>
          <w:color w:val="auto"/>
          <w:lang w:val="en-US" w:eastAsia="zh-CN"/>
        </w:rPr>
        <w:t>46</w:t>
      </w:r>
      <w:r>
        <w:rPr>
          <w:rFonts w:hint="eastAsia" w:ascii="宋体" w:hAnsi="宋体" w:eastAsia="宋体" w:cs="宋体"/>
          <w:color w:val="auto"/>
          <w:lang w:val="en-US" w:eastAsia="zh-CN"/>
        </w:rPr>
        <w:t>t，满足拆卸吊装要求。</w:t>
      </w:r>
    </w:p>
    <w:p w14:paraId="3CF90B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标准节吊装采用四点吊，以标准节顶部4个吊耳板作为吊装孔，采用4根</w:t>
      </w:r>
      <w:r>
        <w:rPr>
          <w:rFonts w:hint="eastAsia" w:ascii="宋体" w:hAnsi="宋体" w:cs="宋体"/>
          <w:color w:val="auto"/>
          <w:lang w:val="en-US" w:eastAsia="zh-CN"/>
        </w:rPr>
        <w:t>20</w:t>
      </w:r>
      <w:r>
        <w:rPr>
          <w:rFonts w:hint="eastAsia" w:ascii="宋体" w:hAnsi="宋体" w:eastAsia="宋体" w:cs="宋体"/>
          <w:color w:val="auto"/>
          <w:lang w:val="en-US" w:eastAsia="zh-CN"/>
        </w:rPr>
        <w:t>mm6×19W+IWR 1870Mpa的钢丝绳配套GB/T 25854-6-DW</w:t>
      </w:r>
      <w:r>
        <w:rPr>
          <w:rFonts w:hint="eastAsia" w:ascii="宋体" w:hAnsi="宋体" w:cs="宋体"/>
          <w:color w:val="auto"/>
          <w:lang w:val="en-US" w:eastAsia="zh-CN"/>
        </w:rPr>
        <w:t>5</w:t>
      </w:r>
      <w:r>
        <w:rPr>
          <w:rFonts w:hint="eastAsia" w:ascii="宋体" w:hAnsi="宋体" w:eastAsia="宋体" w:cs="宋体"/>
          <w:color w:val="auto"/>
          <w:lang w:val="en-US" w:eastAsia="zh-CN"/>
        </w:rPr>
        <w:t>卸扣进行起吊。</w:t>
      </w:r>
    </w:p>
    <w:p w14:paraId="393B7B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作业人员先将钢丝绳一端挂在吊机吊钩上，另一端与卸扣连接，启动吊机，将卸扣缓慢提升至标准节上方，作业人员通过爬梯爬至标准节顶部，将安全带系挂在标准节顶部。吊机放松吊钩，作业人员将卸扣与标准节连接，同时在标准节杆件上栓好2根溜绳，作业人员解除安全带，通过爬梯爬至下一节标准节对应的爬升架爬爪处，将安全带系挂在标准节横杆上，解除标准节与标准节之间的约束。吊机起升吊钩，将标准节提升一定安全高度后，再将标准节下放至地面，作业人员在地面上解除卸扣与标准节的连接。</w:t>
      </w:r>
    </w:p>
    <w:p w14:paraId="5C36BF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塔式起重机塔身拆卸时设置警戒区，起吊安排专人负责指挥，专人操作，严禁无关人员进入起重作业范围内。</w:t>
      </w:r>
    </w:p>
    <w:p w14:paraId="6D7E3338">
      <w:pPr>
        <w:pStyle w:val="15"/>
      </w:pPr>
      <w:r>
        <w:drawing>
          <wp:inline distT="0" distB="0" distL="114300" distR="114300">
            <wp:extent cx="5267325" cy="2874010"/>
            <wp:effectExtent l="0" t="0" r="952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7"/>
                    <a:stretch>
                      <a:fillRect/>
                    </a:stretch>
                  </pic:blipFill>
                  <pic:spPr>
                    <a:xfrm>
                      <a:off x="0" y="0"/>
                      <a:ext cx="5267325" cy="2874010"/>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拆除标准节立面图</w:t>
      </w:r>
    </w:p>
    <w:p w14:paraId="552C7C62">
      <w:pPr>
        <w:ind w:left="0" w:leftChars="0" w:firstLine="0" w:firstLineChars="0"/>
        <w:jc w:val="center"/>
      </w:pPr>
      <w:r>
        <w:drawing>
          <wp:inline distT="0" distB="0" distL="114300" distR="114300">
            <wp:extent cx="5270500" cy="4728845"/>
            <wp:effectExtent l="0" t="0" r="6350" b="14605"/>
            <wp:docPr id="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0"/>
                    <pic:cNvPicPr>
                      <a:picLocks noChangeAspect="1"/>
                    </pic:cNvPicPr>
                  </pic:nvPicPr>
                  <pic:blipFill>
                    <a:blip r:embed="rId44"/>
                    <a:stretch>
                      <a:fillRect/>
                    </a:stretch>
                  </pic:blipFill>
                  <pic:spPr>
                    <a:xfrm>
                      <a:off x="0" y="0"/>
                      <a:ext cx="5270500" cy="4728845"/>
                    </a:xfrm>
                    <a:prstGeom prst="rect">
                      <a:avLst/>
                    </a:prstGeom>
                    <a:noFill/>
                    <a:ln>
                      <a:noFill/>
                    </a:ln>
                  </pic:spPr>
                </pic:pic>
              </a:graphicData>
            </a:graphic>
          </wp:inline>
        </w:drawing>
      </w:r>
    </w:p>
    <w:p w14:paraId="32434AFB">
      <w:pPr>
        <w:pStyle w:val="15"/>
        <w:rPr>
          <w:rFonts w:hint="eastAsia"/>
          <w:lang w:val="en-US" w:eastAsia="zh-CN"/>
        </w:rPr>
      </w:pPr>
      <w:r>
        <w:t xml:space="preserve">图 </w:t>
      </w:r>
      <w:r>
        <w:fldChar w:fldCharType="begin"/>
      </w:r>
      <w:r>
        <w:instrText xml:space="preserve"> STYLEREF 3 \s </w:instrText>
      </w:r>
      <w:r>
        <w:fldChar w:fldCharType="separate"/>
      </w:r>
      <w:r>
        <w:t>4.4.13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拆除标准节平面图</w:t>
      </w:r>
    </w:p>
    <w:p w14:paraId="22D093D3">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拆除附着</w:t>
      </w:r>
    </w:p>
    <w:p w14:paraId="6DE7A0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1）作业人员先上到建筑物侧附着拆除位置对应的操作平台，将安全带在上方横杆上系挂牢固。</w:t>
      </w:r>
    </w:p>
    <w:p w14:paraId="4FA4A7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2）作业人员从塔机底层，通过爬梯上到塔机下方悬挂平台上，将安全带系挂在上方可靠位置。</w:t>
      </w:r>
    </w:p>
    <w:p w14:paraId="40CA6E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3）附着杆件采用两点吊，以附着杆件上2个固定吊耳孔为吊装孔，采用2根16mm6×19W+IWR 1870Mpa的钢丝绳配套GB/T 25854-6-DW5卸扣进行吊装，同时附着杆两端栓上溜绳。</w:t>
      </w:r>
    </w:p>
    <w:p w14:paraId="3BC58C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4）作业人员将吊装钢丝绳一端的卸扣与吊装孔连接，两侧的作业人员将连接附着杆件的销轴分别抽出，操作人员可牵引溜绳，使杆件端部划出耳座，启动吊机吊钩，将附着杆件缓慢起吊下放至地面指定位置。</w:t>
      </w:r>
    </w:p>
    <w:p w14:paraId="228DAC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5）重复以上步骤，拆除4根附着杆件。</w:t>
      </w:r>
    </w:p>
    <w:p w14:paraId="08CEEE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6）附着横梁采用两点吊装，以横梁上两个吊耳为吊装孔，采用2根16mm6×19W+IWR 1870Mpa的钢丝绳配套GB/T 25854-6-DW5卸扣进行吊装。同时横梁两端拴上溜绳，作业人员将吊装钢丝绳一端的卸扣与吊装孔连接，建筑物侧人员拆除横梁与立柱的固定销轴，启动吊机吊钩，同时塔机侧操作人员可牵引溜绳调整横梁姿态，然后将横梁缓慢吊起放置地面指定位置。</w:t>
      </w:r>
    </w:p>
    <w:p w14:paraId="191E8D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拆除完成后作业人员通过塔身内爬梯下到地面。</w:t>
      </w:r>
    </w:p>
    <w:p w14:paraId="2EF61E98">
      <w:pPr>
        <w:pStyle w:val="15"/>
      </w:pPr>
      <w:r>
        <w:drawing>
          <wp:inline distT="0" distB="0" distL="114300" distR="114300">
            <wp:extent cx="5260340" cy="2193925"/>
            <wp:effectExtent l="0" t="0" r="16510" b="158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8"/>
                    <a:stretch>
                      <a:fillRect/>
                    </a:stretch>
                  </pic:blipFill>
                  <pic:spPr>
                    <a:xfrm>
                      <a:off x="0" y="0"/>
                      <a:ext cx="5260340" cy="219392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拆除附着立面图</w:t>
      </w:r>
    </w:p>
    <w:p w14:paraId="62640D9A">
      <w:pPr>
        <w:pStyle w:val="15"/>
      </w:pPr>
      <w:r>
        <w:drawing>
          <wp:inline distT="0" distB="0" distL="114300" distR="114300">
            <wp:extent cx="4448175" cy="4167505"/>
            <wp:effectExtent l="0" t="0" r="9525" b="44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9"/>
                    <a:stretch>
                      <a:fillRect/>
                    </a:stretch>
                  </pic:blipFill>
                  <pic:spPr>
                    <a:xfrm>
                      <a:off x="0" y="0"/>
                      <a:ext cx="4448175" cy="4167505"/>
                    </a:xfrm>
                    <a:prstGeom prst="rect">
                      <a:avLst/>
                    </a:prstGeom>
                    <a:noFill/>
                    <a:ln>
                      <a:noFill/>
                    </a:ln>
                  </pic:spPr>
                </pic:pic>
              </a:graphicData>
            </a:graphic>
          </wp:inline>
        </w:drawing>
      </w:r>
    </w:p>
    <w:p w14:paraId="63164DFC">
      <w:pPr>
        <w:pStyle w:val="15"/>
        <w:rPr>
          <w:rFonts w:hint="eastAsia"/>
          <w:lang w:val="en-US" w:eastAsia="zh-CN"/>
        </w:rPr>
      </w:pPr>
      <w:r>
        <w:t xml:space="preserve">图 </w:t>
      </w:r>
      <w:r>
        <w:fldChar w:fldCharType="begin"/>
      </w:r>
      <w:r>
        <w:instrText xml:space="preserve"> STYLEREF 3 \s </w:instrText>
      </w:r>
      <w:r>
        <w:fldChar w:fldCharType="separate"/>
      </w:r>
      <w:r>
        <w:t>4.4.14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拆除附着平面图</w:t>
      </w:r>
    </w:p>
    <w:p w14:paraId="16B5FCB5">
      <w:pPr>
        <w:pStyle w:val="4"/>
        <w:bidi w:val="0"/>
        <w:ind w:left="720" w:leftChars="0" w:hanging="720"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拆除基础节</w:t>
      </w:r>
    </w:p>
    <w:p w14:paraId="018CA8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两节基础节分节吊装，其中最重吊重为</w:t>
      </w:r>
      <w:r>
        <w:rPr>
          <w:rFonts w:hint="eastAsia" w:ascii="宋体" w:hAnsi="宋体" w:cs="宋体"/>
          <w:color w:val="auto"/>
          <w:lang w:val="en-US" w:eastAsia="zh-CN"/>
        </w:rPr>
        <w:t>5.06</w:t>
      </w:r>
      <w:r>
        <w:rPr>
          <w:rFonts w:hint="eastAsia" w:ascii="宋体" w:hAnsi="宋体" w:eastAsia="宋体" w:cs="宋体"/>
          <w:color w:val="auto"/>
          <w:lang w:val="en-US" w:eastAsia="zh-CN"/>
        </w:rPr>
        <w:t>t，XGT600-32S吊装作业半径45m，额定起重量为12.52t&gt;</w:t>
      </w:r>
      <w:r>
        <w:rPr>
          <w:rFonts w:hint="eastAsia" w:ascii="宋体" w:hAnsi="宋体" w:cs="宋体"/>
          <w:color w:val="auto"/>
          <w:lang w:val="en-US" w:eastAsia="zh-CN"/>
        </w:rPr>
        <w:t>5.06</w:t>
      </w:r>
      <w:r>
        <w:rPr>
          <w:rFonts w:hint="eastAsia" w:ascii="宋体" w:hAnsi="宋体" w:eastAsia="宋体" w:cs="宋体"/>
          <w:color w:val="auto"/>
          <w:lang w:val="en-US" w:eastAsia="zh-CN"/>
        </w:rPr>
        <w:t>t，满足拆卸吊装要求。</w:t>
      </w:r>
    </w:p>
    <w:p w14:paraId="0BF061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基础节吊装采用四点吊，以基础节顶部4个吊耳板作为吊装孔，采用4根</w:t>
      </w:r>
      <w:r>
        <w:rPr>
          <w:rFonts w:hint="eastAsia" w:ascii="宋体" w:hAnsi="宋体" w:cs="宋体"/>
          <w:color w:val="auto"/>
          <w:lang w:val="en-US" w:eastAsia="zh-CN"/>
        </w:rPr>
        <w:t>20</w:t>
      </w:r>
      <w:r>
        <w:rPr>
          <w:rFonts w:hint="eastAsia" w:ascii="宋体" w:hAnsi="宋体" w:eastAsia="宋体" w:cs="宋体"/>
          <w:color w:val="auto"/>
          <w:lang w:val="en-US" w:eastAsia="zh-CN"/>
        </w:rPr>
        <w:t>mm6×19W+IWR 1870Mpa的钢丝绳配套GB/T 25854-6-DW</w:t>
      </w:r>
      <w:r>
        <w:rPr>
          <w:rFonts w:hint="eastAsia" w:ascii="宋体" w:hAnsi="宋体" w:cs="宋体"/>
          <w:color w:val="auto"/>
          <w:lang w:val="en-US" w:eastAsia="zh-CN"/>
        </w:rPr>
        <w:t>5</w:t>
      </w:r>
      <w:r>
        <w:rPr>
          <w:rFonts w:hint="eastAsia" w:ascii="宋体" w:hAnsi="宋体" w:eastAsia="宋体" w:cs="宋体"/>
          <w:color w:val="auto"/>
          <w:lang w:val="en-US" w:eastAsia="zh-CN"/>
        </w:rPr>
        <w:t>卸扣进行起吊。</w:t>
      </w:r>
    </w:p>
    <w:p w14:paraId="429A531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default" w:ascii="宋体" w:hAnsi="宋体" w:eastAsia="宋体" w:cs="宋体"/>
          <w:color w:val="auto"/>
          <w:lang w:val="en-US" w:eastAsia="zh-CN"/>
        </w:rPr>
        <w:t>作业人员在地面上先将钢丝绳一端挂在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吊钩上，另一端与卸扣连接，启动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，将卸扣缓慢提升至</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上方，作业人员通过爬梯爬至</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顶部，将安全带系挂在</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顶部。</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放松吊钩，作业人员将卸扣与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连接，同时在</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杆件上栓好2根溜绳，作业人员解除安全带，</w:t>
      </w:r>
      <w:r>
        <w:rPr>
          <w:rFonts w:hint="eastAsia" w:ascii="宋体" w:hAnsi="宋体" w:eastAsia="宋体" w:cs="宋体"/>
          <w:color w:val="auto"/>
          <w:lang w:val="en-US" w:eastAsia="zh-CN"/>
        </w:rPr>
        <w:t>返回地面。</w:t>
      </w:r>
      <w:r>
        <w:rPr>
          <w:rFonts w:hint="default" w:ascii="宋体" w:hAnsi="宋体" w:eastAsia="宋体" w:cs="宋体"/>
          <w:color w:val="auto"/>
          <w:lang w:val="en-US" w:eastAsia="zh-CN"/>
        </w:rPr>
        <w:t>解除</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之间的约束。</w:t>
      </w:r>
      <w:r>
        <w:rPr>
          <w:rFonts w:hint="eastAsia" w:ascii="宋体" w:hAnsi="宋体" w:eastAsia="宋体" w:cs="宋体"/>
          <w:color w:val="auto"/>
          <w:lang w:val="en-US" w:eastAsia="zh-CN"/>
        </w:rPr>
        <w:t>吊机</w:t>
      </w:r>
      <w:r>
        <w:rPr>
          <w:rFonts w:hint="default" w:ascii="宋体" w:hAnsi="宋体" w:eastAsia="宋体" w:cs="宋体"/>
          <w:color w:val="auto"/>
          <w:lang w:val="en-US" w:eastAsia="zh-CN"/>
        </w:rPr>
        <w:t>起升吊钩，将</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提升一定安全高度后，再将</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下放至地面，作业人员在地面上解除卸扣与</w:t>
      </w:r>
      <w:r>
        <w:rPr>
          <w:rFonts w:hint="eastAsia" w:ascii="宋体" w:hAnsi="宋体" w:eastAsia="宋体" w:cs="宋体"/>
          <w:color w:val="auto"/>
          <w:lang w:val="en-US" w:eastAsia="zh-CN"/>
        </w:rPr>
        <w:t>基础节</w:t>
      </w:r>
      <w:r>
        <w:rPr>
          <w:rFonts w:hint="default" w:ascii="宋体" w:hAnsi="宋体" w:eastAsia="宋体" w:cs="宋体"/>
          <w:color w:val="auto"/>
          <w:lang w:val="en-US" w:eastAsia="zh-CN"/>
        </w:rPr>
        <w:t>的连接。</w:t>
      </w:r>
    </w:p>
    <w:p w14:paraId="678F8A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按相同方法拆除基础节</w:t>
      </w: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ROMAN \* MERGEFORMAT </w:instrText>
      </w:r>
      <w:r>
        <w:rPr>
          <w:rFonts w:hint="eastAsia" w:ascii="宋体" w:hAnsi="宋体" w:eastAsia="宋体" w:cs="宋体"/>
          <w:color w:val="auto"/>
          <w:lang w:val="en-US" w:eastAsia="zh-CN"/>
        </w:rPr>
        <w:fldChar w:fldCharType="separate"/>
      </w:r>
      <w:r>
        <w:t>I</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w:t>
      </w:r>
    </w:p>
    <w:p w14:paraId="19EC5F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塔式起重机基础节拆除时设置警戒区，起吊安排专人负责指挥，专人操作，严禁无关人员进入起重作业范围内。</w:t>
      </w:r>
    </w:p>
    <w:p w14:paraId="191E749B">
      <w:pPr>
        <w:pStyle w:val="15"/>
      </w:pPr>
      <w:r>
        <w:drawing>
          <wp:inline distT="0" distB="0" distL="114300" distR="114300">
            <wp:extent cx="5272405" cy="2828925"/>
            <wp:effectExtent l="0" t="0" r="4445"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50"/>
                    <a:stretch>
                      <a:fillRect/>
                    </a:stretch>
                  </pic:blipFill>
                  <pic:spPr>
                    <a:xfrm>
                      <a:off x="0" y="0"/>
                      <a:ext cx="5272405" cy="282892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4.4.15</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拆除基础节立面图</w:t>
      </w:r>
    </w:p>
    <w:p w14:paraId="246920A6">
      <w:pPr>
        <w:pStyle w:val="15"/>
        <w:rPr>
          <w:rFonts w:hint="eastAsia"/>
          <w:lang w:val="en-US" w:eastAsia="zh-CN"/>
        </w:rPr>
      </w:pPr>
      <w:r>
        <w:drawing>
          <wp:inline distT="0" distB="0" distL="114300" distR="114300">
            <wp:extent cx="5270500" cy="4728845"/>
            <wp:effectExtent l="0" t="0" r="6350" b="14605"/>
            <wp:docPr id="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0"/>
                    <pic:cNvPicPr>
                      <a:picLocks noChangeAspect="1"/>
                    </pic:cNvPicPr>
                  </pic:nvPicPr>
                  <pic:blipFill>
                    <a:blip r:embed="rId44"/>
                    <a:stretch>
                      <a:fillRect/>
                    </a:stretch>
                  </pic:blipFill>
                  <pic:spPr>
                    <a:xfrm>
                      <a:off x="0" y="0"/>
                      <a:ext cx="5270500" cy="4728845"/>
                    </a:xfrm>
                    <a:prstGeom prst="rect">
                      <a:avLst/>
                    </a:prstGeom>
                    <a:noFill/>
                    <a:ln>
                      <a:noFill/>
                    </a:ln>
                  </pic:spPr>
                </pic:pic>
              </a:graphicData>
            </a:graphic>
          </wp:inline>
        </w:drawing>
      </w:r>
      <w:r>
        <w:t xml:space="preserve">图 </w:t>
      </w:r>
      <w:r>
        <w:fldChar w:fldCharType="begin"/>
      </w:r>
      <w:r>
        <w:instrText xml:space="preserve"> STYLEREF 3 \s </w:instrText>
      </w:r>
      <w:r>
        <w:fldChar w:fldCharType="separate"/>
      </w:r>
      <w:r>
        <w:t>4.4.15</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拆除基础节平面图</w:t>
      </w:r>
    </w:p>
    <w:bookmarkEnd w:id="76"/>
    <w:bookmarkEnd w:id="77"/>
    <w:bookmarkEnd w:id="78"/>
    <w:bookmarkEnd w:id="79"/>
    <w:bookmarkEnd w:id="80"/>
    <w:p w14:paraId="72EEBA28">
      <w:pPr>
        <w:pStyle w:val="2"/>
        <w:bidi w:val="0"/>
        <w:ind w:left="432" w:leftChars="0" w:hanging="432" w:firstLineChars="0"/>
        <w:rPr>
          <w:rFonts w:hint="eastAsia"/>
        </w:rPr>
      </w:pPr>
      <w:bookmarkStart w:id="81" w:name="_Toc7186"/>
      <w:bookmarkStart w:id="82" w:name="_Toc16614"/>
      <w:bookmarkStart w:id="83" w:name="_Toc21918"/>
      <w:r>
        <w:rPr>
          <w:rFonts w:hint="eastAsia"/>
        </w:rPr>
        <w:t>质量控制措施</w:t>
      </w:r>
      <w:bookmarkEnd w:id="81"/>
      <w:bookmarkEnd w:id="82"/>
      <w:bookmarkEnd w:id="83"/>
    </w:p>
    <w:p w14:paraId="6771BDBD">
      <w:pPr>
        <w:pStyle w:val="3"/>
        <w:bidi w:val="0"/>
        <w:ind w:left="575" w:leftChars="0" w:hanging="575" w:firstLineChars="0"/>
        <w:rPr>
          <w:b/>
          <w:bCs w:val="0"/>
          <w:sz w:val="28"/>
          <w:szCs w:val="28"/>
          <w:lang w:val="en-US" w:eastAsia="zh-CN"/>
        </w:rPr>
      </w:pPr>
      <w:bookmarkStart w:id="84" w:name="_Toc29969"/>
      <w:bookmarkStart w:id="85" w:name="_Toc7345"/>
      <w:bookmarkStart w:id="86" w:name="_Toc25993"/>
      <w:bookmarkStart w:id="87" w:name="_Toc14100"/>
      <w:bookmarkStart w:id="88" w:name="_Toc18986"/>
      <w:bookmarkStart w:id="89" w:name="_Toc3450"/>
      <w:bookmarkStart w:id="90" w:name="_Toc122514833"/>
      <w:r>
        <w:rPr>
          <w:b/>
          <w:bCs w:val="0"/>
          <w:sz w:val="28"/>
          <w:szCs w:val="28"/>
          <w:lang w:val="en-US" w:eastAsia="zh-CN"/>
        </w:rPr>
        <w:t>质量管理组织机构</w:t>
      </w:r>
      <w:bookmarkEnd w:id="84"/>
      <w:bookmarkEnd w:id="85"/>
      <w:bookmarkEnd w:id="86"/>
      <w:bookmarkEnd w:id="87"/>
      <w:bookmarkEnd w:id="88"/>
      <w:bookmarkEnd w:id="89"/>
      <w:bookmarkEnd w:id="90"/>
    </w:p>
    <w:p w14:paraId="42897D74">
      <w:pPr>
        <w:pStyle w:val="12"/>
        <w:ind w:firstLine="480"/>
        <w:rPr>
          <w:rFonts w:hint="eastAsia"/>
          <w:lang w:val="en-US" w:eastAsia="zh-CN"/>
        </w:rPr>
      </w:pPr>
      <w:bookmarkStart w:id="91" w:name="_Toc33269587"/>
      <w:bookmarkStart w:id="92" w:name="_Toc17352"/>
      <w:bookmarkStart w:id="93" w:name="_Toc1444"/>
      <w:bookmarkStart w:id="94" w:name="_Toc0"/>
      <w:r>
        <w:rPr>
          <w:rFonts w:hint="eastAsia"/>
          <w:lang w:val="en-US" w:eastAsia="zh-CN"/>
        </w:rPr>
        <w:t>根据本施工工程成立质量管理组织机构，其人员组成、工作职责详见表5.1-1。</w:t>
      </w:r>
    </w:p>
    <w:p w14:paraId="48872E75">
      <w:pPr>
        <w:pStyle w:val="15"/>
        <w:bidi w:val="0"/>
        <w:rPr>
          <w:rFonts w:hint="default" w:ascii="Times New Roman" w:hAnsi="Times New Roman" w:eastAsia="宋体" w:cs="Times New Roman"/>
          <w:lang w:val="en-US" w:eastAsia="zh-CN"/>
        </w:rPr>
      </w:pPr>
      <w:r>
        <w:rPr>
          <w:rFonts w:hint="eastAsia" w:cs="Times New Roman"/>
          <w:b/>
          <w:kern w:val="2"/>
          <w:sz w:val="21"/>
          <w:szCs w:val="22"/>
          <w:lang w:val="en-US" w:eastAsia="zh-CN" w:bidi="ar-SA"/>
        </w:rPr>
        <w:t>表</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质量管理</w:t>
      </w:r>
      <w:r>
        <w:rPr>
          <w:rFonts w:hint="eastAsia" w:ascii="Times New Roman" w:hAnsi="Times New Roman" w:eastAsia="宋体"/>
          <w:lang w:val="en-US" w:eastAsia="zh-CN"/>
        </w:rPr>
        <w:t>组织</w:t>
      </w:r>
      <w:r>
        <w:rPr>
          <w:rFonts w:ascii="Times New Roman" w:hAnsi="Times New Roman" w:eastAsia="宋体" w:cs="Times New Roman"/>
          <w:b/>
          <w:kern w:val="2"/>
          <w:sz w:val="21"/>
          <w:szCs w:val="22"/>
          <w:lang w:val="en-US" w:eastAsia="zh-CN" w:bidi="ar-SA"/>
        </w:rPr>
        <w:t>机构</w:t>
      </w:r>
      <w:r>
        <w:rPr>
          <w:rFonts w:hint="eastAsia" w:cs="Times New Roman"/>
          <w:b/>
          <w:kern w:val="2"/>
          <w:sz w:val="21"/>
          <w:szCs w:val="22"/>
          <w:lang w:val="en-US" w:eastAsia="zh-CN" w:bidi="ar-SA"/>
        </w:rPr>
        <w:t>表</w:t>
      </w:r>
    </w:p>
    <w:tbl>
      <w:tblPr>
        <w:tblStyle w:val="389"/>
        <w:tblW w:w="54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5181F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1B8044C5">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463C6379">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34FFD826">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42317D46">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153F2078">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FCAC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ACF9B27">
            <w:pPr>
              <w:numPr>
                <w:ilvl w:val="0"/>
                <w:numId w:val="26"/>
              </w:numPr>
              <w:spacing w:line="240" w:lineRule="auto"/>
              <w:ind w:left="240" w:leftChars="0" w:firstLineChars="0"/>
              <w:jc w:val="center"/>
              <w:rPr>
                <w:sz w:val="21"/>
              </w:rPr>
            </w:pPr>
          </w:p>
        </w:tc>
        <w:tc>
          <w:tcPr>
            <w:tcW w:w="1261" w:type="pct"/>
            <w:shd w:val="clear" w:color="auto" w:fill="auto"/>
            <w:vAlign w:val="center"/>
          </w:tcPr>
          <w:p w14:paraId="059C9833">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8DF04AF">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5" w:type="pct"/>
            <w:shd w:val="clear" w:color="auto" w:fill="auto"/>
            <w:vAlign w:val="center"/>
          </w:tcPr>
          <w:p w14:paraId="7A1502B4">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6" w:type="pct"/>
            <w:shd w:val="clear" w:color="auto" w:fill="auto"/>
            <w:vAlign w:val="center"/>
          </w:tcPr>
          <w:p w14:paraId="6D2316F7">
            <w:pPr>
              <w:spacing w:line="240" w:lineRule="auto"/>
              <w:ind w:firstLine="0" w:firstLineChars="0"/>
              <w:jc w:val="center"/>
              <w:rPr>
                <w:sz w:val="21"/>
              </w:rPr>
            </w:pPr>
          </w:p>
        </w:tc>
      </w:tr>
      <w:tr w14:paraId="3825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E57B83">
            <w:pPr>
              <w:numPr>
                <w:ilvl w:val="0"/>
                <w:numId w:val="26"/>
              </w:numPr>
              <w:spacing w:line="240" w:lineRule="auto"/>
              <w:ind w:left="240" w:leftChars="0" w:firstLineChars="0"/>
              <w:jc w:val="center"/>
              <w:rPr>
                <w:sz w:val="21"/>
              </w:rPr>
            </w:pPr>
          </w:p>
        </w:tc>
        <w:tc>
          <w:tcPr>
            <w:tcW w:w="2342" w:type="dxa"/>
            <w:shd w:val="clear" w:color="auto" w:fill="auto"/>
            <w:vAlign w:val="center"/>
          </w:tcPr>
          <w:p w14:paraId="58E2C1C6">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970" w:type="dxa"/>
            <w:shd w:val="clear" w:color="auto" w:fill="auto"/>
            <w:vAlign w:val="center"/>
          </w:tcPr>
          <w:p w14:paraId="15717A98">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4876" w:type="dxa"/>
            <w:shd w:val="clear" w:color="auto" w:fill="auto"/>
            <w:vAlign w:val="center"/>
          </w:tcPr>
          <w:p w14:paraId="059D0A58">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6" w:type="pct"/>
            <w:shd w:val="clear" w:color="auto" w:fill="auto"/>
            <w:vAlign w:val="center"/>
          </w:tcPr>
          <w:p w14:paraId="1C5F0CDB">
            <w:pPr>
              <w:spacing w:line="240" w:lineRule="auto"/>
              <w:ind w:firstLine="0" w:firstLineChars="0"/>
              <w:jc w:val="center"/>
              <w:rPr>
                <w:sz w:val="21"/>
              </w:rPr>
            </w:pPr>
          </w:p>
        </w:tc>
      </w:tr>
      <w:tr w14:paraId="07593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60611B8">
            <w:pPr>
              <w:numPr>
                <w:ilvl w:val="0"/>
                <w:numId w:val="26"/>
              </w:numPr>
              <w:spacing w:line="240" w:lineRule="auto"/>
              <w:ind w:left="240" w:leftChars="0" w:firstLineChars="0"/>
              <w:jc w:val="center"/>
              <w:rPr>
                <w:sz w:val="21"/>
              </w:rPr>
            </w:pPr>
          </w:p>
        </w:tc>
        <w:tc>
          <w:tcPr>
            <w:tcW w:w="1261" w:type="pct"/>
            <w:shd w:val="clear" w:color="auto" w:fill="auto"/>
            <w:vAlign w:val="center"/>
          </w:tcPr>
          <w:p w14:paraId="4F86D5BF">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719C990C">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522FCF39">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6" w:type="pct"/>
            <w:shd w:val="clear" w:color="auto" w:fill="auto"/>
            <w:vAlign w:val="center"/>
          </w:tcPr>
          <w:p w14:paraId="09F8AB36">
            <w:pPr>
              <w:spacing w:line="240" w:lineRule="auto"/>
              <w:ind w:firstLine="0" w:firstLineChars="0"/>
              <w:jc w:val="center"/>
              <w:rPr>
                <w:sz w:val="21"/>
              </w:rPr>
            </w:pPr>
          </w:p>
        </w:tc>
      </w:tr>
      <w:tr w14:paraId="5727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61B5AE0">
            <w:pPr>
              <w:numPr>
                <w:ilvl w:val="0"/>
                <w:numId w:val="26"/>
              </w:numPr>
              <w:spacing w:line="240" w:lineRule="auto"/>
              <w:ind w:left="240" w:leftChars="0" w:firstLineChars="0"/>
              <w:jc w:val="center"/>
              <w:rPr>
                <w:sz w:val="21"/>
              </w:rPr>
            </w:pPr>
          </w:p>
        </w:tc>
        <w:tc>
          <w:tcPr>
            <w:tcW w:w="1261" w:type="pct"/>
            <w:shd w:val="clear" w:color="auto" w:fill="auto"/>
            <w:vAlign w:val="center"/>
          </w:tcPr>
          <w:p w14:paraId="2A61106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FBD792F">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618617D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31FEAF55">
            <w:pPr>
              <w:spacing w:line="240" w:lineRule="auto"/>
              <w:ind w:firstLine="0" w:firstLineChars="0"/>
              <w:jc w:val="center"/>
              <w:rPr>
                <w:sz w:val="21"/>
              </w:rPr>
            </w:pPr>
          </w:p>
        </w:tc>
      </w:tr>
      <w:tr w14:paraId="00471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2636406">
            <w:pPr>
              <w:numPr>
                <w:ilvl w:val="0"/>
                <w:numId w:val="26"/>
              </w:numPr>
              <w:spacing w:line="240" w:lineRule="auto"/>
              <w:ind w:left="240" w:leftChars="0" w:firstLineChars="0"/>
              <w:jc w:val="center"/>
              <w:rPr>
                <w:sz w:val="21"/>
              </w:rPr>
            </w:pPr>
          </w:p>
        </w:tc>
        <w:tc>
          <w:tcPr>
            <w:tcW w:w="1261" w:type="pct"/>
            <w:shd w:val="clear" w:color="auto" w:fill="auto"/>
            <w:vAlign w:val="center"/>
          </w:tcPr>
          <w:p w14:paraId="3374096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70C1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0A87557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70AC1DC">
            <w:pPr>
              <w:spacing w:line="240" w:lineRule="auto"/>
              <w:ind w:firstLine="0" w:firstLineChars="0"/>
              <w:jc w:val="center"/>
              <w:rPr>
                <w:sz w:val="21"/>
              </w:rPr>
            </w:pPr>
          </w:p>
        </w:tc>
      </w:tr>
      <w:tr w14:paraId="2B7DD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000DAB2">
            <w:pPr>
              <w:numPr>
                <w:ilvl w:val="0"/>
                <w:numId w:val="26"/>
              </w:numPr>
              <w:spacing w:line="240" w:lineRule="auto"/>
              <w:ind w:left="240" w:leftChars="0" w:firstLineChars="0"/>
              <w:jc w:val="center"/>
              <w:rPr>
                <w:sz w:val="21"/>
              </w:rPr>
            </w:pPr>
          </w:p>
        </w:tc>
        <w:tc>
          <w:tcPr>
            <w:tcW w:w="1261" w:type="pct"/>
            <w:shd w:val="clear" w:color="auto" w:fill="auto"/>
            <w:vAlign w:val="center"/>
          </w:tcPr>
          <w:p w14:paraId="5F7BEB6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E3193E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469148E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736D467">
            <w:pPr>
              <w:spacing w:line="240" w:lineRule="auto"/>
              <w:ind w:firstLine="0" w:firstLineChars="0"/>
              <w:jc w:val="center"/>
              <w:rPr>
                <w:sz w:val="21"/>
              </w:rPr>
            </w:pPr>
          </w:p>
        </w:tc>
      </w:tr>
      <w:tr w14:paraId="7018D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E8CFEF4">
            <w:pPr>
              <w:numPr>
                <w:ilvl w:val="0"/>
                <w:numId w:val="26"/>
              </w:numPr>
              <w:spacing w:line="240" w:lineRule="auto"/>
              <w:ind w:left="240" w:leftChars="0" w:firstLineChars="0"/>
              <w:jc w:val="center"/>
              <w:rPr>
                <w:sz w:val="21"/>
              </w:rPr>
            </w:pPr>
          </w:p>
        </w:tc>
        <w:tc>
          <w:tcPr>
            <w:tcW w:w="1261" w:type="pct"/>
            <w:shd w:val="clear" w:color="auto" w:fill="auto"/>
            <w:vAlign w:val="center"/>
          </w:tcPr>
          <w:p w14:paraId="5798FC5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564B3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5" w:type="pct"/>
            <w:shd w:val="clear" w:color="auto" w:fill="auto"/>
            <w:vAlign w:val="center"/>
          </w:tcPr>
          <w:p w14:paraId="00F02F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F23162A">
            <w:pPr>
              <w:spacing w:line="240" w:lineRule="auto"/>
              <w:ind w:firstLine="0" w:firstLineChars="0"/>
              <w:jc w:val="center"/>
              <w:rPr>
                <w:sz w:val="21"/>
              </w:rPr>
            </w:pPr>
          </w:p>
        </w:tc>
      </w:tr>
      <w:tr w14:paraId="7218E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C2FB468">
            <w:pPr>
              <w:numPr>
                <w:ilvl w:val="0"/>
                <w:numId w:val="26"/>
              </w:numPr>
              <w:spacing w:line="240" w:lineRule="auto"/>
              <w:ind w:left="240" w:leftChars="0" w:firstLineChars="0"/>
              <w:jc w:val="center"/>
              <w:rPr>
                <w:sz w:val="21"/>
              </w:rPr>
            </w:pPr>
          </w:p>
        </w:tc>
        <w:tc>
          <w:tcPr>
            <w:tcW w:w="1261" w:type="pct"/>
            <w:shd w:val="clear" w:color="auto" w:fill="auto"/>
            <w:vAlign w:val="center"/>
          </w:tcPr>
          <w:p w14:paraId="451C209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DA5520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5" w:type="pct"/>
            <w:shd w:val="clear" w:color="auto" w:fill="auto"/>
            <w:vAlign w:val="center"/>
          </w:tcPr>
          <w:p w14:paraId="5A436F1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349C4CCD">
            <w:pPr>
              <w:spacing w:line="240" w:lineRule="auto"/>
              <w:ind w:firstLine="0" w:firstLineChars="0"/>
              <w:jc w:val="center"/>
              <w:rPr>
                <w:sz w:val="21"/>
              </w:rPr>
            </w:pPr>
          </w:p>
        </w:tc>
      </w:tr>
      <w:tr w14:paraId="052A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2B86A7B">
            <w:pPr>
              <w:numPr>
                <w:ilvl w:val="0"/>
                <w:numId w:val="26"/>
              </w:numPr>
              <w:spacing w:line="240" w:lineRule="auto"/>
              <w:ind w:left="240" w:leftChars="0" w:firstLineChars="0"/>
              <w:jc w:val="center"/>
              <w:rPr>
                <w:sz w:val="21"/>
              </w:rPr>
            </w:pPr>
          </w:p>
        </w:tc>
        <w:tc>
          <w:tcPr>
            <w:tcW w:w="1261" w:type="pct"/>
            <w:shd w:val="clear" w:color="auto" w:fill="auto"/>
            <w:vAlign w:val="center"/>
          </w:tcPr>
          <w:p w14:paraId="5436F1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71E93E74">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5" w:type="pct"/>
            <w:shd w:val="clear" w:color="auto" w:fill="auto"/>
            <w:vAlign w:val="center"/>
          </w:tcPr>
          <w:p w14:paraId="42C9096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w:t>
            </w:r>
            <w:r>
              <w:rPr>
                <w:rFonts w:hint="eastAsia" w:cs="Times New Roman"/>
                <w:bCs/>
                <w:color w:val="000000" w:themeColor="text1"/>
                <w:kern w:val="2"/>
                <w:sz w:val="21"/>
                <w:szCs w:val="21"/>
                <w:lang w:val="en-US"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6" w:type="pct"/>
            <w:shd w:val="clear" w:color="auto" w:fill="auto"/>
            <w:vAlign w:val="center"/>
          </w:tcPr>
          <w:p w14:paraId="7B27F993">
            <w:pPr>
              <w:spacing w:line="240" w:lineRule="auto"/>
              <w:ind w:firstLine="0" w:firstLineChars="0"/>
              <w:jc w:val="center"/>
              <w:rPr>
                <w:sz w:val="21"/>
              </w:rPr>
            </w:pPr>
          </w:p>
        </w:tc>
      </w:tr>
      <w:tr w14:paraId="43B6D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AD869CF">
            <w:pPr>
              <w:numPr>
                <w:ilvl w:val="0"/>
                <w:numId w:val="26"/>
              </w:numPr>
              <w:spacing w:line="240" w:lineRule="auto"/>
              <w:ind w:left="240" w:leftChars="0" w:firstLineChars="0"/>
              <w:jc w:val="center"/>
              <w:rPr>
                <w:sz w:val="21"/>
              </w:rPr>
            </w:pPr>
          </w:p>
        </w:tc>
        <w:tc>
          <w:tcPr>
            <w:tcW w:w="1261" w:type="pct"/>
            <w:shd w:val="clear" w:color="auto" w:fill="auto"/>
            <w:vAlign w:val="center"/>
          </w:tcPr>
          <w:p w14:paraId="06009C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3ACF1C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5" w:type="pct"/>
            <w:shd w:val="clear" w:color="auto" w:fill="auto"/>
            <w:vAlign w:val="center"/>
          </w:tcPr>
          <w:p w14:paraId="3CD6157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6" w:type="pct"/>
            <w:shd w:val="clear" w:color="auto" w:fill="auto"/>
            <w:vAlign w:val="center"/>
          </w:tcPr>
          <w:p w14:paraId="59CF9205">
            <w:pPr>
              <w:spacing w:line="240" w:lineRule="auto"/>
              <w:ind w:firstLine="0" w:firstLineChars="0"/>
              <w:jc w:val="center"/>
              <w:rPr>
                <w:sz w:val="21"/>
              </w:rPr>
            </w:pPr>
          </w:p>
        </w:tc>
      </w:tr>
      <w:bookmarkEnd w:id="91"/>
      <w:bookmarkEnd w:id="92"/>
      <w:bookmarkEnd w:id="93"/>
      <w:bookmarkEnd w:id="94"/>
    </w:tbl>
    <w:p w14:paraId="7812DC8F">
      <w:pPr>
        <w:pStyle w:val="3"/>
        <w:bidi w:val="0"/>
        <w:ind w:left="575" w:leftChars="0" w:hanging="575" w:firstLineChars="0"/>
        <w:rPr>
          <w:b/>
          <w:bCs w:val="0"/>
          <w:sz w:val="28"/>
          <w:szCs w:val="28"/>
        </w:rPr>
      </w:pPr>
      <w:bookmarkStart w:id="95" w:name="_Toc25207"/>
      <w:bookmarkStart w:id="96" w:name="_Toc5252"/>
      <w:bookmarkStart w:id="97" w:name="_Toc13535"/>
      <w:r>
        <w:rPr>
          <w:rFonts w:hint="eastAsia"/>
          <w:b/>
          <w:bCs w:val="0"/>
          <w:sz w:val="28"/>
          <w:szCs w:val="28"/>
        </w:rPr>
        <w:t>质量通病及质量通病预防</w:t>
      </w:r>
      <w:bookmarkEnd w:id="95"/>
      <w:bookmarkEnd w:id="96"/>
      <w:bookmarkEnd w:id="97"/>
    </w:p>
    <w:p w14:paraId="14AA18C7">
      <w:pPr>
        <w:pStyle w:val="15"/>
        <w:bidi w:val="0"/>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2</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cs="Times New Roman"/>
          <w:b/>
          <w:kern w:val="2"/>
          <w:sz w:val="21"/>
          <w:szCs w:val="22"/>
          <w:lang w:val="en-US" w:eastAsia="zh-CN" w:bidi="ar-SA"/>
        </w:rPr>
        <w:t>塔机拆除</w:t>
      </w:r>
      <w:r>
        <w:rPr>
          <w:rFonts w:hint="eastAsia" w:ascii="Times New Roman" w:hAnsi="Times New Roman" w:eastAsia="宋体" w:cs="Times New Roman"/>
          <w:b/>
          <w:kern w:val="2"/>
          <w:sz w:val="21"/>
          <w:szCs w:val="22"/>
          <w:lang w:val="en-US" w:eastAsia="zh-CN" w:bidi="ar-SA"/>
        </w:rPr>
        <w:t>质量通病预防措施</w:t>
      </w:r>
    </w:p>
    <w:tbl>
      <w:tblPr>
        <w:tblStyle w:val="44"/>
        <w:tblpPr w:leftFromText="181" w:rightFromText="181" w:vertAnchor="text" w:horzAnchor="page" w:tblpX="1662" w:tblpY="1"/>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77C304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822" w:type="dxa"/>
            <w:tcBorders>
              <w:top w:val="single" w:color="000000" w:sz="12" w:space="0"/>
              <w:left w:val="single" w:color="000000" w:sz="12" w:space="0"/>
              <w:tl2br w:val="nil"/>
              <w:tr2bl w:val="nil"/>
            </w:tcBorders>
            <w:shd w:val="clear" w:color="auto" w:fill="FFFFFF"/>
            <w:vAlign w:val="center"/>
          </w:tcPr>
          <w:p w14:paraId="065BE32E">
            <w:pPr>
              <w:pStyle w:val="16"/>
              <w:rPr>
                <w:b/>
                <w:bCs w:val="0"/>
              </w:rPr>
            </w:pPr>
            <w:r>
              <w:rPr>
                <w:rFonts w:hint="eastAsia"/>
                <w:b/>
                <w:bCs w:val="0"/>
              </w:rPr>
              <w:t>项次</w:t>
            </w:r>
          </w:p>
        </w:tc>
        <w:tc>
          <w:tcPr>
            <w:tcW w:w="1308" w:type="dxa"/>
            <w:tcBorders>
              <w:top w:val="single" w:color="000000" w:sz="12" w:space="0"/>
              <w:tl2br w:val="nil"/>
              <w:tr2bl w:val="nil"/>
            </w:tcBorders>
            <w:shd w:val="clear" w:color="auto" w:fill="FFFFFF"/>
            <w:vAlign w:val="center"/>
          </w:tcPr>
          <w:p w14:paraId="72799CF7">
            <w:pPr>
              <w:pStyle w:val="16"/>
              <w:rPr>
                <w:b/>
                <w:bCs w:val="0"/>
              </w:rPr>
            </w:pPr>
            <w:r>
              <w:rPr>
                <w:rFonts w:hint="eastAsia"/>
                <w:b/>
                <w:bCs w:val="0"/>
              </w:rPr>
              <w:t>质量通病</w:t>
            </w:r>
          </w:p>
        </w:tc>
        <w:tc>
          <w:tcPr>
            <w:tcW w:w="6657" w:type="dxa"/>
            <w:tcBorders>
              <w:top w:val="single" w:color="000000" w:sz="12" w:space="0"/>
              <w:right w:val="single" w:color="000000" w:sz="12" w:space="0"/>
              <w:tl2br w:val="nil"/>
              <w:tr2bl w:val="nil"/>
            </w:tcBorders>
            <w:shd w:val="clear" w:color="auto" w:fill="FFFFFF"/>
            <w:vAlign w:val="center"/>
          </w:tcPr>
          <w:p w14:paraId="152AECD0">
            <w:pPr>
              <w:pStyle w:val="16"/>
              <w:rPr>
                <w:b/>
                <w:bCs w:val="0"/>
              </w:rPr>
            </w:pPr>
            <w:r>
              <w:rPr>
                <w:rFonts w:hint="eastAsia"/>
                <w:b/>
                <w:bCs w:val="0"/>
              </w:rPr>
              <w:t>预防措施</w:t>
            </w:r>
          </w:p>
        </w:tc>
      </w:tr>
      <w:tr w14:paraId="0718CB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722C1B62">
            <w:pPr>
              <w:pStyle w:val="16"/>
              <w:rPr>
                <w:b w:val="0"/>
              </w:rPr>
            </w:pPr>
            <w:r>
              <w:rPr>
                <w:rFonts w:hint="eastAsia"/>
                <w:b w:val="0"/>
              </w:rPr>
              <w:t>1</w:t>
            </w:r>
          </w:p>
        </w:tc>
        <w:tc>
          <w:tcPr>
            <w:tcW w:w="1308" w:type="dxa"/>
            <w:tcBorders>
              <w:tl2br w:val="nil"/>
              <w:tr2bl w:val="nil"/>
            </w:tcBorders>
            <w:shd w:val="clear" w:color="auto" w:fill="FFFFFF"/>
            <w:vAlign w:val="center"/>
          </w:tcPr>
          <w:p w14:paraId="3B473E0F">
            <w:pPr>
              <w:pStyle w:val="16"/>
              <w:rPr>
                <w:b w:val="0"/>
              </w:rPr>
            </w:pPr>
            <w:r>
              <w:rPr>
                <w:rFonts w:hint="eastAsia"/>
                <w:b w:val="0"/>
                <w:lang w:val="en-US" w:eastAsia="zh-CN"/>
              </w:rPr>
              <w:t>拆除</w:t>
            </w:r>
            <w:r>
              <w:rPr>
                <w:rFonts w:hint="eastAsia"/>
                <w:b w:val="0"/>
              </w:rPr>
              <w:t>作业前未对设备进行全面检查</w:t>
            </w:r>
          </w:p>
        </w:tc>
        <w:tc>
          <w:tcPr>
            <w:tcW w:w="6657" w:type="dxa"/>
            <w:tcBorders>
              <w:right w:val="single" w:color="000000" w:sz="12" w:space="0"/>
              <w:tl2br w:val="nil"/>
              <w:tr2bl w:val="nil"/>
            </w:tcBorders>
            <w:shd w:val="clear" w:color="auto" w:fill="FFFFFF"/>
            <w:vAlign w:val="center"/>
          </w:tcPr>
          <w:p w14:paraId="2BDE6AC9">
            <w:pPr>
              <w:pStyle w:val="16"/>
              <w:rPr>
                <w:b w:val="0"/>
              </w:rPr>
            </w:pPr>
            <w:r>
              <w:rPr>
                <w:rFonts w:hint="eastAsia"/>
                <w:b w:val="0"/>
              </w:rPr>
              <w:t>在对整机进行</w:t>
            </w:r>
            <w:r>
              <w:rPr>
                <w:rFonts w:hint="eastAsia"/>
                <w:b w:val="0"/>
                <w:lang w:val="en-US" w:eastAsia="zh-CN"/>
              </w:rPr>
              <w:t>拆除作业</w:t>
            </w:r>
            <w:r>
              <w:rPr>
                <w:rFonts w:hint="eastAsia"/>
                <w:b w:val="0"/>
              </w:rPr>
              <w:t>前，</w:t>
            </w:r>
            <w:r>
              <w:rPr>
                <w:rFonts w:hint="eastAsia"/>
                <w:b w:val="0"/>
                <w:lang w:val="en-US" w:eastAsia="zh-CN"/>
              </w:rPr>
              <w:t>拆除</w:t>
            </w:r>
            <w:r>
              <w:rPr>
                <w:rFonts w:hint="eastAsia"/>
                <w:b w:val="0"/>
              </w:rPr>
              <w:t>人员，尤其是</w:t>
            </w:r>
            <w:r>
              <w:rPr>
                <w:rFonts w:hint="eastAsia"/>
                <w:b w:val="0"/>
                <w:lang w:val="en-US" w:eastAsia="zh-CN"/>
              </w:rPr>
              <w:t>拆除</w:t>
            </w:r>
            <w:r>
              <w:rPr>
                <w:rFonts w:hint="eastAsia"/>
                <w:b w:val="0"/>
              </w:rPr>
              <w:t>队的负责人应对</w:t>
            </w:r>
            <w:r>
              <w:rPr>
                <w:rFonts w:hint="eastAsia"/>
                <w:b w:val="0"/>
                <w:lang w:eastAsia="zh-CN"/>
              </w:rPr>
              <w:t>塔机</w:t>
            </w:r>
            <w:r>
              <w:rPr>
                <w:rFonts w:hint="eastAsia"/>
                <w:b w:val="0"/>
              </w:rPr>
              <w:t>进行全面的检查，确保钢结构无裂纹及不可恢复的塑性变形，焊缝无开裂现象，各安全装置齐全、有效，如发现问题应及时的采取措施，以免在</w:t>
            </w:r>
            <w:r>
              <w:rPr>
                <w:rFonts w:hint="eastAsia"/>
                <w:b w:val="0"/>
                <w:lang w:eastAsia="zh-CN"/>
              </w:rPr>
              <w:t>塔机</w:t>
            </w:r>
            <w:r>
              <w:rPr>
                <w:rFonts w:hint="eastAsia"/>
                <w:b w:val="0"/>
                <w:lang w:val="en-US" w:eastAsia="zh-CN"/>
              </w:rPr>
              <w:t>拆除作业</w:t>
            </w:r>
            <w:r>
              <w:rPr>
                <w:rFonts w:hint="eastAsia"/>
                <w:b w:val="0"/>
              </w:rPr>
              <w:t>过程中发生事故。</w:t>
            </w:r>
          </w:p>
        </w:tc>
      </w:tr>
      <w:tr w14:paraId="387C986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36473849">
            <w:pPr>
              <w:pStyle w:val="16"/>
              <w:rPr>
                <w:b w:val="0"/>
              </w:rPr>
            </w:pPr>
            <w:r>
              <w:rPr>
                <w:rFonts w:hint="eastAsia"/>
                <w:b w:val="0"/>
              </w:rPr>
              <w:t>2</w:t>
            </w:r>
          </w:p>
        </w:tc>
        <w:tc>
          <w:tcPr>
            <w:tcW w:w="1308" w:type="dxa"/>
            <w:tcBorders>
              <w:tl2br w:val="nil"/>
              <w:tr2bl w:val="nil"/>
            </w:tcBorders>
            <w:shd w:val="clear" w:color="auto" w:fill="FFFFFF"/>
            <w:vAlign w:val="center"/>
          </w:tcPr>
          <w:p w14:paraId="6E100ADC">
            <w:pPr>
              <w:pStyle w:val="16"/>
              <w:rPr>
                <w:b w:val="0"/>
              </w:rPr>
            </w:pPr>
            <w:r>
              <w:rPr>
                <w:rFonts w:hint="eastAsia"/>
                <w:b w:val="0"/>
              </w:rPr>
              <w:t>施工工艺</w:t>
            </w:r>
          </w:p>
          <w:p w14:paraId="7869A9CB">
            <w:pPr>
              <w:pStyle w:val="16"/>
              <w:rPr>
                <w:b w:val="0"/>
              </w:rPr>
            </w:pPr>
            <w:r>
              <w:rPr>
                <w:rFonts w:hint="eastAsia"/>
                <w:b w:val="0"/>
              </w:rPr>
              <w:t>粗糙</w:t>
            </w:r>
          </w:p>
        </w:tc>
        <w:tc>
          <w:tcPr>
            <w:tcW w:w="6657" w:type="dxa"/>
            <w:tcBorders>
              <w:right w:val="single" w:color="000000" w:sz="12" w:space="0"/>
              <w:tl2br w:val="nil"/>
              <w:tr2bl w:val="nil"/>
            </w:tcBorders>
            <w:shd w:val="clear" w:color="auto" w:fill="FFFFFF"/>
            <w:vAlign w:val="center"/>
          </w:tcPr>
          <w:p w14:paraId="431B8CE4">
            <w:pPr>
              <w:pStyle w:val="16"/>
              <w:rPr>
                <w:b w:val="0"/>
              </w:rPr>
            </w:pPr>
            <w:r>
              <w:rPr>
                <w:rFonts w:hint="eastAsia"/>
                <w:b w:val="0"/>
              </w:rPr>
              <w:t>要求在施工准备阶段，技术人员在熟悉图纸、规范、标准的基础上，根据具体的施工条件，制定周密可行的施工技术措施。施工</w:t>
            </w:r>
            <w:r>
              <w:rPr>
                <w:rFonts w:hint="eastAsia"/>
                <w:b w:val="0"/>
                <w:color w:val="000000" w:themeColor="text1"/>
                <w14:textFill>
                  <w14:solidFill>
                    <w14:schemeClr w14:val="tx1"/>
                  </w14:solidFill>
                </w14:textFill>
              </w:rPr>
              <w:t>前做好技术交底工作，使每个施工人员都清楚</w:t>
            </w:r>
            <w:r>
              <w:rPr>
                <w:rFonts w:hint="eastAsia"/>
                <w:b w:val="0"/>
                <w:color w:val="000000" w:themeColor="text1"/>
                <w:lang w:val="en-US" w:eastAsia="zh-CN"/>
                <w14:textFill>
                  <w14:solidFill>
                    <w14:schemeClr w14:val="tx1"/>
                  </w14:solidFill>
                </w14:textFill>
              </w:rPr>
              <w:t>拆除</w:t>
            </w:r>
            <w:r>
              <w:rPr>
                <w:rFonts w:hint="eastAsia"/>
                <w:b w:val="0"/>
                <w:color w:val="000000" w:themeColor="text1"/>
                <w14:textFill>
                  <w14:solidFill>
                    <w14:schemeClr w14:val="tx1"/>
                  </w14:solidFill>
                </w14:textFill>
              </w:rPr>
              <w:t>过程中需控制的质量标</w:t>
            </w:r>
            <w:r>
              <w:rPr>
                <w:rFonts w:hint="eastAsia"/>
                <w:b w:val="0"/>
              </w:rPr>
              <w:t>准。施工人员在熟悉各种构件的特点后，参考以往的施工经验，确定一套科学的施工方法，并在施工中不断总结经验，使施工方法日趋完善和合理。</w:t>
            </w:r>
          </w:p>
        </w:tc>
      </w:tr>
      <w:tr w14:paraId="5667EC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7E2418F0">
            <w:pPr>
              <w:pStyle w:val="16"/>
              <w:rPr>
                <w:b w:val="0"/>
              </w:rPr>
            </w:pPr>
            <w:r>
              <w:rPr>
                <w:rFonts w:hint="eastAsia"/>
                <w:b w:val="0"/>
              </w:rPr>
              <w:t>3</w:t>
            </w:r>
          </w:p>
        </w:tc>
        <w:tc>
          <w:tcPr>
            <w:tcW w:w="1308" w:type="dxa"/>
            <w:tcBorders>
              <w:bottom w:val="single" w:color="000000" w:sz="12" w:space="0"/>
              <w:tl2br w:val="nil"/>
              <w:tr2bl w:val="nil"/>
            </w:tcBorders>
            <w:shd w:val="clear" w:color="auto" w:fill="FFFFFF"/>
            <w:vAlign w:val="center"/>
          </w:tcPr>
          <w:p w14:paraId="36B92290">
            <w:pPr>
              <w:pStyle w:val="16"/>
              <w:rPr>
                <w:b w:val="0"/>
              </w:rPr>
            </w:pPr>
            <w:r>
              <w:rPr>
                <w:rFonts w:hint="eastAsia"/>
                <w:b w:val="0"/>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53CE3223">
            <w:pPr>
              <w:pStyle w:val="16"/>
              <w:rPr>
                <w:b w:val="0"/>
              </w:rPr>
            </w:pPr>
            <w:r>
              <w:rPr>
                <w:rFonts w:hint="eastAsia"/>
                <w:b w:val="0"/>
                <w:lang w:eastAsia="zh-CN"/>
              </w:rPr>
              <w:t>塔机</w:t>
            </w:r>
            <w:r>
              <w:rPr>
                <w:rFonts w:hint="eastAsia"/>
                <w:b w:val="0"/>
              </w:rPr>
              <w:t>的</w:t>
            </w:r>
            <w:r>
              <w:rPr>
                <w:rFonts w:hint="eastAsia"/>
                <w:b w:val="0"/>
                <w:lang w:val="en-US" w:eastAsia="zh-CN"/>
              </w:rPr>
              <w:t>拆除</w:t>
            </w:r>
            <w:r>
              <w:rPr>
                <w:rFonts w:hint="eastAsia"/>
                <w:b w:val="0"/>
              </w:rPr>
              <w:t>作业的吊装工具主要是钢丝绳和卡扣，在进行吊装作业前，应对各吊装的吊索具进行全面的检查，确保钢丝绳无断丝、断股现象，对已达到报废标准的应停止使用，卡具无严重变形和磨损。在进行部件吊装时，</w:t>
            </w:r>
            <w:r>
              <w:rPr>
                <w:rFonts w:hint="eastAsia"/>
                <w:b w:val="0"/>
                <w:lang w:val="en-US" w:eastAsia="zh-CN"/>
              </w:rPr>
              <w:t>拆除</w:t>
            </w:r>
            <w:r>
              <w:rPr>
                <w:rFonts w:hint="eastAsia"/>
                <w:b w:val="0"/>
              </w:rPr>
              <w:t>队负责人首先要对待</w:t>
            </w:r>
            <w:r>
              <w:rPr>
                <w:rFonts w:hint="eastAsia"/>
                <w:b w:val="0"/>
                <w:lang w:val="en-US" w:eastAsia="zh-CN"/>
              </w:rPr>
              <w:t>拆除</w:t>
            </w:r>
            <w:r>
              <w:rPr>
                <w:rFonts w:hint="eastAsia"/>
                <w:b w:val="0"/>
              </w:rPr>
              <w:t>部件的重量要非常清楚，尤其是重量较大的部件，严格按照施工的方案选用吊索具，保证6倍以上的安全系数。</w:t>
            </w:r>
          </w:p>
        </w:tc>
      </w:tr>
    </w:tbl>
    <w:p w14:paraId="6DFEBF5D">
      <w:pPr>
        <w:pStyle w:val="3"/>
        <w:bidi w:val="0"/>
        <w:ind w:left="575" w:leftChars="0" w:hanging="575" w:firstLineChars="0"/>
        <w:rPr>
          <w:b/>
          <w:bCs w:val="0"/>
          <w:sz w:val="28"/>
          <w:szCs w:val="28"/>
        </w:rPr>
      </w:pPr>
      <w:bookmarkStart w:id="98" w:name="_Toc22190"/>
      <w:bookmarkStart w:id="99" w:name="_Toc533345492"/>
      <w:bookmarkStart w:id="100" w:name="_Toc26561"/>
      <w:bookmarkStart w:id="101" w:name="_Toc17975"/>
      <w:bookmarkStart w:id="102" w:name="_Toc27120"/>
      <w:r>
        <w:rPr>
          <w:rFonts w:hint="eastAsia"/>
          <w:b/>
          <w:bCs w:val="0"/>
          <w:sz w:val="28"/>
          <w:szCs w:val="28"/>
        </w:rPr>
        <w:t>质量保证措施</w:t>
      </w:r>
      <w:bookmarkEnd w:id="98"/>
      <w:bookmarkEnd w:id="99"/>
      <w:bookmarkEnd w:id="100"/>
      <w:bookmarkEnd w:id="101"/>
      <w:bookmarkEnd w:id="102"/>
    </w:p>
    <w:p w14:paraId="1356122A">
      <w:pPr>
        <w:ind w:firstLine="480"/>
      </w:pPr>
      <w:r>
        <w:rPr>
          <w:rFonts w:hint="eastAsia"/>
        </w:rPr>
        <w:t>为了保证</w:t>
      </w:r>
      <w:r>
        <w:rPr>
          <w:rFonts w:hint="eastAsia"/>
          <w:lang w:eastAsia="zh-CN"/>
        </w:rPr>
        <w:t>塔机</w:t>
      </w:r>
      <w:r>
        <w:rPr>
          <w:rFonts w:hint="eastAsia"/>
          <w:lang w:val="en-US" w:eastAsia="zh-CN"/>
        </w:rPr>
        <w:t>拆除</w:t>
      </w:r>
      <w:r>
        <w:rPr>
          <w:rFonts w:hint="eastAsia"/>
        </w:rPr>
        <w:t>质量，树立良好的质量信誉，全面贯彻落实公司制定的质量管理作业文件，实现对施工过程的有效控制，特制定以下控制措施：</w:t>
      </w:r>
    </w:p>
    <w:p w14:paraId="15E93C97">
      <w:pPr>
        <w:ind w:firstLine="480"/>
      </w:pPr>
      <w:r>
        <w:rPr>
          <w:rFonts w:hint="eastAsia"/>
        </w:rPr>
        <w:t>（1）作业前由技术员及工长组织作业人员认真学习图纸、资料，了解作业技术要求，掌握作业方法和作业要领。同时宣传质量，提高意识，加强作业人员的工作责任心。</w:t>
      </w:r>
    </w:p>
    <w:p w14:paraId="24D13619">
      <w:pPr>
        <w:ind w:firstLine="480"/>
      </w:pPr>
      <w:r>
        <w:rPr>
          <w:rFonts w:hint="eastAsia"/>
        </w:rPr>
        <w:t>（</w:t>
      </w:r>
      <w:r>
        <w:t>2</w:t>
      </w:r>
      <w:r>
        <w:rPr>
          <w:rFonts w:hint="eastAsia"/>
        </w:rPr>
        <w:t>）对重要工序的作业方法、作业要领，应进行作业前的施工技术培训。</w:t>
      </w:r>
    </w:p>
    <w:p w14:paraId="224E1C29">
      <w:pPr>
        <w:ind w:firstLine="48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14:paraId="63B083EC">
      <w:pPr>
        <w:ind w:firstLine="480"/>
      </w:pPr>
      <w:r>
        <w:rPr>
          <w:rFonts w:hint="eastAsia"/>
        </w:rPr>
        <w:t>（</w:t>
      </w:r>
      <w:r>
        <w:t>4</w:t>
      </w:r>
      <w:r>
        <w:rPr>
          <w:rFonts w:hint="eastAsia"/>
        </w:rPr>
        <w:t>）班长和</w:t>
      </w:r>
      <w:r>
        <w:rPr>
          <w:rFonts w:hint="eastAsia"/>
          <w:color w:val="000000" w:themeColor="text1"/>
          <w14:textFill>
            <w14:solidFill>
              <w14:schemeClr w14:val="tx1"/>
            </w14:solidFill>
          </w14:textFill>
        </w:rPr>
        <w:t>安全员认真做好作业过程的质量监督控制，确保每一道工序的施工质量以及工序间合理衔接，不留缺陷，不留尾工，认真做好</w:t>
      </w:r>
      <w:r>
        <w:rPr>
          <w:rFonts w:hint="eastAsia"/>
        </w:rPr>
        <w:t>作业后的自检工作。</w:t>
      </w:r>
    </w:p>
    <w:p w14:paraId="21A08F26">
      <w:pPr>
        <w:ind w:firstLine="480"/>
      </w:pPr>
      <w:r>
        <w:rPr>
          <w:rFonts w:hint="eastAsia"/>
        </w:rPr>
        <w:t>（</w:t>
      </w:r>
      <w:r>
        <w:t>5</w:t>
      </w:r>
      <w:r>
        <w:rPr>
          <w:rFonts w:hint="eastAsia"/>
        </w:rPr>
        <w:t>）对作业中容易发生的质量问题，作业前做出预测，并采取有效的、可操作的预防措施，消除施工质量缺陷。</w:t>
      </w:r>
    </w:p>
    <w:p w14:paraId="676C6899">
      <w:pPr>
        <w:ind w:firstLine="48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14:paraId="3B4AC708">
      <w:pPr>
        <w:ind w:firstLine="480"/>
      </w:pPr>
      <w:r>
        <w:rPr>
          <w:rFonts w:hint="eastAsia"/>
        </w:rPr>
        <w:t>（</w:t>
      </w:r>
      <w:r>
        <w:t>7</w:t>
      </w:r>
      <w:r>
        <w:rPr>
          <w:rFonts w:hint="eastAsia"/>
        </w:rPr>
        <w:t>）积极配合项目部工程管理部门和监理的质检工作，对查出的质量问题积极并及时的进行处理。</w:t>
      </w:r>
    </w:p>
    <w:p w14:paraId="53C43EA4">
      <w:pPr>
        <w:pStyle w:val="3"/>
        <w:bidi w:val="0"/>
        <w:ind w:left="575" w:leftChars="0" w:hanging="575" w:firstLineChars="0"/>
        <w:rPr>
          <w:b/>
          <w:bCs w:val="0"/>
          <w:sz w:val="28"/>
          <w:szCs w:val="28"/>
        </w:rPr>
      </w:pPr>
      <w:bookmarkStart w:id="103" w:name="_Toc2943"/>
      <w:bookmarkStart w:id="104" w:name="_Toc30023"/>
      <w:bookmarkStart w:id="105" w:name="_Toc16507"/>
      <w:r>
        <w:rPr>
          <w:rFonts w:hint="eastAsia"/>
          <w:b/>
          <w:bCs w:val="0"/>
          <w:sz w:val="28"/>
          <w:szCs w:val="28"/>
        </w:rPr>
        <w:t>作业过程中控制点的设置</w:t>
      </w:r>
      <w:bookmarkEnd w:id="103"/>
      <w:bookmarkEnd w:id="104"/>
      <w:bookmarkEnd w:id="105"/>
    </w:p>
    <w:p w14:paraId="308BD5B6">
      <w:pPr>
        <w:pStyle w:val="15"/>
        <w:bidi w:val="0"/>
        <w:rPr>
          <w:rFonts w:hint="eastAsia" w:ascii="Times New Roman" w:hAnsi="Times New Roman" w:eastAsia="宋体" w:cs="Times New Roman"/>
          <w:b/>
          <w:kern w:val="2"/>
          <w:sz w:val="21"/>
          <w:szCs w:val="22"/>
          <w:lang w:val="en-US" w:eastAsia="zh-CN" w:bidi="ar-SA"/>
        </w:rPr>
      </w:pPr>
      <w:r>
        <w:rPr>
          <w:rFonts w:hint="eastAsia" w:ascii="Times New Roman" w:hAnsi="Times New Roman" w:eastAsia="宋体" w:cs="Times New Roman"/>
          <w:b/>
          <w:kern w:val="2"/>
          <w:sz w:val="21"/>
          <w:szCs w:val="22"/>
          <w:lang w:val="en-US" w:eastAsia="zh-CN" w:bidi="ar-SA"/>
        </w:rPr>
        <w:t xml:space="preserve">表 </w:t>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STYLEREF 2 \s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5.4</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w:t>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2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关键控制点设置</w:t>
      </w:r>
    </w:p>
    <w:tbl>
      <w:tblPr>
        <w:tblStyle w:val="44"/>
        <w:tblW w:w="49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7EEBA5B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restart"/>
            <w:tcBorders>
              <w:top w:val="single" w:color="000000" w:sz="12" w:space="0"/>
              <w:left w:val="single" w:color="000000" w:sz="12" w:space="0"/>
              <w:tl2br w:val="nil"/>
              <w:tr2bl w:val="nil"/>
            </w:tcBorders>
            <w:shd w:val="clear" w:color="auto" w:fill="FFFFFF"/>
            <w:vAlign w:val="center"/>
          </w:tcPr>
          <w:p w14:paraId="11535344">
            <w:pPr>
              <w:pStyle w:val="16"/>
              <w:rPr>
                <w:b w:val="0"/>
              </w:rPr>
            </w:pPr>
            <w:r>
              <w:rPr>
                <w:rFonts w:hint="eastAsia"/>
                <w:b w:val="0"/>
              </w:rPr>
              <w:t>序号</w:t>
            </w:r>
          </w:p>
        </w:tc>
        <w:tc>
          <w:tcPr>
            <w:tcW w:w="2152" w:type="pct"/>
            <w:vMerge w:val="restart"/>
            <w:tcBorders>
              <w:top w:val="single" w:color="000000" w:sz="12" w:space="0"/>
              <w:tl2br w:val="nil"/>
              <w:tr2bl w:val="nil"/>
            </w:tcBorders>
            <w:shd w:val="clear" w:color="auto" w:fill="FFFFFF"/>
            <w:vAlign w:val="center"/>
          </w:tcPr>
          <w:p w14:paraId="13083B23">
            <w:pPr>
              <w:pStyle w:val="16"/>
              <w:rPr>
                <w:b w:val="0"/>
              </w:rPr>
            </w:pPr>
            <w:r>
              <w:rPr>
                <w:rFonts w:hint="eastAsia"/>
                <w:b w:val="0"/>
              </w:rPr>
              <w:t>作业控制点</w:t>
            </w:r>
          </w:p>
        </w:tc>
        <w:tc>
          <w:tcPr>
            <w:tcW w:w="1886" w:type="pct"/>
            <w:gridSpan w:val="4"/>
            <w:tcBorders>
              <w:top w:val="single" w:color="000000" w:sz="12" w:space="0"/>
              <w:tl2br w:val="nil"/>
              <w:tr2bl w:val="nil"/>
            </w:tcBorders>
            <w:shd w:val="clear" w:color="auto" w:fill="FFFFFF"/>
            <w:vAlign w:val="center"/>
          </w:tcPr>
          <w:p w14:paraId="79727E89">
            <w:pPr>
              <w:pStyle w:val="16"/>
              <w:rPr>
                <w:b w:val="0"/>
              </w:rPr>
            </w:pPr>
            <w:r>
              <w:rPr>
                <w:rFonts w:hint="eastAsia"/>
                <w:b w:val="0"/>
              </w:rPr>
              <w:t>检验单位</w:t>
            </w:r>
          </w:p>
        </w:tc>
        <w:tc>
          <w:tcPr>
            <w:tcW w:w="471" w:type="pct"/>
            <w:vMerge w:val="restart"/>
            <w:tcBorders>
              <w:top w:val="single" w:color="000000" w:sz="12" w:space="0"/>
              <w:right w:val="single" w:color="000000" w:sz="4" w:space="0"/>
              <w:tl2br w:val="nil"/>
              <w:tr2bl w:val="nil"/>
            </w:tcBorders>
            <w:shd w:val="clear" w:color="auto" w:fill="FFFFFF"/>
            <w:vAlign w:val="center"/>
          </w:tcPr>
          <w:p w14:paraId="26F141A5">
            <w:pPr>
              <w:pStyle w:val="16"/>
              <w:rPr>
                <w:b w:val="0"/>
              </w:rPr>
            </w:pPr>
            <w:r>
              <w:rPr>
                <w:rFonts w:hint="eastAsia"/>
                <w:b w:val="0"/>
              </w:rPr>
              <w:t>见证</w:t>
            </w:r>
          </w:p>
          <w:p w14:paraId="6D7D834D">
            <w:pPr>
              <w:pStyle w:val="16"/>
              <w:rPr>
                <w:b w:val="0"/>
              </w:rPr>
            </w:pPr>
            <w:r>
              <w:rPr>
                <w:rFonts w:hint="eastAsia"/>
                <w:b w:val="0"/>
              </w:rPr>
              <w:t>方式</w:t>
            </w:r>
          </w:p>
        </w:tc>
      </w:tr>
      <w:tr w14:paraId="6F28336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continue"/>
            <w:tcBorders>
              <w:left w:val="single" w:color="000000" w:sz="12" w:space="0"/>
              <w:tl2br w:val="nil"/>
              <w:tr2bl w:val="nil"/>
            </w:tcBorders>
            <w:shd w:val="clear" w:color="auto" w:fill="FFFFFF"/>
            <w:vAlign w:val="center"/>
          </w:tcPr>
          <w:p w14:paraId="2BCDFCCD">
            <w:pPr>
              <w:pStyle w:val="16"/>
              <w:rPr>
                <w:b w:val="0"/>
              </w:rPr>
            </w:pPr>
          </w:p>
        </w:tc>
        <w:tc>
          <w:tcPr>
            <w:tcW w:w="2152" w:type="pct"/>
            <w:vMerge w:val="continue"/>
            <w:tcBorders>
              <w:tl2br w:val="nil"/>
              <w:tr2bl w:val="nil"/>
            </w:tcBorders>
            <w:shd w:val="clear" w:color="auto" w:fill="FFFFFF"/>
            <w:vAlign w:val="center"/>
          </w:tcPr>
          <w:p w14:paraId="4DA289A6">
            <w:pPr>
              <w:pStyle w:val="16"/>
              <w:rPr>
                <w:b w:val="0"/>
              </w:rPr>
            </w:pPr>
          </w:p>
        </w:tc>
        <w:tc>
          <w:tcPr>
            <w:tcW w:w="447" w:type="pct"/>
            <w:tcBorders>
              <w:tl2br w:val="nil"/>
              <w:tr2bl w:val="nil"/>
            </w:tcBorders>
            <w:shd w:val="clear" w:color="auto" w:fill="FFFFFF"/>
            <w:vAlign w:val="center"/>
          </w:tcPr>
          <w:p w14:paraId="39200FC2">
            <w:pPr>
              <w:pStyle w:val="16"/>
              <w:rPr>
                <w:b w:val="0"/>
              </w:rPr>
            </w:pPr>
            <w:r>
              <w:rPr>
                <w:rFonts w:hint="eastAsia"/>
                <w:b w:val="0"/>
              </w:rPr>
              <w:t>班组</w:t>
            </w:r>
          </w:p>
        </w:tc>
        <w:tc>
          <w:tcPr>
            <w:tcW w:w="523" w:type="pct"/>
            <w:tcBorders>
              <w:tl2br w:val="nil"/>
              <w:tr2bl w:val="nil"/>
            </w:tcBorders>
            <w:shd w:val="clear" w:color="auto" w:fill="FFFFFF"/>
            <w:vAlign w:val="center"/>
          </w:tcPr>
          <w:p w14:paraId="4C51E6BE">
            <w:pPr>
              <w:pStyle w:val="16"/>
              <w:rPr>
                <w:b w:val="0"/>
              </w:rPr>
            </w:pPr>
            <w:r>
              <w:rPr>
                <w:rFonts w:hint="eastAsia"/>
                <w:b w:val="0"/>
              </w:rPr>
              <w:t>专业</w:t>
            </w:r>
          </w:p>
          <w:p w14:paraId="379EAF2E">
            <w:pPr>
              <w:pStyle w:val="16"/>
              <w:rPr>
                <w:b w:val="0"/>
              </w:rPr>
            </w:pPr>
            <w:r>
              <w:rPr>
                <w:rFonts w:hint="eastAsia"/>
                <w:b w:val="0"/>
              </w:rPr>
              <w:t>公司</w:t>
            </w:r>
          </w:p>
        </w:tc>
        <w:tc>
          <w:tcPr>
            <w:tcW w:w="526" w:type="pct"/>
            <w:tcBorders>
              <w:tl2br w:val="nil"/>
              <w:tr2bl w:val="nil"/>
            </w:tcBorders>
            <w:shd w:val="clear" w:color="auto" w:fill="FFFFFF"/>
            <w:vAlign w:val="center"/>
          </w:tcPr>
          <w:p w14:paraId="0D42B340">
            <w:pPr>
              <w:pStyle w:val="16"/>
              <w:rPr>
                <w:b w:val="0"/>
              </w:rPr>
            </w:pPr>
            <w:r>
              <w:rPr>
                <w:rFonts w:hint="eastAsia"/>
                <w:b w:val="0"/>
              </w:rPr>
              <w:t>项目质检部门</w:t>
            </w:r>
          </w:p>
        </w:tc>
        <w:tc>
          <w:tcPr>
            <w:tcW w:w="388" w:type="pct"/>
            <w:tcBorders>
              <w:tl2br w:val="nil"/>
              <w:tr2bl w:val="nil"/>
            </w:tcBorders>
            <w:shd w:val="clear" w:color="auto" w:fill="FFFFFF"/>
            <w:vAlign w:val="center"/>
          </w:tcPr>
          <w:p w14:paraId="3E86AA9F">
            <w:pPr>
              <w:pStyle w:val="16"/>
              <w:rPr>
                <w:b w:val="0"/>
              </w:rPr>
            </w:pPr>
            <w:r>
              <w:rPr>
                <w:rFonts w:hint="eastAsia"/>
                <w:b w:val="0"/>
              </w:rPr>
              <w:t>监理</w:t>
            </w:r>
          </w:p>
        </w:tc>
        <w:tc>
          <w:tcPr>
            <w:tcW w:w="471" w:type="pct"/>
            <w:vMerge w:val="continue"/>
            <w:tcBorders>
              <w:right w:val="single" w:color="000000" w:sz="12" w:space="0"/>
              <w:tl2br w:val="nil"/>
              <w:tr2bl w:val="nil"/>
            </w:tcBorders>
            <w:shd w:val="clear" w:color="auto" w:fill="FFFFFF"/>
            <w:vAlign w:val="center"/>
          </w:tcPr>
          <w:p w14:paraId="3C1766AF">
            <w:pPr>
              <w:pStyle w:val="16"/>
              <w:rPr>
                <w:b w:val="0"/>
              </w:rPr>
            </w:pPr>
          </w:p>
        </w:tc>
      </w:tr>
      <w:tr w14:paraId="4012A6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F168912">
            <w:pPr>
              <w:pStyle w:val="16"/>
              <w:rPr>
                <w:b w:val="0"/>
              </w:rPr>
            </w:pPr>
            <w:r>
              <w:rPr>
                <w:rFonts w:hint="eastAsia"/>
                <w:b w:val="0"/>
              </w:rPr>
              <w:t>1</w:t>
            </w:r>
          </w:p>
        </w:tc>
        <w:tc>
          <w:tcPr>
            <w:tcW w:w="2152" w:type="pct"/>
            <w:tcBorders>
              <w:tl2br w:val="nil"/>
              <w:tr2bl w:val="nil"/>
            </w:tcBorders>
            <w:shd w:val="clear" w:color="auto" w:fill="FFFFFF"/>
            <w:vAlign w:val="center"/>
          </w:tcPr>
          <w:p w14:paraId="3EA4CBFF">
            <w:pPr>
              <w:pStyle w:val="16"/>
              <w:rPr>
                <w:b w:val="0"/>
              </w:rPr>
            </w:pPr>
            <w:r>
              <w:rPr>
                <w:rFonts w:hint="eastAsia"/>
                <w:b w:val="0"/>
              </w:rPr>
              <w:t>施工中防止部件磕碰和交叉作业现象</w:t>
            </w:r>
          </w:p>
        </w:tc>
        <w:tc>
          <w:tcPr>
            <w:tcW w:w="447" w:type="pct"/>
            <w:tcBorders>
              <w:tl2br w:val="nil"/>
              <w:tr2bl w:val="nil"/>
            </w:tcBorders>
            <w:shd w:val="clear" w:color="auto" w:fill="FFFFFF"/>
            <w:vAlign w:val="center"/>
          </w:tcPr>
          <w:p w14:paraId="2409A612">
            <w:pPr>
              <w:pStyle w:val="16"/>
              <w:rPr>
                <w:b w:val="0"/>
              </w:rPr>
            </w:pPr>
            <w:r>
              <w:rPr>
                <w:rFonts w:hint="eastAsia"/>
                <w:b w:val="0"/>
              </w:rPr>
              <w:t>★</w:t>
            </w:r>
          </w:p>
        </w:tc>
        <w:tc>
          <w:tcPr>
            <w:tcW w:w="523" w:type="pct"/>
            <w:tcBorders>
              <w:tl2br w:val="nil"/>
              <w:tr2bl w:val="nil"/>
            </w:tcBorders>
            <w:shd w:val="clear" w:color="auto" w:fill="FFFFFF"/>
            <w:vAlign w:val="center"/>
          </w:tcPr>
          <w:p w14:paraId="210CD2F0">
            <w:pPr>
              <w:pStyle w:val="16"/>
              <w:rPr>
                <w:b w:val="0"/>
              </w:rPr>
            </w:pPr>
          </w:p>
        </w:tc>
        <w:tc>
          <w:tcPr>
            <w:tcW w:w="526" w:type="pct"/>
            <w:tcBorders>
              <w:tl2br w:val="nil"/>
              <w:tr2bl w:val="nil"/>
            </w:tcBorders>
            <w:shd w:val="clear" w:color="auto" w:fill="FFFFFF"/>
            <w:vAlign w:val="center"/>
          </w:tcPr>
          <w:p w14:paraId="1E54F435">
            <w:pPr>
              <w:pStyle w:val="16"/>
              <w:rPr>
                <w:b w:val="0"/>
              </w:rPr>
            </w:pPr>
            <w:r>
              <w:rPr>
                <w:rFonts w:hint="eastAsia"/>
                <w:b w:val="0"/>
              </w:rPr>
              <w:t>★</w:t>
            </w:r>
          </w:p>
        </w:tc>
        <w:tc>
          <w:tcPr>
            <w:tcW w:w="388" w:type="pct"/>
            <w:tcBorders>
              <w:tl2br w:val="nil"/>
              <w:tr2bl w:val="nil"/>
            </w:tcBorders>
            <w:shd w:val="clear" w:color="auto" w:fill="FFFFFF"/>
            <w:vAlign w:val="center"/>
          </w:tcPr>
          <w:p w14:paraId="38698545">
            <w:pPr>
              <w:pStyle w:val="16"/>
              <w:rPr>
                <w:b w:val="0"/>
              </w:rPr>
            </w:pPr>
          </w:p>
        </w:tc>
        <w:tc>
          <w:tcPr>
            <w:tcW w:w="471" w:type="pct"/>
            <w:tcBorders>
              <w:right w:val="single" w:color="000000" w:sz="12" w:space="0"/>
              <w:tl2br w:val="nil"/>
              <w:tr2bl w:val="nil"/>
            </w:tcBorders>
            <w:shd w:val="clear" w:color="auto" w:fill="FFFFFF"/>
            <w:vAlign w:val="center"/>
          </w:tcPr>
          <w:p w14:paraId="6474E4F0">
            <w:pPr>
              <w:pStyle w:val="16"/>
              <w:rPr>
                <w:b w:val="0"/>
              </w:rPr>
            </w:pPr>
            <w:r>
              <w:rPr>
                <w:rFonts w:hint="eastAsia"/>
                <w:b w:val="0"/>
              </w:rPr>
              <w:t>R</w:t>
            </w:r>
          </w:p>
        </w:tc>
      </w:tr>
      <w:tr w14:paraId="77AA45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08F19489">
            <w:pPr>
              <w:pStyle w:val="16"/>
              <w:rPr>
                <w:b w:val="0"/>
              </w:rPr>
            </w:pPr>
            <w:r>
              <w:rPr>
                <w:rFonts w:hint="eastAsia"/>
                <w:b w:val="0"/>
              </w:rPr>
              <w:t>2</w:t>
            </w:r>
          </w:p>
        </w:tc>
        <w:tc>
          <w:tcPr>
            <w:tcW w:w="2152" w:type="pct"/>
            <w:tcBorders>
              <w:tl2br w:val="nil"/>
              <w:tr2bl w:val="nil"/>
            </w:tcBorders>
            <w:shd w:val="clear" w:color="auto" w:fill="FFFFFF"/>
            <w:vAlign w:val="center"/>
          </w:tcPr>
          <w:p w14:paraId="19295573">
            <w:pPr>
              <w:pStyle w:val="16"/>
              <w:rPr>
                <w:b w:val="0"/>
              </w:rPr>
            </w:pPr>
            <w:r>
              <w:rPr>
                <w:rFonts w:hint="eastAsia"/>
                <w:b w:val="0"/>
              </w:rPr>
              <w:t>作业工机具、卡索具完好无损，无人员、设备损伤</w:t>
            </w:r>
          </w:p>
        </w:tc>
        <w:tc>
          <w:tcPr>
            <w:tcW w:w="447" w:type="pct"/>
            <w:tcBorders>
              <w:tl2br w:val="nil"/>
              <w:tr2bl w:val="nil"/>
            </w:tcBorders>
            <w:shd w:val="clear" w:color="auto" w:fill="FFFFFF"/>
            <w:vAlign w:val="center"/>
          </w:tcPr>
          <w:p w14:paraId="59BD3CA3">
            <w:pPr>
              <w:pStyle w:val="16"/>
              <w:rPr>
                <w:b w:val="0"/>
              </w:rPr>
            </w:pPr>
            <w:r>
              <w:rPr>
                <w:rFonts w:hint="eastAsia"/>
                <w:b w:val="0"/>
              </w:rPr>
              <w:t>★</w:t>
            </w:r>
          </w:p>
        </w:tc>
        <w:tc>
          <w:tcPr>
            <w:tcW w:w="523" w:type="pct"/>
            <w:tcBorders>
              <w:tl2br w:val="nil"/>
              <w:tr2bl w:val="nil"/>
            </w:tcBorders>
            <w:shd w:val="clear" w:color="auto" w:fill="FFFFFF"/>
            <w:vAlign w:val="center"/>
          </w:tcPr>
          <w:p w14:paraId="7A0773EB">
            <w:pPr>
              <w:pStyle w:val="16"/>
              <w:rPr>
                <w:b w:val="0"/>
              </w:rPr>
            </w:pPr>
          </w:p>
        </w:tc>
        <w:tc>
          <w:tcPr>
            <w:tcW w:w="526" w:type="pct"/>
            <w:tcBorders>
              <w:tl2br w:val="nil"/>
              <w:tr2bl w:val="nil"/>
            </w:tcBorders>
            <w:shd w:val="clear" w:color="auto" w:fill="FFFFFF"/>
            <w:vAlign w:val="center"/>
          </w:tcPr>
          <w:p w14:paraId="6E50306B">
            <w:pPr>
              <w:pStyle w:val="16"/>
              <w:rPr>
                <w:b w:val="0"/>
              </w:rPr>
            </w:pPr>
            <w:r>
              <w:rPr>
                <w:rFonts w:hint="eastAsia"/>
                <w:b w:val="0"/>
              </w:rPr>
              <w:t>★</w:t>
            </w:r>
          </w:p>
        </w:tc>
        <w:tc>
          <w:tcPr>
            <w:tcW w:w="388" w:type="pct"/>
            <w:tcBorders>
              <w:tl2br w:val="nil"/>
              <w:tr2bl w:val="nil"/>
            </w:tcBorders>
            <w:shd w:val="clear" w:color="auto" w:fill="FFFFFF"/>
            <w:vAlign w:val="center"/>
          </w:tcPr>
          <w:p w14:paraId="273C8C7E">
            <w:pPr>
              <w:pStyle w:val="16"/>
              <w:rPr>
                <w:b w:val="0"/>
              </w:rPr>
            </w:pPr>
          </w:p>
        </w:tc>
        <w:tc>
          <w:tcPr>
            <w:tcW w:w="471" w:type="pct"/>
            <w:tcBorders>
              <w:right w:val="single" w:color="000000" w:sz="12" w:space="0"/>
              <w:tl2br w:val="nil"/>
              <w:tr2bl w:val="nil"/>
            </w:tcBorders>
            <w:shd w:val="clear" w:color="auto" w:fill="FFFFFF"/>
            <w:vAlign w:val="center"/>
          </w:tcPr>
          <w:p w14:paraId="63B1F8B3">
            <w:pPr>
              <w:pStyle w:val="16"/>
              <w:rPr>
                <w:b w:val="0"/>
              </w:rPr>
            </w:pPr>
            <w:r>
              <w:rPr>
                <w:rFonts w:hint="eastAsia"/>
                <w:b w:val="0"/>
              </w:rPr>
              <w:t>S</w:t>
            </w:r>
          </w:p>
        </w:tc>
      </w:tr>
      <w:tr w14:paraId="31078C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3CD5325">
            <w:pPr>
              <w:pStyle w:val="16"/>
              <w:rPr>
                <w:b w:val="0"/>
              </w:rPr>
            </w:pPr>
            <w:r>
              <w:rPr>
                <w:rFonts w:hint="eastAsia"/>
                <w:b w:val="0"/>
              </w:rPr>
              <w:t>3</w:t>
            </w:r>
          </w:p>
        </w:tc>
        <w:tc>
          <w:tcPr>
            <w:tcW w:w="2152" w:type="pct"/>
            <w:tcBorders>
              <w:tl2br w:val="nil"/>
              <w:tr2bl w:val="nil"/>
            </w:tcBorders>
            <w:shd w:val="clear" w:color="auto" w:fill="FFFFFF"/>
            <w:vAlign w:val="center"/>
          </w:tcPr>
          <w:p w14:paraId="23B57057">
            <w:pPr>
              <w:pStyle w:val="16"/>
              <w:rPr>
                <w:b w:val="0"/>
              </w:rPr>
            </w:pPr>
            <w:r>
              <w:rPr>
                <w:rFonts w:hint="eastAsia"/>
                <w:b w:val="0"/>
              </w:rPr>
              <w:t>各组件、零部件安全顺利</w:t>
            </w:r>
            <w:r>
              <w:rPr>
                <w:rFonts w:hint="eastAsia"/>
                <w:b w:val="0"/>
                <w:lang w:val="en-US" w:eastAsia="zh-CN"/>
              </w:rPr>
              <w:t>拆除</w:t>
            </w:r>
            <w:r>
              <w:rPr>
                <w:rFonts w:hint="eastAsia"/>
                <w:b w:val="0"/>
              </w:rPr>
              <w:t>，无损坏或变形</w:t>
            </w:r>
          </w:p>
        </w:tc>
        <w:tc>
          <w:tcPr>
            <w:tcW w:w="447" w:type="pct"/>
            <w:tcBorders>
              <w:tl2br w:val="nil"/>
              <w:tr2bl w:val="nil"/>
            </w:tcBorders>
            <w:shd w:val="clear" w:color="auto" w:fill="FFFFFF"/>
            <w:vAlign w:val="center"/>
          </w:tcPr>
          <w:p w14:paraId="3706A5ED">
            <w:pPr>
              <w:pStyle w:val="16"/>
              <w:rPr>
                <w:b w:val="0"/>
              </w:rPr>
            </w:pPr>
            <w:r>
              <w:rPr>
                <w:rFonts w:hint="eastAsia"/>
                <w:b w:val="0"/>
              </w:rPr>
              <w:t>★</w:t>
            </w:r>
          </w:p>
        </w:tc>
        <w:tc>
          <w:tcPr>
            <w:tcW w:w="523" w:type="pct"/>
            <w:tcBorders>
              <w:tl2br w:val="nil"/>
              <w:tr2bl w:val="nil"/>
            </w:tcBorders>
            <w:shd w:val="clear" w:color="auto" w:fill="FFFFFF"/>
            <w:vAlign w:val="center"/>
          </w:tcPr>
          <w:p w14:paraId="3F440C79">
            <w:pPr>
              <w:pStyle w:val="16"/>
              <w:rPr>
                <w:b w:val="0"/>
              </w:rPr>
            </w:pPr>
          </w:p>
        </w:tc>
        <w:tc>
          <w:tcPr>
            <w:tcW w:w="526" w:type="pct"/>
            <w:tcBorders>
              <w:tl2br w:val="nil"/>
              <w:tr2bl w:val="nil"/>
            </w:tcBorders>
            <w:shd w:val="clear" w:color="auto" w:fill="FFFFFF"/>
            <w:vAlign w:val="center"/>
          </w:tcPr>
          <w:p w14:paraId="34FC65F3">
            <w:pPr>
              <w:pStyle w:val="16"/>
              <w:rPr>
                <w:b w:val="0"/>
              </w:rPr>
            </w:pPr>
            <w:r>
              <w:rPr>
                <w:rFonts w:hint="eastAsia"/>
                <w:b w:val="0"/>
              </w:rPr>
              <w:t>★</w:t>
            </w:r>
          </w:p>
        </w:tc>
        <w:tc>
          <w:tcPr>
            <w:tcW w:w="388" w:type="pct"/>
            <w:tcBorders>
              <w:tl2br w:val="nil"/>
              <w:tr2bl w:val="nil"/>
            </w:tcBorders>
            <w:shd w:val="clear" w:color="auto" w:fill="FFFFFF"/>
            <w:vAlign w:val="center"/>
          </w:tcPr>
          <w:p w14:paraId="64562633">
            <w:pPr>
              <w:pStyle w:val="16"/>
              <w:rPr>
                <w:b w:val="0"/>
              </w:rPr>
            </w:pPr>
          </w:p>
        </w:tc>
        <w:tc>
          <w:tcPr>
            <w:tcW w:w="471" w:type="pct"/>
            <w:tcBorders>
              <w:right w:val="single" w:color="000000" w:sz="12" w:space="0"/>
              <w:tl2br w:val="nil"/>
              <w:tr2bl w:val="nil"/>
            </w:tcBorders>
            <w:shd w:val="clear" w:color="auto" w:fill="FFFFFF"/>
            <w:vAlign w:val="center"/>
          </w:tcPr>
          <w:p w14:paraId="1CECB099">
            <w:pPr>
              <w:pStyle w:val="16"/>
              <w:rPr>
                <w:b w:val="0"/>
              </w:rPr>
            </w:pPr>
            <w:r>
              <w:rPr>
                <w:rFonts w:hint="eastAsia"/>
                <w:b w:val="0"/>
              </w:rPr>
              <w:t>W</w:t>
            </w:r>
          </w:p>
        </w:tc>
      </w:tr>
      <w:tr w14:paraId="685D9E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4C581D63">
            <w:pPr>
              <w:pStyle w:val="16"/>
              <w:rPr>
                <w:b w:val="0"/>
              </w:rPr>
            </w:pPr>
            <w:r>
              <w:rPr>
                <w:rFonts w:hint="eastAsia"/>
                <w:b w:val="0"/>
              </w:rPr>
              <w:t>4</w:t>
            </w:r>
          </w:p>
        </w:tc>
        <w:tc>
          <w:tcPr>
            <w:tcW w:w="2152" w:type="pct"/>
            <w:tcBorders>
              <w:tl2br w:val="nil"/>
              <w:tr2bl w:val="nil"/>
            </w:tcBorders>
            <w:shd w:val="clear" w:color="auto" w:fill="FFFFFF"/>
            <w:vAlign w:val="center"/>
          </w:tcPr>
          <w:p w14:paraId="75B44466">
            <w:pPr>
              <w:pStyle w:val="16"/>
              <w:rPr>
                <w:b w:val="0"/>
              </w:rPr>
            </w:pPr>
            <w:r>
              <w:rPr>
                <w:rFonts w:hint="eastAsia"/>
                <w:b w:val="0"/>
              </w:rPr>
              <w:t>做好各组件、零部件</w:t>
            </w:r>
            <w:r>
              <w:rPr>
                <w:rFonts w:hint="eastAsia"/>
                <w:b w:val="0"/>
                <w:lang w:val="en-US" w:eastAsia="zh-CN"/>
              </w:rPr>
              <w:t>拆除</w:t>
            </w:r>
            <w:r>
              <w:rPr>
                <w:rFonts w:hint="eastAsia"/>
                <w:b w:val="0"/>
              </w:rPr>
              <w:t>后清点、整理和存放工作。</w:t>
            </w:r>
          </w:p>
        </w:tc>
        <w:tc>
          <w:tcPr>
            <w:tcW w:w="447" w:type="pct"/>
            <w:tcBorders>
              <w:tl2br w:val="nil"/>
              <w:tr2bl w:val="nil"/>
            </w:tcBorders>
            <w:shd w:val="clear" w:color="auto" w:fill="FFFFFF"/>
            <w:vAlign w:val="center"/>
          </w:tcPr>
          <w:p w14:paraId="59E14E2F">
            <w:pPr>
              <w:pStyle w:val="16"/>
              <w:rPr>
                <w:b w:val="0"/>
              </w:rPr>
            </w:pPr>
            <w:r>
              <w:rPr>
                <w:rFonts w:hint="eastAsia"/>
                <w:b w:val="0"/>
              </w:rPr>
              <w:t>★</w:t>
            </w:r>
          </w:p>
        </w:tc>
        <w:tc>
          <w:tcPr>
            <w:tcW w:w="523" w:type="pct"/>
            <w:tcBorders>
              <w:tl2br w:val="nil"/>
              <w:tr2bl w:val="nil"/>
            </w:tcBorders>
            <w:shd w:val="clear" w:color="auto" w:fill="FFFFFF"/>
            <w:vAlign w:val="center"/>
          </w:tcPr>
          <w:p w14:paraId="4B2C2BB0">
            <w:pPr>
              <w:pStyle w:val="16"/>
              <w:rPr>
                <w:b w:val="0"/>
              </w:rPr>
            </w:pPr>
          </w:p>
        </w:tc>
        <w:tc>
          <w:tcPr>
            <w:tcW w:w="526" w:type="pct"/>
            <w:tcBorders>
              <w:tl2br w:val="nil"/>
              <w:tr2bl w:val="nil"/>
            </w:tcBorders>
            <w:shd w:val="clear" w:color="auto" w:fill="FFFFFF"/>
            <w:vAlign w:val="center"/>
          </w:tcPr>
          <w:p w14:paraId="1D809F0C">
            <w:pPr>
              <w:pStyle w:val="16"/>
              <w:rPr>
                <w:b w:val="0"/>
              </w:rPr>
            </w:pPr>
            <w:r>
              <w:rPr>
                <w:rFonts w:hint="eastAsia"/>
                <w:b w:val="0"/>
              </w:rPr>
              <w:t>★</w:t>
            </w:r>
          </w:p>
        </w:tc>
        <w:tc>
          <w:tcPr>
            <w:tcW w:w="388" w:type="pct"/>
            <w:tcBorders>
              <w:tl2br w:val="nil"/>
              <w:tr2bl w:val="nil"/>
            </w:tcBorders>
            <w:shd w:val="clear" w:color="auto" w:fill="FFFFFF"/>
            <w:vAlign w:val="center"/>
          </w:tcPr>
          <w:p w14:paraId="259D56C0">
            <w:pPr>
              <w:pStyle w:val="16"/>
              <w:rPr>
                <w:b w:val="0"/>
              </w:rPr>
            </w:pPr>
          </w:p>
        </w:tc>
        <w:tc>
          <w:tcPr>
            <w:tcW w:w="471" w:type="pct"/>
            <w:tcBorders>
              <w:right w:val="single" w:color="000000" w:sz="12" w:space="0"/>
              <w:tl2br w:val="nil"/>
              <w:tr2bl w:val="nil"/>
            </w:tcBorders>
            <w:shd w:val="clear" w:color="auto" w:fill="FFFFFF"/>
            <w:vAlign w:val="center"/>
          </w:tcPr>
          <w:p w14:paraId="3778E56B">
            <w:pPr>
              <w:pStyle w:val="16"/>
              <w:rPr>
                <w:b w:val="0"/>
              </w:rPr>
            </w:pPr>
            <w:r>
              <w:rPr>
                <w:rFonts w:hint="eastAsia"/>
                <w:b w:val="0"/>
              </w:rPr>
              <w:t>W</w:t>
            </w:r>
          </w:p>
        </w:tc>
      </w:tr>
      <w:tr w14:paraId="19E251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bottom w:val="single" w:color="000000" w:sz="12" w:space="0"/>
              <w:tl2br w:val="nil"/>
              <w:tr2bl w:val="nil"/>
            </w:tcBorders>
            <w:shd w:val="clear" w:color="auto" w:fill="FFFFFF"/>
            <w:vAlign w:val="center"/>
          </w:tcPr>
          <w:p w14:paraId="3E4C79E7">
            <w:pPr>
              <w:pStyle w:val="16"/>
              <w:rPr>
                <w:b w:val="0"/>
              </w:rPr>
            </w:pPr>
            <w:r>
              <w:rPr>
                <w:rFonts w:hint="eastAsia"/>
                <w:b w:val="0"/>
              </w:rPr>
              <w:t>5</w:t>
            </w:r>
          </w:p>
        </w:tc>
        <w:tc>
          <w:tcPr>
            <w:tcW w:w="2152" w:type="pct"/>
            <w:tcBorders>
              <w:bottom w:val="single" w:color="000000" w:sz="12" w:space="0"/>
              <w:tl2br w:val="nil"/>
              <w:tr2bl w:val="nil"/>
            </w:tcBorders>
            <w:shd w:val="clear" w:color="auto" w:fill="FFFFFF"/>
            <w:vAlign w:val="center"/>
          </w:tcPr>
          <w:p w14:paraId="2F3E14DD">
            <w:pPr>
              <w:pStyle w:val="16"/>
              <w:rPr>
                <w:b w:val="0"/>
              </w:rPr>
            </w:pPr>
            <w:r>
              <w:rPr>
                <w:rFonts w:hint="eastAsia"/>
                <w:b w:val="0"/>
              </w:rPr>
              <w:t>作业方法应该按照说明书和本方案要求严格执行</w:t>
            </w:r>
          </w:p>
        </w:tc>
        <w:tc>
          <w:tcPr>
            <w:tcW w:w="447" w:type="pct"/>
            <w:tcBorders>
              <w:bottom w:val="single" w:color="000000" w:sz="12" w:space="0"/>
              <w:tl2br w:val="nil"/>
              <w:tr2bl w:val="nil"/>
            </w:tcBorders>
            <w:shd w:val="clear" w:color="auto" w:fill="FFFFFF"/>
            <w:vAlign w:val="center"/>
          </w:tcPr>
          <w:p w14:paraId="13389A76">
            <w:pPr>
              <w:pStyle w:val="16"/>
              <w:rPr>
                <w:b w:val="0"/>
              </w:rPr>
            </w:pPr>
            <w:r>
              <w:rPr>
                <w:rFonts w:hint="eastAsia"/>
                <w:b w:val="0"/>
              </w:rPr>
              <w:t>★</w:t>
            </w:r>
          </w:p>
        </w:tc>
        <w:tc>
          <w:tcPr>
            <w:tcW w:w="523" w:type="pct"/>
            <w:tcBorders>
              <w:bottom w:val="single" w:color="000000" w:sz="12" w:space="0"/>
              <w:tl2br w:val="nil"/>
              <w:tr2bl w:val="nil"/>
            </w:tcBorders>
            <w:shd w:val="clear" w:color="auto" w:fill="FFFFFF"/>
            <w:vAlign w:val="center"/>
          </w:tcPr>
          <w:p w14:paraId="7C38C406">
            <w:pPr>
              <w:pStyle w:val="16"/>
              <w:rPr>
                <w:b w:val="0"/>
              </w:rPr>
            </w:pPr>
          </w:p>
        </w:tc>
        <w:tc>
          <w:tcPr>
            <w:tcW w:w="526" w:type="pct"/>
            <w:tcBorders>
              <w:bottom w:val="single" w:color="000000" w:sz="12" w:space="0"/>
              <w:tl2br w:val="nil"/>
              <w:tr2bl w:val="nil"/>
            </w:tcBorders>
            <w:shd w:val="clear" w:color="auto" w:fill="FFFFFF"/>
            <w:vAlign w:val="center"/>
          </w:tcPr>
          <w:p w14:paraId="751C49A4">
            <w:pPr>
              <w:pStyle w:val="16"/>
              <w:rPr>
                <w:b w:val="0"/>
              </w:rPr>
            </w:pPr>
            <w:r>
              <w:rPr>
                <w:rFonts w:hint="eastAsia"/>
                <w:b w:val="0"/>
              </w:rPr>
              <w:t>★</w:t>
            </w:r>
          </w:p>
        </w:tc>
        <w:tc>
          <w:tcPr>
            <w:tcW w:w="388" w:type="pct"/>
            <w:tcBorders>
              <w:bottom w:val="single" w:color="000000" w:sz="12" w:space="0"/>
              <w:tl2br w:val="nil"/>
              <w:tr2bl w:val="nil"/>
            </w:tcBorders>
            <w:shd w:val="clear" w:color="auto" w:fill="FFFFFF"/>
            <w:vAlign w:val="center"/>
          </w:tcPr>
          <w:p w14:paraId="12640836">
            <w:pPr>
              <w:pStyle w:val="16"/>
              <w:rPr>
                <w:b w:val="0"/>
              </w:rPr>
            </w:pPr>
          </w:p>
        </w:tc>
        <w:tc>
          <w:tcPr>
            <w:tcW w:w="471" w:type="pct"/>
            <w:tcBorders>
              <w:bottom w:val="single" w:color="000000" w:sz="12" w:space="0"/>
              <w:right w:val="single" w:color="000000" w:sz="12" w:space="0"/>
              <w:tl2br w:val="nil"/>
              <w:tr2bl w:val="nil"/>
            </w:tcBorders>
            <w:shd w:val="clear" w:color="auto" w:fill="FFFFFF"/>
            <w:vAlign w:val="center"/>
          </w:tcPr>
          <w:p w14:paraId="300D2506">
            <w:pPr>
              <w:pStyle w:val="16"/>
              <w:rPr>
                <w:b w:val="0"/>
              </w:rPr>
            </w:pPr>
            <w:r>
              <w:rPr>
                <w:rFonts w:hint="eastAsia"/>
                <w:b w:val="0"/>
              </w:rPr>
              <w:t>R</w:t>
            </w:r>
          </w:p>
        </w:tc>
      </w:tr>
    </w:tbl>
    <w:p w14:paraId="6DD1846F">
      <w:pPr>
        <w:ind w:firstLine="440"/>
        <w:rPr>
          <w:sz w:val="22"/>
        </w:rPr>
      </w:pPr>
      <w:r>
        <w:rPr>
          <w:rFonts w:hint="eastAsia"/>
          <w:sz w:val="22"/>
        </w:rPr>
        <w:t>见证方式:R － 记录确认点；W － 见证点；H － 停工待检点；S － 连续监视监护</w:t>
      </w:r>
    </w:p>
    <w:p w14:paraId="11488B2E">
      <w:pPr>
        <w:pStyle w:val="2"/>
        <w:bidi w:val="0"/>
        <w:ind w:left="432" w:leftChars="0" w:hanging="432" w:firstLineChars="0"/>
        <w:rPr>
          <w:rFonts w:hint="eastAsia"/>
        </w:rPr>
      </w:pPr>
      <w:bookmarkStart w:id="106" w:name="_Toc29966"/>
      <w:bookmarkStart w:id="107" w:name="_Toc27365"/>
      <w:bookmarkStart w:id="108" w:name="_Toc8718"/>
      <w:r>
        <w:rPr>
          <w:rFonts w:hint="eastAsia"/>
        </w:rPr>
        <w:t>施工安全保障措施</w:t>
      </w:r>
      <w:bookmarkEnd w:id="106"/>
      <w:bookmarkEnd w:id="107"/>
      <w:bookmarkEnd w:id="108"/>
    </w:p>
    <w:p w14:paraId="23146923">
      <w:pPr>
        <w:pStyle w:val="3"/>
        <w:bidi w:val="0"/>
        <w:ind w:left="575" w:leftChars="0" w:hanging="575" w:firstLineChars="0"/>
        <w:rPr>
          <w:b/>
          <w:bCs w:val="0"/>
          <w:sz w:val="28"/>
          <w:szCs w:val="28"/>
        </w:rPr>
      </w:pPr>
      <w:bookmarkStart w:id="109" w:name="_Toc638"/>
      <w:bookmarkStart w:id="110" w:name="_Toc14956"/>
      <w:bookmarkStart w:id="111" w:name="_Toc31874"/>
      <w:bookmarkStart w:id="112" w:name="_Toc122514838"/>
      <w:r>
        <w:rPr>
          <w:rFonts w:hint="eastAsia"/>
          <w:b/>
          <w:bCs w:val="0"/>
          <w:sz w:val="28"/>
          <w:szCs w:val="28"/>
          <w:lang w:val="en-US" w:eastAsia="zh-CN"/>
        </w:rPr>
        <w:t>危险源辨识及方法</w:t>
      </w:r>
      <w:bookmarkEnd w:id="109"/>
      <w:bookmarkEnd w:id="110"/>
      <w:bookmarkEnd w:id="111"/>
    </w:p>
    <w:p w14:paraId="5260EC8D">
      <w:pPr>
        <w:pStyle w:val="4"/>
        <w:rPr>
          <w:b/>
          <w:bCs w:val="0"/>
        </w:rPr>
      </w:pPr>
      <w:r>
        <w:rPr>
          <w:rFonts w:hint="eastAsia"/>
          <w:b/>
          <w:bCs w:val="0"/>
        </w:rPr>
        <w:t>风险源辨识与评价</w:t>
      </w:r>
    </w:p>
    <w:p w14:paraId="45AC229B">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-1</w:t>
      </w:r>
      <w:r>
        <w:fldChar w:fldCharType="end"/>
      </w:r>
      <w:r>
        <w:rPr>
          <w:rFonts w:hint="eastAsia"/>
        </w:rPr>
        <w:t>所示。</w:t>
      </w:r>
    </w:p>
    <w:p w14:paraId="2CE7B2DE">
      <w:pPr>
        <w:pStyle w:val="15"/>
        <w:bidi w:val="0"/>
      </w:pPr>
      <w:bookmarkStart w:id="113"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bookmarkEnd w:id="113"/>
      <w:r>
        <w:t xml:space="preserve"> </w:t>
      </w:r>
      <w:r>
        <w:rPr>
          <w:rFonts w:hint="eastAsia"/>
        </w:rPr>
        <w:t>风险因素分析、识别表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55"/>
        <w:gridCol w:w="6149"/>
        <w:gridCol w:w="1091"/>
      </w:tblGrid>
      <w:tr w14:paraId="736EA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0" w:type="pct"/>
            <w:tcBorders>
              <w:tl2br w:val="nil"/>
              <w:tr2bl w:val="nil"/>
            </w:tcBorders>
            <w:vAlign w:val="center"/>
          </w:tcPr>
          <w:p w14:paraId="58BDE4DB">
            <w:pPr>
              <w:pStyle w:val="16"/>
              <w:tabs>
                <w:tab w:val="left" w:pos="0"/>
              </w:tabs>
              <w:jc w:val="both"/>
              <w:rPr>
                <w:b/>
              </w:rPr>
            </w:pPr>
            <w:r>
              <w:rPr>
                <w:rFonts w:hint="eastAsia"/>
                <w:b/>
              </w:rPr>
              <w:t>序号</w:t>
            </w:r>
          </w:p>
        </w:tc>
        <w:tc>
          <w:tcPr>
            <w:tcW w:w="502" w:type="pct"/>
            <w:tcBorders>
              <w:tl2br w:val="nil"/>
              <w:tr2bl w:val="nil"/>
            </w:tcBorders>
            <w:vAlign w:val="center"/>
          </w:tcPr>
          <w:p w14:paraId="08018253">
            <w:pPr>
              <w:pStyle w:val="16"/>
              <w:rPr>
                <w:b/>
              </w:rPr>
            </w:pPr>
            <w:r>
              <w:rPr>
                <w:rFonts w:hint="eastAsia"/>
                <w:b/>
              </w:rPr>
              <w:t>环节</w:t>
            </w:r>
          </w:p>
        </w:tc>
        <w:tc>
          <w:tcPr>
            <w:tcW w:w="3607" w:type="pct"/>
            <w:tcBorders>
              <w:tl2br w:val="nil"/>
              <w:tr2bl w:val="nil"/>
            </w:tcBorders>
            <w:vAlign w:val="center"/>
          </w:tcPr>
          <w:p w14:paraId="3CF158AF">
            <w:pPr>
              <w:pStyle w:val="16"/>
              <w:rPr>
                <w:b/>
              </w:rPr>
            </w:pPr>
            <w:r>
              <w:rPr>
                <w:rFonts w:hint="eastAsia"/>
                <w:b/>
                <w:bCs/>
              </w:rPr>
              <w:t>危害因素</w:t>
            </w:r>
          </w:p>
        </w:tc>
        <w:tc>
          <w:tcPr>
            <w:tcW w:w="640" w:type="pct"/>
            <w:tcBorders>
              <w:tl2br w:val="nil"/>
              <w:tr2bl w:val="nil"/>
            </w:tcBorders>
            <w:vAlign w:val="center"/>
          </w:tcPr>
          <w:p w14:paraId="11E403B3">
            <w:pPr>
              <w:pStyle w:val="16"/>
              <w:rPr>
                <w:b/>
              </w:rPr>
            </w:pPr>
            <w:r>
              <w:rPr>
                <w:rFonts w:hint="eastAsia"/>
                <w:b/>
                <w:bCs/>
              </w:rPr>
              <w:t>潜在事故类型</w:t>
            </w:r>
          </w:p>
        </w:tc>
      </w:tr>
      <w:tr w14:paraId="2F99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FEEC3D">
            <w:pPr>
              <w:pStyle w:val="16"/>
              <w:numPr>
                <w:ilvl w:val="0"/>
                <w:numId w:val="27"/>
              </w:numPr>
              <w:tabs>
                <w:tab w:val="clear" w:pos="0"/>
              </w:tabs>
            </w:pPr>
          </w:p>
        </w:tc>
        <w:tc>
          <w:tcPr>
            <w:tcW w:w="502" w:type="pct"/>
            <w:vMerge w:val="restart"/>
            <w:tcBorders>
              <w:tl2br w:val="nil"/>
              <w:tr2bl w:val="nil"/>
            </w:tcBorders>
            <w:vAlign w:val="center"/>
          </w:tcPr>
          <w:p w14:paraId="52B45418">
            <w:pPr>
              <w:pStyle w:val="16"/>
              <w:rPr>
                <w:b w:val="0"/>
                <w:bCs w:val="0"/>
              </w:rPr>
            </w:pPr>
            <w:r>
              <w:rPr>
                <w:rFonts w:hint="eastAsia"/>
                <w:b w:val="0"/>
                <w:bCs w:val="0"/>
                <w:lang w:val="en-US" w:eastAsia="zh-CN"/>
              </w:rPr>
              <w:t>拆除</w:t>
            </w:r>
            <w:r>
              <w:rPr>
                <w:rFonts w:hint="eastAsia"/>
                <w:b w:val="0"/>
                <w:bCs w:val="0"/>
              </w:rPr>
              <w:t>前准备</w:t>
            </w:r>
          </w:p>
        </w:tc>
        <w:tc>
          <w:tcPr>
            <w:tcW w:w="3607" w:type="pct"/>
            <w:tcBorders>
              <w:tl2br w:val="nil"/>
              <w:tr2bl w:val="nil"/>
            </w:tcBorders>
            <w:vAlign w:val="center"/>
          </w:tcPr>
          <w:p w14:paraId="6B0B0EC2">
            <w:pPr>
              <w:pStyle w:val="16"/>
              <w:rPr>
                <w:b w:val="0"/>
                <w:bCs w:val="0"/>
              </w:rPr>
            </w:pPr>
            <w:r>
              <w:rPr>
                <w:rFonts w:hint="eastAsia"/>
                <w:b w:val="0"/>
                <w:bCs w:val="0"/>
              </w:rPr>
              <w:t>设备</w:t>
            </w:r>
            <w:r>
              <w:rPr>
                <w:rFonts w:hint="eastAsia"/>
                <w:b w:val="0"/>
                <w:bCs w:val="0"/>
                <w:lang w:val="en-US" w:eastAsia="zh-CN"/>
              </w:rPr>
              <w:t>拆除</w:t>
            </w:r>
            <w:r>
              <w:rPr>
                <w:rFonts w:hint="eastAsia"/>
                <w:b w:val="0"/>
                <w:bCs w:val="0"/>
              </w:rPr>
              <w:t>前没有进行全面的检查，并确认合格。</w:t>
            </w:r>
          </w:p>
        </w:tc>
        <w:tc>
          <w:tcPr>
            <w:tcW w:w="640" w:type="pct"/>
            <w:tcBorders>
              <w:tl2br w:val="nil"/>
              <w:tr2bl w:val="nil"/>
            </w:tcBorders>
            <w:vAlign w:val="center"/>
          </w:tcPr>
          <w:p w14:paraId="224213DA">
            <w:pPr>
              <w:pStyle w:val="16"/>
              <w:rPr>
                <w:b w:val="0"/>
                <w:bCs w:val="0"/>
              </w:rPr>
            </w:pPr>
            <w:r>
              <w:rPr>
                <w:rFonts w:hint="eastAsia"/>
                <w:b w:val="0"/>
                <w:bCs w:val="0"/>
              </w:rPr>
              <w:t>起重伤害</w:t>
            </w:r>
          </w:p>
        </w:tc>
      </w:tr>
      <w:tr w14:paraId="7A77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8FB52DF">
            <w:pPr>
              <w:pStyle w:val="16"/>
              <w:numPr>
                <w:ilvl w:val="0"/>
                <w:numId w:val="27"/>
              </w:numPr>
              <w:tabs>
                <w:tab w:val="clear" w:pos="0"/>
              </w:tabs>
            </w:pPr>
          </w:p>
        </w:tc>
        <w:tc>
          <w:tcPr>
            <w:tcW w:w="502" w:type="pct"/>
            <w:vMerge w:val="continue"/>
            <w:tcBorders>
              <w:tl2br w:val="nil"/>
              <w:tr2bl w:val="nil"/>
            </w:tcBorders>
            <w:vAlign w:val="center"/>
          </w:tcPr>
          <w:p w14:paraId="1B17CABD">
            <w:pPr>
              <w:pStyle w:val="16"/>
              <w:rPr>
                <w:b w:val="0"/>
                <w:bCs w:val="0"/>
              </w:rPr>
            </w:pPr>
          </w:p>
        </w:tc>
        <w:tc>
          <w:tcPr>
            <w:tcW w:w="3607" w:type="pct"/>
            <w:tcBorders>
              <w:tl2br w:val="nil"/>
              <w:tr2bl w:val="nil"/>
            </w:tcBorders>
            <w:vAlign w:val="center"/>
          </w:tcPr>
          <w:p w14:paraId="7AC97745">
            <w:pPr>
              <w:pStyle w:val="16"/>
              <w:rPr>
                <w:b w:val="0"/>
                <w:bCs w:val="0"/>
              </w:rPr>
            </w:pPr>
            <w:r>
              <w:rPr>
                <w:rFonts w:hint="eastAsia"/>
                <w:b w:val="0"/>
                <w:bCs w:val="0"/>
              </w:rPr>
              <w:t>没有对建筑承载结构进行验算。</w:t>
            </w:r>
          </w:p>
        </w:tc>
        <w:tc>
          <w:tcPr>
            <w:tcW w:w="640" w:type="pct"/>
            <w:tcBorders>
              <w:tl2br w:val="nil"/>
              <w:tr2bl w:val="nil"/>
            </w:tcBorders>
            <w:vAlign w:val="center"/>
          </w:tcPr>
          <w:p w14:paraId="1DF17E44">
            <w:pPr>
              <w:pStyle w:val="16"/>
              <w:rPr>
                <w:b w:val="0"/>
                <w:bCs w:val="0"/>
              </w:rPr>
            </w:pPr>
            <w:r>
              <w:rPr>
                <w:rFonts w:hint="eastAsia"/>
                <w:b w:val="0"/>
                <w:bCs w:val="0"/>
              </w:rPr>
              <w:t>起重伤害</w:t>
            </w:r>
          </w:p>
        </w:tc>
      </w:tr>
      <w:tr w14:paraId="2ECF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2C2E9D0">
            <w:pPr>
              <w:pStyle w:val="16"/>
              <w:numPr>
                <w:ilvl w:val="0"/>
                <w:numId w:val="27"/>
              </w:numPr>
              <w:tabs>
                <w:tab w:val="clear" w:pos="0"/>
              </w:tabs>
            </w:pPr>
          </w:p>
        </w:tc>
        <w:tc>
          <w:tcPr>
            <w:tcW w:w="502" w:type="pct"/>
            <w:vMerge w:val="continue"/>
            <w:tcBorders>
              <w:tl2br w:val="nil"/>
              <w:tr2bl w:val="nil"/>
            </w:tcBorders>
            <w:vAlign w:val="center"/>
          </w:tcPr>
          <w:p w14:paraId="28062433">
            <w:pPr>
              <w:pStyle w:val="16"/>
              <w:rPr>
                <w:b w:val="0"/>
                <w:bCs w:val="0"/>
              </w:rPr>
            </w:pPr>
          </w:p>
        </w:tc>
        <w:tc>
          <w:tcPr>
            <w:tcW w:w="3607" w:type="pct"/>
            <w:tcBorders>
              <w:tl2br w:val="nil"/>
              <w:tr2bl w:val="nil"/>
            </w:tcBorders>
            <w:vAlign w:val="center"/>
          </w:tcPr>
          <w:p w14:paraId="0EA77EBD">
            <w:pPr>
              <w:pStyle w:val="16"/>
              <w:rPr>
                <w:b w:val="0"/>
                <w:bCs w:val="0"/>
              </w:rPr>
            </w:pPr>
            <w:r>
              <w:rPr>
                <w:rFonts w:hint="eastAsia"/>
                <w:b w:val="0"/>
                <w:bCs w:val="0"/>
                <w:lang w:val="en-US" w:eastAsia="zh-CN"/>
              </w:rPr>
              <w:t>拆除</w:t>
            </w:r>
            <w:r>
              <w:rPr>
                <w:rFonts w:hint="eastAsia"/>
                <w:b w:val="0"/>
                <w:bCs w:val="0"/>
              </w:rPr>
              <w:t>作业未按照专项方案要求实施。</w:t>
            </w:r>
            <w:r>
              <w:rPr>
                <w:rFonts w:hint="eastAsia"/>
                <w:b w:val="0"/>
                <w:bCs w:val="0"/>
                <w:lang w:val="en-US" w:eastAsia="zh-CN"/>
              </w:rPr>
              <w:t>拆除</w:t>
            </w:r>
            <w:r>
              <w:rPr>
                <w:rFonts w:hint="eastAsia"/>
                <w:b w:val="0"/>
                <w:bCs w:val="0"/>
              </w:rPr>
              <w:t>前未对</w:t>
            </w:r>
            <w:r>
              <w:rPr>
                <w:rFonts w:hint="eastAsia"/>
                <w:b w:val="0"/>
                <w:bCs w:val="0"/>
                <w:lang w:val="en-US" w:eastAsia="zh-CN"/>
              </w:rPr>
              <w:t>拆除</w:t>
            </w:r>
            <w:r>
              <w:rPr>
                <w:rFonts w:hint="eastAsia"/>
                <w:b w:val="0"/>
                <w:bCs w:val="0"/>
              </w:rPr>
              <w:t>作业人员进行安全技术交底。</w:t>
            </w:r>
          </w:p>
        </w:tc>
        <w:tc>
          <w:tcPr>
            <w:tcW w:w="640" w:type="pct"/>
            <w:tcBorders>
              <w:tl2br w:val="nil"/>
              <w:tr2bl w:val="nil"/>
            </w:tcBorders>
            <w:vAlign w:val="center"/>
          </w:tcPr>
          <w:p w14:paraId="4AB5D3B4">
            <w:pPr>
              <w:pStyle w:val="16"/>
              <w:rPr>
                <w:b w:val="0"/>
                <w:bCs w:val="0"/>
              </w:rPr>
            </w:pPr>
            <w:r>
              <w:rPr>
                <w:rFonts w:hint="eastAsia"/>
                <w:b w:val="0"/>
                <w:bCs w:val="0"/>
              </w:rPr>
              <w:t>起重伤害</w:t>
            </w:r>
          </w:p>
        </w:tc>
      </w:tr>
      <w:tr w14:paraId="73D8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E87F282">
            <w:pPr>
              <w:pStyle w:val="16"/>
              <w:numPr>
                <w:ilvl w:val="0"/>
                <w:numId w:val="27"/>
              </w:numPr>
              <w:tabs>
                <w:tab w:val="clear" w:pos="0"/>
              </w:tabs>
            </w:pPr>
          </w:p>
        </w:tc>
        <w:tc>
          <w:tcPr>
            <w:tcW w:w="502" w:type="pct"/>
            <w:vMerge w:val="continue"/>
            <w:tcBorders>
              <w:tl2br w:val="nil"/>
              <w:tr2bl w:val="nil"/>
            </w:tcBorders>
            <w:vAlign w:val="center"/>
          </w:tcPr>
          <w:p w14:paraId="6A9075C8">
            <w:pPr>
              <w:pStyle w:val="16"/>
              <w:rPr>
                <w:b w:val="0"/>
                <w:bCs w:val="0"/>
              </w:rPr>
            </w:pPr>
          </w:p>
        </w:tc>
        <w:tc>
          <w:tcPr>
            <w:tcW w:w="3607" w:type="pct"/>
            <w:tcBorders>
              <w:tl2br w:val="nil"/>
              <w:tr2bl w:val="nil"/>
            </w:tcBorders>
            <w:vAlign w:val="center"/>
          </w:tcPr>
          <w:p w14:paraId="43035BD0">
            <w:pPr>
              <w:pStyle w:val="16"/>
              <w:rPr>
                <w:b w:val="0"/>
                <w:bCs w:val="0"/>
              </w:rPr>
            </w:pPr>
            <w:r>
              <w:rPr>
                <w:rFonts w:hint="eastAsia"/>
                <w:b w:val="0"/>
                <w:bCs w:val="0"/>
              </w:rPr>
              <w:t>雨雪、浓雾天气没有停止</w:t>
            </w:r>
            <w:r>
              <w:rPr>
                <w:rFonts w:hint="eastAsia"/>
                <w:b w:val="0"/>
                <w:bCs w:val="0"/>
                <w:lang w:val="en-US" w:eastAsia="zh-CN"/>
              </w:rPr>
              <w:t>拆除</w:t>
            </w:r>
            <w:r>
              <w:rPr>
                <w:rFonts w:hint="eastAsia"/>
                <w:b w:val="0"/>
                <w:bCs w:val="0"/>
              </w:rPr>
              <w:t>作业。</w:t>
            </w:r>
          </w:p>
        </w:tc>
        <w:tc>
          <w:tcPr>
            <w:tcW w:w="640" w:type="pct"/>
            <w:tcBorders>
              <w:tl2br w:val="nil"/>
              <w:tr2bl w:val="nil"/>
            </w:tcBorders>
            <w:vAlign w:val="center"/>
          </w:tcPr>
          <w:p w14:paraId="72E61273">
            <w:pPr>
              <w:pStyle w:val="16"/>
              <w:rPr>
                <w:b w:val="0"/>
                <w:bCs w:val="0"/>
              </w:rPr>
            </w:pPr>
            <w:r>
              <w:rPr>
                <w:rFonts w:hint="eastAsia"/>
                <w:b w:val="0"/>
                <w:bCs w:val="0"/>
              </w:rPr>
              <w:t>起重伤害</w:t>
            </w:r>
          </w:p>
        </w:tc>
      </w:tr>
      <w:tr w14:paraId="65BFC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3F13A6D">
            <w:pPr>
              <w:pStyle w:val="16"/>
              <w:numPr>
                <w:ilvl w:val="0"/>
                <w:numId w:val="27"/>
              </w:numPr>
              <w:tabs>
                <w:tab w:val="clear" w:pos="0"/>
              </w:tabs>
            </w:pPr>
          </w:p>
        </w:tc>
        <w:tc>
          <w:tcPr>
            <w:tcW w:w="502" w:type="pct"/>
            <w:vMerge w:val="continue"/>
            <w:tcBorders>
              <w:tl2br w:val="nil"/>
              <w:tr2bl w:val="nil"/>
            </w:tcBorders>
            <w:vAlign w:val="center"/>
          </w:tcPr>
          <w:p w14:paraId="2068B1AC">
            <w:pPr>
              <w:pStyle w:val="16"/>
              <w:rPr>
                <w:b w:val="0"/>
                <w:bCs w:val="0"/>
              </w:rPr>
            </w:pPr>
          </w:p>
        </w:tc>
        <w:tc>
          <w:tcPr>
            <w:tcW w:w="3607" w:type="pct"/>
            <w:tcBorders>
              <w:tl2br w:val="nil"/>
              <w:tr2bl w:val="nil"/>
            </w:tcBorders>
            <w:vAlign w:val="center"/>
          </w:tcPr>
          <w:p w14:paraId="6B74D100">
            <w:pPr>
              <w:pStyle w:val="16"/>
              <w:rPr>
                <w:b w:val="0"/>
                <w:bCs w:val="0"/>
              </w:rPr>
            </w:pPr>
            <w:r>
              <w:rPr>
                <w:rFonts w:hint="eastAsia"/>
                <w:b w:val="0"/>
                <w:bCs w:val="0"/>
              </w:rPr>
              <w:t>当需要在夜间进行</w:t>
            </w:r>
            <w:r>
              <w:rPr>
                <w:rFonts w:hint="eastAsia"/>
                <w:b w:val="0"/>
                <w:bCs w:val="0"/>
                <w:lang w:val="en-US" w:eastAsia="zh-CN"/>
              </w:rPr>
              <w:t>拆除</w:t>
            </w:r>
            <w:r>
              <w:rPr>
                <w:rFonts w:hint="eastAsia"/>
                <w:b w:val="0"/>
                <w:bCs w:val="0"/>
              </w:rPr>
              <w:t>作业时，没有保证提供足够的照明。</w:t>
            </w:r>
          </w:p>
        </w:tc>
        <w:tc>
          <w:tcPr>
            <w:tcW w:w="640" w:type="pct"/>
            <w:tcBorders>
              <w:tl2br w:val="nil"/>
              <w:tr2bl w:val="nil"/>
            </w:tcBorders>
            <w:vAlign w:val="center"/>
          </w:tcPr>
          <w:p w14:paraId="7B82CBB5">
            <w:pPr>
              <w:pStyle w:val="16"/>
              <w:rPr>
                <w:b w:val="0"/>
                <w:bCs w:val="0"/>
              </w:rPr>
            </w:pPr>
            <w:r>
              <w:rPr>
                <w:rFonts w:hint="eastAsia"/>
                <w:b w:val="0"/>
                <w:bCs w:val="0"/>
              </w:rPr>
              <w:t>起重伤害</w:t>
            </w:r>
          </w:p>
        </w:tc>
      </w:tr>
      <w:tr w14:paraId="03ED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8E800F4">
            <w:pPr>
              <w:pStyle w:val="16"/>
              <w:numPr>
                <w:ilvl w:val="0"/>
                <w:numId w:val="27"/>
              </w:numPr>
              <w:tabs>
                <w:tab w:val="clear" w:pos="0"/>
              </w:tabs>
            </w:pPr>
          </w:p>
        </w:tc>
        <w:tc>
          <w:tcPr>
            <w:tcW w:w="502" w:type="pct"/>
            <w:vMerge w:val="continue"/>
            <w:tcBorders>
              <w:tl2br w:val="nil"/>
              <w:tr2bl w:val="nil"/>
            </w:tcBorders>
            <w:vAlign w:val="center"/>
          </w:tcPr>
          <w:p w14:paraId="1464AB7C">
            <w:pPr>
              <w:pStyle w:val="16"/>
              <w:rPr>
                <w:b w:val="0"/>
                <w:bCs w:val="0"/>
              </w:rPr>
            </w:pPr>
          </w:p>
        </w:tc>
        <w:tc>
          <w:tcPr>
            <w:tcW w:w="3607" w:type="pct"/>
            <w:tcBorders>
              <w:tl2br w:val="nil"/>
              <w:tr2bl w:val="nil"/>
            </w:tcBorders>
            <w:vAlign w:val="center"/>
          </w:tcPr>
          <w:p w14:paraId="75136D37">
            <w:pPr>
              <w:pStyle w:val="16"/>
              <w:rPr>
                <w:b w:val="0"/>
                <w:bCs w:val="0"/>
              </w:rPr>
            </w:pPr>
            <w:r>
              <w:rPr>
                <w:rFonts w:hint="eastAsia"/>
                <w:b w:val="0"/>
                <w:bCs w:val="0"/>
              </w:rPr>
              <w:t>起重吊装设备的进场验收</w:t>
            </w:r>
          </w:p>
        </w:tc>
        <w:tc>
          <w:tcPr>
            <w:tcW w:w="640" w:type="pct"/>
            <w:tcBorders>
              <w:tl2br w:val="nil"/>
              <w:tr2bl w:val="nil"/>
            </w:tcBorders>
            <w:vAlign w:val="center"/>
          </w:tcPr>
          <w:p w14:paraId="0551C787">
            <w:pPr>
              <w:pStyle w:val="16"/>
              <w:rPr>
                <w:b w:val="0"/>
                <w:bCs w:val="0"/>
              </w:rPr>
            </w:pPr>
            <w:r>
              <w:rPr>
                <w:rFonts w:hint="eastAsia"/>
                <w:b w:val="0"/>
                <w:bCs w:val="0"/>
              </w:rPr>
              <w:t>起重伤害</w:t>
            </w:r>
          </w:p>
        </w:tc>
      </w:tr>
      <w:tr w14:paraId="51173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7EBA8A4">
            <w:pPr>
              <w:pStyle w:val="16"/>
              <w:numPr>
                <w:ilvl w:val="0"/>
                <w:numId w:val="27"/>
              </w:numPr>
              <w:tabs>
                <w:tab w:val="clear" w:pos="0"/>
              </w:tabs>
            </w:pPr>
          </w:p>
        </w:tc>
        <w:tc>
          <w:tcPr>
            <w:tcW w:w="502" w:type="pct"/>
            <w:vMerge w:val="continue"/>
            <w:tcBorders>
              <w:tl2br w:val="nil"/>
              <w:tr2bl w:val="nil"/>
            </w:tcBorders>
            <w:vAlign w:val="center"/>
          </w:tcPr>
          <w:p w14:paraId="62652ADC">
            <w:pPr>
              <w:pStyle w:val="16"/>
              <w:rPr>
                <w:b w:val="0"/>
                <w:bCs w:val="0"/>
              </w:rPr>
            </w:pPr>
          </w:p>
        </w:tc>
        <w:tc>
          <w:tcPr>
            <w:tcW w:w="3607" w:type="pct"/>
            <w:tcBorders>
              <w:tl2br w:val="nil"/>
              <w:tr2bl w:val="nil"/>
            </w:tcBorders>
            <w:vAlign w:val="center"/>
          </w:tcPr>
          <w:p w14:paraId="5E2A18C8">
            <w:pPr>
              <w:pStyle w:val="16"/>
              <w:rPr>
                <w:b w:val="0"/>
                <w:bCs w:val="0"/>
              </w:rPr>
            </w:pPr>
            <w:r>
              <w:rPr>
                <w:rFonts w:hint="eastAsia"/>
                <w:b w:val="0"/>
                <w:bCs w:val="0"/>
              </w:rPr>
              <w:t>与建筑物、高压线安全距离不足。</w:t>
            </w:r>
          </w:p>
        </w:tc>
        <w:tc>
          <w:tcPr>
            <w:tcW w:w="640" w:type="pct"/>
            <w:tcBorders>
              <w:tl2br w:val="nil"/>
              <w:tr2bl w:val="nil"/>
            </w:tcBorders>
            <w:vAlign w:val="center"/>
          </w:tcPr>
          <w:p w14:paraId="100588DA">
            <w:pPr>
              <w:pStyle w:val="16"/>
              <w:rPr>
                <w:b w:val="0"/>
                <w:bCs w:val="0"/>
              </w:rPr>
            </w:pPr>
            <w:r>
              <w:rPr>
                <w:rFonts w:hint="eastAsia"/>
                <w:b w:val="0"/>
                <w:bCs w:val="0"/>
              </w:rPr>
              <w:t>触电、起重伤害</w:t>
            </w:r>
          </w:p>
        </w:tc>
      </w:tr>
      <w:tr w14:paraId="54B4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348DE98">
            <w:pPr>
              <w:pStyle w:val="16"/>
              <w:numPr>
                <w:ilvl w:val="0"/>
                <w:numId w:val="27"/>
              </w:numPr>
              <w:tabs>
                <w:tab w:val="clear" w:pos="0"/>
              </w:tabs>
            </w:pPr>
          </w:p>
        </w:tc>
        <w:tc>
          <w:tcPr>
            <w:tcW w:w="502" w:type="pct"/>
            <w:vMerge w:val="continue"/>
            <w:tcBorders>
              <w:tl2br w:val="nil"/>
              <w:tr2bl w:val="nil"/>
            </w:tcBorders>
            <w:vAlign w:val="center"/>
          </w:tcPr>
          <w:p w14:paraId="3E26341F">
            <w:pPr>
              <w:pStyle w:val="16"/>
              <w:rPr>
                <w:b w:val="0"/>
                <w:bCs w:val="0"/>
              </w:rPr>
            </w:pPr>
          </w:p>
        </w:tc>
        <w:tc>
          <w:tcPr>
            <w:tcW w:w="3607" w:type="pct"/>
            <w:tcBorders>
              <w:tl2br w:val="nil"/>
              <w:tr2bl w:val="nil"/>
            </w:tcBorders>
            <w:vAlign w:val="center"/>
          </w:tcPr>
          <w:p w14:paraId="5AAA66FF">
            <w:pPr>
              <w:pStyle w:val="16"/>
              <w:rPr>
                <w:b w:val="0"/>
                <w:bCs w:val="0"/>
              </w:rPr>
            </w:pPr>
            <w:r>
              <w:rPr>
                <w:rFonts w:hint="eastAsia"/>
                <w:b w:val="0"/>
                <w:bCs w:val="0"/>
              </w:rPr>
              <w:t>作业场地未封闭、警戒区域未设置。</w:t>
            </w:r>
          </w:p>
        </w:tc>
        <w:tc>
          <w:tcPr>
            <w:tcW w:w="640" w:type="pct"/>
            <w:tcBorders>
              <w:tl2br w:val="nil"/>
              <w:tr2bl w:val="nil"/>
            </w:tcBorders>
            <w:vAlign w:val="center"/>
          </w:tcPr>
          <w:p w14:paraId="563E2764">
            <w:pPr>
              <w:pStyle w:val="16"/>
              <w:rPr>
                <w:b w:val="0"/>
                <w:bCs w:val="0"/>
              </w:rPr>
            </w:pPr>
            <w:r>
              <w:rPr>
                <w:rFonts w:hint="eastAsia"/>
                <w:b w:val="0"/>
                <w:bCs w:val="0"/>
              </w:rPr>
              <w:t>起重伤害</w:t>
            </w:r>
          </w:p>
        </w:tc>
      </w:tr>
      <w:tr w14:paraId="39DEF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046890C">
            <w:pPr>
              <w:pStyle w:val="16"/>
              <w:numPr>
                <w:ilvl w:val="0"/>
                <w:numId w:val="27"/>
              </w:numPr>
              <w:tabs>
                <w:tab w:val="clear" w:pos="0"/>
              </w:tabs>
            </w:pPr>
          </w:p>
        </w:tc>
        <w:tc>
          <w:tcPr>
            <w:tcW w:w="502" w:type="pct"/>
            <w:vMerge w:val="continue"/>
            <w:tcBorders>
              <w:tl2br w:val="nil"/>
              <w:tr2bl w:val="nil"/>
            </w:tcBorders>
            <w:vAlign w:val="center"/>
          </w:tcPr>
          <w:p w14:paraId="39B7618F">
            <w:pPr>
              <w:pStyle w:val="16"/>
              <w:rPr>
                <w:b w:val="0"/>
                <w:bCs w:val="0"/>
              </w:rPr>
            </w:pPr>
          </w:p>
        </w:tc>
        <w:tc>
          <w:tcPr>
            <w:tcW w:w="3607" w:type="pct"/>
            <w:tcBorders>
              <w:tl2br w:val="nil"/>
              <w:tr2bl w:val="nil"/>
            </w:tcBorders>
            <w:vAlign w:val="center"/>
          </w:tcPr>
          <w:p w14:paraId="4B267E6B">
            <w:pPr>
              <w:pStyle w:val="16"/>
              <w:rPr>
                <w:b w:val="0"/>
                <w:bCs w:val="0"/>
              </w:rPr>
            </w:pPr>
            <w:r>
              <w:rPr>
                <w:rFonts w:hint="eastAsia"/>
                <w:b w:val="0"/>
                <w:bCs w:val="0"/>
              </w:rPr>
              <w:t>当遇特殊情况</w:t>
            </w:r>
            <w:r>
              <w:rPr>
                <w:rFonts w:hint="eastAsia"/>
                <w:b w:val="0"/>
                <w:bCs w:val="0"/>
                <w:lang w:val="en-US" w:eastAsia="zh-CN"/>
              </w:rPr>
              <w:t>拆除</w:t>
            </w:r>
            <w:r>
              <w:rPr>
                <w:rFonts w:hint="eastAsia"/>
                <w:b w:val="0"/>
                <w:bCs w:val="0"/>
              </w:rPr>
              <w:t>作业不能连续进行时，没有将</w:t>
            </w:r>
            <w:r>
              <w:rPr>
                <w:rFonts w:hint="eastAsia"/>
                <w:b w:val="0"/>
                <w:bCs w:val="0"/>
                <w:lang w:val="en-US" w:eastAsia="zh-CN"/>
              </w:rPr>
              <w:t>未拆除</w:t>
            </w:r>
            <w:r>
              <w:rPr>
                <w:rFonts w:hint="eastAsia"/>
                <w:b w:val="0"/>
                <w:bCs w:val="0"/>
              </w:rPr>
              <w:t>的部位固定牢靠并达到安全状态。</w:t>
            </w:r>
          </w:p>
        </w:tc>
        <w:tc>
          <w:tcPr>
            <w:tcW w:w="640" w:type="pct"/>
            <w:tcBorders>
              <w:tl2br w:val="nil"/>
              <w:tr2bl w:val="nil"/>
            </w:tcBorders>
            <w:vAlign w:val="center"/>
          </w:tcPr>
          <w:p w14:paraId="1ECCB60D">
            <w:pPr>
              <w:pStyle w:val="16"/>
              <w:rPr>
                <w:b w:val="0"/>
                <w:bCs w:val="0"/>
              </w:rPr>
            </w:pPr>
            <w:r>
              <w:rPr>
                <w:rFonts w:hint="eastAsia"/>
                <w:b w:val="0"/>
                <w:bCs w:val="0"/>
              </w:rPr>
              <w:t>物体打击</w:t>
            </w:r>
          </w:p>
        </w:tc>
      </w:tr>
      <w:tr w14:paraId="525B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AB06AA6">
            <w:pPr>
              <w:pStyle w:val="16"/>
              <w:numPr>
                <w:ilvl w:val="0"/>
                <w:numId w:val="27"/>
              </w:numPr>
              <w:tabs>
                <w:tab w:val="clear" w:pos="0"/>
              </w:tabs>
            </w:pPr>
          </w:p>
        </w:tc>
        <w:tc>
          <w:tcPr>
            <w:tcW w:w="502" w:type="pct"/>
            <w:vMerge w:val="continue"/>
            <w:tcBorders>
              <w:tl2br w:val="nil"/>
              <w:tr2bl w:val="nil"/>
            </w:tcBorders>
            <w:vAlign w:val="center"/>
          </w:tcPr>
          <w:p w14:paraId="795EF22A">
            <w:pPr>
              <w:pStyle w:val="16"/>
              <w:rPr>
                <w:b w:val="0"/>
                <w:bCs w:val="0"/>
              </w:rPr>
            </w:pPr>
          </w:p>
        </w:tc>
        <w:tc>
          <w:tcPr>
            <w:tcW w:w="3607" w:type="pct"/>
            <w:tcBorders>
              <w:tl2br w:val="nil"/>
              <w:tr2bl w:val="nil"/>
            </w:tcBorders>
            <w:vAlign w:val="center"/>
          </w:tcPr>
          <w:p w14:paraId="4A7D2294">
            <w:pPr>
              <w:pStyle w:val="16"/>
              <w:rPr>
                <w:b w:val="0"/>
                <w:bCs w:val="0"/>
              </w:rPr>
            </w:pPr>
            <w:r>
              <w:rPr>
                <w:rFonts w:hint="eastAsia"/>
                <w:b w:val="0"/>
                <w:bCs w:val="0"/>
              </w:rPr>
              <w:t>安全装置不齐全，未进行防雷接地没有按程序进行调试合格。</w:t>
            </w:r>
          </w:p>
        </w:tc>
        <w:tc>
          <w:tcPr>
            <w:tcW w:w="640" w:type="pct"/>
            <w:tcBorders>
              <w:tl2br w:val="nil"/>
              <w:tr2bl w:val="nil"/>
            </w:tcBorders>
            <w:vAlign w:val="center"/>
          </w:tcPr>
          <w:p w14:paraId="3DA46234">
            <w:pPr>
              <w:pStyle w:val="16"/>
              <w:rPr>
                <w:b w:val="0"/>
                <w:bCs w:val="0"/>
              </w:rPr>
            </w:pPr>
            <w:r>
              <w:rPr>
                <w:rFonts w:hint="eastAsia"/>
                <w:b w:val="0"/>
                <w:bCs w:val="0"/>
              </w:rPr>
              <w:t>起重伤害</w:t>
            </w:r>
          </w:p>
        </w:tc>
      </w:tr>
      <w:tr w14:paraId="1A8E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B886B82">
            <w:pPr>
              <w:pStyle w:val="16"/>
              <w:numPr>
                <w:ilvl w:val="0"/>
                <w:numId w:val="27"/>
              </w:numPr>
              <w:tabs>
                <w:tab w:val="clear" w:pos="0"/>
              </w:tabs>
            </w:pPr>
          </w:p>
        </w:tc>
        <w:tc>
          <w:tcPr>
            <w:tcW w:w="502" w:type="pct"/>
            <w:tcBorders>
              <w:tl2br w:val="nil"/>
              <w:tr2bl w:val="nil"/>
            </w:tcBorders>
            <w:vAlign w:val="center"/>
          </w:tcPr>
          <w:p w14:paraId="691D6929">
            <w:pPr>
              <w:pStyle w:val="16"/>
              <w:rPr>
                <w:b w:val="0"/>
                <w:bCs w:val="0"/>
              </w:rPr>
            </w:pPr>
            <w:r>
              <w:rPr>
                <w:rFonts w:hint="eastAsia"/>
                <w:b w:val="0"/>
                <w:bCs w:val="0"/>
              </w:rPr>
              <w:t>风速要求</w:t>
            </w:r>
          </w:p>
        </w:tc>
        <w:tc>
          <w:tcPr>
            <w:tcW w:w="3607" w:type="pct"/>
            <w:tcBorders>
              <w:tl2br w:val="nil"/>
              <w:tr2bl w:val="nil"/>
            </w:tcBorders>
            <w:vAlign w:val="center"/>
          </w:tcPr>
          <w:p w14:paraId="28583C76">
            <w:pPr>
              <w:pStyle w:val="16"/>
              <w:rPr>
                <w:b w:val="0"/>
                <w:bCs w:val="0"/>
              </w:rPr>
            </w:pPr>
            <w:r>
              <w:rPr>
                <w:rFonts w:hint="eastAsia"/>
                <w:b w:val="0"/>
                <w:bCs w:val="0"/>
                <w:lang w:val="en-US" w:eastAsia="zh-CN"/>
              </w:rPr>
              <w:t>拆除</w:t>
            </w:r>
            <w:r>
              <w:rPr>
                <w:rFonts w:hint="eastAsia"/>
                <w:b w:val="0"/>
                <w:bCs w:val="0"/>
              </w:rPr>
              <w:t>时塔机最高处的风速不符合使用说明书的要求，或者大于12m/s。顶升作业时风速超过四级风。</w:t>
            </w:r>
          </w:p>
        </w:tc>
        <w:tc>
          <w:tcPr>
            <w:tcW w:w="640" w:type="pct"/>
            <w:tcBorders>
              <w:tl2br w:val="nil"/>
              <w:tr2bl w:val="nil"/>
            </w:tcBorders>
            <w:vAlign w:val="center"/>
          </w:tcPr>
          <w:p w14:paraId="5C144A4A">
            <w:pPr>
              <w:pStyle w:val="16"/>
              <w:rPr>
                <w:b w:val="0"/>
                <w:bCs w:val="0"/>
              </w:rPr>
            </w:pPr>
            <w:r>
              <w:rPr>
                <w:rFonts w:hint="eastAsia"/>
                <w:b w:val="0"/>
                <w:bCs w:val="0"/>
              </w:rPr>
              <w:t>起重伤害</w:t>
            </w:r>
          </w:p>
        </w:tc>
      </w:tr>
      <w:tr w14:paraId="36F86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B6FB784">
            <w:pPr>
              <w:pStyle w:val="16"/>
              <w:numPr>
                <w:ilvl w:val="0"/>
                <w:numId w:val="27"/>
              </w:numPr>
              <w:tabs>
                <w:tab w:val="clear" w:pos="0"/>
              </w:tabs>
            </w:pPr>
          </w:p>
        </w:tc>
        <w:tc>
          <w:tcPr>
            <w:tcW w:w="502" w:type="pct"/>
            <w:vMerge w:val="restart"/>
            <w:tcBorders>
              <w:tl2br w:val="nil"/>
              <w:tr2bl w:val="nil"/>
            </w:tcBorders>
            <w:vAlign w:val="center"/>
          </w:tcPr>
          <w:p w14:paraId="1B27F025">
            <w:pPr>
              <w:pStyle w:val="16"/>
              <w:rPr>
                <w:rFonts w:hint="eastAsia" w:eastAsia="宋体"/>
                <w:b w:val="0"/>
                <w:bCs w:val="0"/>
                <w:lang w:eastAsia="zh-CN"/>
              </w:rPr>
            </w:pPr>
            <w:r>
              <w:rPr>
                <w:rFonts w:hint="eastAsia"/>
                <w:b w:val="0"/>
                <w:bCs w:val="0"/>
                <w:lang w:val="en-US" w:eastAsia="zh-CN"/>
              </w:rPr>
              <w:t>拆除</w:t>
            </w:r>
          </w:p>
        </w:tc>
        <w:tc>
          <w:tcPr>
            <w:tcW w:w="3607" w:type="pct"/>
            <w:tcBorders>
              <w:tl2br w:val="nil"/>
              <w:tr2bl w:val="nil"/>
            </w:tcBorders>
            <w:vAlign w:val="center"/>
          </w:tcPr>
          <w:p w14:paraId="663484F2">
            <w:pPr>
              <w:pStyle w:val="16"/>
              <w:ind w:firstLine="0" w:firstLineChars="0"/>
              <w:rPr>
                <w:b w:val="0"/>
                <w:bCs w:val="0"/>
              </w:rPr>
            </w:pPr>
            <w:r>
              <w:rPr>
                <w:rFonts w:hint="eastAsia"/>
                <w:b w:val="0"/>
                <w:bCs w:val="0"/>
              </w:rPr>
              <w:t>附着式塔机没有明确附着装置的拆卸顺序和方法。</w:t>
            </w:r>
          </w:p>
        </w:tc>
        <w:tc>
          <w:tcPr>
            <w:tcW w:w="640" w:type="pct"/>
            <w:tcBorders>
              <w:tl2br w:val="nil"/>
              <w:tr2bl w:val="nil"/>
            </w:tcBorders>
            <w:vAlign w:val="center"/>
          </w:tcPr>
          <w:p w14:paraId="07DD1906">
            <w:pPr>
              <w:pStyle w:val="16"/>
              <w:ind w:firstLine="0" w:firstLineChars="0"/>
              <w:rPr>
                <w:b w:val="0"/>
                <w:bCs w:val="0"/>
              </w:rPr>
            </w:pPr>
            <w:r>
              <w:rPr>
                <w:rFonts w:hint="eastAsia"/>
                <w:b w:val="0"/>
                <w:bCs w:val="0"/>
              </w:rPr>
              <w:t>起重伤害</w:t>
            </w:r>
          </w:p>
        </w:tc>
      </w:tr>
      <w:tr w14:paraId="24A72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1FDB6ED">
            <w:pPr>
              <w:pStyle w:val="16"/>
              <w:numPr>
                <w:ilvl w:val="0"/>
                <w:numId w:val="27"/>
              </w:numPr>
              <w:tabs>
                <w:tab w:val="clear" w:pos="0"/>
              </w:tabs>
            </w:pPr>
          </w:p>
        </w:tc>
        <w:tc>
          <w:tcPr>
            <w:tcW w:w="502" w:type="pct"/>
            <w:vMerge w:val="continue"/>
            <w:tcBorders>
              <w:tl2br w:val="nil"/>
              <w:tr2bl w:val="nil"/>
            </w:tcBorders>
            <w:vAlign w:val="center"/>
          </w:tcPr>
          <w:p w14:paraId="477AE5F6">
            <w:pPr>
              <w:pStyle w:val="16"/>
              <w:rPr>
                <w:b w:val="0"/>
                <w:bCs w:val="0"/>
              </w:rPr>
            </w:pPr>
          </w:p>
        </w:tc>
        <w:tc>
          <w:tcPr>
            <w:tcW w:w="3607" w:type="pct"/>
            <w:tcBorders>
              <w:tl2br w:val="nil"/>
              <w:tr2bl w:val="nil"/>
            </w:tcBorders>
            <w:vAlign w:val="center"/>
          </w:tcPr>
          <w:p w14:paraId="50D4DFBD">
            <w:pPr>
              <w:pStyle w:val="16"/>
              <w:ind w:firstLine="0" w:firstLineChars="0"/>
              <w:rPr>
                <w:b w:val="0"/>
                <w:bCs w:val="0"/>
              </w:rPr>
            </w:pPr>
            <w:r>
              <w:rPr>
                <w:rFonts w:hint="eastAsia"/>
                <w:b w:val="0"/>
                <w:bCs w:val="0"/>
              </w:rPr>
              <w:t>当遇特殊情况拆卸作业不能继续时，没有采取措施保证塔机处于安全状态。</w:t>
            </w:r>
          </w:p>
        </w:tc>
        <w:tc>
          <w:tcPr>
            <w:tcW w:w="640" w:type="pct"/>
            <w:tcBorders>
              <w:tl2br w:val="nil"/>
              <w:tr2bl w:val="nil"/>
            </w:tcBorders>
            <w:vAlign w:val="center"/>
          </w:tcPr>
          <w:p w14:paraId="1198398B">
            <w:pPr>
              <w:pStyle w:val="16"/>
              <w:ind w:firstLine="0" w:firstLineChars="0"/>
              <w:rPr>
                <w:b w:val="0"/>
                <w:bCs w:val="0"/>
              </w:rPr>
            </w:pPr>
            <w:r>
              <w:rPr>
                <w:rFonts w:hint="eastAsia"/>
                <w:b w:val="0"/>
                <w:bCs w:val="0"/>
              </w:rPr>
              <w:t>起重伤害</w:t>
            </w:r>
          </w:p>
        </w:tc>
      </w:tr>
      <w:tr w14:paraId="706E8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A8F807E">
            <w:pPr>
              <w:pStyle w:val="16"/>
              <w:numPr>
                <w:ilvl w:val="0"/>
                <w:numId w:val="27"/>
              </w:numPr>
              <w:tabs>
                <w:tab w:val="clear" w:pos="0"/>
              </w:tabs>
            </w:pPr>
          </w:p>
        </w:tc>
        <w:tc>
          <w:tcPr>
            <w:tcW w:w="502" w:type="pct"/>
            <w:vMerge w:val="continue"/>
            <w:tcBorders>
              <w:tl2br w:val="nil"/>
              <w:tr2bl w:val="nil"/>
            </w:tcBorders>
            <w:vAlign w:val="center"/>
          </w:tcPr>
          <w:p w14:paraId="17CF6541">
            <w:pPr>
              <w:pStyle w:val="16"/>
              <w:rPr>
                <w:b w:val="0"/>
                <w:bCs w:val="0"/>
              </w:rPr>
            </w:pPr>
          </w:p>
        </w:tc>
        <w:tc>
          <w:tcPr>
            <w:tcW w:w="3607" w:type="pct"/>
            <w:tcBorders>
              <w:tl2br w:val="nil"/>
              <w:tr2bl w:val="nil"/>
            </w:tcBorders>
            <w:vAlign w:val="center"/>
          </w:tcPr>
          <w:p w14:paraId="0A6C2012">
            <w:pPr>
              <w:pStyle w:val="16"/>
              <w:ind w:firstLine="0" w:firstLineChars="0"/>
              <w:rPr>
                <w:b w:val="0"/>
                <w:bCs w:val="0"/>
              </w:rPr>
            </w:pPr>
            <w:r>
              <w:rPr>
                <w:rFonts w:hint="eastAsia"/>
                <w:b w:val="0"/>
                <w:bCs w:val="0"/>
              </w:rPr>
              <w:t>塔式起重机每次降节前，没有检查顶升系统和附着装置的连接等。</w:t>
            </w:r>
          </w:p>
        </w:tc>
        <w:tc>
          <w:tcPr>
            <w:tcW w:w="640" w:type="pct"/>
            <w:tcBorders>
              <w:tl2br w:val="nil"/>
              <w:tr2bl w:val="nil"/>
            </w:tcBorders>
            <w:vAlign w:val="center"/>
          </w:tcPr>
          <w:p w14:paraId="71170184">
            <w:pPr>
              <w:pStyle w:val="16"/>
              <w:ind w:firstLine="0" w:firstLineChars="0"/>
              <w:rPr>
                <w:b w:val="0"/>
                <w:bCs w:val="0"/>
              </w:rPr>
            </w:pPr>
            <w:r>
              <w:rPr>
                <w:rFonts w:hint="eastAsia"/>
                <w:b w:val="0"/>
                <w:bCs w:val="0"/>
              </w:rPr>
              <w:t>起重伤害</w:t>
            </w:r>
          </w:p>
        </w:tc>
      </w:tr>
      <w:tr w14:paraId="397D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ACEE629">
            <w:pPr>
              <w:pStyle w:val="16"/>
              <w:numPr>
                <w:ilvl w:val="0"/>
                <w:numId w:val="27"/>
              </w:numPr>
              <w:tabs>
                <w:tab w:val="clear" w:pos="0"/>
              </w:tabs>
            </w:pPr>
          </w:p>
        </w:tc>
        <w:tc>
          <w:tcPr>
            <w:tcW w:w="502" w:type="pct"/>
            <w:vMerge w:val="continue"/>
            <w:tcBorders>
              <w:tl2br w:val="nil"/>
              <w:tr2bl w:val="nil"/>
            </w:tcBorders>
            <w:vAlign w:val="center"/>
          </w:tcPr>
          <w:p w14:paraId="69BBD1B1">
            <w:pPr>
              <w:pStyle w:val="16"/>
              <w:rPr>
                <w:b w:val="0"/>
                <w:bCs w:val="0"/>
              </w:rPr>
            </w:pPr>
          </w:p>
        </w:tc>
        <w:tc>
          <w:tcPr>
            <w:tcW w:w="3607" w:type="pct"/>
            <w:tcBorders>
              <w:tl2br w:val="nil"/>
              <w:tr2bl w:val="nil"/>
            </w:tcBorders>
            <w:vAlign w:val="center"/>
          </w:tcPr>
          <w:p w14:paraId="6568517C">
            <w:pPr>
              <w:pStyle w:val="16"/>
              <w:ind w:firstLine="0" w:firstLineChars="0"/>
              <w:rPr>
                <w:b w:val="0"/>
                <w:bCs w:val="0"/>
              </w:rPr>
            </w:pPr>
            <w:r>
              <w:rPr>
                <w:rFonts w:hint="eastAsia"/>
                <w:b w:val="0"/>
                <w:bCs w:val="0"/>
              </w:rPr>
              <w:t>拆卸时没有按照先降节，后拆除附着装置的顺序施工。</w:t>
            </w:r>
          </w:p>
        </w:tc>
        <w:tc>
          <w:tcPr>
            <w:tcW w:w="640" w:type="pct"/>
            <w:tcBorders>
              <w:tl2br w:val="nil"/>
              <w:tr2bl w:val="nil"/>
            </w:tcBorders>
            <w:vAlign w:val="center"/>
          </w:tcPr>
          <w:p w14:paraId="6E0AE83F">
            <w:pPr>
              <w:pStyle w:val="16"/>
              <w:ind w:firstLine="0" w:firstLineChars="0"/>
              <w:rPr>
                <w:b w:val="0"/>
                <w:bCs w:val="0"/>
              </w:rPr>
            </w:pPr>
            <w:r>
              <w:rPr>
                <w:rFonts w:hint="eastAsia"/>
                <w:b w:val="0"/>
                <w:bCs w:val="0"/>
              </w:rPr>
              <w:t>起重伤害</w:t>
            </w:r>
          </w:p>
        </w:tc>
      </w:tr>
      <w:tr w14:paraId="2B25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F66523">
            <w:pPr>
              <w:pStyle w:val="16"/>
              <w:numPr>
                <w:ilvl w:val="0"/>
                <w:numId w:val="27"/>
              </w:numPr>
              <w:tabs>
                <w:tab w:val="clear" w:pos="0"/>
              </w:tabs>
            </w:pPr>
          </w:p>
        </w:tc>
        <w:tc>
          <w:tcPr>
            <w:tcW w:w="502" w:type="pct"/>
            <w:vMerge w:val="continue"/>
            <w:tcBorders>
              <w:tl2br w:val="nil"/>
              <w:tr2bl w:val="nil"/>
            </w:tcBorders>
            <w:vAlign w:val="center"/>
          </w:tcPr>
          <w:p w14:paraId="3256C940">
            <w:pPr>
              <w:pStyle w:val="16"/>
              <w:rPr>
                <w:b w:val="0"/>
                <w:bCs w:val="0"/>
              </w:rPr>
            </w:pPr>
          </w:p>
        </w:tc>
        <w:tc>
          <w:tcPr>
            <w:tcW w:w="3607" w:type="pct"/>
            <w:tcBorders>
              <w:tl2br w:val="nil"/>
              <w:tr2bl w:val="nil"/>
            </w:tcBorders>
            <w:vAlign w:val="center"/>
          </w:tcPr>
          <w:p w14:paraId="46737ABC">
            <w:pPr>
              <w:pStyle w:val="16"/>
              <w:ind w:firstLine="0" w:firstLineChars="0"/>
              <w:rPr>
                <w:b w:val="0"/>
                <w:bCs w:val="0"/>
              </w:rPr>
            </w:pPr>
            <w:r>
              <w:rPr>
                <w:rFonts w:hint="eastAsia"/>
                <w:b w:val="0"/>
                <w:bCs w:val="0"/>
              </w:rPr>
              <w:t>当用于拆卸作业的辅助设备设置在建筑物上时，没有对辅助起重设备的安全性及建筑物的承载能力等进行验算</w:t>
            </w:r>
          </w:p>
        </w:tc>
        <w:tc>
          <w:tcPr>
            <w:tcW w:w="640" w:type="pct"/>
            <w:tcBorders>
              <w:tl2br w:val="nil"/>
              <w:tr2bl w:val="nil"/>
            </w:tcBorders>
            <w:vAlign w:val="center"/>
          </w:tcPr>
          <w:p w14:paraId="57385A02">
            <w:pPr>
              <w:pStyle w:val="16"/>
              <w:ind w:firstLine="0" w:firstLineChars="0"/>
              <w:rPr>
                <w:b w:val="0"/>
                <w:bCs w:val="0"/>
              </w:rPr>
            </w:pPr>
            <w:r>
              <w:rPr>
                <w:rFonts w:hint="eastAsia"/>
                <w:b w:val="0"/>
                <w:bCs w:val="0"/>
              </w:rPr>
              <w:t>物体打击</w:t>
            </w:r>
          </w:p>
        </w:tc>
      </w:tr>
      <w:tr w14:paraId="71613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F86A145">
            <w:pPr>
              <w:pStyle w:val="16"/>
              <w:numPr>
                <w:ilvl w:val="0"/>
                <w:numId w:val="27"/>
              </w:numPr>
              <w:tabs>
                <w:tab w:val="clear" w:pos="0"/>
              </w:tabs>
            </w:pPr>
          </w:p>
        </w:tc>
        <w:tc>
          <w:tcPr>
            <w:tcW w:w="502" w:type="pct"/>
            <w:vMerge w:val="continue"/>
            <w:tcBorders>
              <w:tl2br w:val="nil"/>
              <w:tr2bl w:val="nil"/>
            </w:tcBorders>
            <w:vAlign w:val="center"/>
          </w:tcPr>
          <w:p w14:paraId="02B8EDFC">
            <w:pPr>
              <w:pStyle w:val="16"/>
              <w:rPr>
                <w:b w:val="0"/>
                <w:bCs w:val="0"/>
              </w:rPr>
            </w:pPr>
          </w:p>
        </w:tc>
        <w:tc>
          <w:tcPr>
            <w:tcW w:w="3607" w:type="pct"/>
            <w:tcBorders>
              <w:tl2br w:val="nil"/>
              <w:tr2bl w:val="nil"/>
            </w:tcBorders>
            <w:vAlign w:val="center"/>
          </w:tcPr>
          <w:p w14:paraId="14B85EE0">
            <w:pPr>
              <w:pStyle w:val="16"/>
              <w:ind w:firstLine="0" w:firstLineChars="0"/>
              <w:rPr>
                <w:rFonts w:hint="eastAsia"/>
                <w:b w:val="0"/>
                <w:bCs w:val="0"/>
              </w:rPr>
            </w:pPr>
            <w:r>
              <w:rPr>
                <w:rFonts w:hint="eastAsia"/>
                <w:b w:val="0"/>
                <w:bCs w:val="0"/>
              </w:rPr>
              <w:t>拆除作业未按照专项方案要求实施。拆除前未对</w:t>
            </w:r>
            <w:r>
              <w:rPr>
                <w:rFonts w:hint="eastAsia"/>
                <w:b w:val="0"/>
                <w:bCs w:val="0"/>
                <w:lang w:eastAsia="zh-CN"/>
              </w:rPr>
              <w:t>拆除</w:t>
            </w:r>
            <w:r>
              <w:rPr>
                <w:rFonts w:hint="eastAsia"/>
                <w:b w:val="0"/>
                <w:bCs w:val="0"/>
              </w:rPr>
              <w:t>作业人员进行安全技术交底。</w:t>
            </w:r>
          </w:p>
        </w:tc>
        <w:tc>
          <w:tcPr>
            <w:tcW w:w="640" w:type="pct"/>
            <w:tcBorders>
              <w:tl2br w:val="nil"/>
              <w:tr2bl w:val="nil"/>
            </w:tcBorders>
            <w:vAlign w:val="center"/>
          </w:tcPr>
          <w:p w14:paraId="108246D0">
            <w:pPr>
              <w:pStyle w:val="16"/>
              <w:ind w:firstLine="0" w:firstLineChars="0"/>
              <w:rPr>
                <w:rFonts w:hint="eastAsia"/>
                <w:b w:val="0"/>
                <w:bCs w:val="0"/>
              </w:rPr>
            </w:pPr>
            <w:r>
              <w:rPr>
                <w:rFonts w:hint="eastAsia"/>
                <w:b w:val="0"/>
                <w:bCs w:val="0"/>
              </w:rPr>
              <w:t>机械伤害</w:t>
            </w:r>
          </w:p>
        </w:tc>
      </w:tr>
      <w:tr w14:paraId="1469A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8B5C715">
            <w:pPr>
              <w:pStyle w:val="16"/>
              <w:numPr>
                <w:ilvl w:val="0"/>
                <w:numId w:val="27"/>
              </w:numPr>
              <w:tabs>
                <w:tab w:val="clear" w:pos="0"/>
              </w:tabs>
            </w:pPr>
          </w:p>
        </w:tc>
        <w:tc>
          <w:tcPr>
            <w:tcW w:w="502" w:type="pct"/>
            <w:vMerge w:val="continue"/>
            <w:tcBorders>
              <w:tl2br w:val="nil"/>
              <w:tr2bl w:val="nil"/>
            </w:tcBorders>
            <w:vAlign w:val="center"/>
          </w:tcPr>
          <w:p w14:paraId="2F29B14F">
            <w:pPr>
              <w:pStyle w:val="16"/>
              <w:rPr>
                <w:b w:val="0"/>
                <w:bCs w:val="0"/>
              </w:rPr>
            </w:pPr>
          </w:p>
        </w:tc>
        <w:tc>
          <w:tcPr>
            <w:tcW w:w="3607" w:type="pct"/>
            <w:tcBorders>
              <w:tl2br w:val="nil"/>
              <w:tr2bl w:val="nil"/>
            </w:tcBorders>
            <w:vAlign w:val="center"/>
          </w:tcPr>
          <w:p w14:paraId="1A509955">
            <w:pPr>
              <w:pStyle w:val="16"/>
              <w:ind w:firstLine="0" w:firstLineChars="0"/>
              <w:rPr>
                <w:rFonts w:hint="eastAsia"/>
                <w:b w:val="0"/>
                <w:bCs w:val="0"/>
              </w:rPr>
            </w:pPr>
            <w:r>
              <w:rPr>
                <w:rFonts w:hint="eastAsia"/>
                <w:b w:val="0"/>
                <w:bCs w:val="0"/>
              </w:rPr>
              <w:t>拆除辅助设备就位后，没有对其机械和安全性能进行检验。</w:t>
            </w:r>
          </w:p>
        </w:tc>
        <w:tc>
          <w:tcPr>
            <w:tcW w:w="640" w:type="pct"/>
            <w:tcBorders>
              <w:tl2br w:val="nil"/>
              <w:tr2bl w:val="nil"/>
            </w:tcBorders>
            <w:vAlign w:val="center"/>
          </w:tcPr>
          <w:p w14:paraId="19AA1419">
            <w:pPr>
              <w:pStyle w:val="16"/>
              <w:ind w:firstLine="0" w:firstLineChars="0"/>
              <w:rPr>
                <w:rFonts w:hint="eastAsia"/>
                <w:b w:val="0"/>
                <w:bCs w:val="0"/>
              </w:rPr>
            </w:pPr>
            <w:r>
              <w:rPr>
                <w:rFonts w:hint="eastAsia"/>
                <w:b w:val="0"/>
                <w:bCs w:val="0"/>
              </w:rPr>
              <w:t>机械伤害</w:t>
            </w:r>
          </w:p>
        </w:tc>
      </w:tr>
      <w:tr w14:paraId="58C9F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947F49B">
            <w:pPr>
              <w:pStyle w:val="16"/>
              <w:numPr>
                <w:ilvl w:val="0"/>
                <w:numId w:val="27"/>
              </w:numPr>
              <w:tabs>
                <w:tab w:val="clear" w:pos="0"/>
              </w:tabs>
            </w:pPr>
          </w:p>
        </w:tc>
        <w:tc>
          <w:tcPr>
            <w:tcW w:w="502" w:type="pct"/>
            <w:vMerge w:val="continue"/>
            <w:tcBorders>
              <w:tl2br w:val="nil"/>
              <w:tr2bl w:val="nil"/>
            </w:tcBorders>
            <w:vAlign w:val="center"/>
          </w:tcPr>
          <w:p w14:paraId="32C92D1F">
            <w:pPr>
              <w:pStyle w:val="16"/>
              <w:rPr>
                <w:b w:val="0"/>
                <w:bCs w:val="0"/>
              </w:rPr>
            </w:pPr>
          </w:p>
        </w:tc>
        <w:tc>
          <w:tcPr>
            <w:tcW w:w="3607" w:type="pct"/>
            <w:tcBorders>
              <w:tl2br w:val="nil"/>
              <w:tr2bl w:val="nil"/>
            </w:tcBorders>
            <w:vAlign w:val="center"/>
          </w:tcPr>
          <w:p w14:paraId="60898476">
            <w:pPr>
              <w:pStyle w:val="16"/>
              <w:ind w:firstLine="0" w:firstLineChars="0"/>
              <w:rPr>
                <w:rFonts w:hint="eastAsia"/>
                <w:b w:val="0"/>
                <w:bCs w:val="0"/>
              </w:rPr>
            </w:pPr>
            <w:r>
              <w:rPr>
                <w:rFonts w:hint="eastAsia"/>
                <w:b w:val="0"/>
                <w:bCs w:val="0"/>
              </w:rPr>
              <w:t>雨雪、浓雾天气没有停止拆除作业。</w:t>
            </w:r>
          </w:p>
        </w:tc>
        <w:tc>
          <w:tcPr>
            <w:tcW w:w="640" w:type="pct"/>
            <w:tcBorders>
              <w:tl2br w:val="nil"/>
              <w:tr2bl w:val="nil"/>
            </w:tcBorders>
            <w:vAlign w:val="center"/>
          </w:tcPr>
          <w:p w14:paraId="2CEEA4BC">
            <w:pPr>
              <w:pStyle w:val="16"/>
              <w:ind w:firstLine="0" w:firstLineChars="0"/>
              <w:rPr>
                <w:rFonts w:hint="eastAsia"/>
                <w:b w:val="0"/>
                <w:bCs w:val="0"/>
              </w:rPr>
            </w:pPr>
            <w:r>
              <w:rPr>
                <w:rFonts w:hint="eastAsia"/>
                <w:b w:val="0"/>
                <w:bCs w:val="0"/>
              </w:rPr>
              <w:t>起重伤害</w:t>
            </w:r>
          </w:p>
        </w:tc>
      </w:tr>
      <w:tr w14:paraId="78BEF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22E4CD1">
            <w:pPr>
              <w:pStyle w:val="16"/>
              <w:numPr>
                <w:ilvl w:val="0"/>
                <w:numId w:val="27"/>
              </w:numPr>
              <w:tabs>
                <w:tab w:val="clear" w:pos="0"/>
              </w:tabs>
            </w:pPr>
          </w:p>
        </w:tc>
        <w:tc>
          <w:tcPr>
            <w:tcW w:w="502" w:type="pct"/>
            <w:vMerge w:val="continue"/>
            <w:tcBorders>
              <w:tl2br w:val="nil"/>
              <w:tr2bl w:val="nil"/>
            </w:tcBorders>
            <w:vAlign w:val="center"/>
          </w:tcPr>
          <w:p w14:paraId="42D8E9A1">
            <w:pPr>
              <w:pStyle w:val="16"/>
              <w:rPr>
                <w:b w:val="0"/>
                <w:bCs w:val="0"/>
              </w:rPr>
            </w:pPr>
          </w:p>
        </w:tc>
        <w:tc>
          <w:tcPr>
            <w:tcW w:w="3607" w:type="pct"/>
            <w:tcBorders>
              <w:tl2br w:val="nil"/>
              <w:tr2bl w:val="nil"/>
            </w:tcBorders>
            <w:vAlign w:val="center"/>
          </w:tcPr>
          <w:p w14:paraId="2E178AF4">
            <w:pPr>
              <w:pStyle w:val="16"/>
              <w:ind w:firstLine="0" w:firstLineChars="0"/>
              <w:rPr>
                <w:rFonts w:hint="eastAsia"/>
                <w:b w:val="0"/>
                <w:bCs w:val="0"/>
              </w:rPr>
            </w:pPr>
            <w:r>
              <w:rPr>
                <w:rFonts w:hint="eastAsia"/>
                <w:b w:val="0"/>
                <w:bCs w:val="0"/>
              </w:rPr>
              <w:t>当遇特殊情况拆除作业不能连续进行时，没有将</w:t>
            </w:r>
            <w:r>
              <w:rPr>
                <w:rFonts w:hint="eastAsia"/>
                <w:b w:val="0"/>
                <w:bCs w:val="0"/>
                <w:lang w:val="en-US" w:eastAsia="zh-CN"/>
              </w:rPr>
              <w:t>未</w:t>
            </w:r>
            <w:r>
              <w:rPr>
                <w:rFonts w:hint="eastAsia"/>
                <w:b w:val="0"/>
                <w:bCs w:val="0"/>
                <w:lang w:eastAsia="zh-CN"/>
              </w:rPr>
              <w:t>拆除</w:t>
            </w:r>
            <w:r>
              <w:rPr>
                <w:rFonts w:hint="eastAsia"/>
                <w:b w:val="0"/>
                <w:bCs w:val="0"/>
              </w:rPr>
              <w:t>的部位固定牢靠并达到安全状态。</w:t>
            </w:r>
          </w:p>
        </w:tc>
        <w:tc>
          <w:tcPr>
            <w:tcW w:w="640" w:type="pct"/>
            <w:tcBorders>
              <w:tl2br w:val="nil"/>
              <w:tr2bl w:val="nil"/>
            </w:tcBorders>
            <w:vAlign w:val="center"/>
          </w:tcPr>
          <w:p w14:paraId="633B5BA0">
            <w:pPr>
              <w:pStyle w:val="16"/>
              <w:ind w:firstLine="0" w:firstLineChars="0"/>
              <w:rPr>
                <w:rFonts w:hint="eastAsia"/>
                <w:b w:val="0"/>
                <w:bCs w:val="0"/>
              </w:rPr>
            </w:pPr>
            <w:r>
              <w:rPr>
                <w:rFonts w:hint="eastAsia"/>
                <w:b w:val="0"/>
                <w:bCs w:val="0"/>
              </w:rPr>
              <w:t>物体打击</w:t>
            </w:r>
          </w:p>
        </w:tc>
      </w:tr>
      <w:tr w14:paraId="12641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E982A1B">
            <w:pPr>
              <w:pStyle w:val="16"/>
              <w:numPr>
                <w:ilvl w:val="0"/>
                <w:numId w:val="27"/>
              </w:numPr>
              <w:tabs>
                <w:tab w:val="clear" w:pos="0"/>
              </w:tabs>
            </w:pPr>
          </w:p>
        </w:tc>
        <w:tc>
          <w:tcPr>
            <w:tcW w:w="502" w:type="pct"/>
            <w:vMerge w:val="restart"/>
            <w:tcBorders>
              <w:tl2br w:val="nil"/>
              <w:tr2bl w:val="nil"/>
            </w:tcBorders>
            <w:vAlign w:val="center"/>
          </w:tcPr>
          <w:p w14:paraId="52DEF2B4">
            <w:pPr>
              <w:pStyle w:val="16"/>
              <w:rPr>
                <w:b w:val="0"/>
                <w:bCs w:val="0"/>
              </w:rPr>
            </w:pPr>
            <w:r>
              <w:rPr>
                <w:rFonts w:hint="eastAsia"/>
                <w:b w:val="0"/>
                <w:bCs w:val="0"/>
              </w:rPr>
              <w:t>吊索具</w:t>
            </w:r>
          </w:p>
        </w:tc>
        <w:tc>
          <w:tcPr>
            <w:tcW w:w="3607" w:type="pct"/>
            <w:tcBorders>
              <w:tl2br w:val="nil"/>
              <w:tr2bl w:val="nil"/>
            </w:tcBorders>
            <w:vAlign w:val="center"/>
          </w:tcPr>
          <w:p w14:paraId="4E11BE94">
            <w:pPr>
              <w:pStyle w:val="16"/>
              <w:rPr>
                <w:b w:val="0"/>
                <w:bCs w:val="0"/>
              </w:rPr>
            </w:pPr>
            <w:r>
              <w:rPr>
                <w:rFonts w:hint="eastAsia"/>
                <w:b w:val="0"/>
                <w:bCs w:val="0"/>
              </w:rPr>
              <w:t>吊具与索具系结物品，及其连接在起重机械上的方法不可靠</w:t>
            </w:r>
          </w:p>
        </w:tc>
        <w:tc>
          <w:tcPr>
            <w:tcW w:w="640" w:type="pct"/>
            <w:tcBorders>
              <w:tl2br w:val="nil"/>
              <w:tr2bl w:val="nil"/>
            </w:tcBorders>
            <w:vAlign w:val="center"/>
          </w:tcPr>
          <w:p w14:paraId="19C90FC8">
            <w:pPr>
              <w:pStyle w:val="16"/>
              <w:rPr>
                <w:b w:val="0"/>
                <w:bCs w:val="0"/>
              </w:rPr>
            </w:pPr>
            <w:r>
              <w:rPr>
                <w:rFonts w:hint="eastAsia"/>
                <w:b w:val="0"/>
                <w:bCs w:val="0"/>
              </w:rPr>
              <w:t>起重伤害</w:t>
            </w:r>
          </w:p>
        </w:tc>
      </w:tr>
      <w:tr w14:paraId="6DC3A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3E7B6E5">
            <w:pPr>
              <w:pStyle w:val="16"/>
              <w:numPr>
                <w:ilvl w:val="0"/>
                <w:numId w:val="27"/>
              </w:numPr>
              <w:tabs>
                <w:tab w:val="clear" w:pos="0"/>
              </w:tabs>
            </w:pPr>
          </w:p>
        </w:tc>
        <w:tc>
          <w:tcPr>
            <w:tcW w:w="502" w:type="pct"/>
            <w:vMerge w:val="continue"/>
            <w:tcBorders>
              <w:tl2br w:val="nil"/>
              <w:tr2bl w:val="nil"/>
            </w:tcBorders>
            <w:vAlign w:val="center"/>
          </w:tcPr>
          <w:p w14:paraId="022D2B27">
            <w:pPr>
              <w:pStyle w:val="16"/>
              <w:rPr>
                <w:b w:val="0"/>
                <w:bCs w:val="0"/>
              </w:rPr>
            </w:pPr>
          </w:p>
        </w:tc>
        <w:tc>
          <w:tcPr>
            <w:tcW w:w="3607" w:type="pct"/>
            <w:tcBorders>
              <w:tl2br w:val="nil"/>
              <w:tr2bl w:val="nil"/>
            </w:tcBorders>
            <w:vAlign w:val="center"/>
          </w:tcPr>
          <w:p w14:paraId="19DD1597">
            <w:pPr>
              <w:pStyle w:val="16"/>
              <w:rPr>
                <w:b w:val="0"/>
                <w:bCs w:val="0"/>
              </w:rPr>
            </w:pPr>
            <w:r>
              <w:rPr>
                <w:rFonts w:hint="eastAsia"/>
                <w:b w:val="0"/>
                <w:bCs w:val="0"/>
              </w:rPr>
              <w:t>未按照规定设置防脱钩装置，或者防脱钩装置失效。</w:t>
            </w:r>
          </w:p>
        </w:tc>
        <w:tc>
          <w:tcPr>
            <w:tcW w:w="640" w:type="pct"/>
            <w:tcBorders>
              <w:tl2br w:val="nil"/>
              <w:tr2bl w:val="nil"/>
            </w:tcBorders>
            <w:vAlign w:val="center"/>
          </w:tcPr>
          <w:p w14:paraId="519211F5">
            <w:pPr>
              <w:pStyle w:val="16"/>
              <w:rPr>
                <w:b w:val="0"/>
                <w:bCs w:val="0"/>
              </w:rPr>
            </w:pPr>
            <w:r>
              <w:rPr>
                <w:rFonts w:hint="eastAsia"/>
                <w:b w:val="0"/>
                <w:bCs w:val="0"/>
              </w:rPr>
              <w:t>起重伤害</w:t>
            </w:r>
          </w:p>
        </w:tc>
      </w:tr>
      <w:tr w14:paraId="37EF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5A6AF2A">
            <w:pPr>
              <w:pStyle w:val="16"/>
              <w:numPr>
                <w:ilvl w:val="0"/>
                <w:numId w:val="27"/>
              </w:numPr>
              <w:tabs>
                <w:tab w:val="clear" w:pos="0"/>
              </w:tabs>
            </w:pPr>
          </w:p>
        </w:tc>
        <w:tc>
          <w:tcPr>
            <w:tcW w:w="502" w:type="pct"/>
            <w:vMerge w:val="continue"/>
            <w:tcBorders>
              <w:tl2br w:val="nil"/>
              <w:tr2bl w:val="nil"/>
            </w:tcBorders>
            <w:vAlign w:val="center"/>
          </w:tcPr>
          <w:p w14:paraId="5303A8E6">
            <w:pPr>
              <w:pStyle w:val="16"/>
              <w:rPr>
                <w:b w:val="0"/>
                <w:bCs w:val="0"/>
              </w:rPr>
            </w:pPr>
          </w:p>
        </w:tc>
        <w:tc>
          <w:tcPr>
            <w:tcW w:w="3607" w:type="pct"/>
            <w:tcBorders>
              <w:tl2br w:val="nil"/>
              <w:tr2bl w:val="nil"/>
            </w:tcBorders>
            <w:vAlign w:val="center"/>
          </w:tcPr>
          <w:p w14:paraId="4E7363BC">
            <w:pPr>
              <w:pStyle w:val="16"/>
              <w:rPr>
                <w:b w:val="0"/>
                <w:bCs w:val="0"/>
              </w:rPr>
            </w:pPr>
            <w:r>
              <w:rPr>
                <w:rFonts w:hint="eastAsia"/>
                <w:b w:val="0"/>
                <w:bCs w:val="0"/>
              </w:rPr>
              <w:t>吊具悬挂不牢固可靠。</w:t>
            </w:r>
          </w:p>
        </w:tc>
        <w:tc>
          <w:tcPr>
            <w:tcW w:w="640" w:type="pct"/>
            <w:tcBorders>
              <w:tl2br w:val="nil"/>
              <w:tr2bl w:val="nil"/>
            </w:tcBorders>
            <w:vAlign w:val="center"/>
          </w:tcPr>
          <w:p w14:paraId="3BC5F784">
            <w:pPr>
              <w:pStyle w:val="16"/>
              <w:rPr>
                <w:b w:val="0"/>
                <w:bCs w:val="0"/>
              </w:rPr>
            </w:pPr>
            <w:r>
              <w:rPr>
                <w:rFonts w:hint="eastAsia"/>
                <w:b w:val="0"/>
                <w:bCs w:val="0"/>
              </w:rPr>
              <w:t>起重伤害</w:t>
            </w:r>
          </w:p>
        </w:tc>
      </w:tr>
      <w:tr w14:paraId="270D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934150C">
            <w:pPr>
              <w:pStyle w:val="16"/>
              <w:numPr>
                <w:ilvl w:val="0"/>
                <w:numId w:val="27"/>
              </w:numPr>
              <w:tabs>
                <w:tab w:val="clear" w:pos="0"/>
              </w:tabs>
            </w:pPr>
          </w:p>
        </w:tc>
        <w:tc>
          <w:tcPr>
            <w:tcW w:w="502" w:type="pct"/>
            <w:vMerge w:val="continue"/>
            <w:tcBorders>
              <w:tl2br w:val="nil"/>
              <w:tr2bl w:val="nil"/>
            </w:tcBorders>
            <w:vAlign w:val="center"/>
          </w:tcPr>
          <w:p w14:paraId="7073CF1B">
            <w:pPr>
              <w:pStyle w:val="16"/>
              <w:rPr>
                <w:b w:val="0"/>
                <w:bCs w:val="0"/>
              </w:rPr>
            </w:pPr>
          </w:p>
        </w:tc>
        <w:tc>
          <w:tcPr>
            <w:tcW w:w="3607" w:type="pct"/>
            <w:tcBorders>
              <w:tl2br w:val="nil"/>
              <w:tr2bl w:val="nil"/>
            </w:tcBorders>
            <w:vAlign w:val="center"/>
          </w:tcPr>
          <w:p w14:paraId="25DD43BC">
            <w:pPr>
              <w:pStyle w:val="16"/>
              <w:rPr>
                <w:b w:val="0"/>
                <w:bCs w:val="0"/>
              </w:rPr>
            </w:pPr>
            <w:r>
              <w:rPr>
                <w:rFonts w:hint="eastAsia"/>
                <w:b w:val="0"/>
                <w:bCs w:val="0"/>
              </w:rPr>
              <w:t>吊耳、耳轴或耳轴套，磨损减少原尺寸5％。</w:t>
            </w:r>
          </w:p>
        </w:tc>
        <w:tc>
          <w:tcPr>
            <w:tcW w:w="640" w:type="pct"/>
            <w:tcBorders>
              <w:tl2br w:val="nil"/>
              <w:tr2bl w:val="nil"/>
            </w:tcBorders>
            <w:vAlign w:val="center"/>
          </w:tcPr>
          <w:p w14:paraId="347C3FC4">
            <w:pPr>
              <w:pStyle w:val="16"/>
              <w:rPr>
                <w:b w:val="0"/>
                <w:bCs w:val="0"/>
              </w:rPr>
            </w:pPr>
            <w:r>
              <w:rPr>
                <w:rFonts w:hint="eastAsia"/>
                <w:b w:val="0"/>
                <w:bCs w:val="0"/>
              </w:rPr>
              <w:t>起重伤害</w:t>
            </w:r>
          </w:p>
        </w:tc>
      </w:tr>
      <w:tr w14:paraId="2E68E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560D46C">
            <w:pPr>
              <w:pStyle w:val="16"/>
              <w:numPr>
                <w:ilvl w:val="0"/>
                <w:numId w:val="27"/>
              </w:numPr>
              <w:tabs>
                <w:tab w:val="clear" w:pos="0"/>
              </w:tabs>
            </w:pPr>
          </w:p>
        </w:tc>
        <w:tc>
          <w:tcPr>
            <w:tcW w:w="502" w:type="pct"/>
            <w:vMerge w:val="restart"/>
            <w:tcBorders>
              <w:tl2br w:val="nil"/>
              <w:tr2bl w:val="nil"/>
            </w:tcBorders>
            <w:vAlign w:val="center"/>
          </w:tcPr>
          <w:p w14:paraId="3B356CC9">
            <w:pPr>
              <w:pStyle w:val="16"/>
              <w:rPr>
                <w:b w:val="0"/>
                <w:bCs w:val="0"/>
              </w:rPr>
            </w:pPr>
            <w:r>
              <w:rPr>
                <w:rFonts w:hint="eastAsia"/>
                <w:b w:val="0"/>
                <w:bCs w:val="0"/>
              </w:rPr>
              <w:t>操作错误，忽视安全，忽视警告</w:t>
            </w:r>
          </w:p>
        </w:tc>
        <w:tc>
          <w:tcPr>
            <w:tcW w:w="3607" w:type="pct"/>
            <w:tcBorders>
              <w:tl2br w:val="nil"/>
              <w:tr2bl w:val="nil"/>
            </w:tcBorders>
            <w:vAlign w:val="center"/>
          </w:tcPr>
          <w:p w14:paraId="0B9B2E0B">
            <w:pPr>
              <w:pStyle w:val="16"/>
              <w:rPr>
                <w:b w:val="0"/>
                <w:bCs w:val="0"/>
              </w:rPr>
            </w:pPr>
            <w:r>
              <w:rPr>
                <w:rFonts w:hint="eastAsia"/>
                <w:b w:val="0"/>
                <w:bCs w:val="0"/>
              </w:rPr>
              <w:t>未经许可开动、关停、移动机器</w:t>
            </w:r>
          </w:p>
        </w:tc>
        <w:tc>
          <w:tcPr>
            <w:tcW w:w="640" w:type="pct"/>
            <w:tcBorders>
              <w:tl2br w:val="nil"/>
              <w:tr2bl w:val="nil"/>
            </w:tcBorders>
            <w:vAlign w:val="center"/>
          </w:tcPr>
          <w:p w14:paraId="5B42195C">
            <w:pPr>
              <w:pStyle w:val="16"/>
              <w:rPr>
                <w:b w:val="0"/>
                <w:bCs w:val="0"/>
              </w:rPr>
            </w:pPr>
            <w:r>
              <w:rPr>
                <w:rFonts w:hint="eastAsia"/>
                <w:b w:val="0"/>
                <w:bCs w:val="0"/>
              </w:rPr>
              <w:t>机械伤害</w:t>
            </w:r>
          </w:p>
        </w:tc>
      </w:tr>
      <w:tr w14:paraId="3214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AB6F342">
            <w:pPr>
              <w:pStyle w:val="16"/>
              <w:numPr>
                <w:ilvl w:val="0"/>
                <w:numId w:val="27"/>
              </w:numPr>
              <w:tabs>
                <w:tab w:val="clear" w:pos="0"/>
              </w:tabs>
            </w:pPr>
          </w:p>
        </w:tc>
        <w:tc>
          <w:tcPr>
            <w:tcW w:w="502" w:type="pct"/>
            <w:vMerge w:val="continue"/>
            <w:tcBorders>
              <w:tl2br w:val="nil"/>
              <w:tr2bl w:val="nil"/>
            </w:tcBorders>
            <w:vAlign w:val="center"/>
          </w:tcPr>
          <w:p w14:paraId="181E9368">
            <w:pPr>
              <w:pStyle w:val="16"/>
              <w:rPr>
                <w:b w:val="0"/>
                <w:bCs w:val="0"/>
              </w:rPr>
            </w:pPr>
          </w:p>
        </w:tc>
        <w:tc>
          <w:tcPr>
            <w:tcW w:w="3607" w:type="pct"/>
            <w:tcBorders>
              <w:tl2br w:val="nil"/>
              <w:tr2bl w:val="nil"/>
            </w:tcBorders>
            <w:vAlign w:val="center"/>
          </w:tcPr>
          <w:p w14:paraId="6809B37A">
            <w:pPr>
              <w:pStyle w:val="16"/>
              <w:rPr>
                <w:b w:val="0"/>
                <w:bCs w:val="0"/>
              </w:rPr>
            </w:pPr>
            <w:r>
              <w:rPr>
                <w:rFonts w:hint="eastAsia"/>
                <w:b w:val="0"/>
                <w:bCs w:val="0"/>
              </w:rPr>
              <w:t>开动、关停机器时未给信号</w:t>
            </w:r>
          </w:p>
        </w:tc>
        <w:tc>
          <w:tcPr>
            <w:tcW w:w="640" w:type="pct"/>
            <w:tcBorders>
              <w:tl2br w:val="nil"/>
              <w:tr2bl w:val="nil"/>
            </w:tcBorders>
            <w:vAlign w:val="center"/>
          </w:tcPr>
          <w:p w14:paraId="57374016">
            <w:pPr>
              <w:pStyle w:val="16"/>
              <w:rPr>
                <w:b w:val="0"/>
                <w:bCs w:val="0"/>
              </w:rPr>
            </w:pPr>
            <w:r>
              <w:rPr>
                <w:rFonts w:hint="eastAsia"/>
                <w:b w:val="0"/>
                <w:bCs w:val="0"/>
              </w:rPr>
              <w:t>机械伤害</w:t>
            </w:r>
          </w:p>
        </w:tc>
      </w:tr>
      <w:tr w14:paraId="5AD75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894928A">
            <w:pPr>
              <w:pStyle w:val="16"/>
              <w:numPr>
                <w:ilvl w:val="0"/>
                <w:numId w:val="27"/>
              </w:numPr>
              <w:tabs>
                <w:tab w:val="clear" w:pos="0"/>
              </w:tabs>
            </w:pPr>
          </w:p>
        </w:tc>
        <w:tc>
          <w:tcPr>
            <w:tcW w:w="502" w:type="pct"/>
            <w:vMerge w:val="continue"/>
            <w:tcBorders>
              <w:tl2br w:val="nil"/>
              <w:tr2bl w:val="nil"/>
            </w:tcBorders>
            <w:vAlign w:val="center"/>
          </w:tcPr>
          <w:p w14:paraId="0A9E71D9">
            <w:pPr>
              <w:pStyle w:val="16"/>
              <w:rPr>
                <w:b w:val="0"/>
                <w:bCs w:val="0"/>
              </w:rPr>
            </w:pPr>
          </w:p>
        </w:tc>
        <w:tc>
          <w:tcPr>
            <w:tcW w:w="3607" w:type="pct"/>
            <w:tcBorders>
              <w:tl2br w:val="nil"/>
              <w:tr2bl w:val="nil"/>
            </w:tcBorders>
            <w:vAlign w:val="center"/>
          </w:tcPr>
          <w:p w14:paraId="7B824EAC">
            <w:pPr>
              <w:pStyle w:val="16"/>
              <w:rPr>
                <w:b w:val="0"/>
                <w:bCs w:val="0"/>
              </w:rPr>
            </w:pPr>
            <w:r>
              <w:rPr>
                <w:rFonts w:hint="eastAsia"/>
                <w:b w:val="0"/>
                <w:bCs w:val="0"/>
              </w:rPr>
              <w:t>操作错误（指按钮、阀门、搬手、把柄等的操作）</w:t>
            </w:r>
          </w:p>
        </w:tc>
        <w:tc>
          <w:tcPr>
            <w:tcW w:w="640" w:type="pct"/>
            <w:tcBorders>
              <w:tl2br w:val="nil"/>
              <w:tr2bl w:val="nil"/>
            </w:tcBorders>
            <w:vAlign w:val="center"/>
          </w:tcPr>
          <w:p w14:paraId="51110934">
            <w:pPr>
              <w:pStyle w:val="16"/>
              <w:rPr>
                <w:b w:val="0"/>
                <w:bCs w:val="0"/>
              </w:rPr>
            </w:pPr>
            <w:r>
              <w:rPr>
                <w:rFonts w:hint="eastAsia"/>
                <w:b w:val="0"/>
                <w:bCs w:val="0"/>
              </w:rPr>
              <w:t>机械伤害</w:t>
            </w:r>
          </w:p>
        </w:tc>
      </w:tr>
      <w:tr w14:paraId="04D7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2A74832">
            <w:pPr>
              <w:pStyle w:val="16"/>
              <w:numPr>
                <w:ilvl w:val="0"/>
                <w:numId w:val="27"/>
              </w:numPr>
              <w:tabs>
                <w:tab w:val="clear" w:pos="0"/>
              </w:tabs>
            </w:pPr>
          </w:p>
        </w:tc>
        <w:tc>
          <w:tcPr>
            <w:tcW w:w="502" w:type="pct"/>
            <w:vMerge w:val="restart"/>
            <w:tcBorders>
              <w:tl2br w:val="nil"/>
              <w:tr2bl w:val="nil"/>
            </w:tcBorders>
            <w:vAlign w:val="center"/>
          </w:tcPr>
          <w:p w14:paraId="022D4610">
            <w:pPr>
              <w:pStyle w:val="16"/>
              <w:rPr>
                <w:b w:val="0"/>
                <w:bCs w:val="0"/>
              </w:rPr>
            </w:pPr>
            <w:r>
              <w:rPr>
                <w:rFonts w:hint="eastAsia"/>
                <w:b w:val="0"/>
                <w:bCs w:val="0"/>
              </w:rPr>
              <w:t>作业现场环境</w:t>
            </w:r>
          </w:p>
        </w:tc>
        <w:tc>
          <w:tcPr>
            <w:tcW w:w="3607" w:type="pct"/>
            <w:tcBorders>
              <w:tl2br w:val="nil"/>
              <w:tr2bl w:val="nil"/>
            </w:tcBorders>
            <w:vAlign w:val="center"/>
          </w:tcPr>
          <w:p w14:paraId="1DE5783B">
            <w:pPr>
              <w:pStyle w:val="16"/>
              <w:rPr>
                <w:b w:val="0"/>
                <w:bCs w:val="0"/>
              </w:rPr>
            </w:pPr>
            <w:r>
              <w:rPr>
                <w:rFonts w:hint="eastAsia"/>
                <w:b w:val="0"/>
                <w:bCs w:val="0"/>
              </w:rPr>
              <w:t>起重机械运动部分与建筑物、设施、输电线的安全距离不够。</w:t>
            </w:r>
          </w:p>
        </w:tc>
        <w:tc>
          <w:tcPr>
            <w:tcW w:w="640" w:type="pct"/>
            <w:tcBorders>
              <w:tl2br w:val="nil"/>
              <w:tr2bl w:val="nil"/>
            </w:tcBorders>
            <w:vAlign w:val="center"/>
          </w:tcPr>
          <w:p w14:paraId="07422D8E">
            <w:pPr>
              <w:pStyle w:val="16"/>
              <w:rPr>
                <w:b w:val="0"/>
                <w:bCs w:val="0"/>
              </w:rPr>
            </w:pPr>
            <w:r>
              <w:rPr>
                <w:rFonts w:hint="eastAsia"/>
                <w:b w:val="0"/>
                <w:bCs w:val="0"/>
              </w:rPr>
              <w:t>起重伤害</w:t>
            </w:r>
          </w:p>
        </w:tc>
      </w:tr>
      <w:tr w14:paraId="3B5D3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D3A2BE3">
            <w:pPr>
              <w:pStyle w:val="16"/>
              <w:numPr>
                <w:ilvl w:val="0"/>
                <w:numId w:val="27"/>
              </w:numPr>
              <w:tabs>
                <w:tab w:val="clear" w:pos="0"/>
              </w:tabs>
            </w:pPr>
          </w:p>
        </w:tc>
        <w:tc>
          <w:tcPr>
            <w:tcW w:w="502" w:type="pct"/>
            <w:vMerge w:val="continue"/>
            <w:tcBorders>
              <w:tl2br w:val="nil"/>
              <w:tr2bl w:val="nil"/>
            </w:tcBorders>
            <w:vAlign w:val="center"/>
          </w:tcPr>
          <w:p w14:paraId="2C860817">
            <w:pPr>
              <w:pStyle w:val="16"/>
              <w:rPr>
                <w:b w:val="0"/>
                <w:bCs w:val="0"/>
              </w:rPr>
            </w:pPr>
          </w:p>
        </w:tc>
        <w:tc>
          <w:tcPr>
            <w:tcW w:w="3607" w:type="pct"/>
            <w:tcBorders>
              <w:tl2br w:val="nil"/>
              <w:tr2bl w:val="nil"/>
            </w:tcBorders>
            <w:vAlign w:val="center"/>
          </w:tcPr>
          <w:p w14:paraId="2CF13399">
            <w:pPr>
              <w:pStyle w:val="16"/>
              <w:rPr>
                <w:b w:val="0"/>
                <w:bCs w:val="0"/>
              </w:rPr>
            </w:pPr>
            <w:r>
              <w:rPr>
                <w:rFonts w:hint="eastAsia"/>
                <w:b w:val="0"/>
                <w:bCs w:val="0"/>
              </w:rPr>
              <w:t>作业前，未检查起重吊装所使用的起重机滑轮、吊索、卡环和地锚等。</w:t>
            </w:r>
          </w:p>
        </w:tc>
        <w:tc>
          <w:tcPr>
            <w:tcW w:w="640" w:type="pct"/>
            <w:tcBorders>
              <w:tl2br w:val="nil"/>
              <w:tr2bl w:val="nil"/>
            </w:tcBorders>
            <w:vAlign w:val="center"/>
          </w:tcPr>
          <w:p w14:paraId="3C5534DF">
            <w:pPr>
              <w:pStyle w:val="16"/>
              <w:rPr>
                <w:b w:val="0"/>
                <w:bCs w:val="0"/>
              </w:rPr>
            </w:pPr>
            <w:r>
              <w:rPr>
                <w:rFonts w:hint="eastAsia"/>
                <w:b w:val="0"/>
                <w:bCs w:val="0"/>
              </w:rPr>
              <w:t>起重伤害</w:t>
            </w:r>
          </w:p>
        </w:tc>
      </w:tr>
      <w:tr w14:paraId="1C6DD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2CE6D46">
            <w:pPr>
              <w:pStyle w:val="16"/>
              <w:numPr>
                <w:ilvl w:val="0"/>
                <w:numId w:val="27"/>
              </w:numPr>
              <w:tabs>
                <w:tab w:val="clear" w:pos="0"/>
              </w:tabs>
            </w:pPr>
          </w:p>
        </w:tc>
        <w:tc>
          <w:tcPr>
            <w:tcW w:w="502" w:type="pct"/>
            <w:vMerge w:val="continue"/>
            <w:tcBorders>
              <w:tl2br w:val="nil"/>
              <w:tr2bl w:val="nil"/>
            </w:tcBorders>
            <w:vAlign w:val="center"/>
          </w:tcPr>
          <w:p w14:paraId="4F741009">
            <w:pPr>
              <w:pStyle w:val="16"/>
              <w:rPr>
                <w:b w:val="0"/>
                <w:bCs w:val="0"/>
              </w:rPr>
            </w:pPr>
          </w:p>
        </w:tc>
        <w:tc>
          <w:tcPr>
            <w:tcW w:w="3607" w:type="pct"/>
            <w:tcBorders>
              <w:tl2br w:val="nil"/>
              <w:tr2bl w:val="nil"/>
            </w:tcBorders>
            <w:vAlign w:val="center"/>
          </w:tcPr>
          <w:p w14:paraId="329806DB">
            <w:pPr>
              <w:pStyle w:val="16"/>
              <w:rPr>
                <w:b w:val="0"/>
                <w:bCs w:val="0"/>
              </w:rPr>
            </w:pPr>
            <w:r>
              <w:rPr>
                <w:rFonts w:hint="eastAsia"/>
                <w:b w:val="0"/>
                <w:bCs w:val="0"/>
              </w:rPr>
              <w:t>吊装业作区四周未设置明显标志或警戒区；夜间施工没有足够的照明。</w:t>
            </w:r>
          </w:p>
        </w:tc>
        <w:tc>
          <w:tcPr>
            <w:tcW w:w="640" w:type="pct"/>
            <w:tcBorders>
              <w:tl2br w:val="nil"/>
              <w:tr2bl w:val="nil"/>
            </w:tcBorders>
            <w:vAlign w:val="center"/>
          </w:tcPr>
          <w:p w14:paraId="0D4BD461">
            <w:pPr>
              <w:pStyle w:val="16"/>
              <w:rPr>
                <w:b w:val="0"/>
                <w:bCs w:val="0"/>
              </w:rPr>
            </w:pPr>
            <w:r>
              <w:rPr>
                <w:rFonts w:hint="eastAsia"/>
                <w:b w:val="0"/>
                <w:bCs w:val="0"/>
              </w:rPr>
              <w:t>起重伤害</w:t>
            </w:r>
          </w:p>
        </w:tc>
      </w:tr>
      <w:tr w14:paraId="13429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D253AED">
            <w:pPr>
              <w:pStyle w:val="16"/>
              <w:numPr>
                <w:ilvl w:val="0"/>
                <w:numId w:val="27"/>
              </w:numPr>
              <w:tabs>
                <w:tab w:val="clear" w:pos="0"/>
              </w:tabs>
            </w:pPr>
          </w:p>
        </w:tc>
        <w:tc>
          <w:tcPr>
            <w:tcW w:w="502" w:type="pct"/>
            <w:vMerge w:val="continue"/>
            <w:tcBorders>
              <w:tl2br w:val="nil"/>
              <w:tr2bl w:val="nil"/>
            </w:tcBorders>
            <w:vAlign w:val="center"/>
          </w:tcPr>
          <w:p w14:paraId="6C9787A0">
            <w:pPr>
              <w:pStyle w:val="16"/>
              <w:rPr>
                <w:b w:val="0"/>
                <w:bCs w:val="0"/>
              </w:rPr>
            </w:pPr>
          </w:p>
        </w:tc>
        <w:tc>
          <w:tcPr>
            <w:tcW w:w="3607" w:type="pct"/>
            <w:tcBorders>
              <w:tl2br w:val="nil"/>
              <w:tr2bl w:val="nil"/>
            </w:tcBorders>
            <w:vAlign w:val="center"/>
          </w:tcPr>
          <w:p w14:paraId="0C3AFC44">
            <w:pPr>
              <w:pStyle w:val="16"/>
              <w:rPr>
                <w:b w:val="0"/>
                <w:bCs w:val="0"/>
              </w:rPr>
            </w:pPr>
            <w:r>
              <w:rPr>
                <w:rFonts w:hint="eastAsia"/>
                <w:b w:val="0"/>
                <w:bCs w:val="0"/>
              </w:rPr>
              <w:t>起重设备通行道路不平整、坚实</w:t>
            </w:r>
          </w:p>
        </w:tc>
        <w:tc>
          <w:tcPr>
            <w:tcW w:w="640" w:type="pct"/>
            <w:tcBorders>
              <w:tl2br w:val="nil"/>
              <w:tr2bl w:val="nil"/>
            </w:tcBorders>
            <w:vAlign w:val="center"/>
          </w:tcPr>
          <w:p w14:paraId="4DEC68FC">
            <w:pPr>
              <w:pStyle w:val="16"/>
              <w:rPr>
                <w:b w:val="0"/>
                <w:bCs w:val="0"/>
              </w:rPr>
            </w:pPr>
            <w:r>
              <w:rPr>
                <w:rFonts w:hint="eastAsia"/>
                <w:b w:val="0"/>
                <w:bCs w:val="0"/>
              </w:rPr>
              <w:t>机械伤害</w:t>
            </w:r>
          </w:p>
        </w:tc>
      </w:tr>
      <w:tr w14:paraId="1C81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CAEA9BB">
            <w:pPr>
              <w:pStyle w:val="16"/>
              <w:numPr>
                <w:ilvl w:val="0"/>
                <w:numId w:val="27"/>
              </w:numPr>
              <w:tabs>
                <w:tab w:val="clear" w:pos="0"/>
              </w:tabs>
            </w:pPr>
          </w:p>
        </w:tc>
        <w:tc>
          <w:tcPr>
            <w:tcW w:w="502" w:type="pct"/>
            <w:vMerge w:val="restart"/>
            <w:tcBorders>
              <w:tl2br w:val="nil"/>
              <w:tr2bl w:val="nil"/>
            </w:tcBorders>
            <w:vAlign w:val="center"/>
          </w:tcPr>
          <w:p w14:paraId="212CCEE5">
            <w:pPr>
              <w:pStyle w:val="16"/>
              <w:rPr>
                <w:b w:val="0"/>
                <w:bCs w:val="0"/>
              </w:rPr>
            </w:pPr>
            <w:r>
              <w:rPr>
                <w:rFonts w:hint="eastAsia"/>
                <w:b w:val="0"/>
                <w:bCs w:val="0"/>
              </w:rPr>
              <w:t>起重</w:t>
            </w:r>
          </w:p>
          <w:p w14:paraId="4F09F172">
            <w:pPr>
              <w:pStyle w:val="16"/>
              <w:rPr>
                <w:b w:val="0"/>
                <w:bCs w:val="0"/>
              </w:rPr>
            </w:pPr>
            <w:r>
              <w:rPr>
                <w:rFonts w:hint="eastAsia"/>
                <w:b w:val="0"/>
                <w:bCs w:val="0"/>
              </w:rPr>
              <w:t>作业</w:t>
            </w:r>
          </w:p>
        </w:tc>
        <w:tc>
          <w:tcPr>
            <w:tcW w:w="3607" w:type="pct"/>
            <w:tcBorders>
              <w:tl2br w:val="nil"/>
              <w:tr2bl w:val="nil"/>
            </w:tcBorders>
            <w:vAlign w:val="center"/>
          </w:tcPr>
          <w:p w14:paraId="4B807C7A">
            <w:pPr>
              <w:pStyle w:val="16"/>
              <w:rPr>
                <w:b w:val="0"/>
                <w:bCs w:val="0"/>
              </w:rPr>
            </w:pPr>
            <w:r>
              <w:rPr>
                <w:rFonts w:hint="eastAsia"/>
                <w:b w:val="0"/>
                <w:bCs w:val="0"/>
              </w:rPr>
              <w:t>吊装长大物件时，没有于物件两端绑扎溜绳，并且由操作人员控制物件的平衡和稳定</w:t>
            </w:r>
          </w:p>
        </w:tc>
        <w:tc>
          <w:tcPr>
            <w:tcW w:w="640" w:type="pct"/>
            <w:tcBorders>
              <w:tl2br w:val="nil"/>
              <w:tr2bl w:val="nil"/>
            </w:tcBorders>
            <w:vAlign w:val="center"/>
          </w:tcPr>
          <w:p w14:paraId="1B343AE6">
            <w:pPr>
              <w:pStyle w:val="16"/>
              <w:rPr>
                <w:b w:val="0"/>
                <w:bCs w:val="0"/>
              </w:rPr>
            </w:pPr>
            <w:r>
              <w:rPr>
                <w:rFonts w:hint="eastAsia"/>
                <w:b w:val="0"/>
                <w:bCs w:val="0"/>
              </w:rPr>
              <w:t>起重伤害</w:t>
            </w:r>
          </w:p>
        </w:tc>
      </w:tr>
      <w:tr w14:paraId="18D74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D5F72B3">
            <w:pPr>
              <w:pStyle w:val="16"/>
              <w:numPr>
                <w:ilvl w:val="0"/>
                <w:numId w:val="27"/>
              </w:numPr>
              <w:tabs>
                <w:tab w:val="clear" w:pos="0"/>
              </w:tabs>
            </w:pPr>
          </w:p>
        </w:tc>
        <w:tc>
          <w:tcPr>
            <w:tcW w:w="502" w:type="pct"/>
            <w:vMerge w:val="continue"/>
            <w:tcBorders>
              <w:tl2br w:val="nil"/>
              <w:tr2bl w:val="nil"/>
            </w:tcBorders>
            <w:vAlign w:val="center"/>
          </w:tcPr>
          <w:p w14:paraId="7D79FF83">
            <w:pPr>
              <w:pStyle w:val="16"/>
              <w:rPr>
                <w:b w:val="0"/>
                <w:bCs w:val="0"/>
              </w:rPr>
            </w:pPr>
          </w:p>
        </w:tc>
        <w:tc>
          <w:tcPr>
            <w:tcW w:w="3607" w:type="pct"/>
            <w:tcBorders>
              <w:tl2br w:val="nil"/>
              <w:tr2bl w:val="nil"/>
            </w:tcBorders>
            <w:vAlign w:val="center"/>
          </w:tcPr>
          <w:p w14:paraId="4C4C3FB2">
            <w:pPr>
              <w:pStyle w:val="16"/>
              <w:rPr>
                <w:b w:val="0"/>
                <w:bCs w:val="0"/>
              </w:rPr>
            </w:pPr>
            <w:r>
              <w:rPr>
                <w:rFonts w:hint="eastAsia"/>
                <w:b w:val="0"/>
                <w:bCs w:val="0"/>
              </w:rPr>
              <w:t>构件吊装和翻身扶直时的吊点不符合设计规定，构件起吊不平稳。</w:t>
            </w:r>
          </w:p>
        </w:tc>
        <w:tc>
          <w:tcPr>
            <w:tcW w:w="640" w:type="pct"/>
            <w:tcBorders>
              <w:tl2br w:val="nil"/>
              <w:tr2bl w:val="nil"/>
            </w:tcBorders>
            <w:vAlign w:val="center"/>
          </w:tcPr>
          <w:p w14:paraId="24347A4A">
            <w:pPr>
              <w:pStyle w:val="16"/>
              <w:rPr>
                <w:b w:val="0"/>
                <w:bCs w:val="0"/>
              </w:rPr>
            </w:pPr>
            <w:r>
              <w:rPr>
                <w:rFonts w:hint="eastAsia"/>
                <w:b w:val="0"/>
                <w:bCs w:val="0"/>
              </w:rPr>
              <w:t>起重伤害</w:t>
            </w:r>
          </w:p>
        </w:tc>
      </w:tr>
      <w:tr w14:paraId="05E4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602F2C4">
            <w:pPr>
              <w:pStyle w:val="16"/>
              <w:numPr>
                <w:ilvl w:val="0"/>
                <w:numId w:val="27"/>
              </w:numPr>
              <w:tabs>
                <w:tab w:val="clear" w:pos="0"/>
              </w:tabs>
            </w:pPr>
          </w:p>
        </w:tc>
        <w:tc>
          <w:tcPr>
            <w:tcW w:w="502" w:type="pct"/>
            <w:vMerge w:val="continue"/>
            <w:tcBorders>
              <w:tl2br w:val="nil"/>
              <w:tr2bl w:val="nil"/>
            </w:tcBorders>
            <w:vAlign w:val="center"/>
          </w:tcPr>
          <w:p w14:paraId="3CF85B28">
            <w:pPr>
              <w:pStyle w:val="16"/>
              <w:rPr>
                <w:b w:val="0"/>
                <w:bCs w:val="0"/>
              </w:rPr>
            </w:pPr>
          </w:p>
        </w:tc>
        <w:tc>
          <w:tcPr>
            <w:tcW w:w="3607" w:type="pct"/>
            <w:tcBorders>
              <w:tl2br w:val="nil"/>
              <w:tr2bl w:val="nil"/>
            </w:tcBorders>
            <w:vAlign w:val="center"/>
          </w:tcPr>
          <w:p w14:paraId="1ECDE520">
            <w:pPr>
              <w:pStyle w:val="16"/>
              <w:rPr>
                <w:b w:val="0"/>
                <w:bCs w:val="0"/>
              </w:rPr>
            </w:pPr>
            <w:r>
              <w:rPr>
                <w:rFonts w:hint="eastAsia"/>
                <w:b w:val="0"/>
                <w:bCs w:val="0"/>
              </w:rPr>
              <w:t>吊装大、重构件和采用新的吊装工艺时，未进行试吊。</w:t>
            </w:r>
          </w:p>
        </w:tc>
        <w:tc>
          <w:tcPr>
            <w:tcW w:w="640" w:type="pct"/>
            <w:tcBorders>
              <w:tl2br w:val="nil"/>
              <w:tr2bl w:val="nil"/>
            </w:tcBorders>
            <w:vAlign w:val="center"/>
          </w:tcPr>
          <w:p w14:paraId="5BDBBD10">
            <w:pPr>
              <w:pStyle w:val="16"/>
              <w:rPr>
                <w:b w:val="0"/>
                <w:bCs w:val="0"/>
              </w:rPr>
            </w:pPr>
            <w:r>
              <w:rPr>
                <w:rFonts w:hint="eastAsia"/>
                <w:b w:val="0"/>
                <w:bCs w:val="0"/>
              </w:rPr>
              <w:t>起重伤害</w:t>
            </w:r>
          </w:p>
        </w:tc>
      </w:tr>
      <w:tr w14:paraId="29A63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EE8612F">
            <w:pPr>
              <w:pStyle w:val="16"/>
              <w:numPr>
                <w:ilvl w:val="0"/>
                <w:numId w:val="27"/>
              </w:numPr>
              <w:tabs>
                <w:tab w:val="clear" w:pos="0"/>
              </w:tabs>
            </w:pPr>
          </w:p>
        </w:tc>
        <w:tc>
          <w:tcPr>
            <w:tcW w:w="502" w:type="pct"/>
            <w:vMerge w:val="continue"/>
            <w:tcBorders>
              <w:tl2br w:val="nil"/>
              <w:tr2bl w:val="nil"/>
            </w:tcBorders>
            <w:vAlign w:val="center"/>
          </w:tcPr>
          <w:p w14:paraId="14ACA9B7">
            <w:pPr>
              <w:pStyle w:val="16"/>
              <w:rPr>
                <w:b w:val="0"/>
                <w:bCs w:val="0"/>
              </w:rPr>
            </w:pPr>
          </w:p>
        </w:tc>
        <w:tc>
          <w:tcPr>
            <w:tcW w:w="3607" w:type="pct"/>
            <w:tcBorders>
              <w:tl2br w:val="nil"/>
              <w:tr2bl w:val="nil"/>
            </w:tcBorders>
            <w:vAlign w:val="center"/>
          </w:tcPr>
          <w:p w14:paraId="3EF78123">
            <w:pPr>
              <w:pStyle w:val="16"/>
              <w:rPr>
                <w:b w:val="0"/>
                <w:bCs w:val="0"/>
              </w:rPr>
            </w:pPr>
            <w:r>
              <w:rPr>
                <w:rFonts w:hint="eastAsia"/>
                <w:b w:val="0"/>
                <w:bCs w:val="0"/>
              </w:rPr>
              <w:t>大雨、雾、大雪及六级以上大风等恶劣天气进行吊装作业。</w:t>
            </w:r>
          </w:p>
        </w:tc>
        <w:tc>
          <w:tcPr>
            <w:tcW w:w="640" w:type="pct"/>
            <w:tcBorders>
              <w:tl2br w:val="nil"/>
              <w:tr2bl w:val="nil"/>
            </w:tcBorders>
            <w:vAlign w:val="center"/>
          </w:tcPr>
          <w:p w14:paraId="3821E346">
            <w:pPr>
              <w:pStyle w:val="16"/>
              <w:rPr>
                <w:b w:val="0"/>
                <w:bCs w:val="0"/>
              </w:rPr>
            </w:pPr>
            <w:r>
              <w:rPr>
                <w:rFonts w:hint="eastAsia"/>
                <w:b w:val="0"/>
                <w:bCs w:val="0"/>
              </w:rPr>
              <w:t>起重伤害</w:t>
            </w:r>
          </w:p>
        </w:tc>
      </w:tr>
      <w:tr w14:paraId="4FD5C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98F52D1">
            <w:pPr>
              <w:pStyle w:val="16"/>
              <w:numPr>
                <w:ilvl w:val="0"/>
                <w:numId w:val="27"/>
              </w:numPr>
              <w:tabs>
                <w:tab w:val="clear" w:pos="0"/>
              </w:tabs>
            </w:pPr>
          </w:p>
        </w:tc>
        <w:tc>
          <w:tcPr>
            <w:tcW w:w="502" w:type="pct"/>
            <w:vMerge w:val="continue"/>
            <w:tcBorders>
              <w:tl2br w:val="nil"/>
              <w:tr2bl w:val="nil"/>
            </w:tcBorders>
            <w:vAlign w:val="center"/>
          </w:tcPr>
          <w:p w14:paraId="689AA702">
            <w:pPr>
              <w:pStyle w:val="16"/>
              <w:rPr>
                <w:b w:val="0"/>
                <w:bCs w:val="0"/>
              </w:rPr>
            </w:pPr>
          </w:p>
        </w:tc>
        <w:tc>
          <w:tcPr>
            <w:tcW w:w="3607" w:type="pct"/>
            <w:tcBorders>
              <w:tl2br w:val="nil"/>
              <w:tr2bl w:val="nil"/>
            </w:tcBorders>
            <w:vAlign w:val="center"/>
          </w:tcPr>
          <w:p w14:paraId="1005F695">
            <w:pPr>
              <w:pStyle w:val="16"/>
              <w:rPr>
                <w:b w:val="0"/>
                <w:bCs w:val="0"/>
              </w:rPr>
            </w:pPr>
            <w:r>
              <w:rPr>
                <w:rFonts w:hint="eastAsia"/>
                <w:b w:val="0"/>
                <w:bCs w:val="0"/>
              </w:rPr>
              <w:t>采用了斜拉、斜吊，或者起吊埋于地下或粘结在地面上的构件。</w:t>
            </w:r>
          </w:p>
        </w:tc>
        <w:tc>
          <w:tcPr>
            <w:tcW w:w="640" w:type="pct"/>
            <w:tcBorders>
              <w:tl2br w:val="nil"/>
              <w:tr2bl w:val="nil"/>
            </w:tcBorders>
            <w:vAlign w:val="center"/>
          </w:tcPr>
          <w:p w14:paraId="4FD17976">
            <w:pPr>
              <w:pStyle w:val="16"/>
              <w:rPr>
                <w:b w:val="0"/>
                <w:bCs w:val="0"/>
              </w:rPr>
            </w:pPr>
            <w:r>
              <w:rPr>
                <w:rFonts w:hint="eastAsia"/>
                <w:b w:val="0"/>
                <w:bCs w:val="0"/>
              </w:rPr>
              <w:t>起重伤害</w:t>
            </w:r>
          </w:p>
        </w:tc>
      </w:tr>
      <w:tr w14:paraId="4BCE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835389D">
            <w:pPr>
              <w:pStyle w:val="16"/>
              <w:numPr>
                <w:ilvl w:val="0"/>
                <w:numId w:val="27"/>
              </w:numPr>
              <w:tabs>
                <w:tab w:val="clear" w:pos="0"/>
              </w:tabs>
            </w:pPr>
          </w:p>
        </w:tc>
        <w:tc>
          <w:tcPr>
            <w:tcW w:w="502" w:type="pct"/>
            <w:vMerge w:val="continue"/>
            <w:tcBorders>
              <w:tl2br w:val="nil"/>
              <w:tr2bl w:val="nil"/>
            </w:tcBorders>
            <w:vAlign w:val="center"/>
          </w:tcPr>
          <w:p w14:paraId="326CF38C">
            <w:pPr>
              <w:pStyle w:val="16"/>
              <w:rPr>
                <w:b w:val="0"/>
                <w:bCs w:val="0"/>
              </w:rPr>
            </w:pPr>
          </w:p>
        </w:tc>
        <w:tc>
          <w:tcPr>
            <w:tcW w:w="3607" w:type="pct"/>
            <w:tcBorders>
              <w:tl2br w:val="nil"/>
              <w:tr2bl w:val="nil"/>
            </w:tcBorders>
            <w:vAlign w:val="center"/>
          </w:tcPr>
          <w:p w14:paraId="18C81269">
            <w:pPr>
              <w:pStyle w:val="16"/>
              <w:rPr>
                <w:b w:val="0"/>
                <w:bCs w:val="0"/>
              </w:rPr>
            </w:pPr>
            <w:r>
              <w:rPr>
                <w:rFonts w:hint="eastAsia"/>
                <w:b w:val="0"/>
                <w:bCs w:val="0"/>
              </w:rPr>
              <w:t>超载吊装和起吊重量不明的重大构件和设备</w:t>
            </w:r>
          </w:p>
        </w:tc>
        <w:tc>
          <w:tcPr>
            <w:tcW w:w="640" w:type="pct"/>
            <w:tcBorders>
              <w:tl2br w:val="nil"/>
              <w:tr2bl w:val="nil"/>
            </w:tcBorders>
            <w:vAlign w:val="center"/>
          </w:tcPr>
          <w:p w14:paraId="4E7703BC">
            <w:pPr>
              <w:pStyle w:val="16"/>
              <w:rPr>
                <w:b w:val="0"/>
                <w:bCs w:val="0"/>
              </w:rPr>
            </w:pPr>
            <w:r>
              <w:rPr>
                <w:rFonts w:hint="eastAsia"/>
                <w:b w:val="0"/>
                <w:bCs w:val="0"/>
              </w:rPr>
              <w:t>起重伤害</w:t>
            </w:r>
          </w:p>
        </w:tc>
      </w:tr>
      <w:tr w14:paraId="07D7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C81C8F0">
            <w:pPr>
              <w:pStyle w:val="16"/>
              <w:numPr>
                <w:ilvl w:val="0"/>
                <w:numId w:val="27"/>
              </w:numPr>
              <w:tabs>
                <w:tab w:val="clear" w:pos="0"/>
              </w:tabs>
            </w:pPr>
          </w:p>
        </w:tc>
        <w:tc>
          <w:tcPr>
            <w:tcW w:w="502" w:type="pct"/>
            <w:vMerge w:val="continue"/>
            <w:tcBorders>
              <w:tl2br w:val="nil"/>
              <w:tr2bl w:val="nil"/>
            </w:tcBorders>
            <w:vAlign w:val="center"/>
          </w:tcPr>
          <w:p w14:paraId="66B6C3B2">
            <w:pPr>
              <w:pStyle w:val="16"/>
              <w:rPr>
                <w:b w:val="0"/>
                <w:bCs w:val="0"/>
              </w:rPr>
            </w:pPr>
          </w:p>
        </w:tc>
        <w:tc>
          <w:tcPr>
            <w:tcW w:w="3607" w:type="pct"/>
            <w:tcBorders>
              <w:tl2br w:val="nil"/>
              <w:tr2bl w:val="nil"/>
            </w:tcBorders>
            <w:vAlign w:val="center"/>
          </w:tcPr>
          <w:p w14:paraId="0C7E6167">
            <w:pPr>
              <w:pStyle w:val="16"/>
              <w:rPr>
                <w:b w:val="0"/>
                <w:bCs w:val="0"/>
              </w:rPr>
            </w:pPr>
            <w:r>
              <w:rPr>
                <w:rFonts w:hint="eastAsia"/>
                <w:b w:val="0"/>
                <w:bCs w:val="0"/>
              </w:rPr>
              <w:t>在吊起的构件上行走或站立，或者用起重机载运人员、在构件上堆放或悬挂零星物件。</w:t>
            </w:r>
          </w:p>
        </w:tc>
        <w:tc>
          <w:tcPr>
            <w:tcW w:w="640" w:type="pct"/>
            <w:tcBorders>
              <w:tl2br w:val="nil"/>
              <w:tr2bl w:val="nil"/>
            </w:tcBorders>
            <w:vAlign w:val="center"/>
          </w:tcPr>
          <w:p w14:paraId="676B68CF">
            <w:pPr>
              <w:pStyle w:val="16"/>
              <w:rPr>
                <w:b w:val="0"/>
                <w:bCs w:val="0"/>
              </w:rPr>
            </w:pPr>
            <w:r>
              <w:rPr>
                <w:rFonts w:hint="eastAsia"/>
                <w:b w:val="0"/>
                <w:bCs w:val="0"/>
              </w:rPr>
              <w:t>起重伤害</w:t>
            </w:r>
          </w:p>
        </w:tc>
      </w:tr>
      <w:tr w14:paraId="6F5A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7C201809">
            <w:pPr>
              <w:pStyle w:val="16"/>
              <w:numPr>
                <w:ilvl w:val="0"/>
                <w:numId w:val="27"/>
              </w:numPr>
              <w:tabs>
                <w:tab w:val="clear" w:pos="0"/>
              </w:tabs>
            </w:pPr>
          </w:p>
        </w:tc>
        <w:tc>
          <w:tcPr>
            <w:tcW w:w="502" w:type="pct"/>
            <w:vMerge w:val="restart"/>
            <w:tcBorders>
              <w:tl2br w:val="nil"/>
              <w:tr2bl w:val="nil"/>
            </w:tcBorders>
            <w:vAlign w:val="center"/>
          </w:tcPr>
          <w:p w14:paraId="0F901E50">
            <w:pPr>
              <w:pStyle w:val="16"/>
              <w:rPr>
                <w:b w:val="0"/>
                <w:bCs w:val="0"/>
              </w:rPr>
            </w:pPr>
            <w:r>
              <w:rPr>
                <w:rFonts w:hint="eastAsia"/>
                <w:b w:val="0"/>
                <w:bCs w:val="0"/>
              </w:rPr>
              <w:t>作业前安全条件确认</w:t>
            </w:r>
          </w:p>
        </w:tc>
        <w:tc>
          <w:tcPr>
            <w:tcW w:w="3607" w:type="pct"/>
            <w:tcBorders>
              <w:tl2br w:val="nil"/>
              <w:tr2bl w:val="nil"/>
            </w:tcBorders>
            <w:vAlign w:val="center"/>
          </w:tcPr>
          <w:p w14:paraId="26E79EDB">
            <w:pPr>
              <w:pStyle w:val="16"/>
              <w:rPr>
                <w:b w:val="0"/>
                <w:bCs w:val="0"/>
              </w:rPr>
            </w:pPr>
            <w:r>
              <w:rPr>
                <w:rFonts w:hint="eastAsia"/>
                <w:b w:val="0"/>
                <w:bCs w:val="0"/>
              </w:rPr>
              <w:t>高处作业前，没有对安全防护设施进行检查、验收</w:t>
            </w:r>
          </w:p>
        </w:tc>
        <w:tc>
          <w:tcPr>
            <w:tcW w:w="640" w:type="pct"/>
            <w:tcBorders>
              <w:tl2br w:val="nil"/>
              <w:tr2bl w:val="nil"/>
            </w:tcBorders>
            <w:vAlign w:val="center"/>
          </w:tcPr>
          <w:p w14:paraId="1EC60F74">
            <w:pPr>
              <w:pStyle w:val="16"/>
              <w:rPr>
                <w:b w:val="0"/>
                <w:bCs w:val="0"/>
              </w:rPr>
            </w:pPr>
            <w:r>
              <w:rPr>
                <w:rFonts w:hint="eastAsia"/>
                <w:b w:val="0"/>
                <w:bCs w:val="0"/>
              </w:rPr>
              <w:t>高处坠落</w:t>
            </w:r>
          </w:p>
        </w:tc>
      </w:tr>
      <w:tr w14:paraId="6A617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C0C59AC">
            <w:pPr>
              <w:pStyle w:val="16"/>
              <w:numPr>
                <w:ilvl w:val="0"/>
                <w:numId w:val="27"/>
              </w:numPr>
              <w:tabs>
                <w:tab w:val="clear" w:pos="0"/>
              </w:tabs>
            </w:pPr>
          </w:p>
        </w:tc>
        <w:tc>
          <w:tcPr>
            <w:tcW w:w="502" w:type="pct"/>
            <w:vMerge w:val="continue"/>
            <w:tcBorders>
              <w:tl2br w:val="nil"/>
              <w:tr2bl w:val="nil"/>
            </w:tcBorders>
            <w:vAlign w:val="center"/>
          </w:tcPr>
          <w:p w14:paraId="2BFDDD35">
            <w:pPr>
              <w:pStyle w:val="16"/>
              <w:rPr>
                <w:b w:val="0"/>
                <w:bCs w:val="0"/>
              </w:rPr>
            </w:pPr>
          </w:p>
        </w:tc>
        <w:tc>
          <w:tcPr>
            <w:tcW w:w="3607" w:type="pct"/>
            <w:tcBorders>
              <w:tl2br w:val="nil"/>
              <w:tr2bl w:val="nil"/>
            </w:tcBorders>
            <w:vAlign w:val="center"/>
          </w:tcPr>
          <w:p w14:paraId="451C1059">
            <w:pPr>
              <w:pStyle w:val="16"/>
              <w:rPr>
                <w:b w:val="0"/>
                <w:bCs w:val="0"/>
              </w:rPr>
            </w:pPr>
            <w:r>
              <w:rPr>
                <w:rFonts w:hint="eastAsia"/>
                <w:b w:val="0"/>
                <w:bCs w:val="0"/>
              </w:rPr>
              <w:t>高处作业施工没有对作业人员进行安全教育和交底</w:t>
            </w:r>
          </w:p>
        </w:tc>
        <w:tc>
          <w:tcPr>
            <w:tcW w:w="640" w:type="pct"/>
            <w:tcBorders>
              <w:tl2br w:val="nil"/>
              <w:tr2bl w:val="nil"/>
            </w:tcBorders>
            <w:vAlign w:val="center"/>
          </w:tcPr>
          <w:p w14:paraId="60ABF4DB">
            <w:pPr>
              <w:pStyle w:val="16"/>
              <w:rPr>
                <w:b w:val="0"/>
                <w:bCs w:val="0"/>
              </w:rPr>
            </w:pPr>
            <w:r>
              <w:rPr>
                <w:rFonts w:hint="eastAsia"/>
                <w:b w:val="0"/>
                <w:bCs w:val="0"/>
              </w:rPr>
              <w:t>高处坠落</w:t>
            </w:r>
          </w:p>
        </w:tc>
      </w:tr>
      <w:tr w14:paraId="0D8A0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37DAC5A1">
            <w:pPr>
              <w:pStyle w:val="16"/>
              <w:numPr>
                <w:ilvl w:val="0"/>
                <w:numId w:val="27"/>
              </w:numPr>
              <w:tabs>
                <w:tab w:val="clear" w:pos="0"/>
              </w:tabs>
            </w:pPr>
          </w:p>
        </w:tc>
        <w:tc>
          <w:tcPr>
            <w:tcW w:w="502" w:type="pct"/>
            <w:vMerge w:val="restart"/>
            <w:tcBorders>
              <w:tl2br w:val="nil"/>
              <w:tr2bl w:val="nil"/>
            </w:tcBorders>
            <w:vAlign w:val="center"/>
          </w:tcPr>
          <w:p w14:paraId="4A72EE5F">
            <w:pPr>
              <w:pStyle w:val="16"/>
              <w:rPr>
                <w:b w:val="0"/>
                <w:bCs w:val="0"/>
              </w:rPr>
            </w:pPr>
            <w:r>
              <w:rPr>
                <w:rFonts w:hint="eastAsia"/>
                <w:b w:val="0"/>
                <w:bCs w:val="0"/>
              </w:rPr>
              <w:t>攀登作业</w:t>
            </w:r>
          </w:p>
        </w:tc>
        <w:tc>
          <w:tcPr>
            <w:tcW w:w="3607" w:type="pct"/>
            <w:tcBorders>
              <w:tl2br w:val="nil"/>
              <w:tr2bl w:val="nil"/>
            </w:tcBorders>
            <w:vAlign w:val="center"/>
          </w:tcPr>
          <w:p w14:paraId="362FA0F5">
            <w:pPr>
              <w:pStyle w:val="16"/>
              <w:rPr>
                <w:b w:val="0"/>
                <w:bCs w:val="0"/>
              </w:rPr>
            </w:pPr>
            <w:r>
              <w:rPr>
                <w:rFonts w:hint="eastAsia"/>
                <w:b w:val="0"/>
                <w:bCs w:val="0"/>
              </w:rPr>
              <w:t>人员登高无施工通道、梯子及其它攀登设施和用具</w:t>
            </w:r>
          </w:p>
        </w:tc>
        <w:tc>
          <w:tcPr>
            <w:tcW w:w="640" w:type="pct"/>
            <w:tcBorders>
              <w:tl2br w:val="nil"/>
              <w:tr2bl w:val="nil"/>
            </w:tcBorders>
            <w:vAlign w:val="center"/>
          </w:tcPr>
          <w:p w14:paraId="5C3EA6CD">
            <w:pPr>
              <w:pStyle w:val="16"/>
              <w:rPr>
                <w:b w:val="0"/>
                <w:bCs w:val="0"/>
              </w:rPr>
            </w:pPr>
            <w:r>
              <w:rPr>
                <w:rFonts w:hint="eastAsia"/>
                <w:b w:val="0"/>
                <w:bCs w:val="0"/>
              </w:rPr>
              <w:t>高处坠落</w:t>
            </w:r>
          </w:p>
        </w:tc>
      </w:tr>
      <w:tr w14:paraId="7D47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41133A8">
            <w:pPr>
              <w:pStyle w:val="16"/>
              <w:numPr>
                <w:ilvl w:val="0"/>
                <w:numId w:val="27"/>
              </w:numPr>
              <w:tabs>
                <w:tab w:val="clear" w:pos="0"/>
              </w:tabs>
            </w:pPr>
          </w:p>
        </w:tc>
        <w:tc>
          <w:tcPr>
            <w:tcW w:w="502" w:type="pct"/>
            <w:vMerge w:val="continue"/>
            <w:tcBorders>
              <w:tl2br w:val="nil"/>
              <w:tr2bl w:val="nil"/>
            </w:tcBorders>
            <w:vAlign w:val="center"/>
          </w:tcPr>
          <w:p w14:paraId="05A1768D">
            <w:pPr>
              <w:pStyle w:val="16"/>
              <w:rPr>
                <w:b w:val="0"/>
                <w:bCs w:val="0"/>
              </w:rPr>
            </w:pPr>
          </w:p>
        </w:tc>
        <w:tc>
          <w:tcPr>
            <w:tcW w:w="3607" w:type="pct"/>
            <w:tcBorders>
              <w:tl2br w:val="nil"/>
              <w:tr2bl w:val="nil"/>
            </w:tcBorders>
            <w:vAlign w:val="center"/>
          </w:tcPr>
          <w:p w14:paraId="1E4DC3DC">
            <w:pPr>
              <w:pStyle w:val="16"/>
              <w:rPr>
                <w:b w:val="0"/>
                <w:bCs w:val="0"/>
              </w:rPr>
            </w:pPr>
            <w:r>
              <w:rPr>
                <w:rFonts w:hint="eastAsia"/>
                <w:b w:val="0"/>
                <w:bCs w:val="0"/>
              </w:rPr>
              <w:t>高处作业人员正确佩戴安全带，未高挂低用</w:t>
            </w:r>
          </w:p>
        </w:tc>
        <w:tc>
          <w:tcPr>
            <w:tcW w:w="640" w:type="pct"/>
            <w:tcBorders>
              <w:tl2br w:val="nil"/>
              <w:tr2bl w:val="nil"/>
            </w:tcBorders>
            <w:vAlign w:val="center"/>
          </w:tcPr>
          <w:p w14:paraId="285F9116">
            <w:pPr>
              <w:pStyle w:val="16"/>
              <w:rPr>
                <w:b w:val="0"/>
                <w:bCs w:val="0"/>
              </w:rPr>
            </w:pPr>
            <w:r>
              <w:rPr>
                <w:rFonts w:hint="eastAsia"/>
                <w:b w:val="0"/>
                <w:bCs w:val="0"/>
              </w:rPr>
              <w:t>高处坠落</w:t>
            </w:r>
          </w:p>
        </w:tc>
      </w:tr>
      <w:tr w14:paraId="06CB8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AA49612">
            <w:pPr>
              <w:pStyle w:val="16"/>
              <w:numPr>
                <w:ilvl w:val="0"/>
                <w:numId w:val="27"/>
              </w:numPr>
              <w:tabs>
                <w:tab w:val="clear" w:pos="0"/>
              </w:tabs>
            </w:pPr>
          </w:p>
        </w:tc>
        <w:tc>
          <w:tcPr>
            <w:tcW w:w="502" w:type="pct"/>
            <w:vMerge w:val="continue"/>
            <w:tcBorders>
              <w:tl2br w:val="nil"/>
              <w:tr2bl w:val="nil"/>
            </w:tcBorders>
            <w:vAlign w:val="center"/>
          </w:tcPr>
          <w:p w14:paraId="266FBDB0">
            <w:pPr>
              <w:pStyle w:val="16"/>
              <w:rPr>
                <w:b w:val="0"/>
                <w:bCs w:val="0"/>
              </w:rPr>
            </w:pPr>
          </w:p>
        </w:tc>
        <w:tc>
          <w:tcPr>
            <w:tcW w:w="3607" w:type="pct"/>
            <w:tcBorders>
              <w:tl2br w:val="nil"/>
              <w:tr2bl w:val="nil"/>
            </w:tcBorders>
            <w:vAlign w:val="center"/>
          </w:tcPr>
          <w:p w14:paraId="27CCD4B1">
            <w:pPr>
              <w:pStyle w:val="16"/>
              <w:rPr>
                <w:b w:val="0"/>
                <w:bCs w:val="0"/>
              </w:rPr>
            </w:pPr>
            <w:r>
              <w:rPr>
                <w:rFonts w:hint="eastAsia"/>
                <w:b w:val="0"/>
                <w:bCs w:val="0"/>
              </w:rPr>
              <w:t>工具（扳手、手锤等）未系安全绳或未放专用工具背包</w:t>
            </w:r>
          </w:p>
        </w:tc>
        <w:tc>
          <w:tcPr>
            <w:tcW w:w="640" w:type="pct"/>
            <w:tcBorders>
              <w:tl2br w:val="nil"/>
              <w:tr2bl w:val="nil"/>
            </w:tcBorders>
            <w:vAlign w:val="center"/>
          </w:tcPr>
          <w:p w14:paraId="78085646">
            <w:pPr>
              <w:pStyle w:val="16"/>
              <w:rPr>
                <w:b w:val="0"/>
                <w:bCs w:val="0"/>
              </w:rPr>
            </w:pPr>
            <w:r>
              <w:rPr>
                <w:rFonts w:hint="eastAsia"/>
                <w:b w:val="0"/>
                <w:bCs w:val="0"/>
              </w:rPr>
              <w:t>物体打击</w:t>
            </w:r>
          </w:p>
        </w:tc>
      </w:tr>
      <w:tr w14:paraId="6350B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978746A">
            <w:pPr>
              <w:pStyle w:val="16"/>
              <w:numPr>
                <w:ilvl w:val="0"/>
                <w:numId w:val="27"/>
              </w:numPr>
              <w:tabs>
                <w:tab w:val="clear" w:pos="0"/>
              </w:tabs>
            </w:pPr>
          </w:p>
        </w:tc>
        <w:tc>
          <w:tcPr>
            <w:tcW w:w="502" w:type="pct"/>
            <w:vMerge w:val="continue"/>
            <w:tcBorders>
              <w:tl2br w:val="nil"/>
              <w:tr2bl w:val="nil"/>
            </w:tcBorders>
            <w:vAlign w:val="center"/>
          </w:tcPr>
          <w:p w14:paraId="61112EDB">
            <w:pPr>
              <w:pStyle w:val="16"/>
              <w:rPr>
                <w:b w:val="0"/>
                <w:bCs w:val="0"/>
              </w:rPr>
            </w:pPr>
          </w:p>
        </w:tc>
        <w:tc>
          <w:tcPr>
            <w:tcW w:w="3607" w:type="pct"/>
            <w:tcBorders>
              <w:tl2br w:val="nil"/>
              <w:tr2bl w:val="nil"/>
            </w:tcBorders>
            <w:vAlign w:val="center"/>
          </w:tcPr>
          <w:p w14:paraId="6B3F7B8C">
            <w:pPr>
              <w:pStyle w:val="16"/>
              <w:rPr>
                <w:b w:val="0"/>
                <w:bCs w:val="0"/>
              </w:rPr>
            </w:pPr>
            <w:r>
              <w:rPr>
                <w:rFonts w:hint="eastAsia"/>
                <w:b w:val="0"/>
                <w:bCs w:val="0"/>
              </w:rPr>
              <w:t>攀登作业所用设施和用具的结构构造不牢固可靠</w:t>
            </w:r>
          </w:p>
        </w:tc>
        <w:tc>
          <w:tcPr>
            <w:tcW w:w="640" w:type="pct"/>
            <w:tcBorders>
              <w:tl2br w:val="nil"/>
              <w:tr2bl w:val="nil"/>
            </w:tcBorders>
            <w:vAlign w:val="center"/>
          </w:tcPr>
          <w:p w14:paraId="7D738A97">
            <w:pPr>
              <w:pStyle w:val="16"/>
              <w:rPr>
                <w:b w:val="0"/>
                <w:bCs w:val="0"/>
              </w:rPr>
            </w:pPr>
            <w:r>
              <w:rPr>
                <w:rFonts w:hint="eastAsia"/>
                <w:b w:val="0"/>
                <w:bCs w:val="0"/>
              </w:rPr>
              <w:t>高处坠落</w:t>
            </w:r>
          </w:p>
        </w:tc>
      </w:tr>
      <w:tr w14:paraId="28E8A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AE54E3B">
            <w:pPr>
              <w:pStyle w:val="16"/>
              <w:numPr>
                <w:ilvl w:val="0"/>
                <w:numId w:val="27"/>
              </w:numPr>
              <w:tabs>
                <w:tab w:val="clear" w:pos="0"/>
              </w:tabs>
            </w:pPr>
          </w:p>
        </w:tc>
        <w:tc>
          <w:tcPr>
            <w:tcW w:w="502" w:type="pct"/>
            <w:tcBorders>
              <w:tl2br w:val="nil"/>
              <w:tr2bl w:val="nil"/>
            </w:tcBorders>
            <w:vAlign w:val="center"/>
          </w:tcPr>
          <w:p w14:paraId="5D9D70EA">
            <w:pPr>
              <w:pStyle w:val="16"/>
              <w:rPr>
                <w:b w:val="0"/>
                <w:bCs w:val="0"/>
              </w:rPr>
            </w:pPr>
            <w:r>
              <w:rPr>
                <w:rFonts w:hint="eastAsia"/>
                <w:b w:val="0"/>
                <w:bCs w:val="0"/>
              </w:rPr>
              <w:t>保护接零</w:t>
            </w:r>
          </w:p>
        </w:tc>
        <w:tc>
          <w:tcPr>
            <w:tcW w:w="3607" w:type="pct"/>
            <w:tcBorders>
              <w:tl2br w:val="nil"/>
              <w:tr2bl w:val="nil"/>
            </w:tcBorders>
            <w:vAlign w:val="center"/>
          </w:tcPr>
          <w:p w14:paraId="7C01AD0D">
            <w:pPr>
              <w:pStyle w:val="16"/>
              <w:rPr>
                <w:b w:val="0"/>
                <w:bCs w:val="0"/>
              </w:rPr>
            </w:pPr>
            <w:r>
              <w:rPr>
                <w:rFonts w:hint="eastAsia"/>
                <w:b w:val="0"/>
                <w:bCs w:val="0"/>
              </w:rPr>
              <w:t>防雷接地装置损坏或不合规，或者未进行接地电阻值的检测</w:t>
            </w:r>
          </w:p>
        </w:tc>
        <w:tc>
          <w:tcPr>
            <w:tcW w:w="640" w:type="pct"/>
            <w:tcBorders>
              <w:tl2br w:val="nil"/>
              <w:tr2bl w:val="nil"/>
            </w:tcBorders>
            <w:vAlign w:val="center"/>
          </w:tcPr>
          <w:p w14:paraId="6758C913">
            <w:pPr>
              <w:pStyle w:val="16"/>
              <w:rPr>
                <w:b w:val="0"/>
                <w:bCs w:val="0"/>
              </w:rPr>
            </w:pPr>
            <w:r>
              <w:rPr>
                <w:rFonts w:hint="eastAsia"/>
                <w:b w:val="0"/>
                <w:bCs w:val="0"/>
              </w:rPr>
              <w:t>触电</w:t>
            </w:r>
          </w:p>
        </w:tc>
      </w:tr>
      <w:tr w14:paraId="5838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00BA2FDF">
            <w:pPr>
              <w:pStyle w:val="16"/>
              <w:numPr>
                <w:ilvl w:val="0"/>
                <w:numId w:val="27"/>
              </w:numPr>
              <w:tabs>
                <w:tab w:val="clear" w:pos="0"/>
              </w:tabs>
            </w:pPr>
          </w:p>
        </w:tc>
        <w:tc>
          <w:tcPr>
            <w:tcW w:w="502" w:type="pct"/>
            <w:tcBorders>
              <w:tl2br w:val="nil"/>
              <w:tr2bl w:val="nil"/>
            </w:tcBorders>
            <w:vAlign w:val="center"/>
          </w:tcPr>
          <w:p w14:paraId="6C390E71">
            <w:pPr>
              <w:pStyle w:val="16"/>
              <w:rPr>
                <w:b w:val="0"/>
                <w:bCs w:val="0"/>
              </w:rPr>
            </w:pPr>
            <w:r>
              <w:rPr>
                <w:rFonts w:hint="eastAsia"/>
                <w:b w:val="0"/>
                <w:bCs w:val="0"/>
              </w:rPr>
              <w:t>其他</w:t>
            </w:r>
          </w:p>
        </w:tc>
        <w:tc>
          <w:tcPr>
            <w:tcW w:w="3607" w:type="pct"/>
            <w:tcBorders>
              <w:tl2br w:val="nil"/>
              <w:tr2bl w:val="nil"/>
            </w:tcBorders>
            <w:vAlign w:val="center"/>
          </w:tcPr>
          <w:p w14:paraId="63EBF6AD">
            <w:pPr>
              <w:pStyle w:val="16"/>
              <w:rPr>
                <w:b w:val="0"/>
                <w:bCs w:val="0"/>
              </w:rPr>
            </w:pPr>
            <w:r>
              <w:rPr>
                <w:rFonts w:hint="eastAsia"/>
                <w:b w:val="0"/>
                <w:bCs w:val="0"/>
              </w:rPr>
              <w:t>塔身的电缆线未固定牢固，塔式起重机开关箱未单独设置或离塔身大于3米</w:t>
            </w:r>
          </w:p>
        </w:tc>
        <w:tc>
          <w:tcPr>
            <w:tcW w:w="640" w:type="pct"/>
            <w:tcBorders>
              <w:tl2br w:val="nil"/>
              <w:tr2bl w:val="nil"/>
            </w:tcBorders>
            <w:vAlign w:val="center"/>
          </w:tcPr>
          <w:p w14:paraId="6E633279">
            <w:pPr>
              <w:pStyle w:val="16"/>
              <w:rPr>
                <w:b w:val="0"/>
                <w:bCs w:val="0"/>
              </w:rPr>
            </w:pPr>
            <w:r>
              <w:rPr>
                <w:rFonts w:hint="eastAsia"/>
                <w:b w:val="0"/>
                <w:bCs w:val="0"/>
              </w:rPr>
              <w:t>触电</w:t>
            </w:r>
          </w:p>
        </w:tc>
      </w:tr>
      <w:tr w14:paraId="6F5E5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31626E1">
            <w:pPr>
              <w:pStyle w:val="16"/>
              <w:numPr>
                <w:ilvl w:val="0"/>
                <w:numId w:val="27"/>
              </w:numPr>
              <w:tabs>
                <w:tab w:val="clear" w:pos="0"/>
              </w:tabs>
            </w:pPr>
          </w:p>
        </w:tc>
        <w:tc>
          <w:tcPr>
            <w:tcW w:w="502" w:type="pct"/>
            <w:tcBorders>
              <w:tl2br w:val="nil"/>
              <w:tr2bl w:val="nil"/>
            </w:tcBorders>
            <w:vAlign w:val="center"/>
          </w:tcPr>
          <w:p w14:paraId="110ED018">
            <w:pPr>
              <w:pStyle w:val="16"/>
              <w:rPr>
                <w:b w:val="0"/>
                <w:bCs w:val="0"/>
              </w:rPr>
            </w:pPr>
            <w:r>
              <w:rPr>
                <w:rFonts w:hint="eastAsia"/>
                <w:b w:val="0"/>
                <w:bCs w:val="0"/>
              </w:rPr>
              <w:t>绝缘保护</w:t>
            </w:r>
          </w:p>
        </w:tc>
        <w:tc>
          <w:tcPr>
            <w:tcW w:w="3607" w:type="pct"/>
            <w:tcBorders>
              <w:tl2br w:val="nil"/>
              <w:tr2bl w:val="nil"/>
            </w:tcBorders>
            <w:vAlign w:val="center"/>
          </w:tcPr>
          <w:p w14:paraId="0051D8AD">
            <w:pPr>
              <w:pStyle w:val="16"/>
              <w:rPr>
                <w:b w:val="0"/>
                <w:bCs w:val="0"/>
              </w:rPr>
            </w:pPr>
            <w:r>
              <w:rPr>
                <w:rFonts w:hint="eastAsia"/>
                <w:b w:val="0"/>
                <w:bCs w:val="0"/>
              </w:rPr>
              <w:t>外露线路未进行绝缘保护</w:t>
            </w:r>
          </w:p>
        </w:tc>
        <w:tc>
          <w:tcPr>
            <w:tcW w:w="640" w:type="pct"/>
            <w:tcBorders>
              <w:tl2br w:val="nil"/>
              <w:tr2bl w:val="nil"/>
            </w:tcBorders>
            <w:vAlign w:val="center"/>
          </w:tcPr>
          <w:p w14:paraId="5EF221EA">
            <w:pPr>
              <w:pStyle w:val="16"/>
              <w:rPr>
                <w:b w:val="0"/>
                <w:bCs w:val="0"/>
              </w:rPr>
            </w:pPr>
            <w:r>
              <w:rPr>
                <w:rFonts w:hint="eastAsia"/>
                <w:b w:val="0"/>
                <w:bCs w:val="0"/>
              </w:rPr>
              <w:t>触电</w:t>
            </w:r>
          </w:p>
        </w:tc>
      </w:tr>
      <w:tr w14:paraId="36B21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09CD74D">
            <w:pPr>
              <w:pStyle w:val="16"/>
              <w:numPr>
                <w:ilvl w:val="0"/>
                <w:numId w:val="27"/>
              </w:numPr>
              <w:tabs>
                <w:tab w:val="clear" w:pos="0"/>
              </w:tabs>
            </w:pPr>
          </w:p>
        </w:tc>
        <w:tc>
          <w:tcPr>
            <w:tcW w:w="502" w:type="pct"/>
            <w:vMerge w:val="restart"/>
            <w:tcBorders>
              <w:tl2br w:val="nil"/>
              <w:tr2bl w:val="nil"/>
            </w:tcBorders>
            <w:vAlign w:val="center"/>
          </w:tcPr>
          <w:p w14:paraId="775394A5">
            <w:pPr>
              <w:pStyle w:val="16"/>
              <w:rPr>
                <w:b w:val="0"/>
                <w:bCs w:val="0"/>
              </w:rPr>
            </w:pPr>
            <w:r>
              <w:rPr>
                <w:rFonts w:hint="eastAsia"/>
                <w:b w:val="0"/>
                <w:bCs w:val="0"/>
              </w:rPr>
              <w:t>焊接切割</w:t>
            </w:r>
          </w:p>
        </w:tc>
        <w:tc>
          <w:tcPr>
            <w:tcW w:w="3607" w:type="pct"/>
            <w:tcBorders>
              <w:tl2br w:val="nil"/>
              <w:tr2bl w:val="nil"/>
            </w:tcBorders>
            <w:vAlign w:val="center"/>
          </w:tcPr>
          <w:p w14:paraId="5C7A6497">
            <w:pPr>
              <w:pStyle w:val="16"/>
              <w:rPr>
                <w:b w:val="0"/>
                <w:bCs w:val="0"/>
              </w:rPr>
            </w:pPr>
            <w:r>
              <w:rPr>
                <w:rFonts w:hint="eastAsia"/>
                <w:b w:val="0"/>
                <w:bCs w:val="0"/>
              </w:rPr>
              <w:t>焊接和切割未采用不可燃或耐火屏板(或屏罩)加以隔离保护</w:t>
            </w:r>
          </w:p>
        </w:tc>
        <w:tc>
          <w:tcPr>
            <w:tcW w:w="640" w:type="pct"/>
            <w:tcBorders>
              <w:tl2br w:val="nil"/>
              <w:tr2bl w:val="nil"/>
            </w:tcBorders>
            <w:vAlign w:val="center"/>
          </w:tcPr>
          <w:p w14:paraId="5E71EF5D">
            <w:pPr>
              <w:pStyle w:val="16"/>
              <w:rPr>
                <w:b w:val="0"/>
                <w:bCs w:val="0"/>
              </w:rPr>
            </w:pPr>
            <w:r>
              <w:rPr>
                <w:rFonts w:hint="eastAsia"/>
                <w:b w:val="0"/>
                <w:bCs w:val="0"/>
              </w:rPr>
              <w:t>火灾</w:t>
            </w:r>
          </w:p>
        </w:tc>
      </w:tr>
      <w:tr w14:paraId="14A30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9C1927A">
            <w:pPr>
              <w:pStyle w:val="16"/>
              <w:numPr>
                <w:ilvl w:val="0"/>
                <w:numId w:val="27"/>
              </w:numPr>
              <w:tabs>
                <w:tab w:val="clear" w:pos="0"/>
              </w:tabs>
            </w:pPr>
          </w:p>
        </w:tc>
        <w:tc>
          <w:tcPr>
            <w:tcW w:w="502" w:type="pct"/>
            <w:vMerge w:val="continue"/>
            <w:tcBorders>
              <w:tl2br w:val="nil"/>
              <w:tr2bl w:val="nil"/>
            </w:tcBorders>
            <w:vAlign w:val="center"/>
          </w:tcPr>
          <w:p w14:paraId="79E830DE">
            <w:pPr>
              <w:pStyle w:val="16"/>
              <w:rPr>
                <w:b w:val="0"/>
                <w:bCs w:val="0"/>
              </w:rPr>
            </w:pPr>
          </w:p>
        </w:tc>
        <w:tc>
          <w:tcPr>
            <w:tcW w:w="3607" w:type="pct"/>
            <w:tcBorders>
              <w:tl2br w:val="nil"/>
              <w:tr2bl w:val="nil"/>
            </w:tcBorders>
            <w:vAlign w:val="center"/>
          </w:tcPr>
          <w:p w14:paraId="5BA79E85">
            <w:pPr>
              <w:pStyle w:val="16"/>
              <w:rPr>
                <w:b w:val="0"/>
                <w:bCs w:val="0"/>
              </w:rPr>
            </w:pPr>
            <w:r>
              <w:rPr>
                <w:rFonts w:hint="eastAsia"/>
                <w:b w:val="0"/>
                <w:bCs w:val="0"/>
              </w:rPr>
              <w:t>电焊机未配置防触电保护器，外壳未接零或接地保护</w:t>
            </w:r>
          </w:p>
        </w:tc>
        <w:tc>
          <w:tcPr>
            <w:tcW w:w="640" w:type="pct"/>
            <w:tcBorders>
              <w:tl2br w:val="nil"/>
              <w:tr2bl w:val="nil"/>
            </w:tcBorders>
            <w:vAlign w:val="center"/>
          </w:tcPr>
          <w:p w14:paraId="4879477B">
            <w:pPr>
              <w:pStyle w:val="16"/>
              <w:rPr>
                <w:b w:val="0"/>
                <w:bCs w:val="0"/>
              </w:rPr>
            </w:pPr>
            <w:r>
              <w:rPr>
                <w:rFonts w:hint="eastAsia"/>
                <w:b w:val="0"/>
                <w:bCs w:val="0"/>
              </w:rPr>
              <w:t>触电</w:t>
            </w:r>
          </w:p>
        </w:tc>
      </w:tr>
      <w:tr w14:paraId="4B7F2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E727610">
            <w:pPr>
              <w:pStyle w:val="16"/>
              <w:numPr>
                <w:ilvl w:val="0"/>
                <w:numId w:val="27"/>
              </w:numPr>
              <w:tabs>
                <w:tab w:val="clear" w:pos="0"/>
              </w:tabs>
            </w:pPr>
          </w:p>
        </w:tc>
        <w:tc>
          <w:tcPr>
            <w:tcW w:w="502" w:type="pct"/>
            <w:vMerge w:val="continue"/>
            <w:tcBorders>
              <w:tl2br w:val="nil"/>
              <w:tr2bl w:val="nil"/>
            </w:tcBorders>
            <w:vAlign w:val="center"/>
          </w:tcPr>
          <w:p w14:paraId="59B2570D">
            <w:pPr>
              <w:pStyle w:val="16"/>
              <w:rPr>
                <w:b w:val="0"/>
                <w:bCs w:val="0"/>
              </w:rPr>
            </w:pPr>
          </w:p>
        </w:tc>
        <w:tc>
          <w:tcPr>
            <w:tcW w:w="3607" w:type="pct"/>
            <w:tcBorders>
              <w:tl2br w:val="nil"/>
              <w:tr2bl w:val="nil"/>
            </w:tcBorders>
            <w:vAlign w:val="center"/>
          </w:tcPr>
          <w:p w14:paraId="29C2623E">
            <w:pPr>
              <w:pStyle w:val="16"/>
              <w:rPr>
                <w:b w:val="0"/>
                <w:bCs w:val="0"/>
              </w:rPr>
            </w:pPr>
            <w:r>
              <w:rPr>
                <w:rFonts w:hint="eastAsia"/>
                <w:b w:val="0"/>
                <w:bCs w:val="0"/>
              </w:rPr>
              <w:t>焊接作业场地周围未清除易燃易爆物品或未进行覆盖、隔离</w:t>
            </w:r>
          </w:p>
        </w:tc>
        <w:tc>
          <w:tcPr>
            <w:tcW w:w="640" w:type="pct"/>
            <w:tcBorders>
              <w:tl2br w:val="nil"/>
              <w:tr2bl w:val="nil"/>
            </w:tcBorders>
            <w:vAlign w:val="center"/>
          </w:tcPr>
          <w:p w14:paraId="213FBA2B">
            <w:pPr>
              <w:pStyle w:val="16"/>
              <w:rPr>
                <w:b w:val="0"/>
                <w:bCs w:val="0"/>
              </w:rPr>
            </w:pPr>
            <w:r>
              <w:rPr>
                <w:rFonts w:hint="eastAsia"/>
                <w:b w:val="0"/>
                <w:bCs w:val="0"/>
              </w:rPr>
              <w:t>触电</w:t>
            </w:r>
          </w:p>
        </w:tc>
      </w:tr>
      <w:tr w14:paraId="2A6DD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7FBAA57">
            <w:pPr>
              <w:pStyle w:val="16"/>
              <w:numPr>
                <w:ilvl w:val="0"/>
                <w:numId w:val="27"/>
              </w:numPr>
              <w:tabs>
                <w:tab w:val="clear" w:pos="0"/>
              </w:tabs>
            </w:pPr>
          </w:p>
        </w:tc>
        <w:tc>
          <w:tcPr>
            <w:tcW w:w="502" w:type="pct"/>
            <w:vMerge w:val="continue"/>
            <w:tcBorders>
              <w:tl2br w:val="nil"/>
              <w:tr2bl w:val="nil"/>
            </w:tcBorders>
            <w:vAlign w:val="center"/>
          </w:tcPr>
          <w:p w14:paraId="13EFC577">
            <w:pPr>
              <w:pStyle w:val="16"/>
              <w:rPr>
                <w:b w:val="0"/>
                <w:bCs w:val="0"/>
              </w:rPr>
            </w:pPr>
          </w:p>
        </w:tc>
        <w:tc>
          <w:tcPr>
            <w:tcW w:w="3607" w:type="pct"/>
            <w:tcBorders>
              <w:tl2br w:val="nil"/>
              <w:tr2bl w:val="nil"/>
            </w:tcBorders>
            <w:vAlign w:val="center"/>
          </w:tcPr>
          <w:p w14:paraId="70772DA2">
            <w:pPr>
              <w:pStyle w:val="16"/>
              <w:rPr>
                <w:b w:val="0"/>
                <w:bCs w:val="0"/>
              </w:rPr>
            </w:pPr>
            <w:r>
              <w:rPr>
                <w:rFonts w:hint="eastAsia"/>
                <w:b w:val="0"/>
                <w:bCs w:val="0"/>
              </w:rPr>
              <w:t>电焊机未按照“一机一闸”的原则设置开关箱</w:t>
            </w:r>
          </w:p>
        </w:tc>
        <w:tc>
          <w:tcPr>
            <w:tcW w:w="640" w:type="pct"/>
            <w:tcBorders>
              <w:tl2br w:val="nil"/>
              <w:tr2bl w:val="nil"/>
            </w:tcBorders>
            <w:vAlign w:val="center"/>
          </w:tcPr>
          <w:p w14:paraId="271EA407">
            <w:pPr>
              <w:pStyle w:val="16"/>
              <w:rPr>
                <w:b w:val="0"/>
                <w:bCs w:val="0"/>
              </w:rPr>
            </w:pPr>
            <w:r>
              <w:rPr>
                <w:rFonts w:hint="eastAsia"/>
                <w:b w:val="0"/>
                <w:bCs w:val="0"/>
              </w:rPr>
              <w:t>触电</w:t>
            </w:r>
          </w:p>
        </w:tc>
      </w:tr>
      <w:tr w14:paraId="31EF8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52166D7A">
            <w:pPr>
              <w:pStyle w:val="16"/>
              <w:numPr>
                <w:ilvl w:val="0"/>
                <w:numId w:val="27"/>
              </w:numPr>
              <w:tabs>
                <w:tab w:val="clear" w:pos="0"/>
              </w:tabs>
            </w:pPr>
          </w:p>
        </w:tc>
        <w:tc>
          <w:tcPr>
            <w:tcW w:w="502" w:type="pct"/>
            <w:vMerge w:val="continue"/>
            <w:tcBorders>
              <w:tl2br w:val="nil"/>
              <w:tr2bl w:val="nil"/>
            </w:tcBorders>
            <w:vAlign w:val="center"/>
          </w:tcPr>
          <w:p w14:paraId="6CB620B5">
            <w:pPr>
              <w:pStyle w:val="16"/>
              <w:rPr>
                <w:b w:val="0"/>
                <w:bCs w:val="0"/>
              </w:rPr>
            </w:pPr>
          </w:p>
        </w:tc>
        <w:tc>
          <w:tcPr>
            <w:tcW w:w="3607" w:type="pct"/>
            <w:tcBorders>
              <w:tl2br w:val="nil"/>
              <w:tr2bl w:val="nil"/>
            </w:tcBorders>
            <w:vAlign w:val="center"/>
          </w:tcPr>
          <w:p w14:paraId="2211A7E8">
            <w:pPr>
              <w:pStyle w:val="16"/>
              <w:rPr>
                <w:b w:val="0"/>
                <w:bCs w:val="0"/>
              </w:rPr>
            </w:pPr>
            <w:r>
              <w:rPr>
                <w:rFonts w:hint="eastAsia"/>
                <w:b w:val="0"/>
                <w:bCs w:val="0"/>
              </w:rPr>
              <w:t>氧气瓶、气瓶阀、接头、减压阀、软管及设备没有与油、脂及其它可燃物或爆炸物相隔离</w:t>
            </w:r>
          </w:p>
        </w:tc>
        <w:tc>
          <w:tcPr>
            <w:tcW w:w="640" w:type="pct"/>
            <w:tcBorders>
              <w:tl2br w:val="nil"/>
              <w:tr2bl w:val="nil"/>
            </w:tcBorders>
            <w:vAlign w:val="center"/>
          </w:tcPr>
          <w:p w14:paraId="1A633558">
            <w:pPr>
              <w:pStyle w:val="16"/>
              <w:rPr>
                <w:b w:val="0"/>
                <w:bCs w:val="0"/>
              </w:rPr>
            </w:pPr>
            <w:r>
              <w:rPr>
                <w:rFonts w:hint="eastAsia"/>
                <w:b w:val="0"/>
                <w:bCs w:val="0"/>
              </w:rPr>
              <w:t>火灾等</w:t>
            </w:r>
          </w:p>
        </w:tc>
      </w:tr>
      <w:tr w14:paraId="02F26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4C9C419E">
            <w:pPr>
              <w:pStyle w:val="16"/>
              <w:numPr>
                <w:ilvl w:val="0"/>
                <w:numId w:val="27"/>
              </w:numPr>
              <w:tabs>
                <w:tab w:val="clear" w:pos="0"/>
              </w:tabs>
            </w:pPr>
          </w:p>
        </w:tc>
        <w:tc>
          <w:tcPr>
            <w:tcW w:w="502" w:type="pct"/>
            <w:vMerge w:val="continue"/>
            <w:tcBorders>
              <w:tl2br w:val="nil"/>
              <w:tr2bl w:val="nil"/>
            </w:tcBorders>
            <w:vAlign w:val="center"/>
          </w:tcPr>
          <w:p w14:paraId="67025375">
            <w:pPr>
              <w:pStyle w:val="16"/>
              <w:rPr>
                <w:b w:val="0"/>
                <w:bCs w:val="0"/>
              </w:rPr>
            </w:pPr>
          </w:p>
        </w:tc>
        <w:tc>
          <w:tcPr>
            <w:tcW w:w="3607" w:type="pct"/>
            <w:tcBorders>
              <w:tl2br w:val="nil"/>
              <w:tr2bl w:val="nil"/>
            </w:tcBorders>
            <w:vAlign w:val="center"/>
          </w:tcPr>
          <w:p w14:paraId="5F4898DA">
            <w:pPr>
              <w:pStyle w:val="16"/>
              <w:rPr>
                <w:b w:val="0"/>
                <w:bCs w:val="0"/>
              </w:rPr>
            </w:pPr>
            <w:r>
              <w:rPr>
                <w:rFonts w:hint="eastAsia"/>
                <w:b w:val="0"/>
                <w:bCs w:val="0"/>
              </w:rPr>
              <w:t>气瓶未直立安放牢固（乙炔瓶禁止卧放或倾倒）。</w:t>
            </w:r>
          </w:p>
        </w:tc>
        <w:tc>
          <w:tcPr>
            <w:tcW w:w="640" w:type="pct"/>
            <w:tcBorders>
              <w:tl2br w:val="nil"/>
              <w:tr2bl w:val="nil"/>
            </w:tcBorders>
            <w:vAlign w:val="center"/>
          </w:tcPr>
          <w:p w14:paraId="7F1CCBDE">
            <w:pPr>
              <w:pStyle w:val="16"/>
              <w:rPr>
                <w:b w:val="0"/>
                <w:bCs w:val="0"/>
              </w:rPr>
            </w:pPr>
            <w:r>
              <w:rPr>
                <w:rFonts w:hint="eastAsia"/>
                <w:b w:val="0"/>
                <w:bCs w:val="0"/>
              </w:rPr>
              <w:t>容器爆炸</w:t>
            </w:r>
          </w:p>
        </w:tc>
      </w:tr>
      <w:tr w14:paraId="75448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294134EC">
            <w:pPr>
              <w:pStyle w:val="16"/>
              <w:numPr>
                <w:ilvl w:val="0"/>
                <w:numId w:val="27"/>
              </w:numPr>
              <w:tabs>
                <w:tab w:val="clear" w:pos="0"/>
              </w:tabs>
            </w:pPr>
          </w:p>
        </w:tc>
        <w:tc>
          <w:tcPr>
            <w:tcW w:w="502" w:type="pct"/>
            <w:vMerge w:val="continue"/>
            <w:tcBorders>
              <w:tl2br w:val="nil"/>
              <w:tr2bl w:val="nil"/>
            </w:tcBorders>
            <w:vAlign w:val="center"/>
          </w:tcPr>
          <w:p w14:paraId="72873734">
            <w:pPr>
              <w:pStyle w:val="16"/>
              <w:rPr>
                <w:b w:val="0"/>
                <w:bCs w:val="0"/>
              </w:rPr>
            </w:pPr>
          </w:p>
        </w:tc>
        <w:tc>
          <w:tcPr>
            <w:tcW w:w="3607" w:type="pct"/>
            <w:tcBorders>
              <w:tl2br w:val="nil"/>
              <w:tr2bl w:val="nil"/>
            </w:tcBorders>
            <w:vAlign w:val="center"/>
          </w:tcPr>
          <w:p w14:paraId="485DAE0A">
            <w:pPr>
              <w:pStyle w:val="16"/>
              <w:rPr>
                <w:b w:val="0"/>
                <w:bCs w:val="0"/>
              </w:rPr>
            </w:pPr>
            <w:r>
              <w:rPr>
                <w:rFonts w:hint="eastAsia"/>
                <w:b w:val="0"/>
                <w:bCs w:val="0"/>
              </w:rPr>
              <w:t>氧气瓶、乙炔瓶未分开存放</w:t>
            </w:r>
          </w:p>
        </w:tc>
        <w:tc>
          <w:tcPr>
            <w:tcW w:w="640" w:type="pct"/>
            <w:tcBorders>
              <w:tl2br w:val="nil"/>
              <w:tr2bl w:val="nil"/>
            </w:tcBorders>
            <w:vAlign w:val="center"/>
          </w:tcPr>
          <w:p w14:paraId="4CEAA20E">
            <w:pPr>
              <w:pStyle w:val="16"/>
              <w:rPr>
                <w:b w:val="0"/>
                <w:bCs w:val="0"/>
              </w:rPr>
            </w:pPr>
            <w:r>
              <w:rPr>
                <w:rFonts w:hint="eastAsia"/>
                <w:b w:val="0"/>
                <w:bCs w:val="0"/>
              </w:rPr>
              <w:t>火灾</w:t>
            </w:r>
          </w:p>
        </w:tc>
      </w:tr>
      <w:tr w14:paraId="6D9C2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6023CE42">
            <w:pPr>
              <w:pStyle w:val="16"/>
              <w:numPr>
                <w:ilvl w:val="0"/>
                <w:numId w:val="27"/>
              </w:numPr>
              <w:tabs>
                <w:tab w:val="clear" w:pos="0"/>
              </w:tabs>
            </w:pPr>
          </w:p>
        </w:tc>
        <w:tc>
          <w:tcPr>
            <w:tcW w:w="502" w:type="pct"/>
            <w:vMerge w:val="continue"/>
            <w:tcBorders>
              <w:tl2br w:val="nil"/>
              <w:tr2bl w:val="nil"/>
            </w:tcBorders>
            <w:vAlign w:val="center"/>
          </w:tcPr>
          <w:p w14:paraId="74B750A8">
            <w:pPr>
              <w:pStyle w:val="16"/>
              <w:rPr>
                <w:b w:val="0"/>
                <w:bCs w:val="0"/>
              </w:rPr>
            </w:pPr>
          </w:p>
        </w:tc>
        <w:tc>
          <w:tcPr>
            <w:tcW w:w="3607" w:type="pct"/>
            <w:tcBorders>
              <w:tl2br w:val="nil"/>
              <w:tr2bl w:val="nil"/>
            </w:tcBorders>
            <w:vAlign w:val="center"/>
          </w:tcPr>
          <w:p w14:paraId="379E37FD">
            <w:pPr>
              <w:pStyle w:val="16"/>
              <w:rPr>
                <w:b w:val="0"/>
                <w:bCs w:val="0"/>
              </w:rPr>
            </w:pPr>
            <w:r>
              <w:rPr>
                <w:rFonts w:hint="eastAsia"/>
                <w:b w:val="0"/>
                <w:bCs w:val="0"/>
              </w:rPr>
              <w:t>氧气瓶、乙炔瓶存放处无禁火标志，未配备消防器材。</w:t>
            </w:r>
          </w:p>
        </w:tc>
        <w:tc>
          <w:tcPr>
            <w:tcW w:w="640" w:type="pct"/>
            <w:tcBorders>
              <w:tl2br w:val="nil"/>
              <w:tr2bl w:val="nil"/>
            </w:tcBorders>
            <w:vAlign w:val="center"/>
          </w:tcPr>
          <w:p w14:paraId="4BD6C199">
            <w:pPr>
              <w:pStyle w:val="16"/>
              <w:rPr>
                <w:b w:val="0"/>
                <w:bCs w:val="0"/>
              </w:rPr>
            </w:pPr>
            <w:r>
              <w:rPr>
                <w:rFonts w:hint="eastAsia"/>
                <w:b w:val="0"/>
                <w:bCs w:val="0"/>
              </w:rPr>
              <w:t>火灾</w:t>
            </w:r>
          </w:p>
        </w:tc>
      </w:tr>
      <w:tr w14:paraId="55C5C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BBEBE50">
            <w:pPr>
              <w:pStyle w:val="16"/>
              <w:numPr>
                <w:ilvl w:val="0"/>
                <w:numId w:val="27"/>
              </w:numPr>
              <w:tabs>
                <w:tab w:val="clear" w:pos="0"/>
              </w:tabs>
            </w:pPr>
          </w:p>
        </w:tc>
        <w:tc>
          <w:tcPr>
            <w:tcW w:w="502" w:type="pct"/>
            <w:tcBorders>
              <w:tl2br w:val="nil"/>
              <w:tr2bl w:val="nil"/>
            </w:tcBorders>
            <w:vAlign w:val="center"/>
          </w:tcPr>
          <w:p w14:paraId="7A651C40">
            <w:pPr>
              <w:pStyle w:val="16"/>
              <w:rPr>
                <w:b w:val="0"/>
                <w:bCs w:val="0"/>
              </w:rPr>
            </w:pPr>
            <w:r>
              <w:rPr>
                <w:rFonts w:hint="eastAsia"/>
                <w:b w:val="0"/>
                <w:bCs w:val="0"/>
              </w:rPr>
              <w:t>电焊</w:t>
            </w:r>
          </w:p>
        </w:tc>
        <w:tc>
          <w:tcPr>
            <w:tcW w:w="3607" w:type="pct"/>
            <w:tcBorders>
              <w:tl2br w:val="nil"/>
              <w:tr2bl w:val="nil"/>
            </w:tcBorders>
            <w:vAlign w:val="center"/>
          </w:tcPr>
          <w:p w14:paraId="13F9B811">
            <w:pPr>
              <w:pStyle w:val="16"/>
              <w:rPr>
                <w:b w:val="0"/>
                <w:bCs w:val="0"/>
              </w:rPr>
            </w:pPr>
            <w:r>
              <w:rPr>
                <w:rFonts w:hint="eastAsia"/>
                <w:b w:val="0"/>
                <w:bCs w:val="0"/>
              </w:rPr>
              <w:t>未佩戴面罩或护目镜</w:t>
            </w:r>
          </w:p>
        </w:tc>
        <w:tc>
          <w:tcPr>
            <w:tcW w:w="640" w:type="pct"/>
            <w:tcBorders>
              <w:tl2br w:val="nil"/>
              <w:tr2bl w:val="nil"/>
            </w:tcBorders>
            <w:vAlign w:val="center"/>
          </w:tcPr>
          <w:p w14:paraId="6E171E8B">
            <w:pPr>
              <w:pStyle w:val="16"/>
              <w:rPr>
                <w:b w:val="0"/>
                <w:bCs w:val="0"/>
              </w:rPr>
            </w:pPr>
            <w:r>
              <w:rPr>
                <w:rFonts w:hint="eastAsia"/>
                <w:b w:val="0"/>
                <w:bCs w:val="0"/>
              </w:rPr>
              <w:t>其他</w:t>
            </w:r>
          </w:p>
        </w:tc>
      </w:tr>
      <w:tr w14:paraId="7ACB6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0" w:type="pct"/>
            <w:tcBorders>
              <w:tl2br w:val="nil"/>
              <w:tr2bl w:val="nil"/>
            </w:tcBorders>
            <w:vAlign w:val="center"/>
          </w:tcPr>
          <w:p w14:paraId="1F1051D9">
            <w:pPr>
              <w:pStyle w:val="16"/>
              <w:numPr>
                <w:ilvl w:val="0"/>
                <w:numId w:val="27"/>
              </w:numPr>
              <w:tabs>
                <w:tab w:val="clear" w:pos="0"/>
              </w:tabs>
            </w:pPr>
          </w:p>
        </w:tc>
        <w:tc>
          <w:tcPr>
            <w:tcW w:w="502" w:type="pct"/>
            <w:tcBorders>
              <w:tl2br w:val="nil"/>
              <w:tr2bl w:val="nil"/>
            </w:tcBorders>
            <w:vAlign w:val="center"/>
          </w:tcPr>
          <w:p w14:paraId="0EF9DECE">
            <w:pPr>
              <w:pStyle w:val="16"/>
              <w:rPr>
                <w:b w:val="0"/>
                <w:bCs w:val="0"/>
              </w:rPr>
            </w:pPr>
            <w:r>
              <w:rPr>
                <w:rFonts w:hint="eastAsia"/>
                <w:b w:val="0"/>
                <w:bCs w:val="0"/>
              </w:rPr>
              <w:t>劳保</w:t>
            </w:r>
          </w:p>
        </w:tc>
        <w:tc>
          <w:tcPr>
            <w:tcW w:w="3607" w:type="pct"/>
            <w:tcBorders>
              <w:tl2br w:val="nil"/>
              <w:tr2bl w:val="nil"/>
            </w:tcBorders>
            <w:vAlign w:val="center"/>
          </w:tcPr>
          <w:p w14:paraId="22E54B7F">
            <w:pPr>
              <w:pStyle w:val="16"/>
              <w:rPr>
                <w:b w:val="0"/>
                <w:bCs w:val="0"/>
              </w:rPr>
            </w:pPr>
            <w:r>
              <w:rPr>
                <w:rFonts w:hint="eastAsia"/>
                <w:b w:val="0"/>
                <w:bCs w:val="0"/>
              </w:rPr>
              <w:t>攀登作业未穿防滑鞋</w:t>
            </w:r>
          </w:p>
        </w:tc>
        <w:tc>
          <w:tcPr>
            <w:tcW w:w="640" w:type="pct"/>
            <w:tcBorders>
              <w:tl2br w:val="nil"/>
              <w:tr2bl w:val="nil"/>
            </w:tcBorders>
            <w:vAlign w:val="center"/>
          </w:tcPr>
          <w:p w14:paraId="518E05A0">
            <w:pPr>
              <w:pStyle w:val="16"/>
              <w:rPr>
                <w:b w:val="0"/>
                <w:bCs w:val="0"/>
              </w:rPr>
            </w:pPr>
            <w:r>
              <w:rPr>
                <w:rFonts w:hint="eastAsia"/>
                <w:b w:val="0"/>
                <w:bCs w:val="0"/>
              </w:rPr>
              <w:t>其他</w:t>
            </w:r>
          </w:p>
        </w:tc>
      </w:tr>
    </w:tbl>
    <w:p w14:paraId="775B609C">
      <w:pPr>
        <w:pStyle w:val="4"/>
        <w:rPr>
          <w:b/>
          <w:bCs w:val="0"/>
        </w:rPr>
      </w:pPr>
      <w:r>
        <w:rPr>
          <w:rFonts w:hint="eastAsia"/>
          <w:b/>
          <w:bCs w:val="0"/>
        </w:rPr>
        <w:t>风险分析结论</w:t>
      </w:r>
    </w:p>
    <w:p w14:paraId="796CEA4D">
      <w:p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rPr>
        <w:t>根据风险因素分析、识别表，显著危险的有</w:t>
      </w:r>
      <w:r>
        <w:rPr>
          <w:rFonts w:hint="eastAsia"/>
          <w:lang w:val="en-US" w:eastAsia="zh-CN"/>
        </w:rPr>
        <w:t>57</w:t>
      </w:r>
      <w:r>
        <w:rPr>
          <w:rFonts w:hint="eastAsia"/>
        </w:rPr>
        <w:t>项：包括高处坠落、起重伤害、物体打击、触电、机械伤害、火灾、坍塌和容器爆炸，需要制定针对性安全措施，具体措施详见6</w:t>
      </w:r>
      <w:r>
        <w:t>.3</w:t>
      </w:r>
      <w:r>
        <w:rPr>
          <w:rFonts w:hint="eastAsia"/>
        </w:rPr>
        <w:t>节。</w:t>
      </w:r>
    </w:p>
    <w:p w14:paraId="5C05FE02">
      <w:pPr>
        <w:pStyle w:val="3"/>
        <w:bidi w:val="0"/>
        <w:ind w:left="575" w:leftChars="0" w:hanging="575" w:firstLineChars="0"/>
        <w:rPr>
          <w:b/>
          <w:bCs w:val="0"/>
          <w:sz w:val="28"/>
          <w:szCs w:val="28"/>
          <w:lang w:val="en-US" w:eastAsia="zh-CN"/>
        </w:rPr>
      </w:pPr>
      <w:bookmarkStart w:id="114" w:name="_Toc13312"/>
      <w:bookmarkStart w:id="115" w:name="_Toc18734"/>
      <w:bookmarkStart w:id="116" w:name="_Toc22738"/>
      <w:r>
        <w:rPr>
          <w:b/>
          <w:bCs w:val="0"/>
          <w:sz w:val="28"/>
          <w:szCs w:val="28"/>
          <w:lang w:val="en-US" w:eastAsia="zh-CN"/>
        </w:rPr>
        <w:t>组织保障措施</w:t>
      </w:r>
      <w:bookmarkEnd w:id="112"/>
      <w:bookmarkEnd w:id="114"/>
      <w:bookmarkEnd w:id="115"/>
      <w:bookmarkEnd w:id="116"/>
    </w:p>
    <w:p w14:paraId="41301182">
      <w:pPr>
        <w:pStyle w:val="4"/>
        <w:bidi w:val="0"/>
        <w:ind w:left="720" w:leftChars="0" w:hanging="720" w:firstLineChars="0"/>
        <w:rPr>
          <w:rFonts w:hint="eastAsia"/>
          <w:b/>
          <w:bCs w:val="0"/>
          <w:lang w:val="en-US" w:eastAsia="zh-CN"/>
        </w:rPr>
      </w:pPr>
      <w:bookmarkStart w:id="117" w:name="_Toc48"/>
      <w:bookmarkStart w:id="118" w:name="_Toc499370314"/>
      <w:bookmarkStart w:id="119" w:name="_Toc8188"/>
      <w:bookmarkStart w:id="120" w:name="_Toc9269"/>
      <w:bookmarkStart w:id="121" w:name="_Toc25637"/>
      <w:bookmarkStart w:id="122" w:name="_Toc27838935"/>
      <w:bookmarkStart w:id="123" w:name="_Toc25817"/>
      <w:bookmarkStart w:id="124" w:name="_Toc18608"/>
      <w:bookmarkStart w:id="125" w:name="_Toc499850192"/>
      <w:r>
        <w:rPr>
          <w:rFonts w:hint="eastAsia"/>
          <w:b/>
          <w:bCs w:val="0"/>
          <w:lang w:val="en-US" w:eastAsia="zh-CN"/>
        </w:rPr>
        <w:t>安全</w:t>
      </w:r>
      <w:bookmarkEnd w:id="117"/>
      <w:r>
        <w:rPr>
          <w:rFonts w:hint="eastAsia"/>
          <w:b/>
          <w:bCs w:val="0"/>
          <w:lang w:val="en-US" w:eastAsia="zh-CN"/>
        </w:rPr>
        <w:t>生产组织机构</w:t>
      </w:r>
      <w:bookmarkEnd w:id="118"/>
      <w:bookmarkEnd w:id="119"/>
      <w:bookmarkEnd w:id="120"/>
      <w:bookmarkEnd w:id="121"/>
      <w:bookmarkEnd w:id="122"/>
      <w:bookmarkEnd w:id="123"/>
      <w:bookmarkEnd w:id="124"/>
      <w:bookmarkEnd w:id="125"/>
    </w:p>
    <w:p w14:paraId="57A5B51A">
      <w:pPr>
        <w:pStyle w:val="12"/>
        <w:ind w:firstLine="480"/>
        <w:rPr>
          <w:rFonts w:hint="eastAsia"/>
          <w:lang w:eastAsia="zh-CN"/>
        </w:rPr>
      </w:pPr>
      <w:r>
        <w:rPr>
          <w:rFonts w:hint="eastAsia"/>
          <w:lang w:val="en-US" w:eastAsia="zh-CN"/>
        </w:rPr>
        <w:t>根据本施工工程成立安全管理组织机构，其人员组成、工作职责详见表6.2.</w:t>
      </w:r>
      <w:r>
        <w:rPr>
          <w:rFonts w:hint="eastAsia"/>
        </w:rPr>
        <w:t>1-1</w:t>
      </w:r>
      <w:r>
        <w:rPr>
          <w:rFonts w:hint="eastAsia"/>
          <w:lang w:eastAsia="zh-CN"/>
        </w:rPr>
        <w:t>。</w:t>
      </w:r>
    </w:p>
    <w:p w14:paraId="7292AAA6">
      <w:pPr>
        <w:pStyle w:val="161"/>
        <w:rPr>
          <w:rFonts w:hint="eastAsia"/>
          <w:shd w:val="clear"/>
          <w:lang w:val="en-US" w:eastAsia="zh-CN"/>
        </w:rPr>
      </w:pPr>
      <w:r>
        <w:rPr>
          <w:rFonts w:hint="eastAsia"/>
          <w:shd w:val="clear"/>
          <w:lang w:val="en-US" w:eastAsia="zh-CN"/>
        </w:rPr>
        <w:t>表6.2.1</w:t>
      </w:r>
      <w:r>
        <w:rPr>
          <w:rFonts w:hint="eastAsia"/>
          <w:shd w:val="clear"/>
        </w:rPr>
        <w:t xml:space="preserve">-1 </w:t>
      </w:r>
      <w:r>
        <w:rPr>
          <w:rFonts w:hint="eastAsia"/>
          <w:shd w:val="clear"/>
          <w:lang w:val="en-US" w:eastAsia="zh-CN"/>
        </w:rPr>
        <w:t>安全</w:t>
      </w:r>
      <w:r>
        <w:rPr>
          <w:rFonts w:hint="eastAsia"/>
          <w:shd w:val="clear"/>
        </w:rPr>
        <w:t>管理组织机构</w:t>
      </w:r>
      <w:r>
        <w:rPr>
          <w:rFonts w:hint="eastAsia"/>
          <w:shd w:val="clear"/>
          <w:lang w:val="en-US" w:eastAsia="zh-CN"/>
        </w:rPr>
        <w:t>表</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28976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4AF295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sz w:val="21"/>
              </w:rPr>
            </w:pPr>
            <w:r>
              <w:rPr>
                <w:rFonts w:hint="eastAsia"/>
                <w:b/>
                <w:sz w:val="21"/>
              </w:rPr>
              <w:t>序号</w:t>
            </w:r>
          </w:p>
        </w:tc>
        <w:tc>
          <w:tcPr>
            <w:tcW w:w="1261" w:type="pct"/>
            <w:shd w:val="clear" w:color="auto" w:fill="auto"/>
            <w:vAlign w:val="center"/>
          </w:tcPr>
          <w:p w14:paraId="4A345C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69A39E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0155B8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38F7D4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val="en-US" w:eastAsia="zh-CN"/>
              </w:rPr>
            </w:pPr>
            <w:r>
              <w:rPr>
                <w:rFonts w:hint="eastAsia"/>
                <w:b/>
                <w:sz w:val="21"/>
                <w:lang w:val="en-US" w:eastAsia="zh-CN"/>
              </w:rPr>
              <w:t>备注</w:t>
            </w:r>
          </w:p>
        </w:tc>
      </w:tr>
      <w:tr w14:paraId="127C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A02C748">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4A322A2">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79CEF616">
            <w:pPr>
              <w:pStyle w:val="16"/>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4CA179C9">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18088A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3C21C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2D38035">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1980B96">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F34E76C">
            <w:pPr>
              <w:pStyle w:val="1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470D9F31">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0BF631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9C6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0643C0C">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321EC34">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56C39516">
            <w:pPr>
              <w:pStyle w:val="16"/>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2D3588B6">
            <w:pPr>
              <w:pStyle w:val="16"/>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062994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8D38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6047CD63">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539D57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49DEA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241FB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CEA15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91AA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8AF10AC">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EECE7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5F7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0A9878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7709B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5F25E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1D0BF681">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3C210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BEE35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5E953A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41BF5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65F10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E857D72">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BD0AC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672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52A542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0375A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FE07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8225AEE">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4B01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3C72F9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8D826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61A321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4E5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5D879A3">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59D61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1036D1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7B5422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进行操作。严守操作规程，严格安照日常保养维护检查，确保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695813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657A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A325A6">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D54BA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76EBD4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493155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635065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bl>
    <w:p w14:paraId="00AEBE0F">
      <w:pPr>
        <w:pStyle w:val="4"/>
        <w:bidi w:val="0"/>
        <w:ind w:left="720" w:leftChars="0" w:hanging="720" w:firstLineChars="0"/>
        <w:rPr>
          <w:rFonts w:hint="eastAsia"/>
          <w:b/>
          <w:bCs w:val="0"/>
          <w:lang w:val="en-US" w:eastAsia="zh-CN"/>
        </w:rPr>
      </w:pPr>
      <w:bookmarkStart w:id="126" w:name="_Toc1909"/>
      <w:bookmarkStart w:id="127" w:name="_Toc30291"/>
      <w:bookmarkStart w:id="128" w:name="_Toc33269603"/>
      <w:bookmarkStart w:id="129" w:name="_Toc3616"/>
      <w:r>
        <w:rPr>
          <w:rFonts w:hint="eastAsia"/>
          <w:b/>
          <w:bCs w:val="0"/>
          <w:lang w:val="en-US" w:eastAsia="zh-CN"/>
        </w:rPr>
        <w:t>安全保证体系</w:t>
      </w:r>
      <w:bookmarkEnd w:id="126"/>
      <w:bookmarkEnd w:id="127"/>
      <w:bookmarkEnd w:id="128"/>
      <w:bookmarkEnd w:id="129"/>
    </w:p>
    <w:p w14:paraId="25B398B6">
      <w:pPr>
        <w:ind w:firstLine="480" w:firstLineChars="0"/>
        <w:rPr>
          <w:rFonts w:cs="Times New Roman"/>
          <w:kern w:val="0"/>
          <w:szCs w:val="21"/>
        </w:rPr>
      </w:pPr>
      <w:bookmarkStart w:id="130"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08A32A05">
      <w:pPr>
        <w:keepNext/>
        <w:spacing w:line="360" w:lineRule="auto"/>
        <w:ind w:left="0" w:leftChars="0" w:firstLine="0" w:firstLineChars="0"/>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5" o:spt="75" type="#_x0000_t75" style="height:378pt;width:420pt;" o:ole="t" filled="f" o:preferrelative="t" stroked="f" coordsize="21600,21600">
            <v:path/>
            <v:fill on="f" focussize="0,0"/>
            <v:stroke on="f" joinstyle="miter"/>
            <v:imagedata r:id="rId52" o:title=""/>
            <o:lock v:ext="edit" aspectratio="t"/>
            <w10:wrap type="none"/>
            <w10:anchorlock/>
          </v:shape>
          <o:OLEObject Type="Embed" ProgID="Visio.Drawing.11" ShapeID="_x0000_i1025" DrawAspect="Content" ObjectID="_1468075725" r:id="rId51">
            <o:LockedField>false</o:LockedField>
          </o:OLEObject>
        </w:object>
      </w:r>
    </w:p>
    <w:p w14:paraId="641B1E34">
      <w:pPr>
        <w:ind w:firstLine="480" w:firstLineChars="0"/>
        <w:jc w:val="center"/>
        <w:rPr>
          <w:rFonts w:ascii="Times New Roman" w:hAnsi="Times New Roman" w:eastAsia="宋体" w:cs="Times New Roman"/>
          <w:bCs/>
          <w:kern w:val="0"/>
          <w:szCs w:val="22"/>
          <w:lang w:val="en-US" w:eastAsia="zh-CN" w:bidi="en-US"/>
        </w:rPr>
      </w:pPr>
      <w:r>
        <w:rPr>
          <w:rFonts w:hint="eastAsia" w:ascii="Times New Roman" w:hAnsi="Times New Roman" w:eastAsia="宋体" w:cstheme="majorBidi"/>
          <w:b/>
          <w:kern w:val="2"/>
          <w:sz w:val="21"/>
          <w:szCs w:val="20"/>
          <w:shd w:val="clear"/>
          <w:lang w:val="en-US" w:eastAsia="zh-CN" w:bidi="ar-SA"/>
        </w:rPr>
        <w:t xml:space="preserve">图 </w:t>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STYLEREF 2 \s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6.2</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noBreakHyphen/>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SEQ 图 \* ARABIC \s 2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1</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t xml:space="preserve">  安全保证体系框图</w:t>
      </w:r>
    </w:p>
    <w:p w14:paraId="4E952983">
      <w:pPr>
        <w:pStyle w:val="4"/>
        <w:bidi w:val="0"/>
        <w:ind w:left="720" w:leftChars="0" w:hanging="720" w:firstLineChars="0"/>
        <w:rPr>
          <w:rFonts w:hint="eastAsia"/>
          <w:b/>
          <w:bCs w:val="0"/>
          <w:lang w:val="en-US" w:eastAsia="zh-CN"/>
        </w:rPr>
      </w:pPr>
      <w:r>
        <w:rPr>
          <w:rFonts w:hint="eastAsia"/>
          <w:b/>
          <w:bCs w:val="0"/>
          <w:lang w:val="en-US" w:eastAsia="zh-CN"/>
        </w:rPr>
        <w:t>制度保证措施</w:t>
      </w:r>
      <w:bookmarkEnd w:id="130"/>
    </w:p>
    <w:p w14:paraId="551B12A4">
      <w:pPr>
        <w:pStyle w:val="132"/>
        <w:ind w:firstLine="480"/>
        <w:rPr>
          <w:rFonts w:cs="Times New Roman"/>
        </w:rPr>
      </w:pPr>
      <w:bookmarkStart w:id="131" w:name="_Toc27838939"/>
      <w:bookmarkStart w:id="132" w:name="_Toc23891"/>
      <w:r>
        <w:rPr>
          <w:rFonts w:cs="Times New Roman"/>
        </w:rPr>
        <w:t>（1）严格执行安全生产教育与培训制度，分项工程开工前，对参建人员进行岗前安全教育培训，经培训考试合格后方可上岗。</w:t>
      </w:r>
    </w:p>
    <w:p w14:paraId="29C762D7">
      <w:pPr>
        <w:pStyle w:val="132"/>
        <w:ind w:firstLine="480"/>
        <w:rPr>
          <w:rFonts w:cs="Times New Roman"/>
        </w:rPr>
      </w:pPr>
      <w:r>
        <w:rPr>
          <w:rFonts w:cs="Times New Roman"/>
        </w:rPr>
        <w:t>（2）严格执行特殊工种持证上岗制度，分项工程开工前，对特种作业人员进行专业安全培训，取得相应资格证书后，持证上岗。</w:t>
      </w:r>
    </w:p>
    <w:p w14:paraId="5AF0598A">
      <w:pPr>
        <w:pStyle w:val="132"/>
        <w:ind w:firstLine="480"/>
        <w:rPr>
          <w:rFonts w:cs="Times New Roman"/>
        </w:rPr>
      </w:pPr>
      <w:r>
        <w:rPr>
          <w:rFonts w:cs="Times New Roman"/>
        </w:rPr>
        <w:t>（3）严格执行安全技术交底制度，使作业人员能了解作业过程中可能存在的事故隐患，交底采用书面安全技术交底和现场安全技术交底相结合的方式。</w:t>
      </w:r>
    </w:p>
    <w:p w14:paraId="55237322">
      <w:pPr>
        <w:pStyle w:val="132"/>
        <w:ind w:firstLine="480"/>
        <w:rPr>
          <w:rFonts w:cs="Times New Roman"/>
        </w:rPr>
      </w:pPr>
      <w:r>
        <w:rPr>
          <w:rFonts w:cs="Times New Roman"/>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27CE1DA9">
      <w:pPr>
        <w:pStyle w:val="132"/>
        <w:ind w:firstLine="480"/>
        <w:rPr>
          <w:rFonts w:cs="Times New Roman"/>
        </w:rPr>
      </w:pPr>
      <w:r>
        <w:rPr>
          <w:rFonts w:cs="Times New Roman"/>
        </w:rPr>
        <w:t>（5）执行施工许可制度，分项工程开工前，针对工程实际编制切实可行的安全措施计划，并限期实施，没有安全保障措施时工程不得开工。</w:t>
      </w:r>
    </w:p>
    <w:p w14:paraId="31D31BF7">
      <w:pPr>
        <w:pStyle w:val="132"/>
        <w:ind w:firstLine="480"/>
        <w:rPr>
          <w:rFonts w:cs="Times New Roman"/>
        </w:rPr>
      </w:pPr>
      <w:r>
        <w:rPr>
          <w:rFonts w:cs="Times New Roman"/>
        </w:rPr>
        <w:t>（6）实行安全例会制度，每周召开一次安全会议，决定安全生产的重大事项；每周进行一次安全检查，并随时召开部门安全会议，检查总结一周的安全工作，贯彻安全领导小组的决定，落实整改措施。</w:t>
      </w:r>
    </w:p>
    <w:p w14:paraId="29C2A1FB">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B4DA9B2">
      <w:pPr>
        <w:pStyle w:val="132"/>
        <w:ind w:firstLine="480"/>
        <w:rPr>
          <w:rFonts w:cs="Times New Roman"/>
        </w:rPr>
      </w:pPr>
      <w:r>
        <w:rPr>
          <w:rFonts w:cs="Times New Roman"/>
        </w:rPr>
        <w:t>（8）实行安全目标管理，层层分解落实安全指标，严格执行与经济挂钩的奖惩制度，坚决实施安全一票否决权制度。</w:t>
      </w:r>
    </w:p>
    <w:p w14:paraId="3FF31E5C">
      <w:pPr>
        <w:pStyle w:val="132"/>
        <w:ind w:firstLine="480"/>
        <w:rPr>
          <w:rFonts w:cs="Times New Roman"/>
        </w:rPr>
      </w:pPr>
      <w:r>
        <w:rPr>
          <w:rFonts w:cs="Times New Roman"/>
        </w:rPr>
        <w:t>（9）严格执行危险作业许可证制度，以控制和消除各类危险作业的风险，保障危险作业的安全进行。</w:t>
      </w:r>
    </w:p>
    <w:p w14:paraId="1B19B553">
      <w:pPr>
        <w:pStyle w:val="4"/>
        <w:bidi w:val="0"/>
        <w:ind w:left="720" w:leftChars="0" w:hanging="720" w:firstLineChars="0"/>
        <w:rPr>
          <w:rFonts w:hint="eastAsia"/>
          <w:b/>
          <w:bCs w:val="0"/>
          <w:lang w:val="en-US" w:eastAsia="zh-CN"/>
        </w:rPr>
      </w:pPr>
      <w:r>
        <w:rPr>
          <w:rFonts w:hint="eastAsia"/>
          <w:b/>
          <w:bCs w:val="0"/>
          <w:lang w:val="en-US" w:eastAsia="zh-CN"/>
        </w:rPr>
        <w:t>思想保证措施</w:t>
      </w:r>
      <w:bookmarkEnd w:id="131"/>
      <w:bookmarkEnd w:id="132"/>
    </w:p>
    <w:p w14:paraId="55189F5C">
      <w:pPr>
        <w:pStyle w:val="383"/>
        <w:ind w:firstLine="480"/>
        <w:rPr>
          <w:rFonts w:cs="Times New Roman"/>
        </w:rPr>
      </w:pPr>
      <w:r>
        <w:rPr>
          <w:rFonts w:cs="Times New Roman"/>
        </w:rPr>
        <w:t>（1）全体参建人员严格执行党和国家有关安全生产法律、法规和安全生产规程，自觉遵守国家、行业、地方及业主的有关安全生产管理规定。</w:t>
      </w:r>
    </w:p>
    <w:p w14:paraId="218874C2">
      <w:pPr>
        <w:pStyle w:val="383"/>
        <w:ind w:firstLine="480"/>
        <w:rPr>
          <w:rFonts w:cs="Times New Roman"/>
        </w:rPr>
      </w:pPr>
      <w:r>
        <w:rPr>
          <w:rFonts w:cs="Times New Roman"/>
        </w:rPr>
        <w:t>（2）认真贯彻执行“安全第一、预防为主、综合治理”的方针，增强全员安全意识，使全员都能明确自己的安全目标和职责，达到全员参加，全员实施的目的，体现“安全生产、人人有责”的原则。</w:t>
      </w:r>
    </w:p>
    <w:p w14:paraId="0EAB413C">
      <w:pPr>
        <w:pStyle w:val="383"/>
        <w:ind w:firstLine="480"/>
        <w:rPr>
          <w:rFonts w:cs="Times New Roman"/>
        </w:rPr>
      </w:pPr>
      <w:r>
        <w:rPr>
          <w:rFonts w:cs="Times New Roman"/>
        </w:rPr>
        <w:t>（3）分项工程开工前，对所有上岗人员进行安全教育培训，使全员都能遵守生产必须安全，安全才能生产的原则，严格执行安全操作规程，持证上岗。</w:t>
      </w:r>
    </w:p>
    <w:p w14:paraId="74105F39">
      <w:pPr>
        <w:pStyle w:val="383"/>
        <w:ind w:firstLine="480"/>
        <w:rPr>
          <w:rFonts w:cs="Times New Roman"/>
        </w:rPr>
      </w:pPr>
      <w:r>
        <w:rPr>
          <w:rFonts w:cs="Times New Roman"/>
        </w:rPr>
        <w:t>（4）随时接受业主及监理单位对安全生产的督促、检查、考评，对提出的问题，立即落实方案组织实施，确保安全生产。</w:t>
      </w:r>
    </w:p>
    <w:p w14:paraId="6E87084C">
      <w:pPr>
        <w:pStyle w:val="3"/>
        <w:rPr>
          <w:b/>
          <w:bCs w:val="0"/>
          <w:shd w:val="clear" w:color="auto" w:fill="FFFFFF" w:themeFill="background1"/>
        </w:rPr>
      </w:pPr>
      <w:bookmarkStart w:id="133" w:name="_Toc20841"/>
      <w:bookmarkStart w:id="134" w:name="_Toc27605"/>
      <w:bookmarkStart w:id="135" w:name="_Toc131174056"/>
      <w:bookmarkStart w:id="136" w:name="_Toc11037"/>
      <w:bookmarkStart w:id="137" w:name="_Toc28933"/>
      <w:r>
        <w:rPr>
          <w:rFonts w:hint="eastAsia"/>
          <w:b/>
          <w:bCs w:val="0"/>
          <w:shd w:val="clear" w:color="auto" w:fill="FFFFFF" w:themeFill="background1"/>
        </w:rPr>
        <w:t>施工安全技术控制措施</w:t>
      </w:r>
      <w:bookmarkEnd w:id="133"/>
      <w:bookmarkEnd w:id="134"/>
      <w:bookmarkEnd w:id="135"/>
      <w:bookmarkEnd w:id="136"/>
      <w:bookmarkEnd w:id="137"/>
    </w:p>
    <w:p w14:paraId="4DBD2179">
      <w:pPr>
        <w:pStyle w:val="4"/>
        <w:rPr>
          <w:b/>
          <w:bCs w:val="0"/>
        </w:rPr>
      </w:pPr>
      <w:r>
        <w:rPr>
          <w:rFonts w:hint="eastAsia"/>
          <w:b/>
          <w:bCs w:val="0"/>
        </w:rPr>
        <w:t>塔式起重机安拆安全技术措施</w:t>
      </w:r>
    </w:p>
    <w:p w14:paraId="29339B1C">
      <w:pPr>
        <w:numPr>
          <w:ilvl w:val="0"/>
          <w:numId w:val="29"/>
        </w:numPr>
        <w:ind w:firstLineChars="0"/>
      </w:pPr>
      <w:r>
        <w:rPr>
          <w:rFonts w:hint="eastAsia"/>
        </w:rPr>
        <w:t>拆除作业应根据专项施工方案要求实施。拆除作业人员应分工明确、职责清楚、</w:t>
      </w:r>
      <w:r>
        <w:rPr>
          <w:rFonts w:hint="eastAsia"/>
          <w:lang w:val="en-US" w:eastAsia="zh-CN"/>
        </w:rPr>
        <w:t>拆除</w:t>
      </w:r>
      <w:r>
        <w:rPr>
          <w:rFonts w:hint="eastAsia"/>
        </w:rPr>
        <w:t>前应对拆除作业人员进行安全技术交底；</w:t>
      </w:r>
    </w:p>
    <w:p w14:paraId="3BD2437C">
      <w:pPr>
        <w:numPr>
          <w:ilvl w:val="0"/>
          <w:numId w:val="29"/>
        </w:numPr>
        <w:ind w:firstLineChars="0"/>
      </w:pPr>
      <w:r>
        <w:rPr>
          <w:rFonts w:hint="eastAsia"/>
          <w:lang w:val="en-US" w:eastAsia="zh-CN"/>
        </w:rPr>
        <w:t>拆除</w:t>
      </w:r>
      <w:r>
        <w:rPr>
          <w:rFonts w:hint="eastAsia"/>
        </w:rPr>
        <w:t>辅助设备就位后，应对其机械和安全性能进行检验，合格后方可作业；</w:t>
      </w:r>
    </w:p>
    <w:p w14:paraId="0C73BC60">
      <w:pPr>
        <w:numPr>
          <w:ilvl w:val="0"/>
          <w:numId w:val="29"/>
        </w:numPr>
        <w:ind w:firstLineChars="0"/>
      </w:pPr>
      <w:r>
        <w:rPr>
          <w:rFonts w:hint="eastAsia"/>
          <w:lang w:val="en-US" w:eastAsia="zh-CN"/>
        </w:rPr>
        <w:t>拆除</w:t>
      </w:r>
      <w:r>
        <w:rPr>
          <w:rFonts w:hint="eastAsia"/>
        </w:rPr>
        <w:t>作业中应统一指挥，明确指挥信号。当视线受阻，距离过远时应采用对讲机或多级指挥；</w:t>
      </w:r>
    </w:p>
    <w:p w14:paraId="4F0E578F">
      <w:pPr>
        <w:numPr>
          <w:ilvl w:val="0"/>
          <w:numId w:val="29"/>
        </w:numPr>
        <w:ind w:firstLineChars="0"/>
      </w:pPr>
      <w:r>
        <w:rPr>
          <w:rFonts w:hint="eastAsia"/>
        </w:rPr>
        <w:t>塔式起重机的独立高度、悬臂高度应符合使用说明书的要求；</w:t>
      </w:r>
    </w:p>
    <w:p w14:paraId="7441FAFD">
      <w:pPr>
        <w:numPr>
          <w:ilvl w:val="0"/>
          <w:numId w:val="29"/>
        </w:numPr>
        <w:ind w:firstLineChars="0"/>
      </w:pPr>
      <w:r>
        <w:rPr>
          <w:rFonts w:hint="eastAsia"/>
        </w:rPr>
        <w:t>雨雪、浓雾天气严禁进行</w:t>
      </w:r>
      <w:r>
        <w:rPr>
          <w:rFonts w:hint="eastAsia"/>
          <w:lang w:val="en-US" w:eastAsia="zh-CN"/>
        </w:rPr>
        <w:t>拆除</w:t>
      </w:r>
      <w:r>
        <w:rPr>
          <w:rFonts w:hint="eastAsia"/>
        </w:rPr>
        <w:t>作业。拆除时塔式起重机最大高度处的风速应符合使用说明书的要求，且风速不得超过</w:t>
      </w:r>
      <w:r>
        <w:rPr>
          <w:rFonts w:hint="eastAsia"/>
          <w:lang w:val="en-US" w:eastAsia="zh-CN"/>
        </w:rPr>
        <w:t>四级风速</w:t>
      </w:r>
      <w:r>
        <w:rPr>
          <w:rFonts w:hint="eastAsia"/>
        </w:rPr>
        <w:t>；</w:t>
      </w:r>
    </w:p>
    <w:p w14:paraId="2246A749">
      <w:pPr>
        <w:numPr>
          <w:ilvl w:val="0"/>
          <w:numId w:val="29"/>
        </w:numPr>
        <w:ind w:firstLineChars="0"/>
      </w:pPr>
      <w:r>
        <w:rPr>
          <w:rFonts w:hint="eastAsia"/>
        </w:rPr>
        <w:t>塔式起重机不宜在夜间进行</w:t>
      </w:r>
      <w:r>
        <w:rPr>
          <w:rFonts w:hint="eastAsia"/>
          <w:lang w:val="en-US" w:eastAsia="zh-CN"/>
        </w:rPr>
        <w:t>拆除</w:t>
      </w:r>
      <w:r>
        <w:rPr>
          <w:rFonts w:hint="eastAsia"/>
        </w:rPr>
        <w:t>作业；当需在夜间进行塔式起重机拆卸作业时，应保证提供足够的照明；</w:t>
      </w:r>
    </w:p>
    <w:p w14:paraId="0B8C5A3D">
      <w:pPr>
        <w:numPr>
          <w:ilvl w:val="0"/>
          <w:numId w:val="29"/>
        </w:numPr>
        <w:ind w:firstLineChars="0"/>
      </w:pPr>
      <w:r>
        <w:rPr>
          <w:rFonts w:hint="eastAsia"/>
        </w:rPr>
        <w:t>当遇特殊情况</w:t>
      </w:r>
      <w:r>
        <w:rPr>
          <w:rFonts w:hint="eastAsia"/>
          <w:lang w:val="en-US" w:eastAsia="zh-CN"/>
        </w:rPr>
        <w:t>拆除</w:t>
      </w:r>
      <w:r>
        <w:rPr>
          <w:rFonts w:hint="eastAsia"/>
        </w:rPr>
        <w:t>作业不能连续进行时，必须将</w:t>
      </w:r>
      <w:r>
        <w:rPr>
          <w:rFonts w:hint="eastAsia"/>
          <w:lang w:val="en-US" w:eastAsia="zh-CN"/>
        </w:rPr>
        <w:t>未拆除</w:t>
      </w:r>
      <w:r>
        <w:rPr>
          <w:rFonts w:hint="eastAsia"/>
        </w:rPr>
        <w:t>的部位固定牢靠并达到安全状态，经检查确认无隐患后，方可停止作业；</w:t>
      </w:r>
    </w:p>
    <w:p w14:paraId="226E8AE9">
      <w:pPr>
        <w:numPr>
          <w:ilvl w:val="0"/>
          <w:numId w:val="29"/>
        </w:numPr>
        <w:ind w:firstLineChars="0"/>
      </w:pPr>
      <w:r>
        <w:rPr>
          <w:rFonts w:hint="eastAsia"/>
        </w:rPr>
        <w:t>塔式起重机的安全装置必须齐全，并应按程序进行调试合格；</w:t>
      </w:r>
    </w:p>
    <w:p w14:paraId="05D3E1B1">
      <w:pPr>
        <w:numPr>
          <w:ilvl w:val="0"/>
          <w:numId w:val="29"/>
        </w:numPr>
        <w:ind w:firstLineChars="0"/>
      </w:pPr>
      <w:r>
        <w:rPr>
          <w:rFonts w:hint="eastAsia"/>
        </w:rPr>
        <w:t>连接件及其防松防脱件严禁用其他代用品代用。连接件及其防松防脱件应使用力矩扳手或专用工具紧固连接螺栓；</w:t>
      </w:r>
    </w:p>
    <w:p w14:paraId="4D562E37">
      <w:pPr>
        <w:pStyle w:val="4"/>
        <w:rPr>
          <w:b/>
          <w:bCs w:val="0"/>
        </w:rPr>
      </w:pPr>
      <w:r>
        <w:rPr>
          <w:rFonts w:hint="eastAsia"/>
          <w:b/>
          <w:bCs w:val="0"/>
        </w:rPr>
        <w:t>试验安全技术措施</w:t>
      </w:r>
    </w:p>
    <w:p w14:paraId="7E37CF51">
      <w:pPr>
        <w:numPr>
          <w:ilvl w:val="0"/>
          <w:numId w:val="30"/>
        </w:numPr>
        <w:ind w:firstLineChars="0"/>
      </w:pPr>
      <w:r>
        <w:rPr>
          <w:rFonts w:hint="eastAsia"/>
        </w:rPr>
        <w:t>试运行要求风速在规定的范围内，</w:t>
      </w:r>
      <w:r>
        <w:rPr>
          <w:rFonts w:hint="eastAsia"/>
          <w:lang w:val="en-US" w:eastAsia="zh-CN"/>
        </w:rPr>
        <w:t>4</w:t>
      </w:r>
      <w:r>
        <w:rPr>
          <w:rFonts w:hint="eastAsia"/>
        </w:rPr>
        <w:t>级以上大风禁止起重吊装；</w:t>
      </w:r>
    </w:p>
    <w:p w14:paraId="3E194060">
      <w:pPr>
        <w:numPr>
          <w:ilvl w:val="0"/>
          <w:numId w:val="30"/>
        </w:numPr>
        <w:ind w:firstLineChars="0"/>
      </w:pPr>
      <w:r>
        <w:rPr>
          <w:rFonts w:hint="eastAsia"/>
        </w:rPr>
        <w:t>设备试运行前，对电气设备的连接做全面检查，检查合格后方可进行试运行；</w:t>
      </w:r>
    </w:p>
    <w:p w14:paraId="69C776B8">
      <w:pPr>
        <w:numPr>
          <w:ilvl w:val="0"/>
          <w:numId w:val="30"/>
        </w:numPr>
        <w:ind w:firstLineChars="0"/>
      </w:pPr>
      <w:r>
        <w:rPr>
          <w:rFonts w:hint="eastAsia"/>
        </w:rPr>
        <w:t>设备试运行前，进行一般技术检查如检查调试好各部位限位器等；</w:t>
      </w:r>
    </w:p>
    <w:p w14:paraId="24225480">
      <w:pPr>
        <w:numPr>
          <w:ilvl w:val="0"/>
          <w:numId w:val="30"/>
        </w:numPr>
        <w:ind w:firstLineChars="0"/>
      </w:pPr>
      <w:r>
        <w:rPr>
          <w:rFonts w:hint="eastAsia"/>
        </w:rPr>
        <w:t>设备试运行需依次进行空负荷试验→静负荷试验→动负荷试验，并逐级进行加载；</w:t>
      </w:r>
    </w:p>
    <w:p w14:paraId="54107C4E">
      <w:pPr>
        <w:numPr>
          <w:ilvl w:val="0"/>
          <w:numId w:val="30"/>
        </w:numPr>
        <w:ind w:firstLineChars="0"/>
      </w:pPr>
      <w:r>
        <w:rPr>
          <w:rFonts w:hint="eastAsia"/>
        </w:rPr>
        <w:t>试运行期间形成试运行验收记录。</w:t>
      </w:r>
    </w:p>
    <w:p w14:paraId="177D92F5">
      <w:pPr>
        <w:pStyle w:val="4"/>
        <w:rPr>
          <w:b/>
          <w:bCs w:val="0"/>
        </w:rPr>
      </w:pPr>
      <w:r>
        <w:rPr>
          <w:rFonts w:hint="eastAsia"/>
          <w:b/>
          <w:bCs w:val="0"/>
        </w:rPr>
        <w:t>起重作业安全技术措施</w:t>
      </w:r>
    </w:p>
    <w:p w14:paraId="477B7395">
      <w:pPr>
        <w:numPr>
          <w:ilvl w:val="0"/>
          <w:numId w:val="31"/>
        </w:numPr>
        <w:ind w:firstLineChars="0"/>
      </w:pPr>
      <w:r>
        <w:rPr>
          <w:rFonts w:hint="eastAsia"/>
        </w:rPr>
        <w:t>作业人员的安全规章制度的学习，提高安全防范意识；</w:t>
      </w:r>
    </w:p>
    <w:p w14:paraId="660DE5E8">
      <w:pPr>
        <w:numPr>
          <w:ilvl w:val="0"/>
          <w:numId w:val="31"/>
        </w:numPr>
        <w:ind w:firstLineChars="0"/>
      </w:pPr>
      <w:r>
        <w:rPr>
          <w:rFonts w:hint="eastAsia"/>
        </w:rPr>
        <w:t>严禁酒后作业，严格遵守项目部相关规定安全施工；</w:t>
      </w:r>
    </w:p>
    <w:p w14:paraId="3E39D9C3">
      <w:pPr>
        <w:numPr>
          <w:ilvl w:val="0"/>
          <w:numId w:val="31"/>
        </w:numPr>
        <w:ind w:firstLineChars="0"/>
      </w:pPr>
      <w:r>
        <w:rPr>
          <w:rFonts w:hint="eastAsia"/>
        </w:rPr>
        <w:t>吊装作业人员统一配戴我项目部的安全帽，进入施工现场遵守我公司的规定；</w:t>
      </w:r>
    </w:p>
    <w:p w14:paraId="4C63D792">
      <w:pPr>
        <w:numPr>
          <w:ilvl w:val="0"/>
          <w:numId w:val="31"/>
        </w:numPr>
        <w:ind w:firstLineChars="0"/>
      </w:pPr>
      <w:r>
        <w:rPr>
          <w:rFonts w:hint="eastAsia"/>
        </w:rPr>
        <w:t>作业时必须执行安全技术交底，听从统一指挥；</w:t>
      </w:r>
    </w:p>
    <w:p w14:paraId="2D51CBB0">
      <w:pPr>
        <w:numPr>
          <w:ilvl w:val="0"/>
          <w:numId w:val="31"/>
        </w:numPr>
        <w:ind w:firstLineChars="0"/>
      </w:pPr>
      <w:r>
        <w:rPr>
          <w:rFonts w:hint="eastAsia"/>
        </w:rPr>
        <w:t>起重工、信号工必须经专门安全技术培训，持证上岗；</w:t>
      </w:r>
    </w:p>
    <w:p w14:paraId="35FFFC00">
      <w:pPr>
        <w:numPr>
          <w:ilvl w:val="0"/>
          <w:numId w:val="31"/>
        </w:numPr>
        <w:ind w:firstLineChars="0"/>
      </w:pPr>
      <w:r>
        <w:rPr>
          <w:rFonts w:hint="eastAsia"/>
        </w:rPr>
        <w:t>信号工要穿有明显标识的衣服，两眼视力不得低于1.0，无色盲、听力障碍、高血压、心脏病等生理缺陷；</w:t>
      </w:r>
    </w:p>
    <w:p w14:paraId="38735668">
      <w:pPr>
        <w:numPr>
          <w:ilvl w:val="0"/>
          <w:numId w:val="31"/>
        </w:numPr>
        <w:ind w:firstLineChars="0"/>
      </w:pPr>
      <w:r>
        <w:rPr>
          <w:rFonts w:hint="eastAsia"/>
        </w:rPr>
        <w:t>信号工高空指挥时，需戴安全带，脚穿防滑鞋；</w:t>
      </w:r>
    </w:p>
    <w:p w14:paraId="3BC6956B">
      <w:pPr>
        <w:numPr>
          <w:ilvl w:val="0"/>
          <w:numId w:val="31"/>
        </w:numPr>
        <w:ind w:firstLineChars="0"/>
      </w:pPr>
      <w:r>
        <w:rPr>
          <w:rFonts w:hint="eastAsia"/>
        </w:rPr>
        <w:t>吊车尾部为司机盲区，工作人员注意吊车尾部的旋转动态；</w:t>
      </w:r>
    </w:p>
    <w:p w14:paraId="4C5F0835">
      <w:pPr>
        <w:numPr>
          <w:ilvl w:val="0"/>
          <w:numId w:val="31"/>
        </w:numPr>
        <w:ind w:firstLineChars="0"/>
      </w:pPr>
      <w:r>
        <w:rPr>
          <w:rFonts w:hint="eastAsia"/>
        </w:rPr>
        <w:t>起重大件时，严禁任何人员乘坐大件；</w:t>
      </w:r>
    </w:p>
    <w:p w14:paraId="74CAA707">
      <w:pPr>
        <w:numPr>
          <w:ilvl w:val="0"/>
          <w:numId w:val="31"/>
        </w:numPr>
        <w:ind w:firstLineChars="0"/>
      </w:pPr>
      <w:r>
        <w:rPr>
          <w:rFonts w:hint="eastAsia"/>
        </w:rPr>
        <w:t>司机作业时，严禁收听任何有声电器及电话（除指挥使用对讲机除外），严禁和其他人员交谈；</w:t>
      </w:r>
    </w:p>
    <w:p w14:paraId="1D76A637">
      <w:pPr>
        <w:numPr>
          <w:ilvl w:val="0"/>
          <w:numId w:val="31"/>
        </w:numPr>
        <w:ind w:firstLineChars="0"/>
      </w:pPr>
      <w:r>
        <w:rPr>
          <w:rFonts w:hint="eastAsia"/>
        </w:rPr>
        <w:t>司机和信号工必须使用对讲机进行指令的接受和发出，确保对讲机的音质清晰，调频无干扰；</w:t>
      </w:r>
    </w:p>
    <w:p w14:paraId="6BD34A65">
      <w:pPr>
        <w:numPr>
          <w:ilvl w:val="0"/>
          <w:numId w:val="31"/>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3D9EA4C">
      <w:pPr>
        <w:numPr>
          <w:ilvl w:val="0"/>
          <w:numId w:val="31"/>
        </w:numPr>
        <w:ind w:firstLineChars="0"/>
      </w:pPr>
      <w:r>
        <w:rPr>
          <w:rFonts w:hint="eastAsia"/>
        </w:rPr>
        <w:t>起重作业时，必须正确选择吊点的位置，合理穿挂索具，试吊；</w:t>
      </w:r>
    </w:p>
    <w:p w14:paraId="79FE24C5">
      <w:pPr>
        <w:numPr>
          <w:ilvl w:val="0"/>
          <w:numId w:val="31"/>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25D59E7E">
      <w:pPr>
        <w:numPr>
          <w:ilvl w:val="0"/>
          <w:numId w:val="31"/>
        </w:numPr>
        <w:ind w:firstLineChars="0"/>
      </w:pPr>
      <w:r>
        <w:rPr>
          <w:rFonts w:hint="eastAsia"/>
        </w:rPr>
        <w:t>大雨、风力在</w:t>
      </w:r>
      <w:r>
        <w:rPr>
          <w:rFonts w:hint="eastAsia"/>
          <w:lang w:val="en-US" w:eastAsia="zh-CN"/>
        </w:rPr>
        <w:t>4</w:t>
      </w:r>
      <w:r>
        <w:rPr>
          <w:rFonts w:hint="eastAsia"/>
        </w:rPr>
        <w:t>级以上等恶劣天气，必须停止露天起重吊装作业。严禁在带电的高压线或一侧作业；</w:t>
      </w:r>
    </w:p>
    <w:p w14:paraId="0F2E043E">
      <w:pPr>
        <w:numPr>
          <w:ilvl w:val="0"/>
          <w:numId w:val="31"/>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73658866">
      <w:pPr>
        <w:numPr>
          <w:ilvl w:val="0"/>
          <w:numId w:val="31"/>
        </w:numPr>
        <w:ind w:firstLineChars="0"/>
      </w:pPr>
      <w:r>
        <w:rPr>
          <w:rFonts w:hint="eastAsia"/>
        </w:rPr>
        <w:t>使用起重作业时，必须正确选择吊点的位置，合理穿挂索具，试吊；</w:t>
      </w:r>
    </w:p>
    <w:p w14:paraId="192EB502">
      <w:pPr>
        <w:numPr>
          <w:ilvl w:val="0"/>
          <w:numId w:val="31"/>
        </w:numPr>
        <w:ind w:firstLineChars="0"/>
      </w:pPr>
      <w:r>
        <w:rPr>
          <w:rFonts w:hint="eastAsia"/>
        </w:rPr>
        <w:t>机械设备要摆放整齐，用倒链拴牢固。放在高处的货物要有防护措施。</w:t>
      </w:r>
    </w:p>
    <w:p w14:paraId="2FE2BC42">
      <w:pPr>
        <w:numPr>
          <w:ilvl w:val="0"/>
          <w:numId w:val="31"/>
        </w:numPr>
        <w:ind w:right="261" w:firstLineChars="0"/>
        <w:rPr>
          <w:rFonts w:ascii="宋体" w:hAnsi="宋体"/>
        </w:rPr>
      </w:pPr>
      <w:r>
        <w:rPr>
          <w:rFonts w:hint="eastAsia" w:ascii="宋体" w:hAnsi="宋体"/>
        </w:rPr>
        <w:t>当需要在夜间进行</w:t>
      </w:r>
      <w:r>
        <w:rPr>
          <w:rFonts w:hint="eastAsia" w:ascii="宋体" w:hAnsi="宋体"/>
          <w:lang w:val="en-US" w:eastAsia="zh-CN"/>
        </w:rPr>
        <w:t>拆除</w:t>
      </w:r>
      <w:r>
        <w:rPr>
          <w:rFonts w:hint="eastAsia" w:ascii="宋体" w:hAnsi="宋体"/>
        </w:rPr>
        <w:t>作业时，应保证提供足够的照明；当遇特殊情况</w:t>
      </w:r>
      <w:r>
        <w:rPr>
          <w:rFonts w:hint="eastAsia" w:ascii="宋体" w:hAnsi="宋体"/>
          <w:lang w:val="en-US" w:eastAsia="zh-CN"/>
        </w:rPr>
        <w:t>拆除</w:t>
      </w:r>
      <w:r>
        <w:rPr>
          <w:rFonts w:hint="eastAsia" w:ascii="宋体" w:hAnsi="宋体"/>
        </w:rPr>
        <w:t>作业不能连续进行时，应将</w:t>
      </w:r>
      <w:r>
        <w:rPr>
          <w:rFonts w:hint="eastAsia" w:ascii="宋体" w:hAnsi="宋体"/>
          <w:lang w:val="en-US" w:eastAsia="zh-CN"/>
        </w:rPr>
        <w:t>未拆除</w:t>
      </w:r>
      <w:r>
        <w:rPr>
          <w:rFonts w:hint="eastAsia" w:ascii="宋体" w:hAnsi="宋体"/>
        </w:rPr>
        <w:t>的部位固定牢靠并达到安全状态；风雨、浓雾天气应停止拆除作业；当遇特殊情况拆除作业不能连续进行时应</w:t>
      </w:r>
      <w:r>
        <w:rPr>
          <w:rFonts w:hint="eastAsia" w:ascii="宋体" w:hAnsi="宋体"/>
          <w:lang w:val="en-US" w:eastAsia="zh-CN"/>
        </w:rPr>
        <w:t>未拆除</w:t>
      </w:r>
      <w:r>
        <w:rPr>
          <w:rFonts w:hint="eastAsia" w:ascii="宋体" w:hAnsi="宋体"/>
        </w:rPr>
        <w:t>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285D021A">
      <w:pPr>
        <w:pStyle w:val="4"/>
        <w:rPr>
          <w:b/>
          <w:bCs w:val="0"/>
        </w:rPr>
      </w:pPr>
      <w:r>
        <w:rPr>
          <w:rFonts w:hint="eastAsia"/>
          <w:b/>
          <w:bCs w:val="0"/>
        </w:rPr>
        <w:t>高处作业安全技术措施</w:t>
      </w:r>
    </w:p>
    <w:p w14:paraId="132655EC">
      <w:pPr>
        <w:numPr>
          <w:ilvl w:val="0"/>
          <w:numId w:val="32"/>
        </w:numPr>
      </w:pPr>
      <w:r>
        <w:rPr>
          <w:rFonts w:hint="eastAsia"/>
        </w:rPr>
        <w:t>高空作业人员必须正确佩带安全帽，必须系好安全带，并挂在牢固处（高挂低用）；</w:t>
      </w:r>
    </w:p>
    <w:p w14:paraId="40BAF43C">
      <w:pPr>
        <w:numPr>
          <w:ilvl w:val="0"/>
          <w:numId w:val="32"/>
        </w:numPr>
      </w:pPr>
      <w:r>
        <w:rPr>
          <w:rFonts w:hint="eastAsia"/>
        </w:rPr>
        <w:t>高处作业使用的吊架、平台、脚手板、梯子、护栏、索具（钢丝绳、麻绳、化学纤维绳）等料具和安全带、安全网等安全防护用品的质量都必须符合国家规范的要求；</w:t>
      </w:r>
    </w:p>
    <w:p w14:paraId="5F386FCC">
      <w:pPr>
        <w:numPr>
          <w:ilvl w:val="0"/>
          <w:numId w:val="32"/>
        </w:numPr>
      </w:pPr>
      <w:r>
        <w:rPr>
          <w:rFonts w:hint="eastAsia"/>
        </w:rPr>
        <w:t>高处施工作业前，应进行针对性的书面安全交底，要被交底人的签字，同时必须落实所有的安全技术措施和个人防护用品，未经落实时不得进行施工作业；</w:t>
      </w:r>
    </w:p>
    <w:p w14:paraId="1325C253">
      <w:pPr>
        <w:numPr>
          <w:ilvl w:val="0"/>
          <w:numId w:val="32"/>
        </w:numPr>
      </w:pPr>
      <w:r>
        <w:rPr>
          <w:rFonts w:hint="eastAsia"/>
        </w:rPr>
        <w:t>从事高处作业的人员，必须定期体检。凡患有高血压、心脏病、贫血、癫痫症、严重近视及患有其他不适应高处作业病症的人员，均不得登高作业；</w:t>
      </w:r>
    </w:p>
    <w:p w14:paraId="2A9C9C22">
      <w:pPr>
        <w:numPr>
          <w:ilvl w:val="0"/>
          <w:numId w:val="32"/>
        </w:numPr>
      </w:pPr>
      <w:r>
        <w:rPr>
          <w:rFonts w:hint="eastAsia"/>
        </w:rPr>
        <w:t>攀登和悬空高处作业人员以及搭设高处作业安全设施的人员，必须经过专业技术培训及专业考试合格，持证上岗；</w:t>
      </w:r>
    </w:p>
    <w:p w14:paraId="551E7DBF">
      <w:pPr>
        <w:numPr>
          <w:ilvl w:val="0"/>
          <w:numId w:val="32"/>
        </w:numPr>
      </w:pPr>
      <w:r>
        <w:rPr>
          <w:rFonts w:hint="eastAsia"/>
        </w:rPr>
        <w:t>施工中，对高处作业的安全技术设施，使用中发生损坏，必须及时解决，危及人身安全的，必须立即停止作业，排除险情或隐患后，方准作业；</w:t>
      </w:r>
    </w:p>
    <w:p w14:paraId="0DCAE779">
      <w:pPr>
        <w:numPr>
          <w:ilvl w:val="0"/>
          <w:numId w:val="32"/>
        </w:numPr>
      </w:pPr>
      <w:r>
        <w:rPr>
          <w:rFonts w:hint="eastAsia"/>
        </w:rPr>
        <w:t>施工作业场所有坠落可能的物体，应一律先行撤除或加以固定。高处作业中所用的物料，均应堆放平稳，不妨碍通行，并不得超重，在临时搭建的</w:t>
      </w:r>
      <w:r>
        <w:rPr>
          <w:rFonts w:hint="eastAsia"/>
          <w:lang w:val="en-US" w:eastAsia="zh-CN"/>
        </w:rPr>
        <w:t>操作</w:t>
      </w:r>
      <w:r>
        <w:rPr>
          <w:rFonts w:hint="eastAsia"/>
        </w:rPr>
        <w:t>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3C1ED3B1">
      <w:pPr>
        <w:numPr>
          <w:ilvl w:val="0"/>
          <w:numId w:val="32"/>
        </w:numPr>
      </w:pPr>
      <w:r>
        <w:rPr>
          <w:rFonts w:hint="eastAsia"/>
        </w:rPr>
        <w:t>高处作业无法搭设严密的防护设施的，必须使用安全带。安全带必须系挂在施工作业上方牢固的物体上，并高挂低用，禁止低挂高用；</w:t>
      </w:r>
    </w:p>
    <w:p w14:paraId="05ABF2C3">
      <w:pPr>
        <w:numPr>
          <w:ilvl w:val="0"/>
          <w:numId w:val="32"/>
        </w:numPr>
      </w:pPr>
      <w:r>
        <w:rPr>
          <w:rFonts w:hint="eastAsia"/>
        </w:rPr>
        <w:t>高处作业人员不准骑坐临时搭建的</w:t>
      </w:r>
      <w:r>
        <w:rPr>
          <w:rFonts w:hint="eastAsia"/>
          <w:lang w:val="en-US" w:eastAsia="zh-CN"/>
        </w:rPr>
        <w:t>操作</w:t>
      </w:r>
      <w:r>
        <w:rPr>
          <w:rFonts w:hint="eastAsia"/>
        </w:rPr>
        <w:t>平台上的护栏、未安装牢固的管道、设备上和躺在平台、孔洞边缘上休息。在没有安全防护设施的条件下，严禁在木桁架、挑梁，砌体及构架上行走或作业；</w:t>
      </w:r>
    </w:p>
    <w:p w14:paraId="308CE4EE">
      <w:pPr>
        <w:numPr>
          <w:ilvl w:val="0"/>
          <w:numId w:val="32"/>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rPr>
          <w:rFonts w:hint="eastAsia"/>
          <w:lang w:val="en-US" w:eastAsia="zh-CN"/>
        </w:rPr>
        <w:t>4</w:t>
      </w:r>
      <w:r>
        <w:rPr>
          <w:rFonts w:hint="eastAsia"/>
        </w:rPr>
        <w:t>级大风立即停止露天高处作业；</w:t>
      </w:r>
    </w:p>
    <w:p w14:paraId="283739E1">
      <w:pPr>
        <w:numPr>
          <w:ilvl w:val="0"/>
          <w:numId w:val="32"/>
        </w:numPr>
      </w:pPr>
      <w:r>
        <w:rPr>
          <w:rFonts w:hint="eastAsia"/>
        </w:rPr>
        <w:t>因作业需要，临时拆除或变动安全防护设施的，必须经施工负责人同意，并采取相应的可靠措施，作业后立即恢复；</w:t>
      </w:r>
    </w:p>
    <w:p w14:paraId="69B44826">
      <w:pPr>
        <w:numPr>
          <w:ilvl w:val="0"/>
          <w:numId w:val="32"/>
        </w:numPr>
      </w:pPr>
      <w:r>
        <w:rPr>
          <w:rFonts w:hint="eastAsia"/>
        </w:rPr>
        <w:t>高处作业人员应沿着斜道、梯子上下，严禁沿着绳索、立杆、井架或栏杆等攀登；</w:t>
      </w:r>
    </w:p>
    <w:p w14:paraId="4440CAB9">
      <w:pPr>
        <w:numPr>
          <w:ilvl w:val="0"/>
          <w:numId w:val="32"/>
        </w:numPr>
      </w:pPr>
      <w:r>
        <w:rPr>
          <w:rFonts w:hint="eastAsia"/>
        </w:rPr>
        <w:t>人字梯的使用：</w:t>
      </w:r>
    </w:p>
    <w:p w14:paraId="04ADEAC9">
      <w:pPr>
        <w:numPr>
          <w:ilvl w:val="0"/>
          <w:numId w:val="33"/>
        </w:numPr>
      </w:pPr>
      <w:r>
        <w:rPr>
          <w:rFonts w:hint="eastAsia"/>
        </w:rPr>
        <w:t>使用前检查该梯子是否安全，即检查梯子的铆钉是否松动，焊接是否开裂；</w:t>
      </w:r>
    </w:p>
    <w:p w14:paraId="1F14D0C0">
      <w:pPr>
        <w:numPr>
          <w:ilvl w:val="0"/>
          <w:numId w:val="33"/>
        </w:numPr>
      </w:pPr>
      <w:r>
        <w:rPr>
          <w:rFonts w:hint="eastAsia"/>
        </w:rPr>
        <w:t>用结实的绳索将两边拉住、拴紧、绷直；</w:t>
      </w:r>
    </w:p>
    <w:p w14:paraId="7C992445">
      <w:pPr>
        <w:numPr>
          <w:ilvl w:val="0"/>
          <w:numId w:val="33"/>
        </w:numPr>
      </w:pPr>
      <w:r>
        <w:rPr>
          <w:rFonts w:hint="eastAsia"/>
        </w:rPr>
        <w:t>梯子须安放稳固，使用材料需经人传递或用小桶吊放，严禁上下抛物；</w:t>
      </w:r>
    </w:p>
    <w:p w14:paraId="1A11790F">
      <w:pPr>
        <w:numPr>
          <w:ilvl w:val="0"/>
          <w:numId w:val="33"/>
        </w:numPr>
      </w:pPr>
      <w:r>
        <w:rPr>
          <w:rFonts w:hint="eastAsia"/>
        </w:rPr>
        <w:t>使用梯子时至少两人一组，有专人扶梯；</w:t>
      </w:r>
    </w:p>
    <w:p w14:paraId="2B5DF005">
      <w:pPr>
        <w:numPr>
          <w:ilvl w:val="0"/>
          <w:numId w:val="33"/>
        </w:numPr>
      </w:pPr>
      <w:r>
        <w:rPr>
          <w:rFonts w:hint="eastAsia"/>
        </w:rPr>
        <w:t>严禁使用梯子最上面两格；</w:t>
      </w:r>
    </w:p>
    <w:p w14:paraId="4DCDB2CD">
      <w:pPr>
        <w:numPr>
          <w:ilvl w:val="0"/>
          <w:numId w:val="33"/>
        </w:numPr>
      </w:pPr>
      <w:r>
        <w:rPr>
          <w:rFonts w:hint="eastAsia"/>
        </w:rPr>
        <w:t>严禁背对梯子作业；</w:t>
      </w:r>
    </w:p>
    <w:p w14:paraId="67514B25">
      <w:pPr>
        <w:numPr>
          <w:ilvl w:val="0"/>
          <w:numId w:val="33"/>
        </w:numPr>
      </w:pPr>
      <w:r>
        <w:rPr>
          <w:rFonts w:hint="eastAsia"/>
        </w:rPr>
        <w:t>超过2m以上的作业，且安全带无挂点时，除扶梯人外，须再设置一名监护人；</w:t>
      </w:r>
    </w:p>
    <w:p w14:paraId="34BCC121">
      <w:pPr>
        <w:numPr>
          <w:ilvl w:val="0"/>
          <w:numId w:val="33"/>
        </w:numPr>
      </w:pPr>
      <w:r>
        <w:rPr>
          <w:rFonts w:hint="eastAsia"/>
        </w:rPr>
        <w:t>严禁交叉作业；</w:t>
      </w:r>
    </w:p>
    <w:p w14:paraId="4849DE0A">
      <w:pPr>
        <w:numPr>
          <w:ilvl w:val="0"/>
          <w:numId w:val="33"/>
        </w:numPr>
      </w:pPr>
      <w:r>
        <w:rPr>
          <w:rFonts w:hint="eastAsia"/>
        </w:rPr>
        <w:t>作业区域应用警示带围好、设置监护人，严禁非作业人员入内；</w:t>
      </w:r>
    </w:p>
    <w:p w14:paraId="54D7F14F">
      <w:pPr>
        <w:numPr>
          <w:ilvl w:val="0"/>
          <w:numId w:val="32"/>
        </w:numPr>
      </w:pPr>
      <w:r>
        <w:rPr>
          <w:rFonts w:hint="eastAsia"/>
        </w:rPr>
        <w:t>高温季节必须按照防暑降温的要求合理安排工作时间，配备充足的饮用水，采取必要的防暑降温措施；</w:t>
      </w:r>
    </w:p>
    <w:p w14:paraId="7B514F11">
      <w:pPr>
        <w:numPr>
          <w:ilvl w:val="0"/>
          <w:numId w:val="32"/>
        </w:numPr>
      </w:pPr>
      <w:r>
        <w:rPr>
          <w:rFonts w:hint="eastAsia"/>
        </w:rPr>
        <w:t>临近傍晚及气候突变等照明不良的情况下，必须确保人员和各类构件的安全。</w:t>
      </w:r>
    </w:p>
    <w:p w14:paraId="79534A8A">
      <w:pPr>
        <w:pStyle w:val="4"/>
        <w:rPr>
          <w:b/>
          <w:bCs w:val="0"/>
        </w:rPr>
      </w:pPr>
      <w:r>
        <w:rPr>
          <w:rFonts w:hint="eastAsia"/>
          <w:b/>
          <w:bCs w:val="0"/>
        </w:rPr>
        <w:t>焊接与切割安全技术措施</w:t>
      </w:r>
    </w:p>
    <w:p w14:paraId="0B5F8AA5">
      <w:pPr>
        <w:numPr>
          <w:ilvl w:val="0"/>
          <w:numId w:val="34"/>
        </w:numPr>
        <w:ind w:firstLineChars="0"/>
      </w:pPr>
      <w:r>
        <w:rPr>
          <w:rFonts w:hint="eastAsia"/>
        </w:rPr>
        <w:t>电源端接线必须由专业电工进行，焊机或供电线路出现故障，焊工要及时联系动力电工进行处理；</w:t>
      </w:r>
    </w:p>
    <w:p w14:paraId="6B568ED1">
      <w:pPr>
        <w:numPr>
          <w:ilvl w:val="0"/>
          <w:numId w:val="34"/>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72B1CE93">
      <w:pPr>
        <w:numPr>
          <w:ilvl w:val="0"/>
          <w:numId w:val="34"/>
        </w:numPr>
        <w:ind w:firstLineChars="0"/>
      </w:pPr>
      <w:r>
        <w:rPr>
          <w:rFonts w:hint="eastAsia"/>
        </w:rPr>
        <w:t>检查作场所周围是否有易燃物，如有，应清除或采取可靠的隔离、防护措施，并设专人监护；</w:t>
      </w:r>
    </w:p>
    <w:p w14:paraId="2A4ED7E9">
      <w:pPr>
        <w:numPr>
          <w:ilvl w:val="0"/>
          <w:numId w:val="34"/>
        </w:numPr>
        <w:ind w:firstLineChars="0"/>
      </w:pPr>
      <w:r>
        <w:rPr>
          <w:rFonts w:hint="eastAsia"/>
        </w:rPr>
        <w:t>不宜在雨、雪及大风天气进行露天焊接作业。如确实需要时，应采取遮蔽雨雪、防止触电和火花飞溅等措施；</w:t>
      </w:r>
    </w:p>
    <w:p w14:paraId="2DBDDEE3">
      <w:pPr>
        <w:numPr>
          <w:ilvl w:val="0"/>
          <w:numId w:val="34"/>
        </w:numPr>
        <w:ind w:firstLineChars="0"/>
      </w:pPr>
      <w:r>
        <w:rPr>
          <w:rFonts w:hint="eastAsia"/>
        </w:rPr>
        <w:t>焊接时，焊工不要接触焊接物件或其它导电物件；</w:t>
      </w:r>
    </w:p>
    <w:p w14:paraId="681C6AC0">
      <w:pPr>
        <w:numPr>
          <w:ilvl w:val="0"/>
          <w:numId w:val="34"/>
        </w:numPr>
        <w:ind w:firstLineChars="0"/>
      </w:pPr>
      <w:r>
        <w:rPr>
          <w:rFonts w:hint="eastAsia"/>
        </w:rPr>
        <w:t>焊接完工后，焊接位置应予以隔离或设专人监护，防止烫伤其他人员及火灾事故发生；</w:t>
      </w:r>
    </w:p>
    <w:p w14:paraId="2538421C">
      <w:pPr>
        <w:numPr>
          <w:ilvl w:val="0"/>
          <w:numId w:val="34"/>
        </w:numPr>
        <w:ind w:firstLineChars="0"/>
      </w:pPr>
      <w:r>
        <w:rPr>
          <w:rFonts w:hint="eastAsia"/>
        </w:rPr>
        <w:t>工作结束后，检查地面，灭绝火种，切断电源，方可离开；</w:t>
      </w:r>
    </w:p>
    <w:p w14:paraId="7A4CF766">
      <w:pPr>
        <w:numPr>
          <w:ilvl w:val="0"/>
          <w:numId w:val="34"/>
        </w:numPr>
        <w:ind w:firstLineChars="0"/>
      </w:pPr>
      <w:r>
        <w:rPr>
          <w:rFonts w:hint="eastAsia"/>
        </w:rPr>
        <w:t>焊工在工作前必须检查好回火防止器及一切工具是否良好；</w:t>
      </w:r>
    </w:p>
    <w:p w14:paraId="75BBEBFA">
      <w:pPr>
        <w:numPr>
          <w:ilvl w:val="0"/>
          <w:numId w:val="34"/>
        </w:numPr>
        <w:ind w:firstLineChars="0"/>
      </w:pPr>
      <w:r>
        <w:rPr>
          <w:rFonts w:hint="eastAsia"/>
        </w:rPr>
        <w:t>乙炔瓶、氧气瓶、胶管接头、阀门的紧固件应坚固牢靠，不准有松动、破损和漏气。氧气瓶及其附件以及胶管工具上禁止沾油；</w:t>
      </w:r>
    </w:p>
    <w:p w14:paraId="4558D3A0">
      <w:pPr>
        <w:numPr>
          <w:ilvl w:val="0"/>
          <w:numId w:val="34"/>
        </w:numPr>
        <w:ind w:firstLineChars="0"/>
      </w:pPr>
      <w:r>
        <w:rPr>
          <w:rFonts w:hint="eastAsia"/>
        </w:rPr>
        <w:t>工作前必须检查氧气管、乙炔管，如有漏气、老化、鼓包和变质时，不准使用，管内应保持清洁，不得有异物，氧气管、乙炔管不得互换使用；</w:t>
      </w:r>
    </w:p>
    <w:p w14:paraId="7BBB7A10">
      <w:pPr>
        <w:numPr>
          <w:ilvl w:val="0"/>
          <w:numId w:val="34"/>
        </w:numPr>
        <w:ind w:firstLineChars="0"/>
      </w:pPr>
      <w:r>
        <w:rPr>
          <w:rFonts w:hint="eastAsia"/>
        </w:rPr>
        <w:t>工作前应检查作场所周围是否有易燃物，如有，应清除或采取可靠的隔离、防护措施，并设专人监护；</w:t>
      </w:r>
    </w:p>
    <w:p w14:paraId="6246A8F4">
      <w:pPr>
        <w:numPr>
          <w:ilvl w:val="0"/>
          <w:numId w:val="34"/>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4BCC7D45">
      <w:pPr>
        <w:numPr>
          <w:ilvl w:val="0"/>
          <w:numId w:val="34"/>
        </w:numPr>
        <w:ind w:firstLineChars="0"/>
      </w:pPr>
      <w:r>
        <w:rPr>
          <w:rFonts w:hint="eastAsia"/>
        </w:rPr>
        <w:t>乙炔、氧气瓶应垂直放置，防止倾倒，严禁与氧气瓶等易燃品同时存放；</w:t>
      </w:r>
    </w:p>
    <w:p w14:paraId="7EEE97BB">
      <w:pPr>
        <w:numPr>
          <w:ilvl w:val="0"/>
          <w:numId w:val="34"/>
        </w:numPr>
        <w:ind w:firstLineChars="0"/>
      </w:pPr>
      <w:r>
        <w:rPr>
          <w:rFonts w:hint="eastAsia"/>
        </w:rPr>
        <w:t>开启氧气或乙炔瓶阀门时，禁止用铁器敲击，应用专用工具，动作要缓慢，防止产生火花，严禁面对减压器站立；</w:t>
      </w:r>
    </w:p>
    <w:p w14:paraId="223FCEB5">
      <w:pPr>
        <w:numPr>
          <w:ilvl w:val="0"/>
          <w:numId w:val="34"/>
        </w:numPr>
        <w:ind w:firstLineChars="0"/>
      </w:pPr>
      <w:r>
        <w:rPr>
          <w:rFonts w:hint="eastAsia"/>
        </w:rPr>
        <w:t>在机械上（或高处）作业时，应在切割部件下部搭设安全保护装置以防金属溶液落下引起火灾或烧伤其他人员；</w:t>
      </w:r>
    </w:p>
    <w:p w14:paraId="04E9AD48">
      <w:pPr>
        <w:numPr>
          <w:ilvl w:val="0"/>
          <w:numId w:val="34"/>
        </w:numPr>
        <w:ind w:firstLineChars="0"/>
      </w:pPr>
      <w:r>
        <w:rPr>
          <w:rFonts w:hint="eastAsia"/>
        </w:rPr>
        <w:t>了解设备的消防器材状况，并保证在焊接地点周围有2个以上干粉灭火器；切割工作结束后，应检查地面，灭绝火种；</w:t>
      </w:r>
    </w:p>
    <w:p w14:paraId="13A94720">
      <w:pPr>
        <w:numPr>
          <w:ilvl w:val="0"/>
          <w:numId w:val="34"/>
        </w:numPr>
        <w:ind w:firstLineChars="0"/>
      </w:pPr>
      <w:r>
        <w:rPr>
          <w:rFonts w:hint="eastAsia"/>
        </w:rPr>
        <w:t>使用时，必须保证氧气瓶、乙炔瓶距明火不得小于10m。</w:t>
      </w:r>
    </w:p>
    <w:p w14:paraId="601A514B">
      <w:pPr>
        <w:numPr>
          <w:ilvl w:val="0"/>
          <w:numId w:val="34"/>
        </w:numPr>
        <w:ind w:firstLineChars="0"/>
      </w:pPr>
      <w:r>
        <w:rPr>
          <w:rFonts w:hint="eastAsia"/>
        </w:rPr>
        <w:t>工作地点不固定、移动较频繁时，应装在专用小车上，严禁将乙炔瓶和氧气瓶放在一起。</w:t>
      </w:r>
    </w:p>
    <w:p w14:paraId="6CAD8CB3">
      <w:pPr>
        <w:pStyle w:val="4"/>
        <w:rPr>
          <w:b/>
          <w:bCs w:val="0"/>
        </w:rPr>
      </w:pPr>
      <w:r>
        <w:rPr>
          <w:rFonts w:hint="eastAsia"/>
          <w:b/>
          <w:bCs w:val="0"/>
        </w:rPr>
        <w:t>临时用电安全措施</w:t>
      </w:r>
    </w:p>
    <w:p w14:paraId="58FBA2CA">
      <w:pPr>
        <w:numPr>
          <w:ilvl w:val="0"/>
          <w:numId w:val="35"/>
        </w:numPr>
        <w:ind w:firstLineChars="0"/>
      </w:pPr>
      <w:r>
        <w:t>严格执行《</w:t>
      </w:r>
      <w:r>
        <w:rPr>
          <w:rFonts w:hint="eastAsia"/>
          <w:lang w:eastAsia="zh-CN"/>
        </w:rPr>
        <w:t>建筑与市政工程施工现场临时用电安全技术标准</w:t>
      </w:r>
      <w:r>
        <w:t>》（</w:t>
      </w:r>
      <w:r>
        <w:rPr>
          <w:rFonts w:hint="eastAsia"/>
          <w:lang w:eastAsia="zh-CN"/>
        </w:rPr>
        <w:t>JGJ/TT46-2024</w:t>
      </w:r>
      <w:r>
        <w:t>），按照施工用电组织设计架设三相五线制的电气线路，所有电线均应架空，过道或穿墙均要用钢管或胶套管保护，严禁利用大地作为工作零线。认真贯彻《建筑施工安全检查标准》（JGJ 59-2011）中临时用电规定；</w:t>
      </w:r>
    </w:p>
    <w:p w14:paraId="48A111A6">
      <w:pPr>
        <w:numPr>
          <w:ilvl w:val="0"/>
          <w:numId w:val="35"/>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662EE737">
      <w:pPr>
        <w:numPr>
          <w:ilvl w:val="0"/>
          <w:numId w:val="35"/>
        </w:numPr>
        <w:ind w:firstLineChars="0"/>
      </w:pPr>
      <w:r>
        <w:t>临时用电施工组织设计和临时安全用电技术措施及电气防火措施，必须由电气工程技术人员编制，技术负责人审核，经主管部门批准后实施；</w:t>
      </w:r>
    </w:p>
    <w:p w14:paraId="306927FC">
      <w:pPr>
        <w:numPr>
          <w:ilvl w:val="0"/>
          <w:numId w:val="35"/>
        </w:numPr>
        <w:ind w:firstLineChars="0"/>
      </w:pPr>
      <w:r>
        <w:t>拆除临时用电工程，必须由持证电工完成，无证人员禁止上岗。电工等级应同工程的难易程度和技术复杂性相适应；</w:t>
      </w:r>
    </w:p>
    <w:p w14:paraId="4D2FC3D1">
      <w:pPr>
        <w:numPr>
          <w:ilvl w:val="0"/>
          <w:numId w:val="35"/>
        </w:numPr>
        <w:ind w:firstLineChars="0"/>
      </w:pPr>
      <w:r>
        <w:t>使用设备必须按规定穿戴和配备好相应的劳动保护用品，并应检查电气装置和保护设施是否完好，严禁设备带病运转和进行运转中维修；</w:t>
      </w:r>
    </w:p>
    <w:p w14:paraId="3C77F787">
      <w:pPr>
        <w:numPr>
          <w:ilvl w:val="0"/>
          <w:numId w:val="35"/>
        </w:numPr>
        <w:ind w:firstLineChars="0"/>
      </w:pPr>
      <w:r>
        <w:t>停用的设备必须拉闸断电，锁好开关箱。负载线、保护零线和开关箱发现问题应及时报告解决。搬迁或移动的用电设备，必须由专业电工切断电源并作妥善处理；</w:t>
      </w:r>
    </w:p>
    <w:p w14:paraId="615FBE46">
      <w:pPr>
        <w:numPr>
          <w:ilvl w:val="0"/>
          <w:numId w:val="35"/>
        </w:numPr>
        <w:ind w:firstLineChars="0"/>
      </w:pPr>
      <w:r>
        <w:t>按规范做好施工现场临时安全用电的安全技术档案；</w:t>
      </w:r>
    </w:p>
    <w:p w14:paraId="3113612B">
      <w:pPr>
        <w:numPr>
          <w:ilvl w:val="0"/>
          <w:numId w:val="35"/>
        </w:numPr>
        <w:ind w:firstLineChars="0"/>
      </w:pPr>
      <w:r>
        <w:t>在建工程与外电线路的安全距离及外电防护和接地与防雷等应严格按规范执行；</w:t>
      </w:r>
    </w:p>
    <w:p w14:paraId="4F836B03">
      <w:pPr>
        <w:numPr>
          <w:ilvl w:val="0"/>
          <w:numId w:val="35"/>
        </w:numPr>
        <w:ind w:firstLineChars="0"/>
      </w:pPr>
      <w:r>
        <w:t>配电线路的架空线必须采用绝缘铜线和绝缘铝线。架空线必须设置在专用电杆上；</w:t>
      </w:r>
    </w:p>
    <w:p w14:paraId="7FAD3B5C">
      <w:pPr>
        <w:numPr>
          <w:ilvl w:val="0"/>
          <w:numId w:val="35"/>
        </w:numPr>
        <w:ind w:firstLineChars="0"/>
      </w:pPr>
      <w:r>
        <w:t>空线的接头、相序排列、档距、线间距离及横担的垂直距离和横担的选择及规格，严格执行规范规定；</w:t>
      </w:r>
    </w:p>
    <w:p w14:paraId="33CB407E">
      <w:pPr>
        <w:numPr>
          <w:ilvl w:val="0"/>
          <w:numId w:val="35"/>
        </w:numPr>
        <w:ind w:firstLineChars="0"/>
      </w:pPr>
      <w:r>
        <w:t>动力配电箱与照明配电箱应分别设置，如合置在同一配电箱内，动力和照明线路应分路设置；</w:t>
      </w:r>
    </w:p>
    <w:p w14:paraId="1775F638">
      <w:pPr>
        <w:numPr>
          <w:ilvl w:val="0"/>
          <w:numId w:val="35"/>
        </w:numPr>
        <w:ind w:firstLineChars="0"/>
      </w:pPr>
      <w:r>
        <w:t>开关箱应由末级配电箱配电，配电箱、开关箱制作所用的材料、箱的规格设置要求及</w:t>
      </w:r>
      <w:r>
        <w:rPr>
          <w:rFonts w:hint="eastAsia"/>
          <w:lang w:val="en-US" w:eastAsia="zh-CN"/>
        </w:rPr>
        <w:t>拆除</w:t>
      </w:r>
      <w:r>
        <w:t>技术应按规范执行。配电箱、开关箱最好购合格的成品使用；</w:t>
      </w:r>
    </w:p>
    <w:p w14:paraId="23739105">
      <w:pPr>
        <w:numPr>
          <w:ilvl w:val="0"/>
          <w:numId w:val="35"/>
        </w:numPr>
        <w:ind w:firstLineChars="0"/>
      </w:pPr>
      <w:r>
        <w:t>配电箱、开关箱内的开关电器</w:t>
      </w:r>
      <w:r>
        <w:rPr>
          <w:rFonts w:hint="eastAsia"/>
          <w:lang w:val="en-US" w:eastAsia="zh-CN"/>
        </w:rPr>
        <w:t>拆除</w:t>
      </w:r>
      <w:r>
        <w:t>，绝缘要求和箱壳保护接零应按规范执行；</w:t>
      </w:r>
    </w:p>
    <w:p w14:paraId="238F3C05">
      <w:pPr>
        <w:numPr>
          <w:ilvl w:val="0"/>
          <w:numId w:val="35"/>
        </w:numPr>
        <w:ind w:firstLineChars="0"/>
      </w:pPr>
      <w:r>
        <w:t>严禁用同一个开关电器直接控制2台及2台以上用电设备（含插座）；</w:t>
      </w:r>
    </w:p>
    <w:p w14:paraId="48FE3F11">
      <w:pPr>
        <w:numPr>
          <w:ilvl w:val="0"/>
          <w:numId w:val="35"/>
        </w:numPr>
        <w:ind w:firstLineChars="0"/>
      </w:pPr>
      <w:r>
        <w:t>开关箱内必须装设漏电保护器，漏电保护器的选择应符合要求。漏电保护器的</w:t>
      </w:r>
      <w:r>
        <w:rPr>
          <w:rFonts w:hint="eastAsia"/>
          <w:lang w:val="en-US" w:eastAsia="zh-CN"/>
        </w:rPr>
        <w:t>拆除</w:t>
      </w:r>
      <w:r>
        <w:t>要求和额定漏电动作应符合规范要求；</w:t>
      </w:r>
    </w:p>
    <w:p w14:paraId="5CC6524E">
      <w:pPr>
        <w:numPr>
          <w:ilvl w:val="0"/>
          <w:numId w:val="35"/>
        </w:numPr>
        <w:ind w:firstLineChars="0"/>
      </w:pPr>
      <w:r>
        <w:t>配电箱和开关箱中两级漏电保护器的额定漏电动作时间作合理配合，使之具有分段保护的功能；</w:t>
      </w:r>
    </w:p>
    <w:p w14:paraId="3F506017">
      <w:pPr>
        <w:numPr>
          <w:ilvl w:val="0"/>
          <w:numId w:val="35"/>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09831F76">
      <w:pPr>
        <w:numPr>
          <w:ilvl w:val="0"/>
          <w:numId w:val="35"/>
        </w:numPr>
        <w:ind w:firstLineChars="0"/>
      </w:pPr>
      <w:r>
        <w:t>对配电箱、开关箱进行检查、维修时，必须将其前一级相应的电源开关分闸断电，并悬挂停电检修标志牌，严禁带电作业；</w:t>
      </w:r>
    </w:p>
    <w:p w14:paraId="065AA1D3">
      <w:pPr>
        <w:numPr>
          <w:ilvl w:val="0"/>
          <w:numId w:val="35"/>
        </w:numPr>
        <w:ind w:firstLineChars="0"/>
      </w:pPr>
      <w:r>
        <w:t>移动的用电设备使用的电源线路，必须使用绝缘胶套管式电缆；</w:t>
      </w:r>
    </w:p>
    <w:p w14:paraId="5DFED8B8">
      <w:pPr>
        <w:numPr>
          <w:ilvl w:val="0"/>
          <w:numId w:val="35"/>
        </w:numPr>
        <w:ind w:firstLineChars="0"/>
      </w:pPr>
      <w:r>
        <w:t>用电设备和电气线路必须有保护接零；</w:t>
      </w:r>
    </w:p>
    <w:p w14:paraId="14CCE61C">
      <w:pPr>
        <w:numPr>
          <w:ilvl w:val="0"/>
          <w:numId w:val="35"/>
        </w:numPr>
        <w:ind w:firstLineChars="0"/>
      </w:pPr>
      <w:r>
        <w:t>电动工具、机械设备有良好的接地装置，所用电源有可靠的触电保护器。阴雨天气及在潮湿部位工作所使用的电动工机具、机械、工作人员的劳保用品必须符合有关的要求；</w:t>
      </w:r>
    </w:p>
    <w:p w14:paraId="13A47CCB">
      <w:pPr>
        <w:numPr>
          <w:ilvl w:val="0"/>
          <w:numId w:val="35"/>
        </w:numPr>
        <w:ind w:firstLineChars="0"/>
      </w:pPr>
      <w:r>
        <w:t>严禁施工现场非正式电工乱接用电线和用电开关；</w:t>
      </w:r>
    </w:p>
    <w:p w14:paraId="28542933">
      <w:pPr>
        <w:numPr>
          <w:ilvl w:val="0"/>
          <w:numId w:val="35"/>
        </w:numPr>
        <w:ind w:firstLineChars="0"/>
      </w:pPr>
      <w:r>
        <w:t>残缺绝缘盖的闸刀开关禁止使用，开关不得采用铜、铁、铝线作熔断保险丝；</w:t>
      </w:r>
    </w:p>
    <w:p w14:paraId="3FBD5EDF">
      <w:pPr>
        <w:numPr>
          <w:ilvl w:val="0"/>
          <w:numId w:val="35"/>
        </w:numPr>
        <w:ind w:firstLineChars="0"/>
      </w:pPr>
      <w:r>
        <w:t>在施工现场设置围栏、警示牌、夜间警示灯，以告示行人。</w:t>
      </w:r>
    </w:p>
    <w:p w14:paraId="5EED6694">
      <w:pPr>
        <w:pStyle w:val="4"/>
        <w:rPr>
          <w:b/>
          <w:bCs w:val="0"/>
        </w:rPr>
      </w:pPr>
      <w:r>
        <w:rPr>
          <w:b/>
          <w:bCs w:val="0"/>
        </w:rPr>
        <w:t>交叉作业安全措施</w:t>
      </w:r>
    </w:p>
    <w:p w14:paraId="5485263D">
      <w:pPr>
        <w:numPr>
          <w:ilvl w:val="0"/>
          <w:numId w:val="36"/>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w:t>
      </w:r>
      <w:r>
        <w:rPr>
          <w:rFonts w:hint="eastAsia"/>
          <w:lang w:val="en-US" w:eastAsia="zh-CN"/>
        </w:rPr>
        <w:t>四</w:t>
      </w:r>
      <w:r>
        <w:t>级以上大风时不能施工工作；</w:t>
      </w:r>
    </w:p>
    <w:p w14:paraId="1318D046">
      <w:pPr>
        <w:numPr>
          <w:ilvl w:val="0"/>
          <w:numId w:val="36"/>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39FAC64D">
      <w:pPr>
        <w:numPr>
          <w:ilvl w:val="0"/>
          <w:numId w:val="36"/>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w:t>
      </w:r>
      <w:r>
        <w:rPr>
          <w:rFonts w:hint="eastAsia"/>
          <w:lang w:eastAsia="zh-CN"/>
        </w:rPr>
        <w:t>瞭望</w:t>
      </w:r>
      <w:r>
        <w:rPr>
          <w:rFonts w:hint="eastAsia"/>
        </w:rPr>
        <w:t>，</w:t>
      </w:r>
      <w:r>
        <w:t>不得与起吊路线交叉；</w:t>
      </w:r>
    </w:p>
    <w:p w14:paraId="64964CA4">
      <w:pPr>
        <w:numPr>
          <w:ilvl w:val="0"/>
          <w:numId w:val="36"/>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4CCFCC8E">
      <w:pPr>
        <w:ind w:firstLine="48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r>
        <w:rPr>
          <w:rFonts w:hint="eastAsia"/>
        </w:rPr>
        <w:t>。</w:t>
      </w:r>
    </w:p>
    <w:p w14:paraId="102A0146">
      <w:pPr>
        <w:pStyle w:val="3"/>
        <w:bidi w:val="0"/>
        <w:ind w:left="720" w:leftChars="0" w:hanging="720" w:firstLineChars="0"/>
        <w:rPr>
          <w:rFonts w:hint="eastAsia"/>
          <w:b/>
          <w:bCs w:val="0"/>
          <w:lang w:val="en-US" w:eastAsia="zh-CN"/>
        </w:rPr>
      </w:pPr>
      <w:bookmarkStart w:id="138" w:name="_Toc590"/>
      <w:r>
        <w:rPr>
          <w:rFonts w:hint="eastAsia"/>
          <w:b/>
          <w:bCs w:val="0"/>
          <w:lang w:val="en-US" w:eastAsia="zh-CN"/>
        </w:rPr>
        <w:t>电气设备</w:t>
      </w:r>
      <w:bookmarkEnd w:id="138"/>
    </w:p>
    <w:p w14:paraId="5D2367C2">
      <w:pPr>
        <w:ind w:firstLine="480"/>
      </w:pPr>
      <w:r>
        <w:rPr>
          <w:rFonts w:hint="eastAsia"/>
        </w:rPr>
        <w:t>（1）电气部分</w:t>
      </w:r>
    </w:p>
    <w:p w14:paraId="7F9B8BE4">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103C6EDD">
      <w:pPr>
        <w:ind w:firstLine="480"/>
      </w:pPr>
      <w:r>
        <w:rPr>
          <w:rFonts w:hint="eastAsia"/>
        </w:rPr>
        <w:t>（2）供电</w:t>
      </w:r>
    </w:p>
    <w:p w14:paraId="47137AD2">
      <w:pPr>
        <w:ind w:firstLine="480"/>
      </w:pPr>
      <w:r>
        <w:rPr>
          <w:rFonts w:hint="eastAsia"/>
        </w:rPr>
        <w:t>起重机供电电源为三相交流电源,电压380V±10%,频率50HZ。</w:t>
      </w:r>
    </w:p>
    <w:p w14:paraId="7A0F099F">
      <w:pPr>
        <w:ind w:firstLine="480"/>
      </w:pPr>
      <w:r>
        <w:rPr>
          <w:rFonts w:hint="eastAsia"/>
        </w:rPr>
        <w:t>（3）电气保护</w:t>
      </w:r>
    </w:p>
    <w:p w14:paraId="33F9CA47">
      <w:pPr>
        <w:ind w:firstLine="480"/>
      </w:pPr>
      <w:r>
        <w:rPr>
          <w:rFonts w:hint="eastAsia"/>
        </w:rPr>
        <w:t>1）短路及过载保护</w:t>
      </w:r>
    </w:p>
    <w:p w14:paraId="1F00B39A">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14:paraId="0A172AE6">
      <w:pPr>
        <w:ind w:firstLine="480"/>
      </w:pPr>
      <w:r>
        <w:rPr>
          <w:rFonts w:hint="eastAsia"/>
        </w:rPr>
        <w:t>2）失压保护</w:t>
      </w:r>
    </w:p>
    <w:p w14:paraId="13A1E6BA">
      <w:pPr>
        <w:ind w:firstLine="480"/>
      </w:pPr>
      <w:r>
        <w:rPr>
          <w:rFonts w:hint="eastAsia"/>
        </w:rPr>
        <w:t>在总受电屏及机构控制屏中，用线路接触器作为失压保护装置，当供电电源中断时,能够自动断开电源。</w:t>
      </w:r>
    </w:p>
    <w:p w14:paraId="6F64221E">
      <w:pPr>
        <w:ind w:firstLine="480"/>
      </w:pPr>
      <w:r>
        <w:rPr>
          <w:rFonts w:hint="eastAsia"/>
        </w:rPr>
        <w:t>3）零位保护</w:t>
      </w:r>
    </w:p>
    <w:p w14:paraId="3B068C57">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14:paraId="05DB86A2">
      <w:pPr>
        <w:ind w:firstLine="480"/>
      </w:pPr>
      <w:r>
        <w:rPr>
          <w:rFonts w:hint="eastAsia"/>
        </w:rPr>
        <w:t>4）紧急断电保护</w:t>
      </w:r>
    </w:p>
    <w:p w14:paraId="32A27F14">
      <w:pPr>
        <w:ind w:firstLine="480"/>
      </w:pPr>
      <w:r>
        <w:rPr>
          <w:rFonts w:hint="eastAsia"/>
        </w:rPr>
        <w:t>司机室内设有紧急断电按钮，当起重机发生紧急情况时，随时方便地切断控制回路电源，从而使主回路断电，确保起重机的安全运行。</w:t>
      </w:r>
    </w:p>
    <w:p w14:paraId="4FFC2123">
      <w:pPr>
        <w:ind w:firstLine="480"/>
      </w:pPr>
      <w:r>
        <w:rPr>
          <w:rFonts w:hint="eastAsia"/>
        </w:rPr>
        <w:t>5）起升,行程限位保护</w:t>
      </w:r>
    </w:p>
    <w:p w14:paraId="7D9C318E">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14:paraId="5DCF069F">
      <w:pPr>
        <w:ind w:firstLine="480"/>
      </w:pPr>
      <w:r>
        <w:rPr>
          <w:rFonts w:hint="eastAsia"/>
        </w:rPr>
        <w:t>7）超载保护</w:t>
      </w:r>
    </w:p>
    <w:p w14:paraId="107EC975">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14:paraId="71CAC4FD">
      <w:pPr>
        <w:ind w:firstLine="480"/>
      </w:pPr>
      <w:r>
        <w:rPr>
          <w:rFonts w:hint="eastAsia"/>
        </w:rPr>
        <w:t>8）控制柜,端子箱防护等级IP55，端子箱采用下部或侧部进线上部做防雨，槽盖加防脱落装置。</w:t>
      </w:r>
    </w:p>
    <w:p w14:paraId="3843B2EF">
      <w:pPr>
        <w:ind w:firstLine="480"/>
      </w:pPr>
      <w:r>
        <w:rPr>
          <w:rFonts w:hint="eastAsia"/>
        </w:rPr>
        <w:t>（4）起重机的接地</w:t>
      </w:r>
    </w:p>
    <w:p w14:paraId="15F217D4">
      <w:pPr>
        <w:ind w:firstLine="480"/>
      </w:pPr>
      <w:r>
        <w:rPr>
          <w:rFonts w:hint="eastAsia"/>
        </w:rPr>
        <w:t>1）起重机的金属结构及所有电气设备的金属外壳，电缆金属外皮和变压器的低压侧均有可靠的接地。</w:t>
      </w:r>
    </w:p>
    <w:p w14:paraId="0B32B74C">
      <w:pPr>
        <w:ind w:firstLine="480"/>
      </w:pPr>
      <w:r>
        <w:rPr>
          <w:rFonts w:hint="eastAsia"/>
        </w:rPr>
        <w:t>3）起重机上任何一点的接地电阻均不大于4Ω。</w:t>
      </w:r>
    </w:p>
    <w:p w14:paraId="46514386">
      <w:pPr>
        <w:ind w:firstLine="480"/>
      </w:pPr>
      <w:r>
        <w:rPr>
          <w:rFonts w:hint="eastAsia"/>
        </w:rPr>
        <w:t>（5）操纵方式</w:t>
      </w:r>
    </w:p>
    <w:p w14:paraId="654A0EB6">
      <w:pPr>
        <w:ind w:firstLine="480"/>
      </w:pPr>
      <w:r>
        <w:rPr>
          <w:rFonts w:hint="eastAsia"/>
        </w:rPr>
        <w:t>1）司机室设有总电源和控制电源开关状态信号指示灯。</w:t>
      </w:r>
    </w:p>
    <w:p w14:paraId="1BF8598C">
      <w:pPr>
        <w:ind w:firstLine="480"/>
      </w:pPr>
      <w:r>
        <w:rPr>
          <w:rFonts w:hint="eastAsia"/>
        </w:rPr>
        <w:t>2）司机室设置交流220V电源插座及三相380V电源，备接其它电气设备。</w:t>
      </w:r>
    </w:p>
    <w:p w14:paraId="4A46526C">
      <w:pPr>
        <w:ind w:firstLine="480"/>
      </w:pPr>
      <w:r>
        <w:rPr>
          <w:rFonts w:hint="eastAsia"/>
        </w:rPr>
        <w:t>3）司机室设有36V插座，以便于检修作业。</w:t>
      </w:r>
    </w:p>
    <w:p w14:paraId="1E2C0111">
      <w:pPr>
        <w:ind w:firstLine="480"/>
      </w:pPr>
      <w:r>
        <w:rPr>
          <w:rFonts w:hint="eastAsia"/>
        </w:rPr>
        <w:t>4）司机室用交流220V/40W荧光灯具照明，以满足照度不低于200LX的要求。</w:t>
      </w:r>
    </w:p>
    <w:p w14:paraId="36422075">
      <w:pPr>
        <w:ind w:firstLine="480"/>
      </w:pPr>
      <w:r>
        <w:rPr>
          <w:rFonts w:hint="eastAsia"/>
        </w:rPr>
        <w:t>（6）照明信号</w:t>
      </w:r>
    </w:p>
    <w:p w14:paraId="7EDA0CD7">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3F0AF696">
      <w:pPr>
        <w:ind w:firstLine="480"/>
      </w:pPr>
      <w:r>
        <w:rPr>
          <w:rFonts w:hint="eastAsia"/>
        </w:rPr>
        <w:t>2）设有报警装置,操作时起提示作用，在司机室通过按钮开关控制。</w:t>
      </w:r>
    </w:p>
    <w:p w14:paraId="3A49CB7D">
      <w:pPr>
        <w:ind w:firstLine="480"/>
      </w:pPr>
      <w:r>
        <w:rPr>
          <w:rFonts w:hint="eastAsia"/>
        </w:rPr>
        <w:t>（7）其它</w:t>
      </w:r>
    </w:p>
    <w:p w14:paraId="2AD64B9B">
      <w:pPr>
        <w:ind w:firstLine="480"/>
      </w:pPr>
      <w:r>
        <w:rPr>
          <w:rFonts w:hint="eastAsia"/>
        </w:rPr>
        <w:t>1）起重机上布线采用截面积不小于2.5 mm²的铜导线。</w:t>
      </w:r>
    </w:p>
    <w:p w14:paraId="1C6755FD">
      <w:pPr>
        <w:ind w:firstLine="480"/>
      </w:pPr>
      <w:r>
        <w:rPr>
          <w:rFonts w:hint="eastAsia"/>
        </w:rPr>
        <w:t>2）总受电屏和各机构控制屏中的布线采用铜导线和铜排。</w:t>
      </w:r>
    </w:p>
    <w:p w14:paraId="245FA4D0">
      <w:pPr>
        <w:pStyle w:val="3"/>
        <w:bidi w:val="0"/>
        <w:ind w:left="720" w:leftChars="0" w:hanging="720" w:firstLineChars="0"/>
        <w:rPr>
          <w:rFonts w:hint="eastAsia"/>
          <w:b/>
          <w:bCs w:val="0"/>
          <w:lang w:val="en-US" w:eastAsia="zh-CN"/>
        </w:rPr>
      </w:pPr>
      <w:bookmarkStart w:id="139" w:name="_Toc14922"/>
      <w:r>
        <w:rPr>
          <w:rFonts w:hint="eastAsia"/>
          <w:b/>
          <w:bCs w:val="0"/>
          <w:lang w:val="en-US" w:eastAsia="zh-CN"/>
        </w:rPr>
        <w:t>塔机防雷安全保证措施</w:t>
      </w:r>
      <w:bookmarkEnd w:id="139"/>
    </w:p>
    <w:p w14:paraId="260D6912">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14:paraId="1AF88CF2">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14:paraId="14DF2E73">
      <w:pPr>
        <w:ind w:firstLine="480"/>
        <w:rPr>
          <w:rFonts w:hint="eastAsia"/>
        </w:rPr>
      </w:pPr>
      <w:r>
        <w:rPr>
          <w:rFonts w:hint="eastAsia"/>
        </w:rPr>
        <w:t>（3）对防雷装置应当作为电力设备一样进行预防性试验与检查、检测，保持其良好的保护性能。</w:t>
      </w:r>
    </w:p>
    <w:p w14:paraId="3350220A">
      <w:pPr>
        <w:ind w:firstLine="480"/>
      </w:pPr>
      <w:r>
        <w:rPr>
          <w:rFonts w:hint="eastAsia"/>
        </w:rPr>
        <w:t>（4）对各种防雷装置应按规范标准要求检查整体和器件情况，例如，连接点有无裂纹，引下线上有无闪络或烧损痕迹，腐蚀锈蚀以及与相邻异体的安全距离情况等。</w:t>
      </w:r>
    </w:p>
    <w:p w14:paraId="433C6BF4">
      <w:pPr>
        <w:pStyle w:val="3"/>
        <w:bidi w:val="0"/>
        <w:ind w:left="720" w:leftChars="0" w:hanging="720" w:firstLineChars="0"/>
        <w:rPr>
          <w:rFonts w:hint="eastAsia"/>
          <w:b/>
          <w:bCs w:val="0"/>
          <w:lang w:val="en-US" w:eastAsia="zh-CN"/>
        </w:rPr>
      </w:pPr>
      <w:bookmarkStart w:id="140" w:name="_Toc31763"/>
      <w:r>
        <w:rPr>
          <w:rFonts w:hint="eastAsia"/>
          <w:b/>
          <w:bCs w:val="0"/>
          <w:lang w:val="en-US" w:eastAsia="zh-CN"/>
        </w:rPr>
        <w:t>强制性条文和具体措施</w:t>
      </w:r>
      <w:bookmarkEnd w:id="140"/>
    </w:p>
    <w:p w14:paraId="0F400E31">
      <w:pPr>
        <w:ind w:firstLine="480"/>
      </w:pPr>
      <w:r>
        <w:rPr>
          <w:rFonts w:hint="eastAsia"/>
        </w:rPr>
        <w:t>（1）应执行的强制性条文</w:t>
      </w:r>
    </w:p>
    <w:p w14:paraId="736F9DC9">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5BDF3113">
      <w:pPr>
        <w:ind w:firstLine="480"/>
      </w:pPr>
      <w:r>
        <w:rPr>
          <w:rFonts w:hint="eastAsia"/>
        </w:rPr>
        <w:t>（2）具体措施</w:t>
      </w:r>
    </w:p>
    <w:p w14:paraId="3EC9E685">
      <w:pPr>
        <w:ind w:firstLine="480"/>
      </w:pPr>
      <w:r>
        <w:rPr>
          <w:rFonts w:hint="eastAsia"/>
        </w:rPr>
        <w:t>电气系统的验收作为整机验收的一部分，调试不合格不得投入使用。</w:t>
      </w:r>
    </w:p>
    <w:p w14:paraId="26E91601">
      <w:pPr>
        <w:pStyle w:val="3"/>
        <w:bidi w:val="0"/>
        <w:ind w:left="720" w:leftChars="0" w:hanging="720" w:firstLineChars="0"/>
        <w:rPr>
          <w:rFonts w:hint="eastAsia"/>
          <w:b/>
          <w:bCs w:val="0"/>
          <w:lang w:val="en-US" w:eastAsia="zh-CN"/>
        </w:rPr>
      </w:pPr>
      <w:bookmarkStart w:id="141" w:name="_Toc9646"/>
      <w:r>
        <w:rPr>
          <w:rFonts w:hint="eastAsia"/>
          <w:b/>
          <w:bCs w:val="0"/>
          <w:lang w:val="en-US" w:eastAsia="zh-CN"/>
        </w:rPr>
        <w:t>塔机作业安全技术保证措施</w:t>
      </w:r>
      <w:bookmarkEnd w:id="141"/>
    </w:p>
    <w:p w14:paraId="5FAC1B01">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14:paraId="514CBFC4">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14:paraId="50C30D91">
      <w:pPr>
        <w:ind w:firstLine="480"/>
        <w:rPr>
          <w:rFonts w:hint="eastAsia"/>
        </w:rPr>
      </w:pPr>
      <w:r>
        <w:rPr>
          <w:rFonts w:hint="eastAsia"/>
        </w:rPr>
        <w:t>（</w:t>
      </w:r>
      <w:r>
        <w:t>3</w:t>
      </w:r>
      <w:r>
        <w:rPr>
          <w:rFonts w:hint="eastAsia"/>
        </w:rPr>
        <w:t>）严格按本说明书提供的起重特性表操作，严禁超载运行。</w:t>
      </w:r>
    </w:p>
    <w:p w14:paraId="1AB2CA1A">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14:paraId="3CEC9691">
      <w:pPr>
        <w:ind w:firstLine="480"/>
        <w:rPr>
          <w:rFonts w:hint="eastAsia"/>
        </w:rPr>
      </w:pPr>
      <w:r>
        <w:rPr>
          <w:rFonts w:hint="eastAsia"/>
        </w:rPr>
        <w:t>（</w:t>
      </w:r>
      <w:r>
        <w:t>5</w:t>
      </w:r>
      <w:r>
        <w:rPr>
          <w:rFonts w:hint="eastAsia"/>
        </w:rPr>
        <w:t>）施工面要设专人指挥塔机作业，与司机联络， 必须规定严格的信号，采用对讲机联络</w:t>
      </w:r>
    </w:p>
    <w:p w14:paraId="3D2ADB89">
      <w:pPr>
        <w:ind w:firstLine="480"/>
        <w:rPr>
          <w:rFonts w:hint="eastAsia"/>
        </w:rPr>
      </w:pPr>
      <w:r>
        <w:rPr>
          <w:rFonts w:hint="eastAsia"/>
        </w:rPr>
        <w:t>（</w:t>
      </w:r>
      <w:r>
        <w:t>6</w:t>
      </w:r>
      <w:r>
        <w:rPr>
          <w:rFonts w:hint="eastAsia"/>
        </w:rPr>
        <w:t>）操作司机发现塔机有异常现象时，应停机切断电源，待查清并排除故障后再使用。</w:t>
      </w:r>
    </w:p>
    <w:p w14:paraId="0DE17FA0">
      <w:pPr>
        <w:ind w:firstLine="480"/>
        <w:rPr>
          <w:rFonts w:hint="eastAsia"/>
        </w:rPr>
      </w:pPr>
      <w:r>
        <w:rPr>
          <w:rFonts w:hint="eastAsia"/>
        </w:rPr>
        <w:t>（</w:t>
      </w:r>
      <w:r>
        <w:t>7</w:t>
      </w:r>
      <w:r>
        <w:rPr>
          <w:rFonts w:hint="eastAsia"/>
        </w:rPr>
        <w:t>）每班工作前，司机必须对</w:t>
      </w:r>
      <w:r>
        <w:rPr>
          <w:rFonts w:hint="eastAsia"/>
          <w:lang w:eastAsia="zh-CN"/>
        </w:rPr>
        <w:t>塔机</w:t>
      </w:r>
      <w:r>
        <w:rPr>
          <w:rFonts w:hint="eastAsia"/>
        </w:rPr>
        <w:t>各部件进行日常检查，对各部件进行按规日常保养加油 ，必须逐项检查各安全装置的可靠性，绝不允许在安全装置失灵的情况下勉强作业；</w:t>
      </w:r>
    </w:p>
    <w:p w14:paraId="1BE8A266">
      <w:pPr>
        <w:ind w:firstLine="480"/>
        <w:rPr>
          <w:rFonts w:hint="eastAsia"/>
        </w:rPr>
      </w:pPr>
      <w:r>
        <w:rPr>
          <w:rFonts w:hint="eastAsia"/>
        </w:rPr>
        <w:t>（</w:t>
      </w:r>
      <w:r>
        <w:t>8</w:t>
      </w:r>
      <w:r>
        <w:rPr>
          <w:rFonts w:hint="eastAsia"/>
        </w:rPr>
        <w:t>）不准斜拉斜吊物品，不准抽吊交错挤压物品， 不准起吊埋在地上的物品。</w:t>
      </w:r>
    </w:p>
    <w:p w14:paraId="4595628E">
      <w:pPr>
        <w:ind w:firstLine="480"/>
        <w:rPr>
          <w:rFonts w:hint="eastAsia"/>
        </w:rPr>
      </w:pPr>
      <w:r>
        <w:rPr>
          <w:rFonts w:hint="eastAsia"/>
        </w:rPr>
        <w:t>（</w:t>
      </w:r>
      <w:r>
        <w:t>9</w:t>
      </w:r>
      <w:r>
        <w:rPr>
          <w:rFonts w:hint="eastAsia"/>
        </w:rPr>
        <w:t>）夜间作业，施工现场必须备有充分的照明设施。</w:t>
      </w:r>
    </w:p>
    <w:p w14:paraId="433B4B9D">
      <w:pPr>
        <w:ind w:firstLine="480"/>
        <w:rPr>
          <w:rFonts w:hint="eastAsia"/>
        </w:rPr>
      </w:pPr>
      <w:r>
        <w:rPr>
          <w:rFonts w:hint="eastAsia"/>
        </w:rPr>
        <w:t>（</w:t>
      </w:r>
      <w:r>
        <w:t>10</w:t>
      </w:r>
      <w:r>
        <w:rPr>
          <w:rFonts w:hint="eastAsia"/>
        </w:rPr>
        <w:t>）有物品悬挂在空中时，司机与起重工不得离开工作岗位。</w:t>
      </w:r>
    </w:p>
    <w:p w14:paraId="56DF082E">
      <w:pPr>
        <w:ind w:firstLine="480"/>
        <w:rPr>
          <w:rFonts w:hint="eastAsia"/>
        </w:rPr>
      </w:pPr>
      <w:r>
        <w:rPr>
          <w:rFonts w:hint="eastAsia"/>
        </w:rPr>
        <w:t>（1</w:t>
      </w:r>
      <w:r>
        <w:t>1</w:t>
      </w:r>
      <w:r>
        <w:rPr>
          <w:rFonts w:hint="eastAsia"/>
        </w:rPr>
        <w:t>）指挥的信号、手势、旗号应符合GB5082-85 规定。</w:t>
      </w:r>
    </w:p>
    <w:p w14:paraId="7A6B7B6A">
      <w:pPr>
        <w:ind w:firstLine="480"/>
        <w:rPr>
          <w:rFonts w:hint="eastAsia"/>
        </w:rPr>
      </w:pPr>
      <w:r>
        <w:rPr>
          <w:rFonts w:hint="eastAsia"/>
        </w:rPr>
        <w:t>（1</w:t>
      </w:r>
      <w:r>
        <w:t>2</w:t>
      </w:r>
      <w:r>
        <w:rPr>
          <w:rFonts w:hint="eastAsia"/>
        </w:rPr>
        <w:t>）司机必须认真做好起重机的使用、维修、保养和交接班的记录工作。</w:t>
      </w:r>
    </w:p>
    <w:p w14:paraId="21EFEF43">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14:paraId="71343C52">
      <w:pPr>
        <w:ind w:firstLine="480"/>
        <w:rPr>
          <w:rFonts w:hint="eastAsia"/>
        </w:rPr>
      </w:pPr>
      <w:r>
        <w:rPr>
          <w:rFonts w:hint="eastAsia"/>
        </w:rPr>
        <w:t>（1</w:t>
      </w:r>
      <w:r>
        <w:t>4</w:t>
      </w:r>
      <w:r>
        <w:rPr>
          <w:rFonts w:hint="eastAsia"/>
        </w:rPr>
        <w:t>）在遇大雷雨，暴雨，浓雾或塔机最高处风速超过</w:t>
      </w:r>
      <w:r>
        <w:rPr>
          <w:rFonts w:hint="eastAsia"/>
          <w:lang w:val="en-US" w:eastAsia="zh-CN"/>
        </w:rPr>
        <w:t>四级</w:t>
      </w:r>
      <w:r>
        <w:rPr>
          <w:rFonts w:hint="eastAsia"/>
        </w:rPr>
        <w:t>时，一律停止起重作业。</w:t>
      </w:r>
    </w:p>
    <w:p w14:paraId="5518B120">
      <w:pPr>
        <w:ind w:firstLine="480"/>
        <w:rPr>
          <w:rFonts w:hint="eastAsia"/>
        </w:rPr>
      </w:pPr>
      <w:r>
        <w:rPr>
          <w:rFonts w:hint="eastAsia"/>
        </w:rPr>
        <w:t>（1</w:t>
      </w:r>
      <w:r>
        <w:t>5</w:t>
      </w:r>
      <w:r>
        <w:rPr>
          <w:rFonts w:hint="eastAsia"/>
        </w:rPr>
        <w:t>）严禁司机酒后上机操作</w:t>
      </w:r>
    </w:p>
    <w:p w14:paraId="0B820AFB">
      <w:pPr>
        <w:ind w:firstLine="480"/>
        <w:rPr>
          <w:rFonts w:hint="eastAsia"/>
        </w:rPr>
      </w:pPr>
      <w:r>
        <w:rPr>
          <w:rFonts w:hint="eastAsia"/>
        </w:rPr>
        <w:t>（1</w:t>
      </w:r>
      <w:r>
        <w:t>6</w:t>
      </w:r>
      <w:r>
        <w:rPr>
          <w:rFonts w:hint="eastAsia"/>
        </w:rPr>
        <w:t>）吊钩、吊环有下列情形之一的，应更换：</w:t>
      </w:r>
    </w:p>
    <w:p w14:paraId="186EBDA8">
      <w:pPr>
        <w:ind w:firstLine="480"/>
        <w:rPr>
          <w:rFonts w:hint="eastAsia"/>
        </w:rPr>
      </w:pPr>
      <w:r>
        <w:rPr>
          <w:rFonts w:hint="eastAsia"/>
        </w:rPr>
        <w:t>①表面有裂纹、破口，严禁补焊，应更换。②危险断面及钩颈有永久变形。③挂绳面磨损超过10%。④心轴（销子）磨损超过其直径的3—5%。</w:t>
      </w:r>
    </w:p>
    <w:p w14:paraId="325A0BD3">
      <w:pPr>
        <w:ind w:firstLine="480"/>
        <w:rPr>
          <w:rFonts w:hint="eastAsia"/>
        </w:rPr>
      </w:pPr>
      <w:r>
        <w:rPr>
          <w:rFonts w:hint="eastAsia"/>
        </w:rPr>
        <w:t>（1</w:t>
      </w:r>
      <w:r>
        <w:t>7</w:t>
      </w:r>
      <w:r>
        <w:rPr>
          <w:rFonts w:hint="eastAsia"/>
        </w:rPr>
        <w:t>）起重“十不吊”内容：</w:t>
      </w:r>
    </w:p>
    <w:p w14:paraId="54F6615B">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w:t>
      </w:r>
      <w:r>
        <w:rPr>
          <w:rFonts w:hint="eastAsia"/>
          <w:lang w:val="en-US" w:eastAsia="zh-CN"/>
        </w:rPr>
        <w:t>四</w:t>
      </w:r>
      <w:r>
        <w:rPr>
          <w:rFonts w:hint="eastAsia"/>
        </w:rPr>
        <w:t>级以上强风不吊。</w:t>
      </w:r>
    </w:p>
    <w:p w14:paraId="39F005EA">
      <w:pPr>
        <w:pStyle w:val="2"/>
        <w:bidi w:val="0"/>
        <w:ind w:left="432" w:leftChars="0" w:hanging="432" w:firstLineChars="0"/>
        <w:rPr>
          <w:rFonts w:hint="eastAsia"/>
        </w:rPr>
      </w:pPr>
      <w:bookmarkStart w:id="142" w:name="_Toc5989"/>
      <w:bookmarkStart w:id="143" w:name="_Toc29849"/>
      <w:bookmarkStart w:id="144" w:name="_Toc3700"/>
      <w:r>
        <w:rPr>
          <w:rFonts w:hint="eastAsia"/>
        </w:rPr>
        <w:t>施工管理及作业人员配备和分工</w:t>
      </w:r>
      <w:bookmarkEnd w:id="142"/>
      <w:bookmarkEnd w:id="143"/>
      <w:bookmarkEnd w:id="144"/>
    </w:p>
    <w:p w14:paraId="68F8052B">
      <w:pPr>
        <w:pStyle w:val="132"/>
        <w:ind w:firstLine="480"/>
        <w:rPr>
          <w:rFonts w:cs="Times New Roman"/>
        </w:rPr>
      </w:pPr>
      <w:r>
        <w:rPr>
          <w:rFonts w:ascii="Times New Roman" w:hAnsi="Times New Roman" w:eastAsia="宋体" w:cs="Times New Roman"/>
        </w:rPr>
        <w:t>为确保施</w:t>
      </w:r>
      <w:r>
        <w:rPr>
          <w:rFonts w:cs="Times New Roman"/>
        </w:rPr>
        <w:t>工安全、优质、高效、如期地完成，成立以项目经理为首的管理团队进行项目的统筹管理。现场施工主要管理人员由具有丰富施工经验的人员组成，选择专业的施工劳务队伍进行施工。</w:t>
      </w:r>
    </w:p>
    <w:p w14:paraId="5480983E">
      <w:pPr>
        <w:pStyle w:val="3"/>
        <w:bidi w:val="0"/>
        <w:ind w:left="575" w:leftChars="0" w:hanging="575" w:firstLineChars="0"/>
        <w:rPr>
          <w:b/>
          <w:bCs w:val="0"/>
          <w:sz w:val="28"/>
          <w:szCs w:val="28"/>
          <w:lang w:val="en-US" w:eastAsia="zh-CN"/>
        </w:rPr>
      </w:pPr>
      <w:bookmarkStart w:id="145" w:name="_Toc51089991"/>
      <w:bookmarkStart w:id="146" w:name="_Toc122514842"/>
      <w:bookmarkStart w:id="147" w:name="_Toc7272"/>
      <w:bookmarkStart w:id="148" w:name="_Toc27257"/>
      <w:bookmarkStart w:id="149" w:name="_Toc1112"/>
      <w:bookmarkStart w:id="150" w:name="_Toc15554"/>
      <w:r>
        <w:rPr>
          <w:b/>
          <w:bCs w:val="0"/>
          <w:sz w:val="28"/>
          <w:szCs w:val="28"/>
          <w:lang w:val="en-US" w:eastAsia="zh-CN"/>
        </w:rPr>
        <w:t>施工管理人员配备和分工</w:t>
      </w:r>
      <w:bookmarkEnd w:id="145"/>
      <w:bookmarkEnd w:id="146"/>
      <w:bookmarkEnd w:id="147"/>
      <w:bookmarkEnd w:id="148"/>
      <w:bookmarkEnd w:id="149"/>
      <w:bookmarkEnd w:id="150"/>
    </w:p>
    <w:p w14:paraId="6F522D82">
      <w:pPr>
        <w:pStyle w:val="132"/>
        <w:ind w:firstLine="480"/>
        <w:rPr>
          <w:rFonts w:cs="Times New Roman"/>
        </w:rPr>
      </w:pPr>
      <w:r>
        <w:rPr>
          <w:rFonts w:cs="Times New Roman"/>
        </w:rPr>
        <w:t>根据施工安排，施工管理人员配备和分工见</w:t>
      </w:r>
      <w:r>
        <w:rPr>
          <w:rFonts w:cs="Times New Roman"/>
          <w:b/>
          <w:bCs/>
        </w:rPr>
        <w:t>表7.1-1</w:t>
      </w:r>
      <w:r>
        <w:rPr>
          <w:rFonts w:cs="Times New Roman"/>
        </w:rPr>
        <w:t>。</w:t>
      </w:r>
    </w:p>
    <w:p w14:paraId="743EA1BE">
      <w:pPr>
        <w:pStyle w:val="381"/>
        <w:ind w:firstLine="0" w:firstLineChars="0"/>
        <w:rPr>
          <w:rFonts w:hint="default"/>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施工管理人员配备和分工表</w:t>
      </w:r>
    </w:p>
    <w:tbl>
      <w:tblPr>
        <w:tblStyle w:val="12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2A73F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F1806C6">
            <w:pPr>
              <w:pStyle w:val="16"/>
              <w:rPr>
                <w:b/>
              </w:rPr>
            </w:pPr>
            <w:bookmarkStart w:id="151" w:name="_Toc32318"/>
            <w:bookmarkStart w:id="152" w:name="_Toc122514843"/>
            <w:bookmarkStart w:id="153" w:name="_Toc51089992"/>
            <w:r>
              <w:rPr>
                <w:rFonts w:hint="eastAsia"/>
                <w:b/>
              </w:rPr>
              <w:t>序号</w:t>
            </w:r>
          </w:p>
        </w:tc>
        <w:tc>
          <w:tcPr>
            <w:tcW w:w="724" w:type="pct"/>
            <w:shd w:val="clear" w:color="auto" w:fill="auto"/>
            <w:vAlign w:val="center"/>
          </w:tcPr>
          <w:p w14:paraId="37C8C65A">
            <w:pPr>
              <w:pStyle w:val="16"/>
              <w:rPr>
                <w:b/>
              </w:rPr>
            </w:pPr>
            <w:r>
              <w:rPr>
                <w:rFonts w:hint="eastAsia"/>
                <w:b/>
              </w:rPr>
              <w:t>职务</w:t>
            </w:r>
          </w:p>
        </w:tc>
        <w:tc>
          <w:tcPr>
            <w:tcW w:w="484" w:type="pct"/>
            <w:shd w:val="clear" w:color="auto" w:fill="auto"/>
            <w:vAlign w:val="center"/>
          </w:tcPr>
          <w:p w14:paraId="0F8826CE">
            <w:pPr>
              <w:pStyle w:val="16"/>
              <w:rPr>
                <w:rFonts w:hint="eastAsia" w:eastAsia="宋体"/>
                <w:b/>
                <w:lang w:val="en-US" w:eastAsia="zh-CN"/>
              </w:rPr>
            </w:pPr>
            <w:r>
              <w:rPr>
                <w:rFonts w:hint="eastAsia"/>
                <w:b/>
                <w:lang w:val="en-US" w:eastAsia="zh-CN"/>
              </w:rPr>
              <w:t>姓名</w:t>
            </w:r>
          </w:p>
        </w:tc>
        <w:tc>
          <w:tcPr>
            <w:tcW w:w="372" w:type="pct"/>
            <w:shd w:val="clear" w:color="auto" w:fill="auto"/>
            <w:vAlign w:val="center"/>
          </w:tcPr>
          <w:p w14:paraId="2C6E3E2B">
            <w:pPr>
              <w:pStyle w:val="16"/>
              <w:rPr>
                <w:b/>
              </w:rPr>
            </w:pPr>
            <w:r>
              <w:rPr>
                <w:rFonts w:hint="eastAsia"/>
                <w:b/>
              </w:rPr>
              <w:t>人数</w:t>
            </w:r>
          </w:p>
        </w:tc>
        <w:tc>
          <w:tcPr>
            <w:tcW w:w="2645" w:type="pct"/>
            <w:shd w:val="clear" w:color="auto" w:fill="auto"/>
            <w:vAlign w:val="center"/>
          </w:tcPr>
          <w:p w14:paraId="1C53B870">
            <w:pPr>
              <w:pStyle w:val="16"/>
              <w:rPr>
                <w:b/>
              </w:rPr>
            </w:pPr>
            <w:r>
              <w:rPr>
                <w:rFonts w:hint="eastAsia"/>
                <w:b/>
              </w:rPr>
              <w:t>工作职责</w:t>
            </w:r>
          </w:p>
        </w:tc>
        <w:tc>
          <w:tcPr>
            <w:tcW w:w="409" w:type="pct"/>
            <w:shd w:val="clear" w:color="auto" w:fill="auto"/>
            <w:vAlign w:val="center"/>
          </w:tcPr>
          <w:p w14:paraId="52D758BC">
            <w:pPr>
              <w:pStyle w:val="16"/>
              <w:rPr>
                <w:b/>
              </w:rPr>
            </w:pPr>
            <w:r>
              <w:rPr>
                <w:rFonts w:hint="eastAsia"/>
                <w:b/>
              </w:rPr>
              <w:t>备注</w:t>
            </w:r>
          </w:p>
        </w:tc>
      </w:tr>
      <w:tr w14:paraId="4A4F3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3E25DF2E">
            <w:pPr>
              <w:pStyle w:val="16"/>
              <w:numPr>
                <w:ilvl w:val="0"/>
                <w:numId w:val="37"/>
              </w:numPr>
            </w:pPr>
          </w:p>
        </w:tc>
        <w:tc>
          <w:tcPr>
            <w:tcW w:w="724" w:type="pct"/>
            <w:shd w:val="clear" w:color="auto" w:fill="auto"/>
            <w:vAlign w:val="center"/>
          </w:tcPr>
          <w:p w14:paraId="4DEFCCCA">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技术负责人</w:t>
            </w:r>
          </w:p>
        </w:tc>
        <w:tc>
          <w:tcPr>
            <w:tcW w:w="484" w:type="pct"/>
            <w:shd w:val="clear" w:color="auto" w:fill="auto"/>
            <w:vAlign w:val="center"/>
          </w:tcPr>
          <w:p w14:paraId="2BA2A006">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张存祥</w:t>
            </w:r>
          </w:p>
        </w:tc>
        <w:tc>
          <w:tcPr>
            <w:tcW w:w="372" w:type="pct"/>
            <w:shd w:val="clear" w:color="auto" w:fill="auto"/>
            <w:vAlign w:val="center"/>
          </w:tcPr>
          <w:p w14:paraId="03903C80">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4F6DA92E">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负责组织人员按拆除工艺规程及塔机使用说明书要求进行作业，负责每日的工作安排，安全交底、工作记录，制止任何违章作业。</w:t>
            </w:r>
          </w:p>
        </w:tc>
        <w:tc>
          <w:tcPr>
            <w:tcW w:w="409" w:type="pct"/>
            <w:shd w:val="clear" w:color="auto" w:fill="auto"/>
            <w:vAlign w:val="center"/>
          </w:tcPr>
          <w:p w14:paraId="3D0029C5">
            <w:pPr>
              <w:pStyle w:val="16"/>
            </w:pPr>
          </w:p>
        </w:tc>
      </w:tr>
      <w:tr w14:paraId="1780A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D36E481">
            <w:pPr>
              <w:pStyle w:val="16"/>
              <w:numPr>
                <w:ilvl w:val="0"/>
                <w:numId w:val="37"/>
              </w:numPr>
            </w:pPr>
          </w:p>
        </w:tc>
        <w:tc>
          <w:tcPr>
            <w:tcW w:w="724" w:type="pct"/>
            <w:shd w:val="clear" w:color="auto" w:fill="auto"/>
            <w:vAlign w:val="center"/>
          </w:tcPr>
          <w:p w14:paraId="1DE91630">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现场负责人</w:t>
            </w:r>
          </w:p>
        </w:tc>
        <w:tc>
          <w:tcPr>
            <w:tcW w:w="484" w:type="pct"/>
            <w:shd w:val="clear" w:color="auto" w:fill="auto"/>
            <w:vAlign w:val="center"/>
          </w:tcPr>
          <w:p w14:paraId="16C2DDA8">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向月发</w:t>
            </w:r>
          </w:p>
        </w:tc>
        <w:tc>
          <w:tcPr>
            <w:tcW w:w="372" w:type="pct"/>
            <w:shd w:val="clear" w:color="auto" w:fill="auto"/>
            <w:vAlign w:val="center"/>
          </w:tcPr>
          <w:p w14:paraId="1204E371">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60961BC6">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负责现场拆除指导及安全管理</w:t>
            </w:r>
          </w:p>
        </w:tc>
        <w:tc>
          <w:tcPr>
            <w:tcW w:w="409" w:type="pct"/>
            <w:shd w:val="clear" w:color="auto" w:fill="auto"/>
            <w:vAlign w:val="center"/>
          </w:tcPr>
          <w:p w14:paraId="79B45DD5">
            <w:pPr>
              <w:pStyle w:val="16"/>
            </w:pPr>
          </w:p>
        </w:tc>
      </w:tr>
      <w:tr w14:paraId="2CD8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0EBEFE5B">
            <w:pPr>
              <w:pStyle w:val="16"/>
              <w:numPr>
                <w:ilvl w:val="0"/>
                <w:numId w:val="37"/>
              </w:numPr>
            </w:pPr>
          </w:p>
        </w:tc>
        <w:tc>
          <w:tcPr>
            <w:tcW w:w="724" w:type="pct"/>
            <w:shd w:val="clear" w:color="auto" w:fill="auto"/>
            <w:vAlign w:val="center"/>
          </w:tcPr>
          <w:p w14:paraId="3AFCA985">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安全负责人</w:t>
            </w:r>
          </w:p>
        </w:tc>
        <w:tc>
          <w:tcPr>
            <w:tcW w:w="484" w:type="pct"/>
            <w:shd w:val="clear" w:color="auto" w:fill="auto"/>
            <w:vAlign w:val="center"/>
          </w:tcPr>
          <w:p w14:paraId="502633DC">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刘云祥</w:t>
            </w:r>
          </w:p>
        </w:tc>
        <w:tc>
          <w:tcPr>
            <w:tcW w:w="372" w:type="pct"/>
            <w:shd w:val="clear" w:color="auto" w:fill="auto"/>
            <w:vAlign w:val="center"/>
          </w:tcPr>
          <w:p w14:paraId="140EBEEE">
            <w:pPr>
              <w:pStyle w:val="16"/>
              <w:ind w:firstLine="0" w:firstLineChars="0"/>
              <w:rPr>
                <w:rStyle w:val="217"/>
                <w:rFonts w:hint="default"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1</w:t>
            </w:r>
          </w:p>
        </w:tc>
        <w:tc>
          <w:tcPr>
            <w:tcW w:w="2645" w:type="pct"/>
            <w:shd w:val="clear" w:color="auto" w:fill="auto"/>
            <w:vAlign w:val="center"/>
          </w:tcPr>
          <w:p w14:paraId="08D5B6F4">
            <w:pPr>
              <w:pStyle w:val="16"/>
              <w:ind w:firstLine="0" w:firstLineChars="0"/>
              <w:rPr>
                <w:rStyle w:val="217"/>
                <w:rFonts w:hint="eastAsia" w:cstheme="minorBidi"/>
                <w:b w:val="0"/>
                <w:i w:val="0"/>
                <w:color w:val="000000"/>
                <w:kern w:val="2"/>
                <w:szCs w:val="21"/>
                <w:lang w:val="en-US" w:eastAsia="zh-CN" w:bidi="ar-SA"/>
              </w:rPr>
            </w:pPr>
            <w:r>
              <w:rPr>
                <w:rStyle w:val="217"/>
                <w:rFonts w:hint="eastAsia" w:cstheme="minorBidi"/>
                <w:b w:val="0"/>
                <w:i w:val="0"/>
                <w:color w:val="000000"/>
                <w:kern w:val="2"/>
                <w:szCs w:val="21"/>
                <w:lang w:val="en-US" w:eastAsia="zh-CN" w:bidi="ar-SA"/>
              </w:rPr>
              <w:t>负责现场拆除指导及安全管理</w:t>
            </w:r>
          </w:p>
        </w:tc>
        <w:tc>
          <w:tcPr>
            <w:tcW w:w="409" w:type="pct"/>
            <w:shd w:val="clear" w:color="auto" w:fill="auto"/>
            <w:vAlign w:val="center"/>
          </w:tcPr>
          <w:p w14:paraId="04362B59">
            <w:pPr>
              <w:pStyle w:val="16"/>
            </w:pPr>
          </w:p>
        </w:tc>
      </w:tr>
      <w:tr w14:paraId="472ED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72" w:type="pct"/>
            <w:gridSpan w:val="3"/>
            <w:shd w:val="clear" w:color="auto" w:fill="auto"/>
            <w:vAlign w:val="center"/>
          </w:tcPr>
          <w:p w14:paraId="17FCE416">
            <w:pPr>
              <w:pStyle w:val="16"/>
              <w:rPr>
                <w:rFonts w:hint="eastAsia"/>
              </w:rPr>
            </w:pPr>
            <w:r>
              <w:rPr>
                <w:rFonts w:hint="eastAsia"/>
              </w:rPr>
              <w:t>总计</w:t>
            </w:r>
          </w:p>
        </w:tc>
        <w:tc>
          <w:tcPr>
            <w:tcW w:w="372" w:type="pct"/>
            <w:shd w:val="clear" w:color="auto" w:fill="auto"/>
            <w:vAlign w:val="center"/>
          </w:tcPr>
          <w:p w14:paraId="155D5472">
            <w:pPr>
              <w:pStyle w:val="16"/>
              <w:rPr>
                <w:rFonts w:hint="eastAsia" w:eastAsia="宋体"/>
                <w:lang w:eastAsia="zh-CN"/>
              </w:rPr>
            </w:pPr>
            <w:r>
              <w:rPr>
                <w:rFonts w:hint="eastAsia"/>
                <w:lang w:val="en-US" w:eastAsia="zh-CN"/>
              </w:rPr>
              <w:t>3</w:t>
            </w:r>
          </w:p>
        </w:tc>
        <w:tc>
          <w:tcPr>
            <w:tcW w:w="2645" w:type="pct"/>
            <w:shd w:val="clear" w:color="auto" w:fill="auto"/>
            <w:vAlign w:val="center"/>
          </w:tcPr>
          <w:p w14:paraId="387D4732">
            <w:pPr>
              <w:pStyle w:val="16"/>
            </w:pPr>
          </w:p>
        </w:tc>
        <w:tc>
          <w:tcPr>
            <w:tcW w:w="409" w:type="pct"/>
            <w:shd w:val="clear" w:color="auto" w:fill="auto"/>
            <w:vAlign w:val="center"/>
          </w:tcPr>
          <w:p w14:paraId="39212254">
            <w:pPr>
              <w:pStyle w:val="16"/>
            </w:pPr>
          </w:p>
        </w:tc>
      </w:tr>
    </w:tbl>
    <w:p w14:paraId="375C85CB">
      <w:pPr>
        <w:pStyle w:val="3"/>
        <w:bidi w:val="0"/>
        <w:ind w:left="575" w:leftChars="0" w:hanging="575" w:firstLineChars="0"/>
        <w:rPr>
          <w:b/>
          <w:bCs w:val="0"/>
          <w:sz w:val="28"/>
          <w:szCs w:val="28"/>
          <w:lang w:val="en-US" w:eastAsia="zh-CN"/>
        </w:rPr>
      </w:pPr>
      <w:bookmarkStart w:id="154" w:name="_Toc27611"/>
      <w:bookmarkStart w:id="155" w:name="_Toc3621"/>
      <w:bookmarkStart w:id="156" w:name="_Toc17792"/>
      <w:r>
        <w:rPr>
          <w:b/>
          <w:bCs w:val="0"/>
          <w:sz w:val="28"/>
          <w:szCs w:val="28"/>
          <w:lang w:val="en-US" w:eastAsia="zh-CN"/>
        </w:rPr>
        <w:t>专职安全生产管理人员配备和分工</w:t>
      </w:r>
      <w:bookmarkEnd w:id="151"/>
      <w:bookmarkEnd w:id="152"/>
      <w:bookmarkEnd w:id="153"/>
      <w:bookmarkEnd w:id="154"/>
      <w:bookmarkEnd w:id="155"/>
      <w:bookmarkEnd w:id="156"/>
    </w:p>
    <w:p w14:paraId="015BF427">
      <w:pPr>
        <w:pStyle w:val="132"/>
        <w:ind w:firstLine="480"/>
        <w:rPr>
          <w:rFonts w:cs="Times New Roman"/>
        </w:rPr>
      </w:pPr>
      <w:r>
        <w:rPr>
          <w:rFonts w:cs="Times New Roman"/>
        </w:rPr>
        <w:t>施工专职安全生产管理人员配备和分工见</w:t>
      </w:r>
      <w:r>
        <w:rPr>
          <w:rFonts w:cs="Times New Roman"/>
          <w:b/>
          <w:bCs/>
        </w:rPr>
        <w:t>表7.2-1</w:t>
      </w:r>
      <w:r>
        <w:rPr>
          <w:rFonts w:cs="Times New Roman"/>
        </w:rPr>
        <w:t>。</w:t>
      </w:r>
    </w:p>
    <w:p w14:paraId="414A6E7D">
      <w:pPr>
        <w:pStyle w:val="381"/>
        <w:ind w:firstLine="0" w:firstLineChars="0"/>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7.2</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专职安全生产管理人员配备和分工表</w:t>
      </w:r>
    </w:p>
    <w:tbl>
      <w:tblPr>
        <w:tblStyle w:val="12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18"/>
        <w:gridCol w:w="923"/>
        <w:gridCol w:w="1001"/>
        <w:gridCol w:w="3940"/>
        <w:gridCol w:w="1387"/>
      </w:tblGrid>
      <w:tr w14:paraId="025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383" w:type="pct"/>
            <w:shd w:val="clear" w:color="auto" w:fill="auto"/>
            <w:vAlign w:val="center"/>
          </w:tcPr>
          <w:p w14:paraId="5E780340">
            <w:pPr>
              <w:pStyle w:val="16"/>
              <w:rPr>
                <w:b/>
              </w:rPr>
            </w:pPr>
            <w:r>
              <w:rPr>
                <w:rFonts w:hint="eastAsia"/>
                <w:b/>
              </w:rPr>
              <w:t>序号</w:t>
            </w:r>
          </w:p>
        </w:tc>
        <w:tc>
          <w:tcPr>
            <w:tcW w:w="710" w:type="pct"/>
            <w:shd w:val="clear" w:color="auto" w:fill="auto"/>
            <w:vAlign w:val="center"/>
          </w:tcPr>
          <w:p w14:paraId="5024DF92">
            <w:pPr>
              <w:pStyle w:val="16"/>
              <w:rPr>
                <w:b/>
              </w:rPr>
            </w:pPr>
            <w:r>
              <w:rPr>
                <w:rFonts w:hint="eastAsia"/>
                <w:b/>
              </w:rPr>
              <w:t>工种</w:t>
            </w:r>
          </w:p>
        </w:tc>
        <w:tc>
          <w:tcPr>
            <w:tcW w:w="497" w:type="pct"/>
            <w:shd w:val="clear" w:color="auto" w:fill="auto"/>
            <w:vAlign w:val="center"/>
          </w:tcPr>
          <w:p w14:paraId="77DF2057">
            <w:pPr>
              <w:pStyle w:val="16"/>
              <w:rPr>
                <w:rFonts w:hint="eastAsia" w:eastAsia="宋体"/>
                <w:b/>
                <w:lang w:val="en-US" w:eastAsia="zh-CN"/>
              </w:rPr>
            </w:pPr>
            <w:r>
              <w:rPr>
                <w:rFonts w:hint="eastAsia"/>
                <w:b/>
                <w:lang w:val="en-US" w:eastAsia="zh-CN"/>
              </w:rPr>
              <w:t>姓名</w:t>
            </w:r>
          </w:p>
        </w:tc>
        <w:tc>
          <w:tcPr>
            <w:tcW w:w="539" w:type="pct"/>
            <w:shd w:val="clear" w:color="auto" w:fill="auto"/>
            <w:vAlign w:val="center"/>
          </w:tcPr>
          <w:p w14:paraId="1E8658A7">
            <w:pPr>
              <w:pStyle w:val="16"/>
              <w:rPr>
                <w:b/>
              </w:rPr>
            </w:pPr>
            <w:r>
              <w:rPr>
                <w:rFonts w:hint="eastAsia"/>
                <w:b/>
              </w:rPr>
              <w:t>人数</w:t>
            </w:r>
          </w:p>
        </w:tc>
        <w:tc>
          <w:tcPr>
            <w:tcW w:w="2122" w:type="pct"/>
            <w:shd w:val="clear" w:color="auto" w:fill="auto"/>
            <w:vAlign w:val="center"/>
          </w:tcPr>
          <w:p w14:paraId="314984D4">
            <w:pPr>
              <w:pStyle w:val="16"/>
              <w:rPr>
                <w:b/>
              </w:rPr>
            </w:pPr>
            <w:r>
              <w:rPr>
                <w:rFonts w:hint="eastAsia"/>
                <w:b/>
              </w:rPr>
              <w:t>工作职责</w:t>
            </w:r>
          </w:p>
        </w:tc>
        <w:tc>
          <w:tcPr>
            <w:tcW w:w="747" w:type="pct"/>
            <w:shd w:val="clear" w:color="auto" w:fill="auto"/>
            <w:vAlign w:val="center"/>
          </w:tcPr>
          <w:p w14:paraId="0E64352F">
            <w:pPr>
              <w:pStyle w:val="16"/>
              <w:rPr>
                <w:b/>
              </w:rPr>
            </w:pPr>
            <w:r>
              <w:rPr>
                <w:rFonts w:hint="eastAsia"/>
                <w:b/>
              </w:rPr>
              <w:t>备注</w:t>
            </w:r>
          </w:p>
        </w:tc>
      </w:tr>
      <w:tr w14:paraId="2D37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3" w:type="pct"/>
            <w:shd w:val="clear" w:color="auto" w:fill="auto"/>
            <w:vAlign w:val="center"/>
          </w:tcPr>
          <w:p w14:paraId="2DCD86B4">
            <w:pPr>
              <w:pStyle w:val="16"/>
              <w:numPr>
                <w:ilvl w:val="0"/>
                <w:numId w:val="38"/>
              </w:numPr>
            </w:pPr>
          </w:p>
        </w:tc>
        <w:tc>
          <w:tcPr>
            <w:tcW w:w="710" w:type="pct"/>
            <w:shd w:val="clear" w:color="auto" w:fill="auto"/>
            <w:vAlign w:val="center"/>
          </w:tcPr>
          <w:p w14:paraId="7422CBE0">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专职安全管理人员</w:t>
            </w:r>
          </w:p>
        </w:tc>
        <w:tc>
          <w:tcPr>
            <w:tcW w:w="497" w:type="pct"/>
            <w:shd w:val="clear" w:color="auto" w:fill="auto"/>
            <w:vAlign w:val="center"/>
          </w:tcPr>
          <w:p w14:paraId="1A3004E9">
            <w:pPr>
              <w:pStyle w:val="16"/>
              <w:rPr>
                <w:rFonts w:hint="eastAsia" w:ascii="Times New Roman" w:hAnsi="Times New Roman" w:eastAsia="宋体" w:cs="Times New Roman"/>
                <w:b w:val="0"/>
                <w:color w:val="000000"/>
                <w:kern w:val="2"/>
                <w:sz w:val="21"/>
                <w:szCs w:val="21"/>
                <w:lang w:val="en-US" w:eastAsia="zh-CN" w:bidi="ar-SA"/>
              </w:rPr>
            </w:pPr>
            <w:r>
              <w:rPr>
                <w:rStyle w:val="217"/>
                <w:rFonts w:hint="eastAsia" w:cstheme="minorBidi"/>
                <w:b w:val="0"/>
                <w:i w:val="0"/>
                <w:color w:val="000000"/>
                <w:kern w:val="2"/>
                <w:szCs w:val="21"/>
                <w:lang w:val="en-US" w:eastAsia="zh-CN" w:bidi="ar-SA"/>
              </w:rPr>
              <w:t>刘云祥</w:t>
            </w:r>
          </w:p>
        </w:tc>
        <w:tc>
          <w:tcPr>
            <w:tcW w:w="539" w:type="pct"/>
            <w:shd w:val="clear" w:color="auto" w:fill="auto"/>
            <w:vAlign w:val="center"/>
          </w:tcPr>
          <w:p w14:paraId="41DB03EE">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7D766F28">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负责现场安全管理</w:t>
            </w:r>
          </w:p>
        </w:tc>
        <w:tc>
          <w:tcPr>
            <w:tcW w:w="747" w:type="pct"/>
            <w:shd w:val="clear" w:color="auto" w:fill="auto"/>
            <w:vAlign w:val="center"/>
          </w:tcPr>
          <w:p w14:paraId="7877429C">
            <w:pPr>
              <w:pStyle w:val="16"/>
              <w:rPr>
                <w:rFonts w:hint="eastAsia" w:ascii="Times New Roman" w:hAnsi="Times New Roman" w:eastAsia="宋体" w:cs="Times New Roman"/>
                <w:b w:val="0"/>
                <w:color w:val="000000"/>
                <w:kern w:val="2"/>
                <w:sz w:val="21"/>
                <w:szCs w:val="21"/>
                <w:lang w:val="en-US" w:eastAsia="zh-CN" w:bidi="ar-SA"/>
              </w:rPr>
            </w:pPr>
          </w:p>
        </w:tc>
      </w:tr>
      <w:tr w14:paraId="2B938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1590" w:type="pct"/>
            <w:gridSpan w:val="3"/>
            <w:shd w:val="clear" w:color="auto" w:fill="auto"/>
            <w:vAlign w:val="center"/>
          </w:tcPr>
          <w:p w14:paraId="42F30F41">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总计</w:t>
            </w:r>
          </w:p>
        </w:tc>
        <w:tc>
          <w:tcPr>
            <w:tcW w:w="539" w:type="pct"/>
            <w:shd w:val="clear" w:color="auto" w:fill="auto"/>
            <w:vAlign w:val="center"/>
          </w:tcPr>
          <w:p w14:paraId="3664C2C1">
            <w:pPr>
              <w:pStyle w:val="16"/>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20983170">
            <w:pPr>
              <w:pStyle w:val="16"/>
              <w:rPr>
                <w:rFonts w:hint="eastAsia" w:ascii="Times New Roman" w:hAnsi="Times New Roman" w:eastAsia="宋体" w:cs="Times New Roman"/>
                <w:b w:val="0"/>
                <w:color w:val="000000"/>
                <w:kern w:val="2"/>
                <w:sz w:val="21"/>
                <w:szCs w:val="21"/>
                <w:lang w:val="en-US" w:eastAsia="zh-CN" w:bidi="ar-SA"/>
              </w:rPr>
            </w:pPr>
          </w:p>
        </w:tc>
        <w:tc>
          <w:tcPr>
            <w:tcW w:w="747" w:type="pct"/>
            <w:shd w:val="clear" w:color="auto" w:fill="auto"/>
            <w:vAlign w:val="center"/>
          </w:tcPr>
          <w:p w14:paraId="1A316495">
            <w:pPr>
              <w:pStyle w:val="16"/>
              <w:rPr>
                <w:rFonts w:hint="eastAsia" w:ascii="Times New Roman" w:hAnsi="Times New Roman" w:eastAsia="宋体" w:cs="Times New Roman"/>
                <w:b w:val="0"/>
                <w:color w:val="000000"/>
                <w:kern w:val="2"/>
                <w:sz w:val="21"/>
                <w:szCs w:val="21"/>
                <w:lang w:val="en-US" w:eastAsia="zh-CN" w:bidi="ar-SA"/>
              </w:rPr>
            </w:pPr>
          </w:p>
        </w:tc>
      </w:tr>
    </w:tbl>
    <w:p w14:paraId="5093B041">
      <w:pPr>
        <w:pStyle w:val="15"/>
        <w:rPr>
          <w:rFonts w:hint="eastAsia" w:ascii="Times New Roman" w:hAnsi="Times New Roman" w:eastAsia="宋体" w:cstheme="majorBidi"/>
          <w:b/>
          <w:bCs w:val="0"/>
          <w:kern w:val="2"/>
          <w:sz w:val="21"/>
          <w:szCs w:val="20"/>
          <w:lang w:val="en-US" w:eastAsia="zh-CN" w:bidi="ar-SA"/>
        </w:rPr>
      </w:pPr>
      <w:r>
        <w:rPr>
          <w:rFonts w:hint="eastAsia" w:ascii="Times New Roman" w:hAnsi="Times New Roman" w:eastAsia="宋体" w:cstheme="majorBidi"/>
          <w:b/>
          <w:bCs w:val="0"/>
          <w:kern w:val="2"/>
          <w:sz w:val="21"/>
          <w:szCs w:val="20"/>
          <w:lang w:val="en-US" w:eastAsia="zh-CN" w:bidi="ar-SA"/>
        </w:rPr>
        <w:t>表 7.2-2</w:t>
      </w:r>
      <w:r>
        <w:rPr>
          <w:rFonts w:hint="eastAsia" w:cstheme="majorBidi"/>
          <w:b/>
          <w:bCs w:val="0"/>
          <w:kern w:val="2"/>
          <w:sz w:val="21"/>
          <w:szCs w:val="20"/>
          <w:lang w:val="en-US" w:eastAsia="zh-CN" w:bidi="ar-SA"/>
        </w:rPr>
        <w:t>拆除</w:t>
      </w:r>
      <w:r>
        <w:rPr>
          <w:rFonts w:hint="eastAsia" w:ascii="Times New Roman" w:hAnsi="Times New Roman" w:eastAsia="宋体" w:cstheme="majorBidi"/>
          <w:b/>
          <w:bCs w:val="0"/>
          <w:kern w:val="2"/>
          <w:sz w:val="21"/>
          <w:szCs w:val="20"/>
          <w:lang w:val="en-US" w:eastAsia="zh-CN" w:bidi="ar-SA"/>
        </w:rPr>
        <w:t>专业分包单位管理人员及</w:t>
      </w:r>
      <w:r>
        <w:rPr>
          <w:rFonts w:hint="eastAsia" w:cstheme="majorBidi"/>
          <w:b/>
          <w:bCs w:val="0"/>
          <w:kern w:val="2"/>
          <w:sz w:val="21"/>
          <w:szCs w:val="20"/>
          <w:lang w:val="en-US" w:eastAsia="zh-CN" w:bidi="ar-SA"/>
        </w:rPr>
        <w:t>拆除</w:t>
      </w:r>
      <w:r>
        <w:rPr>
          <w:rFonts w:hint="eastAsia" w:ascii="Times New Roman" w:hAnsi="Times New Roman" w:eastAsia="宋体" w:cstheme="majorBidi"/>
          <w:b/>
          <w:bCs w:val="0"/>
          <w:kern w:val="2"/>
          <w:sz w:val="21"/>
          <w:szCs w:val="20"/>
          <w:lang w:val="en-US" w:eastAsia="zh-CN" w:bidi="ar-SA"/>
        </w:rPr>
        <w:t>人员名单汇总表</w:t>
      </w:r>
    </w:p>
    <w:tbl>
      <w:tblPr>
        <w:tblStyle w:val="15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2143"/>
        <w:gridCol w:w="2181"/>
        <w:gridCol w:w="2106"/>
        <w:gridCol w:w="1834"/>
      </w:tblGrid>
      <w:tr w14:paraId="144E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286" w:type="dxa"/>
            <w:gridSpan w:val="5"/>
            <w:tcBorders>
              <w:tl2br w:val="nil"/>
            </w:tcBorders>
            <w:shd w:val="clear" w:color="auto" w:fill="FFFFFF"/>
            <w:vAlign w:val="center"/>
          </w:tcPr>
          <w:p w14:paraId="3AA6A92D">
            <w:pPr>
              <w:spacing w:line="240" w:lineRule="auto"/>
              <w:ind w:firstLine="0" w:firstLineChars="0"/>
              <w:jc w:val="center"/>
              <w:rPr>
                <w:rStyle w:val="217"/>
                <w:rFonts w:cstheme="minorBidi"/>
                <w:b/>
                <w:bCs/>
                <w:i w:val="0"/>
                <w:color w:val="000000"/>
              </w:rPr>
            </w:pPr>
            <w:r>
              <w:rPr>
                <w:rStyle w:val="217"/>
                <w:rFonts w:hint="eastAsia" w:cstheme="minorBidi"/>
                <w:b/>
                <w:bCs/>
                <w:i w:val="0"/>
                <w:color w:val="000000"/>
              </w:rPr>
              <w:t>拟投入安全管理人员及技术人员名单</w:t>
            </w:r>
          </w:p>
        </w:tc>
      </w:tr>
      <w:tr w14:paraId="6A297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22" w:type="dxa"/>
            <w:shd w:val="clear" w:color="auto" w:fill="FFFFFF"/>
            <w:vAlign w:val="center"/>
          </w:tcPr>
          <w:p w14:paraId="7FD20EA4">
            <w:pPr>
              <w:spacing w:line="240" w:lineRule="auto"/>
              <w:ind w:firstLine="0" w:firstLineChars="0"/>
              <w:jc w:val="center"/>
              <w:rPr>
                <w:rStyle w:val="217"/>
                <w:rFonts w:cstheme="minorBidi"/>
                <w:b/>
                <w:bCs/>
                <w:i w:val="0"/>
                <w:color w:val="000000"/>
              </w:rPr>
            </w:pPr>
            <w:r>
              <w:rPr>
                <w:rStyle w:val="217"/>
                <w:rFonts w:hint="eastAsia" w:cstheme="minorBidi"/>
                <w:b/>
                <w:bCs/>
                <w:i w:val="0"/>
                <w:color w:val="000000"/>
              </w:rPr>
              <w:t>姓名</w:t>
            </w:r>
          </w:p>
        </w:tc>
        <w:tc>
          <w:tcPr>
            <w:tcW w:w="2143" w:type="dxa"/>
            <w:shd w:val="clear" w:color="auto" w:fill="FFFFFF"/>
            <w:vAlign w:val="center"/>
          </w:tcPr>
          <w:p w14:paraId="1258CDFC">
            <w:pPr>
              <w:spacing w:line="240" w:lineRule="auto"/>
              <w:ind w:firstLine="0" w:firstLineChars="0"/>
              <w:jc w:val="center"/>
              <w:rPr>
                <w:rStyle w:val="217"/>
                <w:rFonts w:cstheme="minorBidi"/>
                <w:b/>
                <w:bCs/>
                <w:color w:val="000000"/>
              </w:rPr>
            </w:pPr>
            <w:r>
              <w:rPr>
                <w:rStyle w:val="217"/>
                <w:rFonts w:hint="eastAsia" w:cstheme="minorBidi"/>
                <w:b/>
                <w:bCs/>
                <w:color w:val="000000"/>
              </w:rPr>
              <w:t>职务/工种</w:t>
            </w:r>
          </w:p>
        </w:tc>
        <w:tc>
          <w:tcPr>
            <w:tcW w:w="2181" w:type="dxa"/>
            <w:shd w:val="clear" w:color="auto" w:fill="FFFFFF"/>
            <w:vAlign w:val="center"/>
          </w:tcPr>
          <w:p w14:paraId="796E5DCA">
            <w:pPr>
              <w:spacing w:line="240" w:lineRule="auto"/>
              <w:ind w:firstLine="0" w:firstLineChars="0"/>
              <w:jc w:val="center"/>
              <w:rPr>
                <w:rStyle w:val="217"/>
                <w:rFonts w:cstheme="minorBidi"/>
                <w:b/>
                <w:bCs/>
                <w:color w:val="000000"/>
              </w:rPr>
            </w:pPr>
            <w:r>
              <w:rPr>
                <w:rStyle w:val="217"/>
                <w:rFonts w:hint="eastAsia" w:cstheme="minorBidi"/>
                <w:b/>
                <w:bCs/>
                <w:color w:val="000000"/>
              </w:rPr>
              <w:t>身份证号码</w:t>
            </w:r>
          </w:p>
        </w:tc>
        <w:tc>
          <w:tcPr>
            <w:tcW w:w="0" w:type="auto"/>
            <w:shd w:val="clear" w:color="auto" w:fill="FFFFFF"/>
            <w:vAlign w:val="center"/>
          </w:tcPr>
          <w:p w14:paraId="7C5D1395">
            <w:pPr>
              <w:spacing w:line="240" w:lineRule="auto"/>
              <w:ind w:firstLine="0" w:firstLineChars="0"/>
              <w:jc w:val="center"/>
              <w:rPr>
                <w:rStyle w:val="217"/>
                <w:rFonts w:cstheme="minorBidi"/>
                <w:b/>
                <w:bCs/>
                <w:color w:val="000000"/>
              </w:rPr>
            </w:pPr>
            <w:r>
              <w:rPr>
                <w:rStyle w:val="217"/>
                <w:rFonts w:hint="eastAsia" w:cstheme="minorBidi"/>
                <w:b/>
                <w:bCs/>
                <w:color w:val="000000"/>
              </w:rPr>
              <w:t>作业证号</w:t>
            </w:r>
          </w:p>
        </w:tc>
        <w:tc>
          <w:tcPr>
            <w:tcW w:w="1834" w:type="dxa"/>
            <w:shd w:val="clear" w:color="auto" w:fill="FFFFFF"/>
            <w:vAlign w:val="center"/>
          </w:tcPr>
          <w:p w14:paraId="53F56A1C">
            <w:pPr>
              <w:spacing w:line="240" w:lineRule="auto"/>
              <w:ind w:firstLine="0" w:firstLineChars="0"/>
              <w:jc w:val="center"/>
              <w:rPr>
                <w:rStyle w:val="217"/>
                <w:rFonts w:cstheme="minorBidi"/>
                <w:b/>
                <w:bCs/>
                <w:color w:val="000000"/>
              </w:rPr>
            </w:pPr>
            <w:r>
              <w:rPr>
                <w:rStyle w:val="217"/>
                <w:rFonts w:hint="eastAsia" w:cstheme="minorBidi"/>
                <w:b/>
                <w:bCs/>
                <w:color w:val="000000"/>
              </w:rPr>
              <w:t>工作内容</w:t>
            </w:r>
          </w:p>
        </w:tc>
      </w:tr>
      <w:tr w14:paraId="20977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1497D819">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向月发</w:t>
            </w:r>
          </w:p>
        </w:tc>
        <w:tc>
          <w:tcPr>
            <w:tcW w:w="2143" w:type="dxa"/>
            <w:shd w:val="clear" w:color="auto" w:fill="FFFFFF"/>
            <w:vAlign w:val="center"/>
          </w:tcPr>
          <w:p w14:paraId="042FCCB8">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现场负责人</w:t>
            </w:r>
          </w:p>
        </w:tc>
        <w:tc>
          <w:tcPr>
            <w:tcW w:w="2181" w:type="dxa"/>
            <w:shd w:val="clear" w:color="auto" w:fill="FFFFFF"/>
            <w:vAlign w:val="center"/>
          </w:tcPr>
          <w:p w14:paraId="0C7FA4C4">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500101199308038795</w:t>
            </w:r>
          </w:p>
        </w:tc>
        <w:tc>
          <w:tcPr>
            <w:tcW w:w="2106" w:type="dxa"/>
            <w:shd w:val="clear" w:color="auto" w:fill="FFFFFF"/>
            <w:vAlign w:val="center"/>
          </w:tcPr>
          <w:p w14:paraId="796393F3">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500101199308038795</w:t>
            </w:r>
          </w:p>
        </w:tc>
        <w:tc>
          <w:tcPr>
            <w:tcW w:w="1834" w:type="dxa"/>
            <w:shd w:val="clear" w:color="auto" w:fill="FFFFFF"/>
            <w:vAlign w:val="center"/>
          </w:tcPr>
          <w:p w14:paraId="62EC9E86">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现场拆除管理总负责</w:t>
            </w:r>
          </w:p>
        </w:tc>
      </w:tr>
      <w:tr w14:paraId="1757A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783A5DA">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刘云祥</w:t>
            </w:r>
          </w:p>
        </w:tc>
        <w:tc>
          <w:tcPr>
            <w:tcW w:w="2143" w:type="dxa"/>
            <w:shd w:val="clear" w:color="auto" w:fill="FFFFFF"/>
            <w:vAlign w:val="center"/>
          </w:tcPr>
          <w:p w14:paraId="7BFB3D40">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专职安全管理人员</w:t>
            </w:r>
          </w:p>
        </w:tc>
        <w:tc>
          <w:tcPr>
            <w:tcW w:w="2181" w:type="dxa"/>
            <w:shd w:val="clear" w:color="auto" w:fill="FFFFFF"/>
            <w:vAlign w:val="center"/>
          </w:tcPr>
          <w:p w14:paraId="6343E14D">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ascii="Times New Roman" w:hAnsi="Times New Roman" w:eastAsia="宋体" w:cstheme="minorBidi"/>
                <w:b w:val="0"/>
                <w:i w:val="0"/>
                <w:color w:val="000000"/>
                <w:lang w:val="en-US" w:eastAsia="zh-CN"/>
              </w:rPr>
              <w:t>500381198405126218</w:t>
            </w:r>
          </w:p>
        </w:tc>
        <w:tc>
          <w:tcPr>
            <w:tcW w:w="2106" w:type="dxa"/>
            <w:shd w:val="clear" w:color="auto" w:fill="FFFFFF"/>
            <w:vAlign w:val="center"/>
          </w:tcPr>
          <w:p w14:paraId="7A2E59A3">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ascii="Times New Roman" w:hAnsi="Times New Roman" w:eastAsia="宋体" w:cstheme="minorBidi"/>
                <w:b w:val="0"/>
                <w:i w:val="0"/>
                <w:color w:val="000000"/>
                <w:lang w:val="en-US" w:eastAsia="zh-CN"/>
              </w:rPr>
              <w:t>渝建安C3(2012)0001638</w:t>
            </w:r>
          </w:p>
        </w:tc>
        <w:tc>
          <w:tcPr>
            <w:tcW w:w="1834" w:type="dxa"/>
            <w:shd w:val="clear" w:color="auto" w:fill="FFFFFF"/>
            <w:vAlign w:val="center"/>
          </w:tcPr>
          <w:p w14:paraId="312DBCA5">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负责现场拆除指导及安全管理</w:t>
            </w:r>
          </w:p>
        </w:tc>
      </w:tr>
      <w:tr w14:paraId="70E6C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6" w:type="dxa"/>
            <w:gridSpan w:val="5"/>
            <w:shd w:val="clear" w:color="auto" w:fill="FFFFFF"/>
            <w:vAlign w:val="center"/>
          </w:tcPr>
          <w:p w14:paraId="3530A764">
            <w:pPr>
              <w:spacing w:line="240" w:lineRule="auto"/>
              <w:ind w:firstLine="0" w:firstLineChars="0"/>
              <w:jc w:val="center"/>
              <w:rPr>
                <w:rStyle w:val="217"/>
                <w:rFonts w:cstheme="minorBidi"/>
                <w:b w:val="0"/>
                <w:i w:val="0"/>
                <w:color w:val="000000"/>
              </w:rPr>
            </w:pPr>
            <w:r>
              <w:rPr>
                <w:rStyle w:val="217"/>
                <w:rFonts w:hint="eastAsia" w:cstheme="minorBidi"/>
                <w:b w:val="0"/>
                <w:i w:val="0"/>
                <w:color w:val="000000"/>
              </w:rPr>
              <w:t>安拆施工特种设备作业人员</w:t>
            </w:r>
          </w:p>
        </w:tc>
      </w:tr>
      <w:tr w14:paraId="56334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21A9D83E">
            <w:pPr>
              <w:spacing w:line="240" w:lineRule="auto"/>
              <w:ind w:firstLine="0" w:firstLineChars="0"/>
              <w:jc w:val="center"/>
              <w:rPr>
                <w:rStyle w:val="217"/>
                <w:rFonts w:hint="eastAsia" w:cstheme="minorBidi"/>
                <w:b w:val="0"/>
                <w:i w:val="0"/>
                <w:color w:val="000000"/>
                <w:lang w:val="en-US" w:eastAsia="zh-CN"/>
              </w:rPr>
            </w:pPr>
          </w:p>
        </w:tc>
        <w:tc>
          <w:tcPr>
            <w:tcW w:w="2143" w:type="dxa"/>
            <w:shd w:val="clear" w:color="auto" w:fill="FFFFFF"/>
            <w:vAlign w:val="center"/>
          </w:tcPr>
          <w:p w14:paraId="162CFFF9">
            <w:pPr>
              <w:spacing w:line="240" w:lineRule="auto"/>
              <w:ind w:firstLine="0" w:firstLineChars="0"/>
              <w:jc w:val="center"/>
              <w:rPr>
                <w:rStyle w:val="217"/>
                <w:rFonts w:hint="eastAsia" w:cstheme="minorBidi"/>
                <w:b w:val="0"/>
                <w:color w:val="000000"/>
              </w:rPr>
            </w:pPr>
          </w:p>
        </w:tc>
        <w:tc>
          <w:tcPr>
            <w:tcW w:w="2181" w:type="dxa"/>
            <w:shd w:val="clear" w:color="auto" w:fill="FFFFFF"/>
            <w:vAlign w:val="center"/>
          </w:tcPr>
          <w:p w14:paraId="05DC72EE">
            <w:pPr>
              <w:spacing w:line="240" w:lineRule="auto"/>
              <w:ind w:firstLine="0" w:firstLineChars="0"/>
              <w:jc w:val="center"/>
              <w:rPr>
                <w:rStyle w:val="217"/>
                <w:rFonts w:hint="eastAsia" w:cstheme="minorBidi"/>
                <w:b w:val="0"/>
                <w:color w:val="000000"/>
                <w:lang w:val="en-US" w:eastAsia="zh-CN"/>
              </w:rPr>
            </w:pPr>
          </w:p>
        </w:tc>
        <w:tc>
          <w:tcPr>
            <w:tcW w:w="2106" w:type="dxa"/>
            <w:shd w:val="clear" w:color="auto" w:fill="FFFFFF"/>
            <w:vAlign w:val="center"/>
          </w:tcPr>
          <w:p w14:paraId="09DAEBEC">
            <w:pPr>
              <w:spacing w:line="240" w:lineRule="auto"/>
              <w:ind w:firstLine="0" w:firstLineChars="0"/>
              <w:jc w:val="center"/>
              <w:rPr>
                <w:rStyle w:val="217"/>
                <w:rFonts w:hint="eastAsia" w:cstheme="minorBidi"/>
                <w:b w:val="0"/>
                <w:color w:val="000000"/>
                <w:lang w:val="en-US" w:eastAsia="zh-CN"/>
              </w:rPr>
            </w:pPr>
          </w:p>
        </w:tc>
        <w:tc>
          <w:tcPr>
            <w:tcW w:w="1834" w:type="dxa"/>
            <w:shd w:val="clear" w:color="auto" w:fill="FFFFFF"/>
            <w:vAlign w:val="center"/>
          </w:tcPr>
          <w:p w14:paraId="32D4555C">
            <w:pPr>
              <w:spacing w:line="240" w:lineRule="auto"/>
              <w:ind w:firstLine="0" w:firstLineChars="0"/>
              <w:jc w:val="center"/>
              <w:rPr>
                <w:rStyle w:val="217"/>
                <w:rFonts w:hint="eastAsia" w:cstheme="minorBidi"/>
                <w:b w:val="0"/>
                <w:color w:val="000000"/>
              </w:rPr>
            </w:pPr>
          </w:p>
        </w:tc>
      </w:tr>
      <w:tr w14:paraId="2A50D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081D4FA">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孔令德</w:t>
            </w:r>
          </w:p>
        </w:tc>
        <w:tc>
          <w:tcPr>
            <w:tcW w:w="2143" w:type="dxa"/>
            <w:shd w:val="clear" w:color="auto" w:fill="FFFFFF"/>
            <w:vAlign w:val="center"/>
          </w:tcPr>
          <w:p w14:paraId="2FCB49A2">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5998268A">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500383198609204137</w:t>
            </w:r>
          </w:p>
        </w:tc>
        <w:tc>
          <w:tcPr>
            <w:tcW w:w="2106" w:type="dxa"/>
            <w:shd w:val="clear" w:color="auto" w:fill="FFFFFF"/>
            <w:vAlign w:val="center"/>
          </w:tcPr>
          <w:p w14:paraId="0D6E228D">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黔NO82022013190</w:t>
            </w:r>
          </w:p>
        </w:tc>
        <w:tc>
          <w:tcPr>
            <w:tcW w:w="1834" w:type="dxa"/>
            <w:shd w:val="clear" w:color="auto" w:fill="FFFFFF"/>
            <w:vAlign w:val="center"/>
          </w:tcPr>
          <w:p w14:paraId="157A72FA">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066A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7DEBCA52">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何小兵</w:t>
            </w:r>
          </w:p>
        </w:tc>
        <w:tc>
          <w:tcPr>
            <w:tcW w:w="2143" w:type="dxa"/>
            <w:shd w:val="clear" w:color="auto" w:fill="FFFFFF"/>
            <w:vAlign w:val="center"/>
          </w:tcPr>
          <w:p w14:paraId="687D5BC2">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75CD015C">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513723198610154237</w:t>
            </w:r>
          </w:p>
        </w:tc>
        <w:tc>
          <w:tcPr>
            <w:tcW w:w="2106" w:type="dxa"/>
            <w:shd w:val="clear" w:color="auto" w:fill="FFFFFF"/>
            <w:vAlign w:val="center"/>
          </w:tcPr>
          <w:p w14:paraId="3A8CC0C8">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川Y082020508699</w:t>
            </w:r>
          </w:p>
        </w:tc>
        <w:tc>
          <w:tcPr>
            <w:tcW w:w="1834" w:type="dxa"/>
            <w:shd w:val="clear" w:color="auto" w:fill="FFFFFF"/>
            <w:vAlign w:val="center"/>
          </w:tcPr>
          <w:p w14:paraId="7CD7AF39">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1B2A4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022" w:type="dxa"/>
            <w:shd w:val="clear" w:color="auto" w:fill="FFFFFF"/>
            <w:vAlign w:val="center"/>
          </w:tcPr>
          <w:p w14:paraId="713CB6F5">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薛强</w:t>
            </w:r>
          </w:p>
        </w:tc>
        <w:tc>
          <w:tcPr>
            <w:tcW w:w="2143" w:type="dxa"/>
            <w:shd w:val="clear" w:color="auto" w:fill="FFFFFF"/>
            <w:vAlign w:val="center"/>
          </w:tcPr>
          <w:p w14:paraId="683DF3A3">
            <w:pPr>
              <w:spacing w:line="240" w:lineRule="auto"/>
              <w:ind w:firstLine="0" w:firstLineChars="0"/>
              <w:jc w:val="center"/>
              <w:rPr>
                <w:rStyle w:val="217"/>
                <w:rFonts w:cstheme="minorBidi"/>
                <w:b w:val="0"/>
                <w:color w:val="000000"/>
              </w:rPr>
            </w:pPr>
            <w:r>
              <w:rPr>
                <w:rStyle w:val="217"/>
                <w:rFonts w:hint="eastAsia" w:cstheme="minorBidi"/>
                <w:b w:val="0"/>
                <w:color w:val="000000"/>
              </w:rPr>
              <w:t>建筑起重机械安装拆卸工（塔式起重机）</w:t>
            </w:r>
          </w:p>
        </w:tc>
        <w:tc>
          <w:tcPr>
            <w:tcW w:w="2181" w:type="dxa"/>
            <w:shd w:val="clear" w:color="auto" w:fill="FFFFFF"/>
            <w:vAlign w:val="center"/>
          </w:tcPr>
          <w:p w14:paraId="2177D6B3">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50010219980218783X</w:t>
            </w:r>
          </w:p>
        </w:tc>
        <w:tc>
          <w:tcPr>
            <w:tcW w:w="2106" w:type="dxa"/>
            <w:shd w:val="clear" w:color="auto" w:fill="FFFFFF"/>
            <w:vAlign w:val="center"/>
          </w:tcPr>
          <w:p w14:paraId="7E011F6F">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闵A082018118150</w:t>
            </w:r>
          </w:p>
        </w:tc>
        <w:tc>
          <w:tcPr>
            <w:tcW w:w="1834" w:type="dxa"/>
            <w:shd w:val="clear" w:color="auto" w:fill="FFFFFF"/>
            <w:vAlign w:val="center"/>
          </w:tcPr>
          <w:p w14:paraId="412600DD">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2F8CD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0A235AAD">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方柳</w:t>
            </w:r>
          </w:p>
        </w:tc>
        <w:tc>
          <w:tcPr>
            <w:tcW w:w="2143" w:type="dxa"/>
            <w:shd w:val="clear" w:color="auto" w:fill="FFFFFF"/>
            <w:vAlign w:val="center"/>
          </w:tcPr>
          <w:p w14:paraId="50B124F7">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rPr>
              <w:t>建筑起重机械安装拆卸工（塔式起重机）</w:t>
            </w:r>
          </w:p>
        </w:tc>
        <w:tc>
          <w:tcPr>
            <w:tcW w:w="2181" w:type="dxa"/>
            <w:shd w:val="clear" w:color="auto" w:fill="FFFFFF"/>
            <w:vAlign w:val="center"/>
          </w:tcPr>
          <w:p w14:paraId="53FC6FC4">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500233199502154710</w:t>
            </w:r>
          </w:p>
        </w:tc>
        <w:tc>
          <w:tcPr>
            <w:tcW w:w="2106" w:type="dxa"/>
            <w:shd w:val="clear" w:color="auto" w:fill="FFFFFF"/>
            <w:vAlign w:val="center"/>
          </w:tcPr>
          <w:p w14:paraId="01D12496">
            <w:pPr>
              <w:spacing w:line="240" w:lineRule="auto"/>
              <w:ind w:firstLine="0" w:firstLineChars="0"/>
              <w:jc w:val="center"/>
              <w:rPr>
                <w:rStyle w:val="217"/>
                <w:rFonts w:hint="default" w:ascii="Times New Roman" w:hAnsi="Times New Roman" w:eastAsia="宋体" w:cstheme="minorBidi"/>
                <w:b w:val="0"/>
                <w:color w:val="000000"/>
                <w:lang w:val="en-US" w:eastAsia="zh-CN"/>
              </w:rPr>
            </w:pPr>
            <w:r>
              <w:rPr>
                <w:rStyle w:val="217"/>
                <w:rFonts w:hint="eastAsia" w:ascii="Times New Roman" w:hAnsi="Times New Roman" w:eastAsia="宋体" w:cstheme="minorBidi"/>
                <w:b w:val="0"/>
                <w:color w:val="000000"/>
                <w:lang w:val="en-US" w:eastAsia="zh-CN"/>
              </w:rPr>
              <w:t>渝A082023002288</w:t>
            </w:r>
          </w:p>
        </w:tc>
        <w:tc>
          <w:tcPr>
            <w:tcW w:w="1834" w:type="dxa"/>
            <w:shd w:val="clear" w:color="auto" w:fill="FFFFFF"/>
            <w:vAlign w:val="center"/>
          </w:tcPr>
          <w:p w14:paraId="4FCD1906">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5DD9D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5750EF4A">
            <w:pPr>
              <w:spacing w:line="240" w:lineRule="auto"/>
              <w:ind w:firstLine="0" w:firstLineChars="0"/>
              <w:jc w:val="center"/>
              <w:rPr>
                <w:rStyle w:val="217"/>
                <w:rFonts w:hint="eastAsia" w:eastAsia="宋体" w:cstheme="minorBidi"/>
                <w:b w:val="0"/>
                <w:i w:val="0"/>
                <w:color w:val="000000"/>
                <w:lang w:val="en-US" w:eastAsia="zh-CN"/>
              </w:rPr>
            </w:pPr>
            <w:r>
              <w:rPr>
                <w:rStyle w:val="217"/>
                <w:rFonts w:hint="eastAsia" w:cstheme="minorBidi"/>
                <w:b w:val="0"/>
                <w:i w:val="0"/>
                <w:color w:val="000000"/>
                <w:lang w:val="en-US" w:eastAsia="zh-CN"/>
              </w:rPr>
              <w:t>向杰</w:t>
            </w:r>
          </w:p>
        </w:tc>
        <w:tc>
          <w:tcPr>
            <w:tcW w:w="2143" w:type="dxa"/>
            <w:shd w:val="clear" w:color="auto" w:fill="FFFFFF"/>
            <w:vAlign w:val="center"/>
          </w:tcPr>
          <w:p w14:paraId="3E1D55D4">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司索工</w:t>
            </w:r>
          </w:p>
        </w:tc>
        <w:tc>
          <w:tcPr>
            <w:tcW w:w="2181" w:type="dxa"/>
            <w:shd w:val="clear" w:color="auto" w:fill="FFFFFF"/>
            <w:vAlign w:val="center"/>
          </w:tcPr>
          <w:p w14:paraId="1D7E4364">
            <w:pPr>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Style w:val="217"/>
                <w:rFonts w:hint="eastAsia" w:cstheme="minorBidi"/>
                <w:b w:val="0"/>
                <w:color w:val="000000"/>
                <w:lang w:val="en-US" w:eastAsia="zh-CN"/>
              </w:rPr>
              <w:t>510525199407268857</w:t>
            </w:r>
          </w:p>
        </w:tc>
        <w:tc>
          <w:tcPr>
            <w:tcW w:w="2106" w:type="dxa"/>
            <w:shd w:val="clear" w:color="auto" w:fill="FFFFFF"/>
            <w:vAlign w:val="center"/>
          </w:tcPr>
          <w:p w14:paraId="0E192315">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510525199407268857</w:t>
            </w:r>
          </w:p>
        </w:tc>
        <w:tc>
          <w:tcPr>
            <w:tcW w:w="1834" w:type="dxa"/>
            <w:shd w:val="clear" w:color="auto" w:fill="FFFFFF"/>
            <w:vAlign w:val="center"/>
          </w:tcPr>
          <w:p w14:paraId="66E5F9EF">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40E1E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68B3FB79">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吴永强</w:t>
            </w:r>
          </w:p>
        </w:tc>
        <w:tc>
          <w:tcPr>
            <w:tcW w:w="2143" w:type="dxa"/>
            <w:shd w:val="clear" w:color="auto" w:fill="FFFFFF"/>
            <w:vAlign w:val="center"/>
          </w:tcPr>
          <w:p w14:paraId="77248EA1">
            <w:pPr>
              <w:spacing w:line="240" w:lineRule="auto"/>
              <w:ind w:firstLine="0" w:firstLineChars="0"/>
              <w:jc w:val="center"/>
              <w:rPr>
                <w:rStyle w:val="217"/>
                <w:rFonts w:cstheme="minorBidi"/>
                <w:b w:val="0"/>
                <w:color w:val="000000"/>
              </w:rPr>
            </w:pPr>
            <w:r>
              <w:rPr>
                <w:rStyle w:val="217"/>
                <w:rFonts w:hint="eastAsia" w:cstheme="minorBidi"/>
                <w:b w:val="0"/>
                <w:color w:val="000000"/>
                <w:lang w:val="en-US" w:eastAsia="zh-CN"/>
              </w:rPr>
              <w:t>塔机司机</w:t>
            </w:r>
          </w:p>
        </w:tc>
        <w:tc>
          <w:tcPr>
            <w:tcW w:w="2181" w:type="dxa"/>
            <w:shd w:val="clear" w:color="auto" w:fill="FFFFFF"/>
            <w:vAlign w:val="center"/>
          </w:tcPr>
          <w:p w14:paraId="4BFE17B6">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513722199810077297</w:t>
            </w:r>
          </w:p>
        </w:tc>
        <w:tc>
          <w:tcPr>
            <w:tcW w:w="2106" w:type="dxa"/>
            <w:shd w:val="clear" w:color="auto" w:fill="FFFFFF"/>
            <w:vAlign w:val="center"/>
          </w:tcPr>
          <w:p w14:paraId="1AD45656">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鲁G052023002114</w:t>
            </w:r>
          </w:p>
        </w:tc>
        <w:tc>
          <w:tcPr>
            <w:tcW w:w="1834" w:type="dxa"/>
            <w:shd w:val="clear" w:color="auto" w:fill="FFFFFF"/>
            <w:vAlign w:val="center"/>
          </w:tcPr>
          <w:p w14:paraId="02664BCB">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负责设备安拆调试及维保</w:t>
            </w:r>
          </w:p>
        </w:tc>
      </w:tr>
      <w:tr w14:paraId="49E61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48EFC4A">
            <w:pPr>
              <w:spacing w:line="240" w:lineRule="auto"/>
              <w:ind w:firstLine="0" w:firstLineChars="0"/>
              <w:jc w:val="center"/>
              <w:rPr>
                <w:rStyle w:val="217"/>
                <w:rFonts w:hint="default" w:eastAsia="宋体" w:cstheme="minorBidi"/>
                <w:b w:val="0"/>
                <w:i w:val="0"/>
                <w:color w:val="000000"/>
                <w:lang w:val="en-US" w:eastAsia="zh-CN"/>
              </w:rPr>
            </w:pPr>
            <w:r>
              <w:rPr>
                <w:rStyle w:val="217"/>
                <w:rFonts w:hint="eastAsia" w:cstheme="minorBidi"/>
                <w:b w:val="0"/>
                <w:i w:val="0"/>
                <w:color w:val="000000"/>
                <w:lang w:val="en-US" w:eastAsia="zh-CN"/>
              </w:rPr>
              <w:t>冯昌苹</w:t>
            </w:r>
          </w:p>
        </w:tc>
        <w:tc>
          <w:tcPr>
            <w:tcW w:w="2143" w:type="dxa"/>
            <w:shd w:val="clear" w:color="auto" w:fill="FFFFFF"/>
            <w:vAlign w:val="center"/>
          </w:tcPr>
          <w:p w14:paraId="7C888F8F">
            <w:pPr>
              <w:spacing w:line="240" w:lineRule="auto"/>
              <w:ind w:firstLine="0" w:firstLineChars="0"/>
              <w:jc w:val="center"/>
              <w:rPr>
                <w:rStyle w:val="217"/>
                <w:rFonts w:cstheme="minorBidi"/>
                <w:b w:val="0"/>
                <w:color w:val="000000"/>
              </w:rPr>
            </w:pPr>
            <w:r>
              <w:rPr>
                <w:rStyle w:val="217"/>
                <w:rFonts w:hint="eastAsia" w:cstheme="minorBidi"/>
                <w:b w:val="0"/>
                <w:color w:val="000000"/>
              </w:rPr>
              <w:t>建筑电工（维保人员）</w:t>
            </w:r>
          </w:p>
        </w:tc>
        <w:tc>
          <w:tcPr>
            <w:tcW w:w="2181" w:type="dxa"/>
            <w:shd w:val="clear" w:color="auto" w:fill="FFFFFF"/>
            <w:vAlign w:val="center"/>
          </w:tcPr>
          <w:p w14:paraId="6224A99F">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50010219870521175X</w:t>
            </w:r>
          </w:p>
        </w:tc>
        <w:tc>
          <w:tcPr>
            <w:tcW w:w="2106" w:type="dxa"/>
            <w:shd w:val="clear" w:color="auto" w:fill="FFFFFF"/>
            <w:vAlign w:val="center"/>
          </w:tcPr>
          <w:p w14:paraId="5FFFE1B5">
            <w:pPr>
              <w:spacing w:line="240" w:lineRule="auto"/>
              <w:ind w:firstLine="0" w:firstLineChars="0"/>
              <w:jc w:val="center"/>
              <w:rPr>
                <w:rStyle w:val="217"/>
                <w:rFonts w:hint="default" w:cstheme="minorBidi"/>
                <w:b w:val="0"/>
                <w:color w:val="000000"/>
                <w:lang w:val="en-US" w:eastAsia="zh-CN"/>
              </w:rPr>
            </w:pPr>
            <w:r>
              <w:rPr>
                <w:rStyle w:val="217"/>
                <w:rFonts w:hint="eastAsia" w:cstheme="minorBidi"/>
                <w:b w:val="0"/>
                <w:color w:val="000000"/>
                <w:lang w:val="en-US" w:eastAsia="zh-CN"/>
              </w:rPr>
              <w:t>渝A012023001394</w:t>
            </w:r>
          </w:p>
          <w:p w14:paraId="6AD7B1D9">
            <w:pPr>
              <w:spacing w:line="240" w:lineRule="auto"/>
              <w:ind w:firstLine="0" w:firstLineChars="0"/>
              <w:jc w:val="center"/>
              <w:rPr>
                <w:rStyle w:val="217"/>
                <w:rFonts w:hint="default" w:eastAsia="宋体" w:cstheme="minorBidi"/>
                <w:b w:val="0"/>
                <w:color w:val="000000"/>
                <w:lang w:val="en-US" w:eastAsia="zh-CN"/>
              </w:rPr>
            </w:pPr>
            <w:r>
              <w:rPr>
                <w:rStyle w:val="217"/>
                <w:rFonts w:hint="eastAsia" w:cstheme="minorBidi"/>
                <w:b w:val="0"/>
                <w:color w:val="000000"/>
                <w:lang w:val="en-US" w:eastAsia="zh-CN"/>
              </w:rPr>
              <w:t>琼D012023038090</w:t>
            </w:r>
          </w:p>
        </w:tc>
        <w:tc>
          <w:tcPr>
            <w:tcW w:w="1834" w:type="dxa"/>
            <w:shd w:val="clear" w:color="auto" w:fill="FFFFFF"/>
            <w:vAlign w:val="center"/>
          </w:tcPr>
          <w:p w14:paraId="04E108A7">
            <w:pPr>
              <w:spacing w:line="240" w:lineRule="auto"/>
              <w:ind w:firstLine="0" w:firstLineChars="0"/>
              <w:jc w:val="center"/>
              <w:rPr>
                <w:rStyle w:val="217"/>
                <w:rFonts w:cstheme="minorBidi"/>
                <w:b w:val="0"/>
                <w:color w:val="000000"/>
              </w:rPr>
            </w:pPr>
            <w:r>
              <w:rPr>
                <w:rStyle w:val="217"/>
                <w:rFonts w:hint="eastAsia" w:cstheme="minorBidi"/>
                <w:b w:val="0"/>
                <w:color w:val="000000"/>
              </w:rPr>
              <w:t>负责设备安拆电气调试及维保</w:t>
            </w:r>
          </w:p>
        </w:tc>
      </w:tr>
    </w:tbl>
    <w:p w14:paraId="548E9C5B">
      <w:pPr>
        <w:pStyle w:val="2"/>
        <w:bidi w:val="0"/>
        <w:ind w:left="432" w:leftChars="0" w:hanging="432" w:firstLineChars="0"/>
        <w:rPr>
          <w:rFonts w:hint="eastAsia"/>
        </w:rPr>
      </w:pPr>
      <w:bookmarkStart w:id="157" w:name="_Toc31233"/>
      <w:bookmarkStart w:id="158" w:name="_Toc24755"/>
      <w:bookmarkStart w:id="159" w:name="_Toc5273"/>
      <w:r>
        <w:rPr>
          <w:rFonts w:hint="eastAsia"/>
        </w:rPr>
        <w:t>应急处置措施</w:t>
      </w:r>
      <w:bookmarkEnd w:id="157"/>
      <w:bookmarkEnd w:id="158"/>
      <w:bookmarkEnd w:id="159"/>
    </w:p>
    <w:p w14:paraId="7023A6E6">
      <w:pPr>
        <w:pStyle w:val="3"/>
        <w:bidi w:val="0"/>
        <w:ind w:left="575" w:leftChars="0" w:hanging="575" w:firstLineChars="0"/>
        <w:rPr>
          <w:b/>
          <w:bCs w:val="0"/>
          <w:sz w:val="28"/>
          <w:szCs w:val="28"/>
        </w:rPr>
      </w:pPr>
      <w:bookmarkStart w:id="160" w:name="_Toc27559"/>
      <w:bookmarkStart w:id="161" w:name="_Toc28613977"/>
      <w:bookmarkStart w:id="162" w:name="_Toc121344359"/>
      <w:bookmarkStart w:id="163" w:name="_Toc26906"/>
      <w:bookmarkStart w:id="164" w:name="_Toc31572"/>
      <w:bookmarkStart w:id="165" w:name="_Toc102825399"/>
      <w:bookmarkStart w:id="166" w:name="_Toc40778454"/>
      <w:bookmarkStart w:id="167" w:name="_Toc102481275"/>
      <w:bookmarkStart w:id="168" w:name="_Toc23556"/>
      <w:bookmarkStart w:id="169" w:name="_Toc102481224"/>
      <w:r>
        <w:rPr>
          <w:rFonts w:hint="eastAsia"/>
          <w:b/>
          <w:bCs w:val="0"/>
          <w:sz w:val="28"/>
          <w:szCs w:val="28"/>
        </w:rPr>
        <w:t>组织机构</w:t>
      </w:r>
      <w:bookmarkEnd w:id="160"/>
      <w:bookmarkEnd w:id="161"/>
      <w:bookmarkEnd w:id="162"/>
      <w:bookmarkEnd w:id="163"/>
      <w:bookmarkEnd w:id="164"/>
      <w:bookmarkEnd w:id="165"/>
      <w:bookmarkEnd w:id="166"/>
      <w:bookmarkEnd w:id="167"/>
      <w:bookmarkEnd w:id="168"/>
      <w:bookmarkEnd w:id="169"/>
    </w:p>
    <w:p w14:paraId="4AA9CE7E">
      <w:pPr>
        <w:ind w:firstLine="480"/>
        <w:rPr>
          <w:rFonts w:hint="eastAsia"/>
        </w:rPr>
      </w:pPr>
      <w:r>
        <w:rPr>
          <w:rFonts w:hint="eastAsia"/>
        </w:rPr>
        <w:t>根据本施工工程成立</w:t>
      </w:r>
      <w:r>
        <w:rPr>
          <w:rFonts w:hint="eastAsia"/>
          <w:lang w:val="en-US" w:eastAsia="zh-CN"/>
        </w:rPr>
        <w:t>应急</w:t>
      </w:r>
      <w:r>
        <w:rPr>
          <w:rFonts w:hint="eastAsia"/>
        </w:rPr>
        <w:t>管理组织机构，其人员组成、工作职责详见表</w:t>
      </w:r>
      <w:r>
        <w:rPr>
          <w:rFonts w:hint="eastAsia"/>
          <w:lang w:val="en-US" w:eastAsia="zh-CN"/>
        </w:rPr>
        <w:t>8</w:t>
      </w:r>
      <w:r>
        <w:rPr>
          <w:rFonts w:hint="eastAsia"/>
        </w:rPr>
        <w:t>.1-1所示.</w:t>
      </w:r>
    </w:p>
    <w:p w14:paraId="47F82D11">
      <w:pPr>
        <w:pStyle w:val="15"/>
        <w:rPr>
          <w:rFonts w:hint="eastAsia"/>
        </w:rPr>
      </w:pPr>
      <w:r>
        <w:rPr>
          <w:rFonts w:hint="eastAsia"/>
        </w:rPr>
        <w:t>表</w:t>
      </w:r>
      <w:r>
        <w:rPr>
          <w:rFonts w:hint="eastAsia"/>
          <w:lang w:val="en-US" w:eastAsia="zh-CN"/>
        </w:rPr>
        <w:t>8</w:t>
      </w:r>
      <w:r>
        <w:rPr>
          <w:rFonts w:hint="eastAsia"/>
        </w:rPr>
        <w:t>.1-1</w:t>
      </w:r>
      <w:r>
        <w:rPr>
          <w:rFonts w:hint="eastAsia"/>
          <w:lang w:val="en-US" w:eastAsia="zh-CN"/>
        </w:rPr>
        <w:t>应急</w:t>
      </w:r>
      <w:r>
        <w:rPr>
          <w:rFonts w:hint="eastAsia"/>
        </w:rPr>
        <w:t>管理组织机构</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B6BB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1143559">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05DEC902">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081DE0B3">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EC83BAC">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16F6845C">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CE46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7D55F54">
            <w:pPr>
              <w:numPr>
                <w:ilvl w:val="0"/>
                <w:numId w:val="39"/>
              </w:numPr>
              <w:spacing w:line="240" w:lineRule="auto"/>
              <w:ind w:left="240" w:leftChars="0" w:firstLineChars="0"/>
              <w:jc w:val="center"/>
              <w:rPr>
                <w:sz w:val="21"/>
              </w:rPr>
            </w:pPr>
          </w:p>
        </w:tc>
        <w:tc>
          <w:tcPr>
            <w:tcW w:w="1261" w:type="pct"/>
            <w:shd w:val="clear" w:color="auto" w:fill="auto"/>
            <w:vAlign w:val="center"/>
          </w:tcPr>
          <w:p w14:paraId="3AAC2F24">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03DA1A82">
            <w:pPr>
              <w:pStyle w:val="16"/>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6997916F">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61C28C24">
            <w:pPr>
              <w:spacing w:line="240" w:lineRule="auto"/>
              <w:ind w:firstLine="0" w:firstLineChars="0"/>
              <w:jc w:val="center"/>
              <w:rPr>
                <w:sz w:val="21"/>
              </w:rPr>
            </w:pPr>
          </w:p>
        </w:tc>
      </w:tr>
      <w:tr w14:paraId="3C18E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88AA939">
            <w:pPr>
              <w:numPr>
                <w:ilvl w:val="0"/>
                <w:numId w:val="39"/>
              </w:numPr>
              <w:spacing w:line="240" w:lineRule="auto"/>
              <w:ind w:left="240" w:leftChars="0" w:firstLineChars="0"/>
              <w:jc w:val="center"/>
              <w:rPr>
                <w:sz w:val="21"/>
              </w:rPr>
            </w:pPr>
          </w:p>
        </w:tc>
        <w:tc>
          <w:tcPr>
            <w:tcW w:w="1261" w:type="pct"/>
            <w:shd w:val="clear" w:color="auto" w:fill="auto"/>
            <w:vAlign w:val="center"/>
          </w:tcPr>
          <w:p w14:paraId="65205471">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796447C">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592CA731">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168448CE">
            <w:pPr>
              <w:spacing w:line="240" w:lineRule="auto"/>
              <w:ind w:firstLine="0" w:firstLineChars="0"/>
              <w:jc w:val="center"/>
              <w:rPr>
                <w:sz w:val="21"/>
              </w:rPr>
            </w:pPr>
          </w:p>
        </w:tc>
      </w:tr>
      <w:tr w14:paraId="7D740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92D4425">
            <w:pPr>
              <w:numPr>
                <w:ilvl w:val="0"/>
                <w:numId w:val="39"/>
              </w:numPr>
              <w:spacing w:line="240" w:lineRule="auto"/>
              <w:ind w:left="240" w:leftChars="0" w:firstLineChars="0"/>
              <w:jc w:val="center"/>
              <w:rPr>
                <w:sz w:val="21"/>
              </w:rPr>
            </w:pPr>
          </w:p>
        </w:tc>
        <w:tc>
          <w:tcPr>
            <w:tcW w:w="1261" w:type="pct"/>
            <w:shd w:val="clear" w:color="auto" w:fill="auto"/>
            <w:vAlign w:val="center"/>
          </w:tcPr>
          <w:p w14:paraId="45884DAE">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4AD0C6BF">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3BD1E2E5">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15637474">
            <w:pPr>
              <w:spacing w:line="240" w:lineRule="auto"/>
              <w:ind w:firstLine="0" w:firstLineChars="0"/>
              <w:jc w:val="center"/>
              <w:rPr>
                <w:sz w:val="21"/>
              </w:rPr>
            </w:pPr>
          </w:p>
        </w:tc>
      </w:tr>
      <w:tr w14:paraId="6284B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4185D0A">
            <w:pPr>
              <w:numPr>
                <w:ilvl w:val="0"/>
                <w:numId w:val="39"/>
              </w:numPr>
              <w:spacing w:line="240" w:lineRule="auto"/>
              <w:ind w:left="240" w:leftChars="0" w:firstLineChars="0"/>
              <w:jc w:val="center"/>
              <w:rPr>
                <w:sz w:val="21"/>
              </w:rPr>
            </w:pPr>
          </w:p>
        </w:tc>
        <w:tc>
          <w:tcPr>
            <w:tcW w:w="1261" w:type="pct"/>
            <w:shd w:val="clear" w:color="auto" w:fill="auto"/>
            <w:vAlign w:val="center"/>
          </w:tcPr>
          <w:p w14:paraId="3A600C2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0F3E3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658450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BB9B38A">
            <w:pPr>
              <w:spacing w:line="240" w:lineRule="auto"/>
              <w:ind w:firstLine="0" w:firstLineChars="0"/>
              <w:jc w:val="center"/>
              <w:rPr>
                <w:sz w:val="21"/>
              </w:rPr>
            </w:pPr>
          </w:p>
        </w:tc>
      </w:tr>
      <w:tr w14:paraId="2EB43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2E0BD3C">
            <w:pPr>
              <w:numPr>
                <w:ilvl w:val="0"/>
                <w:numId w:val="39"/>
              </w:numPr>
              <w:spacing w:line="240" w:lineRule="auto"/>
              <w:ind w:left="240" w:leftChars="0" w:firstLineChars="0"/>
              <w:jc w:val="center"/>
              <w:rPr>
                <w:sz w:val="21"/>
              </w:rPr>
            </w:pPr>
          </w:p>
        </w:tc>
        <w:tc>
          <w:tcPr>
            <w:tcW w:w="1261" w:type="pct"/>
            <w:shd w:val="clear" w:color="auto" w:fill="auto"/>
            <w:vAlign w:val="center"/>
          </w:tcPr>
          <w:p w14:paraId="3D5E0AD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62A8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D668E5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44A2FD25">
            <w:pPr>
              <w:spacing w:line="240" w:lineRule="auto"/>
              <w:ind w:firstLine="0" w:firstLineChars="0"/>
              <w:jc w:val="center"/>
              <w:rPr>
                <w:sz w:val="21"/>
              </w:rPr>
            </w:pPr>
          </w:p>
        </w:tc>
      </w:tr>
      <w:tr w14:paraId="43233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774A0AEC">
            <w:pPr>
              <w:numPr>
                <w:ilvl w:val="0"/>
                <w:numId w:val="39"/>
              </w:numPr>
              <w:spacing w:line="240" w:lineRule="auto"/>
              <w:ind w:left="240" w:leftChars="0" w:firstLineChars="0"/>
              <w:jc w:val="center"/>
              <w:rPr>
                <w:sz w:val="21"/>
              </w:rPr>
            </w:pPr>
          </w:p>
        </w:tc>
        <w:tc>
          <w:tcPr>
            <w:tcW w:w="1261" w:type="pct"/>
            <w:shd w:val="clear" w:color="auto" w:fill="auto"/>
            <w:vAlign w:val="center"/>
          </w:tcPr>
          <w:p w14:paraId="4CA32FB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69577C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448A017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BB7E9D5">
            <w:pPr>
              <w:spacing w:line="240" w:lineRule="auto"/>
              <w:ind w:firstLine="0" w:firstLineChars="0"/>
              <w:jc w:val="center"/>
              <w:rPr>
                <w:sz w:val="21"/>
              </w:rPr>
            </w:pPr>
          </w:p>
        </w:tc>
      </w:tr>
      <w:tr w14:paraId="7497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DEA431">
            <w:pPr>
              <w:numPr>
                <w:ilvl w:val="0"/>
                <w:numId w:val="39"/>
              </w:numPr>
              <w:spacing w:line="240" w:lineRule="auto"/>
              <w:ind w:left="240" w:leftChars="0" w:firstLineChars="0"/>
              <w:jc w:val="center"/>
              <w:rPr>
                <w:sz w:val="21"/>
              </w:rPr>
            </w:pPr>
          </w:p>
        </w:tc>
        <w:tc>
          <w:tcPr>
            <w:tcW w:w="1261" w:type="pct"/>
            <w:shd w:val="clear" w:color="auto" w:fill="auto"/>
            <w:vAlign w:val="center"/>
          </w:tcPr>
          <w:p w14:paraId="2E5AAB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E4CFE3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74D8BF2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F0FE7D8">
            <w:pPr>
              <w:spacing w:line="240" w:lineRule="auto"/>
              <w:ind w:firstLine="0" w:firstLineChars="0"/>
              <w:jc w:val="center"/>
              <w:rPr>
                <w:sz w:val="21"/>
              </w:rPr>
            </w:pPr>
          </w:p>
        </w:tc>
      </w:tr>
      <w:tr w14:paraId="149EC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D733F78">
            <w:pPr>
              <w:numPr>
                <w:ilvl w:val="0"/>
                <w:numId w:val="39"/>
              </w:numPr>
              <w:spacing w:line="240" w:lineRule="auto"/>
              <w:ind w:left="240" w:leftChars="0" w:firstLineChars="0"/>
              <w:jc w:val="center"/>
              <w:rPr>
                <w:sz w:val="21"/>
              </w:rPr>
            </w:pPr>
          </w:p>
        </w:tc>
        <w:tc>
          <w:tcPr>
            <w:tcW w:w="1261" w:type="pct"/>
            <w:shd w:val="clear" w:color="auto" w:fill="auto"/>
            <w:vAlign w:val="center"/>
          </w:tcPr>
          <w:p w14:paraId="6F8B33F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2BBA0D7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15C238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4B06D81F">
            <w:pPr>
              <w:spacing w:line="240" w:lineRule="auto"/>
              <w:ind w:firstLine="0" w:firstLineChars="0"/>
              <w:jc w:val="center"/>
              <w:rPr>
                <w:sz w:val="21"/>
              </w:rPr>
            </w:pPr>
          </w:p>
        </w:tc>
      </w:tr>
      <w:tr w14:paraId="6C725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A90A6D8">
            <w:pPr>
              <w:numPr>
                <w:ilvl w:val="0"/>
                <w:numId w:val="39"/>
              </w:numPr>
              <w:spacing w:line="240" w:lineRule="auto"/>
              <w:ind w:left="240" w:leftChars="0" w:firstLineChars="0"/>
              <w:jc w:val="center"/>
              <w:rPr>
                <w:sz w:val="21"/>
              </w:rPr>
            </w:pPr>
          </w:p>
        </w:tc>
        <w:tc>
          <w:tcPr>
            <w:tcW w:w="1261" w:type="pct"/>
            <w:shd w:val="clear" w:color="auto" w:fill="auto"/>
            <w:vAlign w:val="center"/>
          </w:tcPr>
          <w:p w14:paraId="6482A3E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52B4CFD7">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0FFE4C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进行操作。严守操作规程，严格安照日常保养维护检查，确保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71BC5772">
            <w:pPr>
              <w:spacing w:line="240" w:lineRule="auto"/>
              <w:ind w:firstLine="0" w:firstLineChars="0"/>
              <w:jc w:val="center"/>
              <w:rPr>
                <w:sz w:val="21"/>
              </w:rPr>
            </w:pPr>
          </w:p>
        </w:tc>
      </w:tr>
      <w:tr w14:paraId="5B53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44B8547">
            <w:pPr>
              <w:numPr>
                <w:ilvl w:val="0"/>
                <w:numId w:val="39"/>
              </w:numPr>
              <w:spacing w:line="240" w:lineRule="auto"/>
              <w:ind w:left="240" w:leftChars="0" w:firstLineChars="0"/>
              <w:jc w:val="center"/>
              <w:rPr>
                <w:sz w:val="21"/>
              </w:rPr>
            </w:pPr>
          </w:p>
        </w:tc>
        <w:tc>
          <w:tcPr>
            <w:tcW w:w="1261" w:type="pct"/>
            <w:shd w:val="clear" w:color="auto" w:fill="auto"/>
            <w:vAlign w:val="center"/>
          </w:tcPr>
          <w:p w14:paraId="18B2231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481568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65B1607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01917585">
            <w:pPr>
              <w:spacing w:line="240" w:lineRule="auto"/>
              <w:ind w:firstLine="0" w:firstLineChars="0"/>
              <w:jc w:val="center"/>
              <w:rPr>
                <w:sz w:val="21"/>
              </w:rPr>
            </w:pPr>
          </w:p>
        </w:tc>
      </w:tr>
    </w:tbl>
    <w:p w14:paraId="0FC4629F">
      <w:pPr>
        <w:pStyle w:val="4"/>
        <w:bidi w:val="0"/>
        <w:ind w:left="720" w:leftChars="0" w:hanging="720" w:firstLineChars="0"/>
        <w:rPr>
          <w:rFonts w:hint="eastAsia"/>
          <w:b/>
          <w:bCs w:val="0"/>
          <w:lang w:val="en-US" w:eastAsia="zh-CN"/>
        </w:rPr>
      </w:pPr>
      <w:r>
        <w:rPr>
          <w:rFonts w:hint="eastAsia"/>
          <w:b/>
          <w:bCs w:val="0"/>
          <w:lang w:val="en-US" w:eastAsia="zh-CN"/>
        </w:rPr>
        <w:t>应急响应程序</w:t>
      </w:r>
    </w:p>
    <w:p w14:paraId="03B0DD2B">
      <w:pPr>
        <w:ind w:firstLine="480"/>
      </w:pPr>
      <w:r>
        <w:rPr>
          <w:rFonts w:hint="eastAsia"/>
        </w:rPr>
        <w:t>事故应急救援系统的应急响应程序按照过程可分为接警、响应级别的确定、应急启动、救援行动、应急恢复和应急结束等几个过程。</w:t>
      </w:r>
    </w:p>
    <w:p w14:paraId="41D653ED">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14:paraId="75407664">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43BCBE60">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5BA9E327">
      <w:pPr>
        <w:pStyle w:val="4"/>
        <w:bidi w:val="0"/>
        <w:ind w:left="720" w:leftChars="0" w:hanging="720" w:firstLineChars="0"/>
        <w:rPr>
          <w:rFonts w:hint="eastAsia"/>
          <w:b/>
          <w:bCs w:val="0"/>
          <w:lang w:val="en-US" w:eastAsia="zh-CN"/>
        </w:rPr>
      </w:pPr>
      <w:r>
        <w:rPr>
          <w:rFonts w:hint="eastAsia"/>
          <w:b/>
          <w:bCs w:val="0"/>
          <w:lang w:val="en-US" w:eastAsia="zh-CN"/>
        </w:rPr>
        <w:t>应急处置程序</w:t>
      </w:r>
    </w:p>
    <w:p w14:paraId="1E5D8B70">
      <w:pPr>
        <w:ind w:firstLine="480"/>
      </w:pPr>
      <w:r>
        <w:rPr>
          <w:rFonts w:hint="eastAsia"/>
        </w:rPr>
        <w:t>施工过程中事故发生，应急处置流程见下图：</w:t>
      </w:r>
    </w:p>
    <w:p w14:paraId="28938409">
      <w:pPr>
        <w:pStyle w:val="15"/>
        <w:bidi w:val="0"/>
      </w:pPr>
      <w:r>
        <w:rPr>
          <w:rFonts w:hint="eastAsia"/>
        </w:rPr>
        <w:object>
          <v:shape id="_x0000_i1026" o:spt="75" type="#_x0000_t75" style="height:317.45pt;width:366.25pt;" o:ole="t" filled="f" o:preferrelative="t" stroked="f" coordsize="21600,21600">
            <v:path/>
            <v:fill on="f" focussize="0,0"/>
            <v:stroke on="f" joinstyle="miter"/>
            <v:imagedata r:id="rId53" o:title=""/>
            <o:lock v:ext="edit" aspectratio="f"/>
            <w10:wrap type="none"/>
            <w10:anchorlock/>
          </v:shape>
          <o:OLEObject Type="Embed" ProgID="Visio.Drawing.15" ShapeID="_x0000_i1026" DrawAspect="Content" ObjectID="_1468075726">
            <o:LockedField>false</o:LockedField>
          </o:OLEObject>
        </w:object>
      </w:r>
    </w:p>
    <w:p w14:paraId="6233A2E2">
      <w:pPr>
        <w:pStyle w:val="15"/>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8.1.2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事故应急处置流程</w:t>
      </w:r>
    </w:p>
    <w:p w14:paraId="63AC582D">
      <w:pPr>
        <w:pStyle w:val="4"/>
        <w:bidi w:val="0"/>
        <w:ind w:left="720" w:leftChars="0" w:hanging="720" w:firstLineChars="0"/>
        <w:rPr>
          <w:rFonts w:hint="eastAsia"/>
          <w:b/>
          <w:bCs w:val="0"/>
          <w:lang w:val="en-US" w:eastAsia="zh-CN"/>
        </w:rPr>
      </w:pPr>
      <w:r>
        <w:rPr>
          <w:rFonts w:hint="eastAsia"/>
          <w:b/>
          <w:bCs w:val="0"/>
          <w:lang w:val="en-US" w:eastAsia="zh-CN"/>
        </w:rPr>
        <w:t>事故报告及内容</w:t>
      </w:r>
    </w:p>
    <w:p w14:paraId="02494B1D">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E888552">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567FF227">
      <w:pPr>
        <w:pStyle w:val="71"/>
        <w:widowControl/>
        <w:numPr>
          <w:ilvl w:val="0"/>
          <w:numId w:val="0"/>
        </w:numPr>
        <w:adjustRightInd w:val="0"/>
        <w:snapToGrid w:val="0"/>
        <w:ind w:leftChars="200"/>
        <w:jc w:val="both"/>
      </w:pPr>
      <w:r>
        <w:rPr>
          <w:rFonts w:hint="eastAsia"/>
        </w:rPr>
        <w:t>生产安全事故报告内容包括：</w:t>
      </w:r>
    </w:p>
    <w:p w14:paraId="10B31E12">
      <w:pPr>
        <w:pStyle w:val="71"/>
        <w:widowControl/>
        <w:numPr>
          <w:ilvl w:val="0"/>
          <w:numId w:val="40"/>
        </w:numPr>
        <w:adjustRightInd w:val="0"/>
        <w:snapToGrid w:val="0"/>
        <w:ind w:left="0" w:firstLine="480" w:firstLineChars="200"/>
        <w:jc w:val="both"/>
      </w:pPr>
      <w:r>
        <w:rPr>
          <w:rFonts w:hint="eastAsia"/>
        </w:rPr>
        <w:t>事故发生单位概况；</w:t>
      </w:r>
    </w:p>
    <w:p w14:paraId="3ABFF951">
      <w:pPr>
        <w:pStyle w:val="71"/>
        <w:widowControl/>
        <w:numPr>
          <w:ilvl w:val="0"/>
          <w:numId w:val="40"/>
        </w:numPr>
        <w:adjustRightInd w:val="0"/>
        <w:snapToGrid w:val="0"/>
        <w:ind w:left="0" w:firstLine="480" w:firstLineChars="200"/>
        <w:jc w:val="both"/>
      </w:pPr>
      <w:r>
        <w:rPr>
          <w:rFonts w:hint="eastAsia"/>
        </w:rPr>
        <w:t>事故发生的时间、地点以及事故现场情况；</w:t>
      </w:r>
    </w:p>
    <w:p w14:paraId="5E1D2990">
      <w:pPr>
        <w:pStyle w:val="71"/>
        <w:widowControl/>
        <w:numPr>
          <w:ilvl w:val="0"/>
          <w:numId w:val="40"/>
        </w:numPr>
        <w:adjustRightInd w:val="0"/>
        <w:snapToGrid w:val="0"/>
        <w:ind w:left="0" w:firstLine="480" w:firstLineChars="200"/>
        <w:jc w:val="both"/>
      </w:pPr>
      <w:r>
        <w:rPr>
          <w:rFonts w:hint="eastAsia"/>
        </w:rPr>
        <w:t>事故的简要经过；</w:t>
      </w:r>
    </w:p>
    <w:p w14:paraId="4EB0D6F6">
      <w:pPr>
        <w:pStyle w:val="71"/>
        <w:widowControl/>
        <w:numPr>
          <w:ilvl w:val="0"/>
          <w:numId w:val="40"/>
        </w:numPr>
        <w:adjustRightInd w:val="0"/>
        <w:snapToGrid w:val="0"/>
        <w:ind w:left="0" w:firstLine="480" w:firstLineChars="200"/>
        <w:jc w:val="both"/>
      </w:pPr>
      <w:r>
        <w:rPr>
          <w:rFonts w:hint="eastAsia"/>
        </w:rPr>
        <w:t>事故已经造成或者可能造成的伤亡人数和初步估计的直接经济损失；</w:t>
      </w:r>
    </w:p>
    <w:p w14:paraId="217E43B0">
      <w:pPr>
        <w:pStyle w:val="71"/>
        <w:widowControl/>
        <w:numPr>
          <w:ilvl w:val="0"/>
          <w:numId w:val="40"/>
        </w:numPr>
        <w:adjustRightInd w:val="0"/>
        <w:snapToGrid w:val="0"/>
        <w:ind w:left="0" w:firstLine="480" w:firstLineChars="200"/>
        <w:jc w:val="both"/>
      </w:pPr>
      <w:r>
        <w:rPr>
          <w:rFonts w:hint="eastAsia"/>
        </w:rPr>
        <w:t>已经采取的措施；</w:t>
      </w:r>
    </w:p>
    <w:p w14:paraId="5848E6E0">
      <w:pPr>
        <w:pStyle w:val="71"/>
        <w:widowControl/>
        <w:numPr>
          <w:ilvl w:val="0"/>
          <w:numId w:val="40"/>
        </w:numPr>
        <w:adjustRightInd w:val="0"/>
        <w:snapToGrid w:val="0"/>
        <w:ind w:left="0" w:firstLine="480" w:firstLineChars="200"/>
        <w:jc w:val="both"/>
      </w:pPr>
      <w:r>
        <w:rPr>
          <w:rFonts w:hint="eastAsia"/>
        </w:rPr>
        <w:t>其他应当报告的情况。</w:t>
      </w:r>
    </w:p>
    <w:p w14:paraId="3A2C0864">
      <w:pPr>
        <w:pStyle w:val="3"/>
        <w:bidi w:val="0"/>
        <w:ind w:left="575" w:leftChars="0" w:hanging="575" w:firstLineChars="0"/>
        <w:rPr>
          <w:b/>
          <w:bCs w:val="0"/>
          <w:sz w:val="28"/>
          <w:szCs w:val="28"/>
        </w:rPr>
      </w:pPr>
      <w:bookmarkStart w:id="170" w:name="_Toc22714"/>
      <w:bookmarkStart w:id="171" w:name="_Toc121344361"/>
      <w:bookmarkStart w:id="172" w:name="_Toc102481226"/>
      <w:bookmarkStart w:id="173" w:name="_Toc3539"/>
      <w:bookmarkStart w:id="174" w:name="_Toc102481277"/>
      <w:bookmarkStart w:id="175" w:name="_Toc102825401"/>
      <w:bookmarkStart w:id="176" w:name="_Toc8308"/>
      <w:bookmarkStart w:id="177" w:name="_Toc22646"/>
      <w:bookmarkStart w:id="178" w:name="_Toc40778456"/>
      <w:r>
        <w:rPr>
          <w:rFonts w:hint="eastAsia"/>
          <w:b/>
          <w:bCs w:val="0"/>
          <w:sz w:val="28"/>
          <w:szCs w:val="28"/>
        </w:rPr>
        <w:t>应急处置措施</w:t>
      </w:r>
      <w:bookmarkEnd w:id="170"/>
      <w:bookmarkEnd w:id="171"/>
      <w:bookmarkEnd w:id="172"/>
      <w:bookmarkEnd w:id="173"/>
      <w:bookmarkEnd w:id="174"/>
      <w:bookmarkEnd w:id="175"/>
      <w:bookmarkEnd w:id="176"/>
      <w:bookmarkEnd w:id="177"/>
      <w:bookmarkEnd w:id="178"/>
    </w:p>
    <w:p w14:paraId="51CBAC4B">
      <w:pPr>
        <w:pStyle w:val="4"/>
        <w:bidi w:val="0"/>
        <w:ind w:left="720" w:leftChars="0" w:hanging="720" w:firstLineChars="0"/>
        <w:rPr>
          <w:rFonts w:hint="eastAsia"/>
          <w:b/>
          <w:bCs w:val="0"/>
          <w:lang w:val="en-US" w:eastAsia="zh-CN"/>
        </w:rPr>
      </w:pPr>
      <w:bookmarkStart w:id="179" w:name="_Toc113272900"/>
      <w:bookmarkStart w:id="180" w:name="_Toc113274132"/>
      <w:r>
        <w:rPr>
          <w:rFonts w:hint="eastAsia"/>
          <w:b/>
          <w:bCs w:val="0"/>
          <w:lang w:val="en-US" w:eastAsia="zh-CN"/>
        </w:rPr>
        <w:t>高处坠落应急处置措施</w:t>
      </w:r>
      <w:bookmarkEnd w:id="179"/>
      <w:bookmarkEnd w:id="180"/>
    </w:p>
    <w:p w14:paraId="37A28240">
      <w:pPr>
        <w:pStyle w:val="71"/>
        <w:numPr>
          <w:ilvl w:val="5"/>
          <w:numId w:val="41"/>
        </w:numPr>
        <w:ind w:firstLine="480"/>
        <w:jc w:val="both"/>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F6A2426">
      <w:pPr>
        <w:pStyle w:val="71"/>
        <w:numPr>
          <w:ilvl w:val="5"/>
          <w:numId w:val="42"/>
        </w:numPr>
        <w:ind w:firstLine="480"/>
        <w:jc w:val="both"/>
        <w:rPr>
          <w:color w:val="000000" w:themeColor="text1"/>
          <w14:textFill>
            <w14:solidFill>
              <w14:schemeClr w14:val="tx1"/>
            </w14:solidFill>
          </w14:textFill>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14:textFill>
            <w14:solidFill>
              <w14:schemeClr w14:val="tx1"/>
            </w14:solidFill>
          </w14:textFill>
        </w:rPr>
        <w:t>等覆盖伤口，用绷带或布条包扎后，及时送就近医院治疗。</w:t>
      </w:r>
    </w:p>
    <w:p w14:paraId="31A6DD78">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颌面部伤员首先应保持呼吸道畅通，清除移位的组织碎片、血凝块、口腔分泌物等，同时松解伤员的颈、胸部纽扣。</w:t>
      </w:r>
    </w:p>
    <w:p w14:paraId="3C2F9A30">
      <w:pPr>
        <w:pStyle w:val="71"/>
        <w:numPr>
          <w:ilvl w:val="5"/>
          <w:numId w:val="42"/>
        </w:numPr>
        <w:ind w:firstLine="480"/>
        <w:jc w:val="both"/>
      </w:pPr>
      <w:r>
        <w:rPr>
          <w:rFonts w:hint="eastAsia"/>
          <w:color w:val="000000" w:themeColor="text1"/>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rPr>
        <w:t>抬伤者的两肩与两腿或单肩背运。</w:t>
      </w:r>
    </w:p>
    <w:p w14:paraId="76F0B37E">
      <w:pPr>
        <w:pStyle w:val="71"/>
        <w:numPr>
          <w:ilvl w:val="5"/>
          <w:numId w:val="42"/>
        </w:numPr>
        <w:ind w:firstLine="480"/>
        <w:jc w:val="both"/>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5C98764C">
      <w:pPr>
        <w:pStyle w:val="71"/>
        <w:numPr>
          <w:ilvl w:val="5"/>
          <w:numId w:val="42"/>
        </w:numPr>
        <w:ind w:firstLine="480"/>
        <w:jc w:val="both"/>
      </w:pPr>
      <w:r>
        <w:rPr>
          <w:rFonts w:hint="eastAsia"/>
        </w:rPr>
        <w:t>复合伤要求平仰卧位，保持呼吸道畅通，解开衣领扣。</w:t>
      </w:r>
    </w:p>
    <w:p w14:paraId="4C77C825">
      <w:pPr>
        <w:pStyle w:val="71"/>
        <w:numPr>
          <w:ilvl w:val="5"/>
          <w:numId w:val="42"/>
        </w:numPr>
        <w:ind w:firstLine="480"/>
        <w:jc w:val="both"/>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5CE41FCD">
      <w:pPr>
        <w:pStyle w:val="71"/>
        <w:numPr>
          <w:ilvl w:val="5"/>
          <w:numId w:val="42"/>
        </w:numPr>
        <w:ind w:firstLine="480"/>
        <w:jc w:val="both"/>
      </w:pPr>
      <w:r>
        <w:rPr>
          <w:rFonts w:hint="eastAsia"/>
        </w:rPr>
        <w:t>配合上级主管部门和调查组开展调查处理，并做好伤员及家属善后工作。</w:t>
      </w:r>
    </w:p>
    <w:p w14:paraId="74B58A5A">
      <w:pPr>
        <w:pStyle w:val="4"/>
        <w:bidi w:val="0"/>
        <w:ind w:left="720" w:leftChars="0" w:hanging="720" w:firstLineChars="0"/>
        <w:rPr>
          <w:rFonts w:hint="eastAsia"/>
          <w:b/>
          <w:bCs w:val="0"/>
          <w:lang w:val="en-US" w:eastAsia="zh-CN"/>
        </w:rPr>
      </w:pPr>
      <w:bookmarkStart w:id="181" w:name="_Toc113272901"/>
      <w:bookmarkStart w:id="182" w:name="_Toc113274133"/>
      <w:r>
        <w:rPr>
          <w:rFonts w:hint="eastAsia"/>
          <w:b/>
          <w:bCs w:val="0"/>
          <w:lang w:val="en-US" w:eastAsia="zh-CN"/>
        </w:rPr>
        <w:t>物体打击应急处置措施</w:t>
      </w:r>
      <w:bookmarkEnd w:id="181"/>
      <w:bookmarkEnd w:id="182"/>
    </w:p>
    <w:p w14:paraId="5BA7842C">
      <w:pPr>
        <w:pStyle w:val="71"/>
        <w:numPr>
          <w:ilvl w:val="5"/>
          <w:numId w:val="43"/>
        </w:numPr>
        <w:ind w:firstLine="480"/>
        <w:jc w:val="both"/>
      </w:pPr>
      <w:r>
        <w:rPr>
          <w:rFonts w:hint="eastAsia"/>
        </w:rPr>
        <w:t>当发生物体打击事故时，根据现场和受伤者的伤情的具体情况，立即打“120”急救电话，详细报告事故发生地址、人员受伤的情况和可能需要配合救援的设备。</w:t>
      </w:r>
    </w:p>
    <w:p w14:paraId="3993E841">
      <w:pPr>
        <w:pStyle w:val="71"/>
        <w:numPr>
          <w:ilvl w:val="5"/>
          <w:numId w:val="42"/>
        </w:numPr>
        <w:ind w:firstLine="480"/>
        <w:jc w:val="both"/>
      </w:pPr>
      <w:r>
        <w:rPr>
          <w:rFonts w:hint="eastAsia"/>
        </w:rPr>
        <w:t>在急救中心专业人员未到达之前，应根据事故现场的整体情况、位置和伤者的伤情、部位，在排除人为加重伤者伤情的情况下，立即组织人员进行抢救。</w:t>
      </w:r>
    </w:p>
    <w:p w14:paraId="589C68B7">
      <w:pPr>
        <w:pStyle w:val="71"/>
        <w:numPr>
          <w:ilvl w:val="5"/>
          <w:numId w:val="42"/>
        </w:numPr>
        <w:ind w:firstLine="480"/>
        <w:jc w:val="both"/>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2BD1BD06">
      <w:pPr>
        <w:pStyle w:val="71"/>
        <w:numPr>
          <w:ilvl w:val="5"/>
          <w:numId w:val="42"/>
        </w:numPr>
        <w:ind w:firstLine="480"/>
        <w:jc w:val="both"/>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60A0E9C">
      <w:pPr>
        <w:pStyle w:val="71"/>
        <w:numPr>
          <w:ilvl w:val="5"/>
          <w:numId w:val="42"/>
        </w:numPr>
        <w:ind w:firstLine="480"/>
        <w:jc w:val="both"/>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D37181A">
      <w:pPr>
        <w:pStyle w:val="71"/>
        <w:numPr>
          <w:ilvl w:val="5"/>
          <w:numId w:val="42"/>
        </w:numPr>
        <w:ind w:firstLine="480"/>
        <w:jc w:val="both"/>
      </w:pPr>
      <w:r>
        <w:rPr>
          <w:rFonts w:hint="eastAsia"/>
        </w:rPr>
        <w:t>发现伤者手足骨折或其他部位骨折的，不要盲目搬动伤者，应在骨折部位用夹板临时固定，使断端不再移位或刺伤肌肉、神经或血管。</w:t>
      </w:r>
    </w:p>
    <w:p w14:paraId="5A81184B">
      <w:pPr>
        <w:pStyle w:val="71"/>
        <w:numPr>
          <w:ilvl w:val="5"/>
          <w:numId w:val="42"/>
        </w:numPr>
        <w:ind w:firstLine="480"/>
        <w:jc w:val="both"/>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24832C46">
      <w:pPr>
        <w:pStyle w:val="71"/>
        <w:numPr>
          <w:ilvl w:val="5"/>
          <w:numId w:val="42"/>
        </w:numPr>
        <w:ind w:firstLine="480"/>
        <w:jc w:val="both"/>
      </w:pPr>
      <w:r>
        <w:rPr>
          <w:rFonts w:hint="eastAsia"/>
        </w:rPr>
        <w:t>在施救的同时应尽快送往就近医院；伤者送往医院抢救时，途中尽量减少颠簸，同时，密切注意伤者的呼吸、脉搏、血压及伤口的情况。</w:t>
      </w:r>
    </w:p>
    <w:p w14:paraId="685F2297">
      <w:pPr>
        <w:pStyle w:val="71"/>
        <w:numPr>
          <w:ilvl w:val="5"/>
          <w:numId w:val="42"/>
        </w:numPr>
        <w:ind w:firstLine="480"/>
        <w:jc w:val="both"/>
      </w:pPr>
      <w:r>
        <w:rPr>
          <w:rFonts w:hint="eastAsia"/>
        </w:rPr>
        <w:t>如因长方形构件（钢管）打击（压倒）致伤，要根据现场的实际情况迅速调动起重机、手提点工具等机械设备配合施救。</w:t>
      </w:r>
    </w:p>
    <w:p w14:paraId="42BA91A2">
      <w:pPr>
        <w:pStyle w:val="71"/>
        <w:numPr>
          <w:ilvl w:val="5"/>
          <w:numId w:val="42"/>
        </w:numPr>
        <w:ind w:firstLine="480"/>
        <w:jc w:val="both"/>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7DC382F">
      <w:pPr>
        <w:pStyle w:val="4"/>
        <w:bidi w:val="0"/>
        <w:ind w:left="720" w:leftChars="0" w:hanging="720" w:firstLineChars="0"/>
        <w:rPr>
          <w:rFonts w:hint="eastAsia"/>
          <w:b/>
          <w:bCs w:val="0"/>
          <w:lang w:val="en-US" w:eastAsia="zh-CN"/>
        </w:rPr>
      </w:pPr>
      <w:bookmarkStart w:id="183" w:name="_Toc113272902"/>
      <w:bookmarkStart w:id="184" w:name="_Toc113274134"/>
      <w:r>
        <w:rPr>
          <w:rFonts w:hint="eastAsia"/>
          <w:b/>
          <w:bCs w:val="0"/>
          <w:lang w:val="en-US" w:eastAsia="zh-CN"/>
        </w:rPr>
        <w:t>起重伤害应急处置措施</w:t>
      </w:r>
      <w:bookmarkEnd w:id="183"/>
      <w:bookmarkEnd w:id="184"/>
    </w:p>
    <w:p w14:paraId="3118B867">
      <w:pPr>
        <w:pStyle w:val="71"/>
        <w:numPr>
          <w:ilvl w:val="5"/>
          <w:numId w:val="44"/>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起重伤害事故目击者应高声呼救，并立即向安全人员报告，各单位其他管理人员也都有认真接收报告和向上级反映事故情况的责任。</w:t>
      </w:r>
    </w:p>
    <w:p w14:paraId="57004450">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事故发生后，应立即向当地救援机构、公安部门求援。</w:t>
      </w:r>
    </w:p>
    <w:p w14:paraId="0B41642B">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14:paraId="5291C866">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3BF85718">
      <w:pPr>
        <w:pStyle w:val="71"/>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安全人员做好应急状态下现场所有设施和物资的安全，支援和保障现场抢救组的工作，负责事故现场的保护，并检查事故现场有无其它安全隐患。</w:t>
      </w:r>
    </w:p>
    <w:p w14:paraId="37C7A746">
      <w:pPr>
        <w:pStyle w:val="4"/>
        <w:bidi w:val="0"/>
        <w:ind w:left="720" w:leftChars="0" w:hanging="720" w:firstLineChars="0"/>
        <w:rPr>
          <w:rFonts w:hint="eastAsia"/>
          <w:b/>
          <w:bCs w:val="0"/>
          <w:lang w:val="en-US" w:eastAsia="zh-CN"/>
        </w:rPr>
      </w:pPr>
      <w:r>
        <w:rPr>
          <w:rFonts w:hint="eastAsia"/>
          <w:b/>
          <w:bCs w:val="0"/>
          <w:lang w:val="en-US" w:eastAsia="zh-CN"/>
        </w:rPr>
        <w:t>触电事故应急处置措施</w:t>
      </w:r>
    </w:p>
    <w:p w14:paraId="3C7FB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14:paraId="55144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14:paraId="1EC47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05595A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732983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9EAA2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248A6E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14:paraId="0CFD4661">
      <w:pPr>
        <w:pStyle w:val="4"/>
        <w:bidi w:val="0"/>
        <w:ind w:left="720" w:leftChars="0" w:hanging="720" w:firstLineChars="0"/>
        <w:rPr>
          <w:rFonts w:hint="eastAsia"/>
          <w:b/>
          <w:bCs w:val="0"/>
          <w:lang w:val="en-US" w:eastAsia="zh-CN"/>
        </w:rPr>
      </w:pPr>
      <w:r>
        <w:rPr>
          <w:rFonts w:hint="eastAsia"/>
          <w:b/>
          <w:bCs w:val="0"/>
          <w:lang w:val="en-US" w:eastAsia="zh-CN"/>
        </w:rPr>
        <w:t>机械伤害应急处置措施</w:t>
      </w:r>
    </w:p>
    <w:p w14:paraId="3FC5C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9C311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14:paraId="33FC3D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46EA63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14:paraId="1BF49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FC757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14:paraId="299541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019E8A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14:paraId="20E33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14:paraId="7CE6E0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14:paraId="2FA44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54C94B3F">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14:paraId="5D1B2454">
      <w:pPr>
        <w:ind w:firstLine="480"/>
      </w:pPr>
      <w:r>
        <w:rPr>
          <w:rFonts w:hint="eastAsia"/>
        </w:rPr>
        <w:t>a.让伤者躺下，用一块纱布或清洁布块(如翻出干净手帕的内面)，放在断肢伤口上，再用绷带固定位置。如果找不到绷带，也可用围巾包扎。</w:t>
      </w:r>
    </w:p>
    <w:p w14:paraId="04360ECD">
      <w:pPr>
        <w:ind w:firstLine="480"/>
      </w:pPr>
      <w:r>
        <w:rPr>
          <w:rFonts w:hint="eastAsia"/>
        </w:rPr>
        <w:t>b.如是手臂切断，用绷带把断臂挂在胸前，固定位置；若是一条腿断了，则与另一条腿扎在一起。</w:t>
      </w:r>
    </w:p>
    <w:p w14:paraId="28341224">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14:paraId="0B82C6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AC83C42">
      <w:pPr>
        <w:ind w:firstLine="480"/>
      </w:pPr>
      <w:r>
        <w:rPr>
          <w:rFonts w:hint="eastAsia"/>
        </w:rPr>
        <w:t>e.离断后的伤肢，如有少许皮肤或其他肌腱相连，不能将其离断，应放在夹板或阔竹片上，然后包扎，立即送到医院作紧急处理。</w:t>
      </w:r>
    </w:p>
    <w:p w14:paraId="66D0B099">
      <w:pPr>
        <w:ind w:firstLine="480"/>
      </w:pPr>
      <w:r>
        <w:rPr>
          <w:rFonts w:hint="eastAsia"/>
        </w:rPr>
        <w:t>f.严禁在离断伤肢(指)的断端涂抹各种药物及药水(包括消毒剂)，更不能涂抹牙膏、灶灰之类试图止血。</w:t>
      </w:r>
    </w:p>
    <w:p w14:paraId="7BDB651E">
      <w:pPr>
        <w:ind w:firstLine="480"/>
      </w:pPr>
      <w:r>
        <w:rPr>
          <w:rFonts w:hint="eastAsia"/>
        </w:rPr>
        <w:t>（5）一般性外伤</w:t>
      </w:r>
    </w:p>
    <w:p w14:paraId="2022C6AE">
      <w:pPr>
        <w:ind w:firstLine="480"/>
      </w:pPr>
      <w:r>
        <w:rPr>
          <w:rFonts w:hint="eastAsia"/>
        </w:rPr>
        <w:t>a.视伤情送往医院，防止破伤风。</w:t>
      </w:r>
    </w:p>
    <w:p w14:paraId="26009593">
      <w:pPr>
        <w:ind w:firstLine="480"/>
      </w:pPr>
      <w:r>
        <w:rPr>
          <w:rFonts w:hint="eastAsia"/>
        </w:rPr>
        <w:t>b.轻微内伤，送医院检查。</w:t>
      </w:r>
    </w:p>
    <w:p w14:paraId="23FEEEA5">
      <w:pPr>
        <w:pStyle w:val="4"/>
        <w:bidi w:val="0"/>
        <w:ind w:left="720" w:leftChars="0" w:hanging="720" w:firstLineChars="0"/>
        <w:rPr>
          <w:rFonts w:hint="eastAsia"/>
          <w:b/>
          <w:bCs w:val="0"/>
          <w:lang w:val="en-US" w:eastAsia="zh-CN"/>
        </w:rPr>
      </w:pPr>
      <w:r>
        <w:rPr>
          <w:rFonts w:hint="eastAsia"/>
          <w:b/>
          <w:bCs w:val="0"/>
          <w:lang w:val="en-US" w:eastAsia="zh-CN"/>
        </w:rPr>
        <w:t>落水人员应急处置措施</w:t>
      </w:r>
    </w:p>
    <w:p w14:paraId="74143EE4">
      <w:pPr>
        <w:ind w:firstLine="480"/>
      </w:pPr>
      <w:r>
        <w:rPr>
          <w:rFonts w:hint="eastAsia"/>
        </w:rPr>
        <w:t>（1）交通船舶必须符合水上航行安全要求，备妥救生工具如救生衣、救生圈、救生竹篙等救生器材。</w:t>
      </w:r>
    </w:p>
    <w:p w14:paraId="5C4CC016">
      <w:pPr>
        <w:ind w:firstLine="480"/>
      </w:pPr>
      <w:r>
        <w:rPr>
          <w:rFonts w:hint="eastAsia"/>
        </w:rPr>
        <w:t>（2）水上施工作业及船上流动作业人员应按规定穿着救生衣。符合高处作业条件的，还应按高处作业的规定系好安全带。</w:t>
      </w:r>
    </w:p>
    <w:p w14:paraId="4382C4B4">
      <w:pPr>
        <w:ind w:firstLine="480"/>
      </w:pPr>
      <w:r>
        <w:rPr>
          <w:rFonts w:hint="eastAsia"/>
        </w:rPr>
        <w:t>（3）交通船必须按定员，不准超载。乘坐人员应听从船员的指挥，船到位后，应待靠稳拴牢方可上、下。不得抢上抢下或船未靠稳就跳船。</w:t>
      </w:r>
    </w:p>
    <w:p w14:paraId="1A1CE2B7">
      <w:pPr>
        <w:ind w:firstLine="480"/>
      </w:pPr>
      <w:r>
        <w:rPr>
          <w:rFonts w:hint="eastAsia"/>
        </w:rPr>
        <w:t>（4）乘坐人员应听从船员的指挥，自觉入舱，不得站立和坐骑在船头、船尾和船帮上，遇有风浪时，船上乘坐人员不得来回走动。非本船驾驶人员严禁擅自操作。</w:t>
      </w:r>
    </w:p>
    <w:p w14:paraId="61D4A7DE">
      <w:pPr>
        <w:ind w:firstLine="480"/>
      </w:pPr>
      <w:r>
        <w:rPr>
          <w:rFonts w:hint="eastAsia"/>
        </w:rPr>
        <w:t>（5）施工人员应开展游泳培训，加强自救和互救的能力。</w:t>
      </w:r>
    </w:p>
    <w:p w14:paraId="51C37FAB">
      <w:pPr>
        <w:ind w:firstLine="480"/>
      </w:pPr>
      <w:r>
        <w:rPr>
          <w:rFonts w:hint="eastAsia"/>
        </w:rPr>
        <w:t>（6）人员上下通道必须设安全网，跳板要固定。作业平台应满铺脚手板，周边必须有栏杆和安全网等可靠的临边维护。</w:t>
      </w:r>
    </w:p>
    <w:p w14:paraId="4AE19EF8">
      <w:pPr>
        <w:ind w:firstLine="480"/>
      </w:pPr>
      <w:r>
        <w:rPr>
          <w:rFonts w:hint="eastAsia"/>
        </w:rPr>
        <w:t>（7）作业平台上应配置足够数量的救生圈等救生设备，并配备一定数量的固定式防水灯，保证夜间足够的照明。</w:t>
      </w:r>
    </w:p>
    <w:p w14:paraId="6B2E037F">
      <w:pPr>
        <w:ind w:firstLine="480"/>
      </w:pPr>
      <w:r>
        <w:rPr>
          <w:rFonts w:hint="eastAsia"/>
        </w:rPr>
        <w:t>（8）作业平台上设置多条安全通道，以防不测时人员迅速疏散。</w:t>
      </w:r>
    </w:p>
    <w:p w14:paraId="5F6BEDEE">
      <w:pPr>
        <w:pStyle w:val="4"/>
        <w:bidi w:val="0"/>
        <w:ind w:left="720" w:leftChars="0" w:hanging="720" w:firstLineChars="0"/>
        <w:rPr>
          <w:rFonts w:hint="eastAsia"/>
          <w:b/>
          <w:bCs w:val="0"/>
          <w:lang w:val="en-US" w:eastAsia="zh-CN"/>
        </w:rPr>
      </w:pPr>
      <w:r>
        <w:rPr>
          <w:rFonts w:hint="eastAsia"/>
          <w:b/>
          <w:bCs w:val="0"/>
          <w:lang w:val="en-US" w:eastAsia="zh-CN"/>
        </w:rPr>
        <w:t>坍塌事故现场处置</w:t>
      </w:r>
    </w:p>
    <w:p w14:paraId="2AD66E6C">
      <w:pPr>
        <w:ind w:firstLine="480"/>
      </w:pPr>
      <w:r>
        <w:rPr>
          <w:rFonts w:hint="eastAsia"/>
        </w:rPr>
        <w:t>（1）坍塌事故发生后，事故现场有关人员立即向周围人员呼救，同时向现场负责人报告，现场负责人立即向现场处置小组报告，并立即到达事故现场。</w:t>
      </w:r>
    </w:p>
    <w:p w14:paraId="27643CDA">
      <w:pPr>
        <w:ind w:firstLine="480"/>
      </w:pPr>
      <w:r>
        <w:rPr>
          <w:rFonts w:hint="eastAsia"/>
        </w:rPr>
        <w:t>（2）有人员被压埋，事故现场人员主动积极抢救被压埋人员。</w:t>
      </w:r>
    </w:p>
    <w:p w14:paraId="17CD2441">
      <w:pPr>
        <w:ind w:firstLine="480"/>
      </w:pPr>
      <w:r>
        <w:rPr>
          <w:rFonts w:hint="eastAsia"/>
        </w:rPr>
        <w:t>（3）现场处置小组到达事故现场后，立即启动应急预案，发出命令，应急小组履行职责，疏散无关人员。</w:t>
      </w:r>
    </w:p>
    <w:p w14:paraId="3B86DC32">
      <w:pPr>
        <w:ind w:firstLine="480"/>
      </w:pPr>
      <w:r>
        <w:rPr>
          <w:rFonts w:hint="eastAsia"/>
        </w:rPr>
        <w:t>（4）现场指挥人员及时拨打急救中心电话，医务人员赶到现场抢救受伤人员。</w:t>
      </w:r>
    </w:p>
    <w:p w14:paraId="5422AEBD">
      <w:pPr>
        <w:ind w:firstLine="480"/>
      </w:pPr>
      <w:r>
        <w:rPr>
          <w:rFonts w:hint="eastAsia"/>
        </w:rPr>
        <w:t>（5）抢救中如遇到坍塌物人工搬运有困难时，现场指挥人员调集吊车进行吊运，在接近被压埋人员时停止机械作业，改用人工清理，防止误伤被压埋人员。</w:t>
      </w:r>
    </w:p>
    <w:p w14:paraId="58B72B3A">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14:paraId="6DA92F3B">
      <w:pPr>
        <w:ind w:firstLine="480"/>
      </w:pPr>
      <w:r>
        <w:rPr>
          <w:rFonts w:hint="eastAsia"/>
        </w:rPr>
        <w:t>（7）注意保护事故现场，对相关信息和证据进行收集整理，做好事故调查工作。</w:t>
      </w:r>
    </w:p>
    <w:p w14:paraId="477C9879">
      <w:pPr>
        <w:ind w:firstLine="480"/>
      </w:pPr>
      <w:r>
        <w:rPr>
          <w:rFonts w:hint="eastAsia"/>
        </w:rPr>
        <w:t>（8）救援人员要严格遵守安全操作规程，加强自我保护，确保应急救援人身和财产安全。</w:t>
      </w:r>
    </w:p>
    <w:p w14:paraId="59C1464E">
      <w:pPr>
        <w:pStyle w:val="4"/>
        <w:bidi w:val="0"/>
        <w:ind w:left="720" w:leftChars="0" w:hanging="720" w:firstLineChars="0"/>
        <w:rPr>
          <w:rFonts w:hint="eastAsia"/>
          <w:b/>
          <w:bCs w:val="0"/>
          <w:lang w:val="en-US" w:eastAsia="zh-CN"/>
        </w:rPr>
      </w:pPr>
      <w:r>
        <w:rPr>
          <w:rFonts w:hint="eastAsia"/>
          <w:b/>
          <w:bCs w:val="0"/>
          <w:lang w:val="en-US" w:eastAsia="zh-CN"/>
        </w:rPr>
        <w:t>交通事故应急处置措施</w:t>
      </w:r>
    </w:p>
    <w:p w14:paraId="645AA99B">
      <w:pPr>
        <w:ind w:firstLine="480"/>
      </w:pPr>
      <w:r>
        <w:rPr>
          <w:rFonts w:hint="eastAsia"/>
        </w:rPr>
        <w:t>（1）发生车辆伤害事故，驾驶员立即停车，拉紧手制动，关闭钥匙，开启双闪警示灯；</w:t>
      </w:r>
    </w:p>
    <w:p w14:paraId="571C3341">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14:paraId="3EE84103">
      <w:pPr>
        <w:ind w:firstLine="480"/>
      </w:pPr>
      <w:r>
        <w:rPr>
          <w:rFonts w:hint="eastAsia"/>
        </w:rPr>
        <w:t>（3）事故造成车辆燃烧时，应迅速确认火源，火灾初期立即灭火，并做好预防爆炸的安全措施；</w:t>
      </w:r>
    </w:p>
    <w:p w14:paraId="383ECA9A">
      <w:pPr>
        <w:ind w:firstLine="480"/>
      </w:pPr>
      <w:r>
        <w:rPr>
          <w:rFonts w:hint="eastAsia"/>
        </w:rPr>
        <w:t>（4）使用各类灭火器材灭火。</w:t>
      </w:r>
    </w:p>
    <w:p w14:paraId="08156B40">
      <w:pPr>
        <w:pStyle w:val="3"/>
        <w:bidi w:val="0"/>
        <w:ind w:left="575" w:leftChars="0" w:hanging="575" w:firstLineChars="0"/>
        <w:rPr>
          <w:b/>
          <w:bCs w:val="0"/>
          <w:sz w:val="28"/>
          <w:szCs w:val="28"/>
        </w:rPr>
      </w:pPr>
      <w:bookmarkStart w:id="185" w:name="_Toc23651"/>
      <w:bookmarkStart w:id="186" w:name="_Toc4255"/>
      <w:bookmarkStart w:id="187" w:name="_Toc40778457"/>
      <w:bookmarkStart w:id="188" w:name="_Toc102481227"/>
      <w:bookmarkStart w:id="189" w:name="_Toc5722"/>
      <w:bookmarkStart w:id="190" w:name="_Toc121344362"/>
      <w:bookmarkStart w:id="191" w:name="_Toc102481278"/>
      <w:bookmarkStart w:id="192" w:name="_Toc5197"/>
      <w:bookmarkStart w:id="193" w:name="_Toc102825402"/>
      <w:r>
        <w:rPr>
          <w:rFonts w:hint="eastAsia"/>
          <w:b/>
          <w:bCs w:val="0"/>
          <w:sz w:val="28"/>
          <w:szCs w:val="28"/>
        </w:rPr>
        <w:t>应急车辆、物资及设备</w:t>
      </w:r>
      <w:bookmarkEnd w:id="185"/>
      <w:bookmarkEnd w:id="186"/>
      <w:bookmarkEnd w:id="187"/>
      <w:bookmarkEnd w:id="188"/>
      <w:bookmarkEnd w:id="189"/>
      <w:bookmarkEnd w:id="190"/>
      <w:bookmarkEnd w:id="191"/>
      <w:bookmarkEnd w:id="192"/>
      <w:bookmarkEnd w:id="193"/>
    </w:p>
    <w:p w14:paraId="6899BC45">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2</w:t>
      </w:r>
      <w:r>
        <w:fldChar w:fldCharType="end"/>
      </w:r>
      <w:r>
        <w:rPr>
          <w:rFonts w:hint="eastAsia"/>
        </w:rPr>
        <w:t>。</w:t>
      </w:r>
    </w:p>
    <w:p w14:paraId="3C693995">
      <w:pPr>
        <w:pStyle w:val="15"/>
        <w:keepNext/>
      </w:pPr>
      <w:bookmarkStart w:id="194"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8.3</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1</w:t>
      </w:r>
      <w:r>
        <w:fldChar w:fldCharType="end"/>
      </w:r>
      <w:bookmarkEnd w:id="194"/>
      <w:r>
        <w:rPr>
          <w:rFonts w:hint="eastAsia"/>
        </w:rPr>
        <w:t>项目部应急车辆</w:t>
      </w:r>
    </w:p>
    <w:tbl>
      <w:tblPr>
        <w:tblStyle w:val="73"/>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4C47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29A3459">
            <w:pPr>
              <w:pStyle w:val="16"/>
              <w:rPr>
                <w:rFonts w:ascii="Times New Roman" w:hAnsi="Times New Roman" w:eastAsia="宋体"/>
                <w:b w:val="0"/>
                <w:i w:val="0"/>
              </w:rPr>
            </w:pPr>
            <w:r>
              <w:rPr>
                <w:rFonts w:ascii="Times New Roman" w:hAnsi="Times New Roman" w:eastAsia="宋体"/>
                <w:b w:val="0"/>
                <w:i w:val="0"/>
              </w:rP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DFCD944">
            <w:pPr>
              <w:pStyle w:val="16"/>
              <w:rPr>
                <w:rFonts w:ascii="Times New Roman" w:hAnsi="Times New Roman" w:eastAsia="宋体"/>
                <w:b w:val="0"/>
                <w:i w:val="0"/>
              </w:rPr>
            </w:pPr>
            <w:r>
              <w:rPr>
                <w:rFonts w:ascii="Times New Roman" w:hAnsi="Times New Roman" w:eastAsia="宋体"/>
                <w:b w:val="0"/>
                <w:i w:val="0"/>
              </w:rP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B2E206">
            <w:pPr>
              <w:pStyle w:val="16"/>
              <w:rPr>
                <w:rFonts w:ascii="Times New Roman" w:hAnsi="Times New Roman" w:eastAsia="宋体"/>
                <w:b w:val="0"/>
                <w:i w:val="0"/>
              </w:rPr>
            </w:pPr>
            <w:r>
              <w:rPr>
                <w:rFonts w:ascii="Times New Roman" w:hAnsi="Times New Roman" w:eastAsia="宋体"/>
                <w:b w:val="0"/>
                <w:i w:val="0"/>
              </w:rP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B5D0C4C">
            <w:pPr>
              <w:pStyle w:val="16"/>
              <w:rPr>
                <w:rFonts w:ascii="Times New Roman" w:hAnsi="Times New Roman" w:eastAsia="宋体"/>
                <w:b w:val="0"/>
                <w:i w:val="0"/>
              </w:rPr>
            </w:pPr>
            <w:r>
              <w:rPr>
                <w:rFonts w:ascii="Times New Roman" w:hAnsi="Times New Roman" w:eastAsia="宋体"/>
                <w:b w:val="0"/>
                <w:i w:val="0"/>
              </w:rP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57CDEEF">
            <w:pPr>
              <w:pStyle w:val="16"/>
              <w:rPr>
                <w:rFonts w:ascii="Times New Roman" w:hAnsi="Times New Roman" w:eastAsia="宋体"/>
                <w:b w:val="0"/>
                <w:i w:val="0"/>
              </w:rPr>
            </w:pPr>
            <w:r>
              <w:rPr>
                <w:rFonts w:ascii="Times New Roman" w:hAnsi="Times New Roman" w:eastAsia="宋体"/>
                <w:b w:val="0"/>
                <w:i w:val="0"/>
              </w:rP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2624353">
            <w:pPr>
              <w:pStyle w:val="16"/>
              <w:rPr>
                <w:rFonts w:ascii="Times New Roman" w:hAnsi="Times New Roman" w:eastAsia="宋体"/>
                <w:b w:val="0"/>
                <w:i w:val="0"/>
              </w:rPr>
            </w:pPr>
            <w:r>
              <w:rPr>
                <w:rFonts w:ascii="Times New Roman" w:hAnsi="Times New Roman" w:eastAsia="宋体"/>
                <w:b w:val="0"/>
                <w:i w:val="0"/>
              </w:rPr>
              <w:t>存放地点</w:t>
            </w:r>
          </w:p>
        </w:tc>
      </w:tr>
      <w:tr w14:paraId="5D944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C4D05AE">
            <w:pPr>
              <w:pStyle w:val="16"/>
              <w:rPr>
                <w:rFonts w:ascii="Times New Roman" w:hAnsi="Times New Roman" w:eastAsia="宋体"/>
                <w:b w:val="0"/>
                <w:i w:val="0"/>
              </w:rPr>
            </w:pPr>
            <w:r>
              <w:rPr>
                <w:rFonts w:ascii="Times New Roman" w:hAnsi="Times New Roman" w:eastAsia="宋体"/>
                <w:b w:val="0"/>
                <w:i w:val="0"/>
              </w:rP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3B6D">
            <w:pPr>
              <w:pStyle w:val="16"/>
              <w:rPr>
                <w:b w:val="0"/>
              </w:rPr>
            </w:pPr>
            <w:r>
              <w:rPr>
                <w:b w:val="0"/>
              </w:rP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577">
            <w:pPr>
              <w:pStyle w:val="16"/>
              <w:rPr>
                <w:b w:val="0"/>
              </w:rPr>
            </w:pPr>
            <w:r>
              <w:rPr>
                <w:b w:val="0"/>
              </w:rP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5F2">
            <w:pPr>
              <w:pStyle w:val="16"/>
              <w:rPr>
                <w:b w:val="0"/>
              </w:rPr>
            </w:pPr>
            <w:r>
              <w:rPr>
                <w:b w:val="0"/>
              </w:rP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6E65">
            <w:pPr>
              <w:pStyle w:val="16"/>
              <w:rPr>
                <w:b w:val="0"/>
              </w:rPr>
            </w:pPr>
            <w:r>
              <w:rPr>
                <w:b w:val="0"/>
              </w:rP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01D4B4">
            <w:pPr>
              <w:pStyle w:val="16"/>
              <w:rPr>
                <w:b w:val="0"/>
              </w:rPr>
            </w:pPr>
            <w:r>
              <w:rPr>
                <w:b w:val="0"/>
              </w:rPr>
              <w:t>项目部</w:t>
            </w:r>
          </w:p>
        </w:tc>
      </w:tr>
      <w:tr w14:paraId="79F7C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5E70F18">
            <w:pPr>
              <w:pStyle w:val="16"/>
              <w:rPr>
                <w:rFonts w:ascii="Times New Roman" w:hAnsi="Times New Roman" w:eastAsia="宋体"/>
                <w:b w:val="0"/>
                <w:i w:val="0"/>
              </w:rPr>
            </w:pPr>
            <w:r>
              <w:rPr>
                <w:rFonts w:ascii="Times New Roman" w:hAnsi="Times New Roman" w:eastAsia="宋体"/>
                <w:b w:val="0"/>
                <w:i w:val="0"/>
              </w:rP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F4BEAA4">
            <w:pPr>
              <w:pStyle w:val="16"/>
              <w:rPr>
                <w:b w:val="0"/>
              </w:rPr>
            </w:pPr>
            <w:r>
              <w:rPr>
                <w:b w:val="0"/>
              </w:rP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35F79CD">
            <w:pPr>
              <w:pStyle w:val="16"/>
              <w:rPr>
                <w:b w:val="0"/>
              </w:rPr>
            </w:pPr>
            <w:r>
              <w:rPr>
                <w:b w:val="0"/>
              </w:rP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5216F9A">
            <w:pPr>
              <w:pStyle w:val="16"/>
              <w:rPr>
                <w:rFonts w:hint="eastAsia" w:eastAsia="宋体"/>
                <w:b w:val="0"/>
                <w:lang w:eastAsia="zh-CN"/>
              </w:rPr>
            </w:pPr>
            <w:r>
              <w:rPr>
                <w:rFonts w:hint="eastAsia"/>
                <w:b w:val="0"/>
                <w:lang w:val="en-US" w:eastAsia="zh-CN"/>
              </w:rPr>
              <w:t>1</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B6F790E">
            <w:pPr>
              <w:pStyle w:val="16"/>
              <w:rPr>
                <w:b w:val="0"/>
              </w:rPr>
            </w:pPr>
            <w:r>
              <w:rPr>
                <w:b w:val="0"/>
              </w:rP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E78FDCF">
            <w:pPr>
              <w:pStyle w:val="16"/>
              <w:rPr>
                <w:b w:val="0"/>
              </w:rPr>
            </w:pPr>
            <w:r>
              <w:rPr>
                <w:b w:val="0"/>
              </w:rPr>
              <w:t>项目部</w:t>
            </w:r>
          </w:p>
        </w:tc>
      </w:tr>
    </w:tbl>
    <w:p w14:paraId="21799964">
      <w:pPr>
        <w:pStyle w:val="15"/>
        <w:keepNext/>
        <w:spacing w:before="120" w:beforeLines="50"/>
        <w:rPr>
          <w:rFonts w:hint="eastAsia"/>
        </w:rPr>
      </w:pPr>
      <w:bookmarkStart w:id="195"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8.3</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2</w:t>
      </w:r>
      <w:r>
        <w:fldChar w:fldCharType="end"/>
      </w:r>
      <w:bookmarkEnd w:id="195"/>
      <w:r>
        <w:rPr>
          <w:rFonts w:hint="eastAsia"/>
        </w:rPr>
        <w:t>应急设备、物资保障</w:t>
      </w:r>
    </w:p>
    <w:tbl>
      <w:tblPr>
        <w:tblStyle w:val="40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61"/>
        <w:gridCol w:w="1902"/>
        <w:gridCol w:w="823"/>
        <w:gridCol w:w="823"/>
        <w:gridCol w:w="1367"/>
        <w:gridCol w:w="1367"/>
        <w:gridCol w:w="821"/>
      </w:tblGrid>
      <w:tr w14:paraId="60C2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351AEBBC">
            <w:pPr>
              <w:spacing w:line="240" w:lineRule="auto"/>
              <w:ind w:firstLine="0" w:firstLineChars="0"/>
              <w:jc w:val="center"/>
              <w:rPr>
                <w:b/>
                <w:bCs/>
                <w:sz w:val="21"/>
              </w:rPr>
            </w:pPr>
            <w:r>
              <w:rPr>
                <w:b/>
                <w:bCs/>
                <w:sz w:val="21"/>
              </w:rPr>
              <w:t>序号</w:t>
            </w:r>
          </w:p>
        </w:tc>
        <w:tc>
          <w:tcPr>
            <w:tcW w:w="733" w:type="pct"/>
            <w:vAlign w:val="center"/>
          </w:tcPr>
          <w:p w14:paraId="64D25F4A">
            <w:pPr>
              <w:spacing w:line="240" w:lineRule="auto"/>
              <w:ind w:firstLine="0" w:firstLineChars="0"/>
              <w:jc w:val="center"/>
              <w:rPr>
                <w:b/>
                <w:bCs/>
                <w:sz w:val="21"/>
              </w:rPr>
            </w:pPr>
            <w:r>
              <w:rPr>
                <w:b/>
                <w:bCs/>
                <w:sz w:val="21"/>
              </w:rPr>
              <w:t>类别</w:t>
            </w:r>
          </w:p>
        </w:tc>
        <w:tc>
          <w:tcPr>
            <w:tcW w:w="1024" w:type="pct"/>
            <w:vAlign w:val="center"/>
          </w:tcPr>
          <w:p w14:paraId="759E8B79">
            <w:pPr>
              <w:spacing w:line="240" w:lineRule="auto"/>
              <w:ind w:firstLine="0" w:firstLineChars="0"/>
              <w:jc w:val="center"/>
              <w:rPr>
                <w:b/>
                <w:bCs/>
                <w:sz w:val="21"/>
              </w:rPr>
            </w:pPr>
            <w:r>
              <w:rPr>
                <w:b/>
                <w:bCs/>
                <w:sz w:val="21"/>
              </w:rPr>
              <w:t>物品名称</w:t>
            </w:r>
          </w:p>
        </w:tc>
        <w:tc>
          <w:tcPr>
            <w:tcW w:w="443" w:type="pct"/>
            <w:vAlign w:val="center"/>
          </w:tcPr>
          <w:p w14:paraId="5E5988E2">
            <w:pPr>
              <w:spacing w:line="240" w:lineRule="auto"/>
              <w:ind w:firstLine="0" w:firstLineChars="0"/>
              <w:jc w:val="center"/>
              <w:rPr>
                <w:b/>
                <w:bCs/>
                <w:sz w:val="21"/>
              </w:rPr>
            </w:pPr>
            <w:r>
              <w:rPr>
                <w:b/>
                <w:bCs/>
                <w:sz w:val="21"/>
              </w:rPr>
              <w:t>单位</w:t>
            </w:r>
          </w:p>
        </w:tc>
        <w:tc>
          <w:tcPr>
            <w:tcW w:w="443" w:type="pct"/>
            <w:vAlign w:val="center"/>
          </w:tcPr>
          <w:p w14:paraId="2BE51D8B">
            <w:pPr>
              <w:spacing w:line="240" w:lineRule="auto"/>
              <w:ind w:firstLine="0" w:firstLineChars="0"/>
              <w:jc w:val="center"/>
              <w:rPr>
                <w:b/>
                <w:bCs/>
                <w:sz w:val="21"/>
              </w:rPr>
            </w:pPr>
            <w:r>
              <w:rPr>
                <w:b/>
                <w:bCs/>
                <w:sz w:val="21"/>
              </w:rPr>
              <w:t>数量</w:t>
            </w:r>
          </w:p>
        </w:tc>
        <w:tc>
          <w:tcPr>
            <w:tcW w:w="736" w:type="pct"/>
            <w:vAlign w:val="center"/>
          </w:tcPr>
          <w:p w14:paraId="0FAB365D">
            <w:pPr>
              <w:spacing w:line="240" w:lineRule="auto"/>
              <w:ind w:firstLine="0" w:firstLineChars="0"/>
              <w:jc w:val="center"/>
              <w:rPr>
                <w:b/>
                <w:bCs/>
                <w:sz w:val="21"/>
              </w:rPr>
            </w:pPr>
            <w:r>
              <w:rPr>
                <w:b/>
                <w:bCs/>
                <w:sz w:val="21"/>
              </w:rPr>
              <w:t>存放位置</w:t>
            </w:r>
          </w:p>
        </w:tc>
        <w:tc>
          <w:tcPr>
            <w:tcW w:w="736" w:type="pct"/>
            <w:vAlign w:val="center"/>
          </w:tcPr>
          <w:p w14:paraId="36515199">
            <w:pPr>
              <w:spacing w:line="240" w:lineRule="auto"/>
              <w:ind w:firstLine="0" w:firstLineChars="0"/>
              <w:jc w:val="center"/>
              <w:rPr>
                <w:b/>
                <w:bCs/>
                <w:sz w:val="21"/>
              </w:rPr>
            </w:pPr>
            <w:r>
              <w:rPr>
                <w:b/>
                <w:bCs/>
                <w:sz w:val="21"/>
              </w:rPr>
              <w:t>储备状态</w:t>
            </w:r>
          </w:p>
        </w:tc>
        <w:tc>
          <w:tcPr>
            <w:tcW w:w="443" w:type="pct"/>
            <w:vAlign w:val="center"/>
          </w:tcPr>
          <w:p w14:paraId="68B41CD1">
            <w:pPr>
              <w:spacing w:line="240" w:lineRule="auto"/>
              <w:ind w:firstLine="0" w:firstLineChars="0"/>
              <w:jc w:val="center"/>
              <w:rPr>
                <w:b/>
                <w:bCs/>
                <w:sz w:val="21"/>
              </w:rPr>
            </w:pPr>
            <w:r>
              <w:rPr>
                <w:b/>
                <w:bCs/>
                <w:sz w:val="21"/>
              </w:rPr>
              <w:t>备注</w:t>
            </w:r>
          </w:p>
        </w:tc>
      </w:tr>
      <w:tr w14:paraId="7440C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DF5261D">
            <w:pPr>
              <w:pStyle w:val="71"/>
              <w:numPr>
                <w:ilvl w:val="0"/>
                <w:numId w:val="45"/>
              </w:numPr>
              <w:spacing w:line="240" w:lineRule="auto"/>
              <w:ind w:firstLineChars="0"/>
              <w:jc w:val="center"/>
              <w:rPr>
                <w:sz w:val="21"/>
              </w:rPr>
            </w:pPr>
          </w:p>
        </w:tc>
        <w:tc>
          <w:tcPr>
            <w:tcW w:w="733" w:type="pct"/>
            <w:vMerge w:val="restart"/>
            <w:vAlign w:val="center"/>
          </w:tcPr>
          <w:p w14:paraId="60C3F1D6">
            <w:pPr>
              <w:spacing w:line="240" w:lineRule="auto"/>
              <w:ind w:firstLine="0" w:firstLineChars="0"/>
              <w:jc w:val="center"/>
              <w:rPr>
                <w:sz w:val="21"/>
              </w:rPr>
            </w:pPr>
            <w:r>
              <w:rPr>
                <w:sz w:val="21"/>
              </w:rPr>
              <w:t>医疗器材</w:t>
            </w:r>
          </w:p>
        </w:tc>
        <w:tc>
          <w:tcPr>
            <w:tcW w:w="1024" w:type="pct"/>
            <w:vAlign w:val="center"/>
          </w:tcPr>
          <w:p w14:paraId="58218DA3">
            <w:pPr>
              <w:spacing w:line="240" w:lineRule="auto"/>
              <w:ind w:firstLine="0" w:firstLineChars="0"/>
              <w:jc w:val="center"/>
              <w:rPr>
                <w:sz w:val="21"/>
              </w:rPr>
            </w:pPr>
            <w:r>
              <w:rPr>
                <w:sz w:val="21"/>
              </w:rPr>
              <w:t>急救药箱</w:t>
            </w:r>
          </w:p>
        </w:tc>
        <w:tc>
          <w:tcPr>
            <w:tcW w:w="443" w:type="pct"/>
            <w:vAlign w:val="center"/>
          </w:tcPr>
          <w:p w14:paraId="1A437976">
            <w:pPr>
              <w:spacing w:line="240" w:lineRule="auto"/>
              <w:ind w:firstLine="0" w:firstLineChars="0"/>
              <w:jc w:val="center"/>
              <w:rPr>
                <w:sz w:val="21"/>
              </w:rPr>
            </w:pPr>
            <w:r>
              <w:rPr>
                <w:sz w:val="21"/>
              </w:rPr>
              <w:t>个</w:t>
            </w:r>
          </w:p>
        </w:tc>
        <w:tc>
          <w:tcPr>
            <w:tcW w:w="443" w:type="pct"/>
            <w:vAlign w:val="center"/>
          </w:tcPr>
          <w:p w14:paraId="29977624">
            <w:pPr>
              <w:spacing w:line="240" w:lineRule="auto"/>
              <w:ind w:firstLine="0" w:firstLineChars="0"/>
              <w:jc w:val="center"/>
              <w:rPr>
                <w:sz w:val="21"/>
              </w:rPr>
            </w:pPr>
            <w:r>
              <w:rPr>
                <w:sz w:val="21"/>
              </w:rPr>
              <w:t>1</w:t>
            </w:r>
          </w:p>
        </w:tc>
        <w:tc>
          <w:tcPr>
            <w:tcW w:w="736" w:type="pct"/>
            <w:vAlign w:val="center"/>
          </w:tcPr>
          <w:p w14:paraId="329C077D">
            <w:pPr>
              <w:spacing w:line="240" w:lineRule="auto"/>
              <w:ind w:firstLine="0" w:firstLineChars="0"/>
              <w:jc w:val="center"/>
              <w:rPr>
                <w:sz w:val="21"/>
              </w:rPr>
            </w:pPr>
            <w:r>
              <w:rPr>
                <w:sz w:val="21"/>
              </w:rPr>
              <w:t>现场仓库</w:t>
            </w:r>
          </w:p>
        </w:tc>
        <w:tc>
          <w:tcPr>
            <w:tcW w:w="736" w:type="pct"/>
            <w:vAlign w:val="center"/>
          </w:tcPr>
          <w:p w14:paraId="26D81A08">
            <w:pPr>
              <w:spacing w:line="240" w:lineRule="auto"/>
              <w:ind w:firstLine="0" w:firstLineChars="0"/>
              <w:jc w:val="center"/>
              <w:rPr>
                <w:sz w:val="21"/>
              </w:rPr>
            </w:pPr>
            <w:r>
              <w:rPr>
                <w:sz w:val="21"/>
              </w:rPr>
              <w:t>良好</w:t>
            </w:r>
          </w:p>
        </w:tc>
        <w:tc>
          <w:tcPr>
            <w:tcW w:w="443" w:type="pct"/>
            <w:vAlign w:val="center"/>
          </w:tcPr>
          <w:p w14:paraId="4B6B73A8">
            <w:pPr>
              <w:spacing w:line="240" w:lineRule="auto"/>
              <w:ind w:firstLine="0" w:firstLineChars="0"/>
              <w:jc w:val="center"/>
              <w:rPr>
                <w:sz w:val="21"/>
              </w:rPr>
            </w:pPr>
          </w:p>
        </w:tc>
      </w:tr>
      <w:tr w14:paraId="3BE68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499DC05">
            <w:pPr>
              <w:pStyle w:val="71"/>
              <w:numPr>
                <w:ilvl w:val="0"/>
                <w:numId w:val="45"/>
              </w:numPr>
              <w:spacing w:line="240" w:lineRule="auto"/>
              <w:ind w:firstLineChars="0"/>
              <w:jc w:val="center"/>
              <w:rPr>
                <w:sz w:val="21"/>
              </w:rPr>
            </w:pPr>
          </w:p>
        </w:tc>
        <w:tc>
          <w:tcPr>
            <w:tcW w:w="733" w:type="pct"/>
            <w:vMerge w:val="continue"/>
            <w:vAlign w:val="center"/>
          </w:tcPr>
          <w:p w14:paraId="4D9A8F65">
            <w:pPr>
              <w:spacing w:line="240" w:lineRule="auto"/>
              <w:ind w:firstLine="0" w:firstLineChars="0"/>
              <w:jc w:val="center"/>
              <w:rPr>
                <w:sz w:val="21"/>
              </w:rPr>
            </w:pPr>
          </w:p>
        </w:tc>
        <w:tc>
          <w:tcPr>
            <w:tcW w:w="1024" w:type="pct"/>
            <w:vAlign w:val="center"/>
          </w:tcPr>
          <w:p w14:paraId="3D7BFEF7">
            <w:pPr>
              <w:spacing w:line="240" w:lineRule="auto"/>
              <w:ind w:firstLine="0" w:firstLineChars="0"/>
              <w:jc w:val="center"/>
              <w:rPr>
                <w:sz w:val="21"/>
              </w:rPr>
            </w:pPr>
            <w:r>
              <w:rPr>
                <w:sz w:val="21"/>
              </w:rPr>
              <w:t>纯棉弹性绷带</w:t>
            </w:r>
          </w:p>
        </w:tc>
        <w:tc>
          <w:tcPr>
            <w:tcW w:w="443" w:type="pct"/>
            <w:vAlign w:val="center"/>
          </w:tcPr>
          <w:p w14:paraId="58F12B70">
            <w:pPr>
              <w:spacing w:line="240" w:lineRule="auto"/>
              <w:ind w:firstLine="0" w:firstLineChars="0"/>
              <w:jc w:val="center"/>
              <w:rPr>
                <w:sz w:val="21"/>
              </w:rPr>
            </w:pPr>
            <w:r>
              <w:rPr>
                <w:sz w:val="21"/>
              </w:rPr>
              <w:t>卷</w:t>
            </w:r>
          </w:p>
        </w:tc>
        <w:tc>
          <w:tcPr>
            <w:tcW w:w="443" w:type="pct"/>
            <w:vAlign w:val="center"/>
          </w:tcPr>
          <w:p w14:paraId="371C3C22">
            <w:pPr>
              <w:spacing w:line="240" w:lineRule="auto"/>
              <w:ind w:firstLine="0" w:firstLineChars="0"/>
              <w:jc w:val="center"/>
              <w:rPr>
                <w:sz w:val="21"/>
              </w:rPr>
            </w:pPr>
            <w:r>
              <w:rPr>
                <w:sz w:val="21"/>
              </w:rPr>
              <w:t>30</w:t>
            </w:r>
          </w:p>
        </w:tc>
        <w:tc>
          <w:tcPr>
            <w:tcW w:w="736" w:type="pct"/>
            <w:vAlign w:val="center"/>
          </w:tcPr>
          <w:p w14:paraId="513BB307">
            <w:pPr>
              <w:spacing w:line="240" w:lineRule="auto"/>
              <w:ind w:firstLine="0" w:firstLineChars="0"/>
              <w:jc w:val="center"/>
              <w:rPr>
                <w:sz w:val="21"/>
              </w:rPr>
            </w:pPr>
            <w:r>
              <w:rPr>
                <w:sz w:val="21"/>
              </w:rPr>
              <w:t>现场仓库</w:t>
            </w:r>
          </w:p>
        </w:tc>
        <w:tc>
          <w:tcPr>
            <w:tcW w:w="736" w:type="pct"/>
            <w:vAlign w:val="center"/>
          </w:tcPr>
          <w:p w14:paraId="7A4FE2BD">
            <w:pPr>
              <w:spacing w:line="240" w:lineRule="auto"/>
              <w:ind w:firstLine="0" w:firstLineChars="0"/>
              <w:jc w:val="center"/>
              <w:rPr>
                <w:sz w:val="21"/>
              </w:rPr>
            </w:pPr>
            <w:r>
              <w:rPr>
                <w:sz w:val="21"/>
              </w:rPr>
              <w:t>良好</w:t>
            </w:r>
          </w:p>
        </w:tc>
        <w:tc>
          <w:tcPr>
            <w:tcW w:w="443" w:type="pct"/>
            <w:vAlign w:val="center"/>
          </w:tcPr>
          <w:p w14:paraId="65BA6CA3">
            <w:pPr>
              <w:spacing w:line="240" w:lineRule="auto"/>
              <w:ind w:firstLine="0" w:firstLineChars="0"/>
              <w:jc w:val="center"/>
              <w:rPr>
                <w:sz w:val="21"/>
              </w:rPr>
            </w:pPr>
          </w:p>
        </w:tc>
      </w:tr>
      <w:tr w14:paraId="340DA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6A2F1B9">
            <w:pPr>
              <w:pStyle w:val="71"/>
              <w:numPr>
                <w:ilvl w:val="0"/>
                <w:numId w:val="45"/>
              </w:numPr>
              <w:spacing w:line="240" w:lineRule="auto"/>
              <w:ind w:firstLineChars="0"/>
              <w:jc w:val="center"/>
              <w:rPr>
                <w:sz w:val="21"/>
              </w:rPr>
            </w:pPr>
          </w:p>
        </w:tc>
        <w:tc>
          <w:tcPr>
            <w:tcW w:w="733" w:type="pct"/>
            <w:vMerge w:val="continue"/>
            <w:vAlign w:val="center"/>
          </w:tcPr>
          <w:p w14:paraId="04201350">
            <w:pPr>
              <w:spacing w:line="240" w:lineRule="auto"/>
              <w:ind w:firstLine="0" w:firstLineChars="0"/>
              <w:jc w:val="center"/>
              <w:rPr>
                <w:sz w:val="21"/>
              </w:rPr>
            </w:pPr>
          </w:p>
        </w:tc>
        <w:tc>
          <w:tcPr>
            <w:tcW w:w="1024" w:type="pct"/>
            <w:vAlign w:val="center"/>
          </w:tcPr>
          <w:p w14:paraId="5D919404">
            <w:pPr>
              <w:spacing w:line="240" w:lineRule="auto"/>
              <w:ind w:firstLine="0" w:firstLineChars="0"/>
              <w:jc w:val="center"/>
              <w:rPr>
                <w:sz w:val="21"/>
              </w:rPr>
            </w:pPr>
            <w:r>
              <w:rPr>
                <w:sz w:val="21"/>
              </w:rPr>
              <w:t>止血布</w:t>
            </w:r>
          </w:p>
        </w:tc>
        <w:tc>
          <w:tcPr>
            <w:tcW w:w="443" w:type="pct"/>
            <w:vAlign w:val="center"/>
          </w:tcPr>
          <w:p w14:paraId="34E840E2">
            <w:pPr>
              <w:spacing w:line="240" w:lineRule="auto"/>
              <w:ind w:firstLine="0" w:firstLineChars="0"/>
              <w:jc w:val="center"/>
              <w:rPr>
                <w:sz w:val="21"/>
              </w:rPr>
            </w:pPr>
            <w:r>
              <w:rPr>
                <w:sz w:val="21"/>
              </w:rPr>
              <w:t>张</w:t>
            </w:r>
          </w:p>
        </w:tc>
        <w:tc>
          <w:tcPr>
            <w:tcW w:w="443" w:type="pct"/>
            <w:vAlign w:val="center"/>
          </w:tcPr>
          <w:p w14:paraId="4D0DF95D">
            <w:pPr>
              <w:spacing w:line="240" w:lineRule="auto"/>
              <w:ind w:firstLine="0" w:firstLineChars="0"/>
              <w:jc w:val="center"/>
              <w:rPr>
                <w:sz w:val="21"/>
              </w:rPr>
            </w:pPr>
            <w:r>
              <w:rPr>
                <w:sz w:val="21"/>
              </w:rPr>
              <w:t>30</w:t>
            </w:r>
          </w:p>
        </w:tc>
        <w:tc>
          <w:tcPr>
            <w:tcW w:w="736" w:type="pct"/>
            <w:vAlign w:val="center"/>
          </w:tcPr>
          <w:p w14:paraId="2C2447C4">
            <w:pPr>
              <w:spacing w:line="240" w:lineRule="auto"/>
              <w:ind w:firstLine="0" w:firstLineChars="0"/>
              <w:jc w:val="center"/>
              <w:rPr>
                <w:sz w:val="21"/>
              </w:rPr>
            </w:pPr>
            <w:r>
              <w:rPr>
                <w:sz w:val="21"/>
              </w:rPr>
              <w:t>现场仓库</w:t>
            </w:r>
          </w:p>
        </w:tc>
        <w:tc>
          <w:tcPr>
            <w:tcW w:w="736" w:type="pct"/>
            <w:vAlign w:val="center"/>
          </w:tcPr>
          <w:p w14:paraId="06E20206">
            <w:pPr>
              <w:spacing w:line="240" w:lineRule="auto"/>
              <w:ind w:firstLine="0" w:firstLineChars="0"/>
              <w:jc w:val="center"/>
              <w:rPr>
                <w:sz w:val="21"/>
              </w:rPr>
            </w:pPr>
            <w:r>
              <w:rPr>
                <w:sz w:val="21"/>
              </w:rPr>
              <w:t>良好</w:t>
            </w:r>
          </w:p>
        </w:tc>
        <w:tc>
          <w:tcPr>
            <w:tcW w:w="443" w:type="pct"/>
            <w:vAlign w:val="center"/>
          </w:tcPr>
          <w:p w14:paraId="27744F29">
            <w:pPr>
              <w:spacing w:line="240" w:lineRule="auto"/>
              <w:ind w:firstLine="0" w:firstLineChars="0"/>
              <w:jc w:val="center"/>
              <w:rPr>
                <w:sz w:val="21"/>
              </w:rPr>
            </w:pPr>
          </w:p>
        </w:tc>
      </w:tr>
      <w:tr w14:paraId="0A793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BC47258">
            <w:pPr>
              <w:pStyle w:val="71"/>
              <w:numPr>
                <w:ilvl w:val="0"/>
                <w:numId w:val="45"/>
              </w:numPr>
              <w:spacing w:line="240" w:lineRule="auto"/>
              <w:ind w:firstLineChars="0"/>
              <w:jc w:val="center"/>
              <w:rPr>
                <w:sz w:val="21"/>
              </w:rPr>
            </w:pPr>
          </w:p>
        </w:tc>
        <w:tc>
          <w:tcPr>
            <w:tcW w:w="733" w:type="pct"/>
            <w:vMerge w:val="continue"/>
            <w:vAlign w:val="center"/>
          </w:tcPr>
          <w:p w14:paraId="0A6351B8">
            <w:pPr>
              <w:spacing w:line="240" w:lineRule="auto"/>
              <w:ind w:firstLine="0" w:firstLineChars="0"/>
              <w:jc w:val="center"/>
              <w:rPr>
                <w:sz w:val="21"/>
              </w:rPr>
            </w:pPr>
          </w:p>
        </w:tc>
        <w:tc>
          <w:tcPr>
            <w:tcW w:w="1024" w:type="pct"/>
            <w:vAlign w:val="center"/>
          </w:tcPr>
          <w:p w14:paraId="1F42B8B7">
            <w:pPr>
              <w:spacing w:line="240" w:lineRule="auto"/>
              <w:ind w:firstLine="0" w:firstLineChars="0"/>
              <w:jc w:val="center"/>
              <w:rPr>
                <w:sz w:val="21"/>
              </w:rPr>
            </w:pPr>
            <w:r>
              <w:rPr>
                <w:sz w:val="21"/>
              </w:rPr>
              <w:t>创可贴</w:t>
            </w:r>
          </w:p>
        </w:tc>
        <w:tc>
          <w:tcPr>
            <w:tcW w:w="443" w:type="pct"/>
            <w:vAlign w:val="center"/>
          </w:tcPr>
          <w:p w14:paraId="5DB51926">
            <w:pPr>
              <w:spacing w:line="240" w:lineRule="auto"/>
              <w:ind w:firstLine="0" w:firstLineChars="0"/>
              <w:jc w:val="center"/>
              <w:rPr>
                <w:sz w:val="21"/>
              </w:rPr>
            </w:pPr>
            <w:r>
              <w:rPr>
                <w:sz w:val="21"/>
              </w:rPr>
              <w:t>张</w:t>
            </w:r>
          </w:p>
        </w:tc>
        <w:tc>
          <w:tcPr>
            <w:tcW w:w="443" w:type="pct"/>
            <w:vAlign w:val="center"/>
          </w:tcPr>
          <w:p w14:paraId="0792AA63">
            <w:pPr>
              <w:spacing w:line="240" w:lineRule="auto"/>
              <w:ind w:firstLine="0" w:firstLineChars="0"/>
              <w:jc w:val="center"/>
              <w:rPr>
                <w:sz w:val="21"/>
              </w:rPr>
            </w:pPr>
            <w:r>
              <w:rPr>
                <w:sz w:val="21"/>
              </w:rPr>
              <w:t>200</w:t>
            </w:r>
          </w:p>
        </w:tc>
        <w:tc>
          <w:tcPr>
            <w:tcW w:w="736" w:type="pct"/>
            <w:vAlign w:val="center"/>
          </w:tcPr>
          <w:p w14:paraId="209F5ACE">
            <w:pPr>
              <w:spacing w:line="240" w:lineRule="auto"/>
              <w:ind w:firstLine="0" w:firstLineChars="0"/>
              <w:jc w:val="center"/>
              <w:rPr>
                <w:sz w:val="21"/>
              </w:rPr>
            </w:pPr>
            <w:r>
              <w:rPr>
                <w:sz w:val="21"/>
              </w:rPr>
              <w:t>现场仓库</w:t>
            </w:r>
          </w:p>
        </w:tc>
        <w:tc>
          <w:tcPr>
            <w:tcW w:w="736" w:type="pct"/>
            <w:vAlign w:val="center"/>
          </w:tcPr>
          <w:p w14:paraId="1C6B4537">
            <w:pPr>
              <w:spacing w:line="240" w:lineRule="auto"/>
              <w:ind w:firstLine="0" w:firstLineChars="0"/>
              <w:jc w:val="center"/>
              <w:rPr>
                <w:sz w:val="21"/>
              </w:rPr>
            </w:pPr>
            <w:r>
              <w:rPr>
                <w:sz w:val="21"/>
              </w:rPr>
              <w:t>良好</w:t>
            </w:r>
          </w:p>
        </w:tc>
        <w:tc>
          <w:tcPr>
            <w:tcW w:w="443" w:type="pct"/>
            <w:vAlign w:val="center"/>
          </w:tcPr>
          <w:p w14:paraId="5A4B012E">
            <w:pPr>
              <w:spacing w:line="240" w:lineRule="auto"/>
              <w:ind w:firstLine="0" w:firstLineChars="0"/>
              <w:jc w:val="center"/>
              <w:rPr>
                <w:sz w:val="21"/>
              </w:rPr>
            </w:pPr>
          </w:p>
        </w:tc>
      </w:tr>
      <w:tr w14:paraId="2797F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727D398">
            <w:pPr>
              <w:pStyle w:val="71"/>
              <w:numPr>
                <w:ilvl w:val="0"/>
                <w:numId w:val="45"/>
              </w:numPr>
              <w:spacing w:line="240" w:lineRule="auto"/>
              <w:ind w:firstLineChars="0"/>
              <w:jc w:val="center"/>
              <w:rPr>
                <w:sz w:val="21"/>
              </w:rPr>
            </w:pPr>
          </w:p>
        </w:tc>
        <w:tc>
          <w:tcPr>
            <w:tcW w:w="733" w:type="pct"/>
            <w:vMerge w:val="continue"/>
            <w:vAlign w:val="center"/>
          </w:tcPr>
          <w:p w14:paraId="7DED5C6F">
            <w:pPr>
              <w:spacing w:line="240" w:lineRule="auto"/>
              <w:ind w:firstLine="0" w:firstLineChars="0"/>
              <w:jc w:val="center"/>
              <w:rPr>
                <w:sz w:val="21"/>
              </w:rPr>
            </w:pPr>
          </w:p>
        </w:tc>
        <w:tc>
          <w:tcPr>
            <w:tcW w:w="1024" w:type="pct"/>
            <w:vAlign w:val="center"/>
          </w:tcPr>
          <w:p w14:paraId="160015F3">
            <w:pPr>
              <w:spacing w:line="240" w:lineRule="auto"/>
              <w:ind w:firstLine="0" w:firstLineChars="0"/>
              <w:jc w:val="center"/>
              <w:rPr>
                <w:sz w:val="21"/>
              </w:rPr>
            </w:pPr>
            <w:r>
              <w:rPr>
                <w:sz w:val="21"/>
              </w:rPr>
              <w:t>脱脂棉</w:t>
            </w:r>
          </w:p>
        </w:tc>
        <w:tc>
          <w:tcPr>
            <w:tcW w:w="443" w:type="pct"/>
            <w:vAlign w:val="center"/>
          </w:tcPr>
          <w:p w14:paraId="1C56B610">
            <w:pPr>
              <w:spacing w:line="240" w:lineRule="auto"/>
              <w:ind w:firstLine="0" w:firstLineChars="0"/>
              <w:jc w:val="center"/>
              <w:rPr>
                <w:sz w:val="21"/>
              </w:rPr>
            </w:pPr>
            <w:r>
              <w:rPr>
                <w:sz w:val="21"/>
              </w:rPr>
              <w:t>卷</w:t>
            </w:r>
          </w:p>
        </w:tc>
        <w:tc>
          <w:tcPr>
            <w:tcW w:w="443" w:type="pct"/>
            <w:vAlign w:val="center"/>
          </w:tcPr>
          <w:p w14:paraId="459352C9">
            <w:pPr>
              <w:spacing w:line="240" w:lineRule="auto"/>
              <w:ind w:firstLine="0" w:firstLineChars="0"/>
              <w:jc w:val="center"/>
              <w:rPr>
                <w:sz w:val="21"/>
              </w:rPr>
            </w:pPr>
            <w:r>
              <w:rPr>
                <w:sz w:val="21"/>
              </w:rPr>
              <w:t>20</w:t>
            </w:r>
          </w:p>
        </w:tc>
        <w:tc>
          <w:tcPr>
            <w:tcW w:w="736" w:type="pct"/>
            <w:vAlign w:val="center"/>
          </w:tcPr>
          <w:p w14:paraId="3FDBD418">
            <w:pPr>
              <w:spacing w:line="240" w:lineRule="auto"/>
              <w:ind w:firstLine="0" w:firstLineChars="0"/>
              <w:jc w:val="center"/>
              <w:rPr>
                <w:sz w:val="21"/>
              </w:rPr>
            </w:pPr>
            <w:r>
              <w:rPr>
                <w:sz w:val="21"/>
              </w:rPr>
              <w:t>现场仓库</w:t>
            </w:r>
          </w:p>
        </w:tc>
        <w:tc>
          <w:tcPr>
            <w:tcW w:w="736" w:type="pct"/>
            <w:vAlign w:val="center"/>
          </w:tcPr>
          <w:p w14:paraId="6F6465D9">
            <w:pPr>
              <w:spacing w:line="240" w:lineRule="auto"/>
              <w:ind w:firstLine="0" w:firstLineChars="0"/>
              <w:jc w:val="center"/>
              <w:rPr>
                <w:sz w:val="21"/>
              </w:rPr>
            </w:pPr>
            <w:r>
              <w:rPr>
                <w:sz w:val="21"/>
              </w:rPr>
              <w:t>良好</w:t>
            </w:r>
          </w:p>
        </w:tc>
        <w:tc>
          <w:tcPr>
            <w:tcW w:w="443" w:type="pct"/>
            <w:vAlign w:val="center"/>
          </w:tcPr>
          <w:p w14:paraId="79A41A75">
            <w:pPr>
              <w:spacing w:line="240" w:lineRule="auto"/>
              <w:ind w:firstLine="0" w:firstLineChars="0"/>
              <w:jc w:val="center"/>
              <w:rPr>
                <w:sz w:val="21"/>
              </w:rPr>
            </w:pPr>
          </w:p>
        </w:tc>
      </w:tr>
      <w:tr w14:paraId="0708B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C294720">
            <w:pPr>
              <w:pStyle w:val="71"/>
              <w:numPr>
                <w:ilvl w:val="0"/>
                <w:numId w:val="45"/>
              </w:numPr>
              <w:spacing w:line="240" w:lineRule="auto"/>
              <w:ind w:firstLineChars="0"/>
              <w:jc w:val="center"/>
              <w:rPr>
                <w:sz w:val="21"/>
              </w:rPr>
            </w:pPr>
          </w:p>
        </w:tc>
        <w:tc>
          <w:tcPr>
            <w:tcW w:w="733" w:type="pct"/>
            <w:vMerge w:val="continue"/>
            <w:vAlign w:val="center"/>
          </w:tcPr>
          <w:p w14:paraId="269A50EC">
            <w:pPr>
              <w:spacing w:line="240" w:lineRule="auto"/>
              <w:ind w:firstLine="0" w:firstLineChars="0"/>
              <w:jc w:val="center"/>
              <w:rPr>
                <w:sz w:val="21"/>
              </w:rPr>
            </w:pPr>
          </w:p>
        </w:tc>
        <w:tc>
          <w:tcPr>
            <w:tcW w:w="1024" w:type="pct"/>
            <w:vAlign w:val="center"/>
          </w:tcPr>
          <w:p w14:paraId="091F2D5A">
            <w:pPr>
              <w:spacing w:line="240" w:lineRule="auto"/>
              <w:ind w:firstLine="0" w:firstLineChars="0"/>
              <w:jc w:val="center"/>
              <w:rPr>
                <w:sz w:val="21"/>
              </w:rPr>
            </w:pPr>
            <w:r>
              <w:rPr>
                <w:sz w:val="21"/>
              </w:rPr>
              <w:t>消毒棉签</w:t>
            </w:r>
          </w:p>
        </w:tc>
        <w:tc>
          <w:tcPr>
            <w:tcW w:w="443" w:type="pct"/>
            <w:vAlign w:val="center"/>
          </w:tcPr>
          <w:p w14:paraId="0C1B9157">
            <w:pPr>
              <w:spacing w:line="240" w:lineRule="auto"/>
              <w:ind w:firstLine="0" w:firstLineChars="0"/>
              <w:jc w:val="center"/>
              <w:rPr>
                <w:sz w:val="21"/>
              </w:rPr>
            </w:pPr>
            <w:r>
              <w:rPr>
                <w:sz w:val="21"/>
              </w:rPr>
              <w:t>袋</w:t>
            </w:r>
          </w:p>
        </w:tc>
        <w:tc>
          <w:tcPr>
            <w:tcW w:w="443" w:type="pct"/>
            <w:vAlign w:val="center"/>
          </w:tcPr>
          <w:p w14:paraId="18A38090">
            <w:pPr>
              <w:spacing w:line="240" w:lineRule="auto"/>
              <w:ind w:firstLine="0" w:firstLineChars="0"/>
              <w:jc w:val="center"/>
              <w:rPr>
                <w:sz w:val="21"/>
              </w:rPr>
            </w:pPr>
            <w:r>
              <w:rPr>
                <w:sz w:val="21"/>
              </w:rPr>
              <w:t>20</w:t>
            </w:r>
          </w:p>
        </w:tc>
        <w:tc>
          <w:tcPr>
            <w:tcW w:w="736" w:type="pct"/>
            <w:vAlign w:val="center"/>
          </w:tcPr>
          <w:p w14:paraId="5387D281">
            <w:pPr>
              <w:spacing w:line="240" w:lineRule="auto"/>
              <w:ind w:firstLine="0" w:firstLineChars="0"/>
              <w:jc w:val="center"/>
              <w:rPr>
                <w:sz w:val="21"/>
              </w:rPr>
            </w:pPr>
            <w:r>
              <w:rPr>
                <w:sz w:val="21"/>
              </w:rPr>
              <w:t>现场仓库</w:t>
            </w:r>
          </w:p>
        </w:tc>
        <w:tc>
          <w:tcPr>
            <w:tcW w:w="736" w:type="pct"/>
            <w:vAlign w:val="center"/>
          </w:tcPr>
          <w:p w14:paraId="1CA36F90">
            <w:pPr>
              <w:spacing w:line="240" w:lineRule="auto"/>
              <w:ind w:firstLine="0" w:firstLineChars="0"/>
              <w:jc w:val="center"/>
              <w:rPr>
                <w:sz w:val="21"/>
              </w:rPr>
            </w:pPr>
            <w:r>
              <w:rPr>
                <w:sz w:val="21"/>
              </w:rPr>
              <w:t>良好</w:t>
            </w:r>
          </w:p>
        </w:tc>
        <w:tc>
          <w:tcPr>
            <w:tcW w:w="443" w:type="pct"/>
            <w:vAlign w:val="center"/>
          </w:tcPr>
          <w:p w14:paraId="44FBB2D7">
            <w:pPr>
              <w:spacing w:line="240" w:lineRule="auto"/>
              <w:ind w:firstLine="0" w:firstLineChars="0"/>
              <w:jc w:val="center"/>
              <w:rPr>
                <w:sz w:val="21"/>
              </w:rPr>
            </w:pPr>
          </w:p>
        </w:tc>
      </w:tr>
      <w:tr w14:paraId="22DA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5A8FE60">
            <w:pPr>
              <w:pStyle w:val="71"/>
              <w:numPr>
                <w:ilvl w:val="0"/>
                <w:numId w:val="45"/>
              </w:numPr>
              <w:spacing w:line="240" w:lineRule="auto"/>
              <w:ind w:firstLineChars="0"/>
              <w:jc w:val="center"/>
              <w:rPr>
                <w:sz w:val="21"/>
              </w:rPr>
            </w:pPr>
          </w:p>
        </w:tc>
        <w:tc>
          <w:tcPr>
            <w:tcW w:w="733" w:type="pct"/>
            <w:vMerge w:val="continue"/>
            <w:vAlign w:val="center"/>
          </w:tcPr>
          <w:p w14:paraId="6F33A2A2">
            <w:pPr>
              <w:spacing w:line="240" w:lineRule="auto"/>
              <w:ind w:firstLine="0" w:firstLineChars="0"/>
              <w:jc w:val="center"/>
              <w:rPr>
                <w:sz w:val="21"/>
              </w:rPr>
            </w:pPr>
          </w:p>
        </w:tc>
        <w:tc>
          <w:tcPr>
            <w:tcW w:w="1024" w:type="pct"/>
            <w:vAlign w:val="center"/>
          </w:tcPr>
          <w:p w14:paraId="2AF30123">
            <w:pPr>
              <w:spacing w:line="240" w:lineRule="auto"/>
              <w:ind w:firstLine="0" w:firstLineChars="0"/>
              <w:jc w:val="center"/>
              <w:rPr>
                <w:sz w:val="21"/>
              </w:rPr>
            </w:pPr>
            <w:r>
              <w:rPr>
                <w:sz w:val="21"/>
              </w:rPr>
              <w:t>其他医疗器材</w:t>
            </w:r>
          </w:p>
        </w:tc>
        <w:tc>
          <w:tcPr>
            <w:tcW w:w="443" w:type="pct"/>
            <w:vAlign w:val="center"/>
          </w:tcPr>
          <w:p w14:paraId="477F5EED">
            <w:pPr>
              <w:spacing w:line="240" w:lineRule="auto"/>
              <w:ind w:firstLine="0" w:firstLineChars="0"/>
              <w:jc w:val="center"/>
              <w:rPr>
                <w:sz w:val="21"/>
              </w:rPr>
            </w:pPr>
          </w:p>
        </w:tc>
        <w:tc>
          <w:tcPr>
            <w:tcW w:w="443" w:type="pct"/>
            <w:vAlign w:val="center"/>
          </w:tcPr>
          <w:p w14:paraId="7C698150">
            <w:pPr>
              <w:spacing w:line="240" w:lineRule="auto"/>
              <w:ind w:firstLine="0" w:firstLineChars="0"/>
              <w:jc w:val="center"/>
              <w:rPr>
                <w:sz w:val="21"/>
              </w:rPr>
            </w:pPr>
            <w:r>
              <w:rPr>
                <w:sz w:val="21"/>
              </w:rPr>
              <w:t>若干</w:t>
            </w:r>
          </w:p>
        </w:tc>
        <w:tc>
          <w:tcPr>
            <w:tcW w:w="736" w:type="pct"/>
            <w:vAlign w:val="center"/>
          </w:tcPr>
          <w:p w14:paraId="7692C462">
            <w:pPr>
              <w:spacing w:line="240" w:lineRule="auto"/>
              <w:ind w:firstLine="0" w:firstLineChars="0"/>
              <w:jc w:val="center"/>
              <w:rPr>
                <w:sz w:val="21"/>
              </w:rPr>
            </w:pPr>
            <w:r>
              <w:rPr>
                <w:sz w:val="21"/>
              </w:rPr>
              <w:t>现场仓库</w:t>
            </w:r>
          </w:p>
        </w:tc>
        <w:tc>
          <w:tcPr>
            <w:tcW w:w="736" w:type="pct"/>
            <w:vAlign w:val="center"/>
          </w:tcPr>
          <w:p w14:paraId="7784DA36">
            <w:pPr>
              <w:spacing w:line="240" w:lineRule="auto"/>
              <w:ind w:firstLine="0" w:firstLineChars="0"/>
              <w:jc w:val="center"/>
              <w:rPr>
                <w:sz w:val="21"/>
              </w:rPr>
            </w:pPr>
            <w:r>
              <w:rPr>
                <w:sz w:val="21"/>
              </w:rPr>
              <w:t>良好</w:t>
            </w:r>
          </w:p>
        </w:tc>
        <w:tc>
          <w:tcPr>
            <w:tcW w:w="443" w:type="pct"/>
            <w:vAlign w:val="center"/>
          </w:tcPr>
          <w:p w14:paraId="3EB43823">
            <w:pPr>
              <w:spacing w:line="240" w:lineRule="auto"/>
              <w:ind w:firstLine="0" w:firstLineChars="0"/>
              <w:jc w:val="center"/>
              <w:rPr>
                <w:sz w:val="21"/>
              </w:rPr>
            </w:pPr>
          </w:p>
        </w:tc>
      </w:tr>
      <w:tr w14:paraId="29DDA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0A9CE6F">
            <w:pPr>
              <w:pStyle w:val="71"/>
              <w:numPr>
                <w:ilvl w:val="0"/>
                <w:numId w:val="45"/>
              </w:numPr>
              <w:spacing w:line="240" w:lineRule="auto"/>
              <w:ind w:firstLineChars="0"/>
              <w:jc w:val="center"/>
              <w:rPr>
                <w:sz w:val="21"/>
              </w:rPr>
            </w:pPr>
          </w:p>
        </w:tc>
        <w:tc>
          <w:tcPr>
            <w:tcW w:w="733" w:type="pct"/>
            <w:vMerge w:val="restart"/>
            <w:vAlign w:val="center"/>
          </w:tcPr>
          <w:p w14:paraId="7D6136BC">
            <w:pPr>
              <w:spacing w:line="240" w:lineRule="auto"/>
              <w:ind w:firstLine="0" w:firstLineChars="0"/>
              <w:jc w:val="center"/>
              <w:rPr>
                <w:sz w:val="21"/>
              </w:rPr>
            </w:pPr>
            <w:r>
              <w:rPr>
                <w:sz w:val="21"/>
              </w:rPr>
              <w:t>抢救工具</w:t>
            </w:r>
          </w:p>
        </w:tc>
        <w:tc>
          <w:tcPr>
            <w:tcW w:w="1024" w:type="pct"/>
            <w:vAlign w:val="center"/>
          </w:tcPr>
          <w:p w14:paraId="157DD644">
            <w:pPr>
              <w:spacing w:line="240" w:lineRule="auto"/>
              <w:ind w:firstLine="0" w:firstLineChars="0"/>
              <w:jc w:val="center"/>
              <w:rPr>
                <w:sz w:val="21"/>
              </w:rPr>
            </w:pPr>
            <w:r>
              <w:rPr>
                <w:sz w:val="21"/>
              </w:rPr>
              <w:t>安全绳</w:t>
            </w:r>
          </w:p>
        </w:tc>
        <w:tc>
          <w:tcPr>
            <w:tcW w:w="443" w:type="pct"/>
            <w:vAlign w:val="center"/>
          </w:tcPr>
          <w:p w14:paraId="1791ADDF">
            <w:pPr>
              <w:spacing w:line="240" w:lineRule="auto"/>
              <w:ind w:firstLine="0" w:firstLineChars="0"/>
              <w:jc w:val="center"/>
              <w:rPr>
                <w:sz w:val="21"/>
              </w:rPr>
            </w:pPr>
            <w:r>
              <w:rPr>
                <w:sz w:val="21"/>
              </w:rPr>
              <w:t>米</w:t>
            </w:r>
          </w:p>
        </w:tc>
        <w:tc>
          <w:tcPr>
            <w:tcW w:w="443" w:type="pct"/>
            <w:vAlign w:val="center"/>
          </w:tcPr>
          <w:p w14:paraId="4AC7FC35">
            <w:pPr>
              <w:spacing w:line="240" w:lineRule="auto"/>
              <w:ind w:firstLine="0" w:firstLineChars="0"/>
              <w:jc w:val="center"/>
              <w:rPr>
                <w:sz w:val="21"/>
              </w:rPr>
            </w:pPr>
            <w:r>
              <w:rPr>
                <w:sz w:val="21"/>
              </w:rPr>
              <w:t>500</w:t>
            </w:r>
          </w:p>
        </w:tc>
        <w:tc>
          <w:tcPr>
            <w:tcW w:w="736" w:type="pct"/>
            <w:vAlign w:val="center"/>
          </w:tcPr>
          <w:p w14:paraId="75235FEE">
            <w:pPr>
              <w:spacing w:line="240" w:lineRule="auto"/>
              <w:ind w:firstLine="0" w:firstLineChars="0"/>
              <w:jc w:val="center"/>
              <w:rPr>
                <w:sz w:val="21"/>
              </w:rPr>
            </w:pPr>
            <w:r>
              <w:rPr>
                <w:sz w:val="21"/>
              </w:rPr>
              <w:t>现场</w:t>
            </w:r>
          </w:p>
        </w:tc>
        <w:tc>
          <w:tcPr>
            <w:tcW w:w="736" w:type="pct"/>
            <w:vAlign w:val="center"/>
          </w:tcPr>
          <w:p w14:paraId="69243621">
            <w:pPr>
              <w:spacing w:line="240" w:lineRule="auto"/>
              <w:ind w:firstLine="0" w:firstLineChars="0"/>
              <w:jc w:val="center"/>
              <w:rPr>
                <w:sz w:val="21"/>
              </w:rPr>
            </w:pPr>
            <w:r>
              <w:rPr>
                <w:sz w:val="21"/>
              </w:rPr>
              <w:t>良好</w:t>
            </w:r>
          </w:p>
        </w:tc>
        <w:tc>
          <w:tcPr>
            <w:tcW w:w="443" w:type="pct"/>
            <w:vAlign w:val="center"/>
          </w:tcPr>
          <w:p w14:paraId="2D3D75D1">
            <w:pPr>
              <w:spacing w:line="240" w:lineRule="auto"/>
              <w:ind w:firstLine="0" w:firstLineChars="0"/>
              <w:jc w:val="center"/>
              <w:rPr>
                <w:sz w:val="21"/>
              </w:rPr>
            </w:pPr>
          </w:p>
        </w:tc>
      </w:tr>
      <w:tr w14:paraId="6746A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5C56D5">
            <w:pPr>
              <w:pStyle w:val="71"/>
              <w:numPr>
                <w:ilvl w:val="0"/>
                <w:numId w:val="45"/>
              </w:numPr>
              <w:spacing w:line="240" w:lineRule="auto"/>
              <w:ind w:firstLineChars="0"/>
              <w:jc w:val="center"/>
              <w:rPr>
                <w:sz w:val="21"/>
              </w:rPr>
            </w:pPr>
          </w:p>
        </w:tc>
        <w:tc>
          <w:tcPr>
            <w:tcW w:w="733" w:type="pct"/>
            <w:vMerge w:val="continue"/>
            <w:vAlign w:val="center"/>
          </w:tcPr>
          <w:p w14:paraId="6C7C0D2E">
            <w:pPr>
              <w:spacing w:line="240" w:lineRule="auto"/>
              <w:ind w:firstLine="0" w:firstLineChars="0"/>
              <w:jc w:val="center"/>
              <w:rPr>
                <w:sz w:val="21"/>
              </w:rPr>
            </w:pPr>
          </w:p>
        </w:tc>
        <w:tc>
          <w:tcPr>
            <w:tcW w:w="1024" w:type="pct"/>
            <w:vAlign w:val="center"/>
          </w:tcPr>
          <w:p w14:paraId="6E129BD0">
            <w:pPr>
              <w:spacing w:line="240" w:lineRule="auto"/>
              <w:ind w:firstLine="0" w:firstLineChars="0"/>
              <w:jc w:val="center"/>
              <w:rPr>
                <w:sz w:val="21"/>
              </w:rPr>
            </w:pPr>
            <w:r>
              <w:rPr>
                <w:sz w:val="21"/>
              </w:rPr>
              <w:t>安全带</w:t>
            </w:r>
          </w:p>
        </w:tc>
        <w:tc>
          <w:tcPr>
            <w:tcW w:w="443" w:type="pct"/>
            <w:vAlign w:val="center"/>
          </w:tcPr>
          <w:p w14:paraId="5AF06F60">
            <w:pPr>
              <w:spacing w:line="240" w:lineRule="auto"/>
              <w:ind w:firstLine="0" w:firstLineChars="0"/>
              <w:jc w:val="center"/>
              <w:rPr>
                <w:sz w:val="21"/>
              </w:rPr>
            </w:pPr>
            <w:r>
              <w:rPr>
                <w:sz w:val="21"/>
              </w:rPr>
              <w:t>副</w:t>
            </w:r>
          </w:p>
        </w:tc>
        <w:tc>
          <w:tcPr>
            <w:tcW w:w="443" w:type="pct"/>
            <w:vAlign w:val="center"/>
          </w:tcPr>
          <w:p w14:paraId="54ED969B">
            <w:pPr>
              <w:spacing w:line="240" w:lineRule="auto"/>
              <w:ind w:firstLine="0" w:firstLineChars="0"/>
              <w:jc w:val="center"/>
              <w:rPr>
                <w:sz w:val="21"/>
              </w:rPr>
            </w:pPr>
            <w:r>
              <w:rPr>
                <w:sz w:val="21"/>
              </w:rPr>
              <w:t>10</w:t>
            </w:r>
          </w:p>
        </w:tc>
        <w:tc>
          <w:tcPr>
            <w:tcW w:w="736" w:type="pct"/>
            <w:vAlign w:val="center"/>
          </w:tcPr>
          <w:p w14:paraId="39B7A541">
            <w:pPr>
              <w:spacing w:line="240" w:lineRule="auto"/>
              <w:ind w:firstLine="0" w:firstLineChars="0"/>
              <w:jc w:val="center"/>
              <w:rPr>
                <w:sz w:val="21"/>
              </w:rPr>
            </w:pPr>
            <w:r>
              <w:rPr>
                <w:sz w:val="21"/>
              </w:rPr>
              <w:t>现场仓库</w:t>
            </w:r>
          </w:p>
        </w:tc>
        <w:tc>
          <w:tcPr>
            <w:tcW w:w="736" w:type="pct"/>
            <w:vAlign w:val="center"/>
          </w:tcPr>
          <w:p w14:paraId="554B8C7F">
            <w:pPr>
              <w:spacing w:line="240" w:lineRule="auto"/>
              <w:ind w:firstLine="0" w:firstLineChars="0"/>
              <w:jc w:val="center"/>
              <w:rPr>
                <w:sz w:val="21"/>
              </w:rPr>
            </w:pPr>
            <w:r>
              <w:rPr>
                <w:sz w:val="21"/>
              </w:rPr>
              <w:t>良好</w:t>
            </w:r>
          </w:p>
        </w:tc>
        <w:tc>
          <w:tcPr>
            <w:tcW w:w="443" w:type="pct"/>
            <w:vAlign w:val="center"/>
          </w:tcPr>
          <w:p w14:paraId="4E59D4D4">
            <w:pPr>
              <w:spacing w:line="240" w:lineRule="auto"/>
              <w:ind w:firstLine="0" w:firstLineChars="0"/>
              <w:jc w:val="center"/>
              <w:rPr>
                <w:sz w:val="21"/>
              </w:rPr>
            </w:pPr>
          </w:p>
        </w:tc>
      </w:tr>
      <w:tr w14:paraId="65638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CF670D1">
            <w:pPr>
              <w:pStyle w:val="71"/>
              <w:numPr>
                <w:ilvl w:val="0"/>
                <w:numId w:val="45"/>
              </w:numPr>
              <w:spacing w:line="240" w:lineRule="auto"/>
              <w:ind w:firstLineChars="0"/>
              <w:jc w:val="center"/>
              <w:rPr>
                <w:sz w:val="21"/>
              </w:rPr>
            </w:pPr>
          </w:p>
        </w:tc>
        <w:tc>
          <w:tcPr>
            <w:tcW w:w="733" w:type="pct"/>
            <w:vMerge w:val="continue"/>
            <w:vAlign w:val="center"/>
          </w:tcPr>
          <w:p w14:paraId="3552CF54">
            <w:pPr>
              <w:spacing w:line="240" w:lineRule="auto"/>
              <w:ind w:firstLine="0" w:firstLineChars="0"/>
              <w:jc w:val="center"/>
              <w:rPr>
                <w:sz w:val="21"/>
              </w:rPr>
            </w:pPr>
          </w:p>
        </w:tc>
        <w:tc>
          <w:tcPr>
            <w:tcW w:w="1024" w:type="pct"/>
            <w:vAlign w:val="center"/>
          </w:tcPr>
          <w:p w14:paraId="44E89558">
            <w:pPr>
              <w:spacing w:line="240" w:lineRule="auto"/>
              <w:ind w:firstLine="0" w:firstLineChars="0"/>
              <w:jc w:val="center"/>
              <w:rPr>
                <w:sz w:val="21"/>
              </w:rPr>
            </w:pPr>
            <w:r>
              <w:rPr>
                <w:sz w:val="21"/>
              </w:rPr>
              <w:t>铁锨</w:t>
            </w:r>
          </w:p>
        </w:tc>
        <w:tc>
          <w:tcPr>
            <w:tcW w:w="443" w:type="pct"/>
            <w:vAlign w:val="center"/>
          </w:tcPr>
          <w:p w14:paraId="29B623EB">
            <w:pPr>
              <w:spacing w:line="240" w:lineRule="auto"/>
              <w:ind w:firstLine="0" w:firstLineChars="0"/>
              <w:jc w:val="center"/>
              <w:rPr>
                <w:sz w:val="21"/>
              </w:rPr>
            </w:pPr>
            <w:r>
              <w:rPr>
                <w:sz w:val="21"/>
              </w:rPr>
              <w:t>把</w:t>
            </w:r>
          </w:p>
        </w:tc>
        <w:tc>
          <w:tcPr>
            <w:tcW w:w="443" w:type="pct"/>
            <w:vAlign w:val="center"/>
          </w:tcPr>
          <w:p w14:paraId="4B8CA4C5">
            <w:pPr>
              <w:spacing w:line="240" w:lineRule="auto"/>
              <w:ind w:firstLine="0" w:firstLineChars="0"/>
              <w:jc w:val="center"/>
              <w:rPr>
                <w:sz w:val="21"/>
              </w:rPr>
            </w:pPr>
            <w:r>
              <w:rPr>
                <w:sz w:val="21"/>
              </w:rPr>
              <w:t>5</w:t>
            </w:r>
          </w:p>
        </w:tc>
        <w:tc>
          <w:tcPr>
            <w:tcW w:w="736" w:type="pct"/>
            <w:vAlign w:val="center"/>
          </w:tcPr>
          <w:p w14:paraId="6D99EE75">
            <w:pPr>
              <w:spacing w:line="240" w:lineRule="auto"/>
              <w:ind w:firstLine="0" w:firstLineChars="0"/>
              <w:jc w:val="center"/>
              <w:rPr>
                <w:sz w:val="21"/>
              </w:rPr>
            </w:pPr>
            <w:r>
              <w:rPr>
                <w:sz w:val="21"/>
              </w:rPr>
              <w:t>现场仓库</w:t>
            </w:r>
          </w:p>
        </w:tc>
        <w:tc>
          <w:tcPr>
            <w:tcW w:w="736" w:type="pct"/>
            <w:vAlign w:val="center"/>
          </w:tcPr>
          <w:p w14:paraId="455DF6FD">
            <w:pPr>
              <w:spacing w:line="240" w:lineRule="auto"/>
              <w:ind w:firstLine="0" w:firstLineChars="0"/>
              <w:jc w:val="center"/>
              <w:rPr>
                <w:sz w:val="21"/>
              </w:rPr>
            </w:pPr>
            <w:r>
              <w:rPr>
                <w:sz w:val="21"/>
              </w:rPr>
              <w:t>良好</w:t>
            </w:r>
          </w:p>
        </w:tc>
        <w:tc>
          <w:tcPr>
            <w:tcW w:w="443" w:type="pct"/>
            <w:vAlign w:val="center"/>
          </w:tcPr>
          <w:p w14:paraId="40D924BF">
            <w:pPr>
              <w:spacing w:line="240" w:lineRule="auto"/>
              <w:ind w:firstLine="0" w:firstLineChars="0"/>
              <w:jc w:val="center"/>
              <w:rPr>
                <w:sz w:val="21"/>
              </w:rPr>
            </w:pPr>
          </w:p>
        </w:tc>
      </w:tr>
      <w:tr w14:paraId="7AC14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7B5840">
            <w:pPr>
              <w:pStyle w:val="71"/>
              <w:numPr>
                <w:ilvl w:val="0"/>
                <w:numId w:val="45"/>
              </w:numPr>
              <w:spacing w:line="240" w:lineRule="auto"/>
              <w:ind w:firstLineChars="0"/>
              <w:jc w:val="center"/>
              <w:rPr>
                <w:sz w:val="21"/>
              </w:rPr>
            </w:pPr>
          </w:p>
        </w:tc>
        <w:tc>
          <w:tcPr>
            <w:tcW w:w="733" w:type="pct"/>
            <w:vMerge w:val="continue"/>
            <w:vAlign w:val="center"/>
          </w:tcPr>
          <w:p w14:paraId="11F56C77">
            <w:pPr>
              <w:spacing w:line="240" w:lineRule="auto"/>
              <w:ind w:firstLine="0" w:firstLineChars="0"/>
              <w:jc w:val="center"/>
              <w:rPr>
                <w:sz w:val="21"/>
              </w:rPr>
            </w:pPr>
          </w:p>
        </w:tc>
        <w:tc>
          <w:tcPr>
            <w:tcW w:w="1024" w:type="pct"/>
            <w:vAlign w:val="center"/>
          </w:tcPr>
          <w:p w14:paraId="0F4EC336">
            <w:pPr>
              <w:spacing w:line="240" w:lineRule="auto"/>
              <w:ind w:firstLine="0" w:firstLineChars="0"/>
              <w:jc w:val="center"/>
              <w:rPr>
                <w:sz w:val="21"/>
              </w:rPr>
            </w:pPr>
            <w:r>
              <w:rPr>
                <w:sz w:val="21"/>
              </w:rPr>
              <w:t>撬棍</w:t>
            </w:r>
          </w:p>
        </w:tc>
        <w:tc>
          <w:tcPr>
            <w:tcW w:w="443" w:type="pct"/>
            <w:vAlign w:val="center"/>
          </w:tcPr>
          <w:p w14:paraId="5BA3A803">
            <w:pPr>
              <w:spacing w:line="240" w:lineRule="auto"/>
              <w:ind w:firstLine="0" w:firstLineChars="0"/>
              <w:jc w:val="center"/>
              <w:rPr>
                <w:sz w:val="21"/>
              </w:rPr>
            </w:pPr>
            <w:r>
              <w:rPr>
                <w:sz w:val="21"/>
              </w:rPr>
              <w:t>把</w:t>
            </w:r>
          </w:p>
        </w:tc>
        <w:tc>
          <w:tcPr>
            <w:tcW w:w="443" w:type="pct"/>
            <w:vAlign w:val="center"/>
          </w:tcPr>
          <w:p w14:paraId="30715A2D">
            <w:pPr>
              <w:spacing w:line="240" w:lineRule="auto"/>
              <w:ind w:firstLine="0" w:firstLineChars="0"/>
              <w:jc w:val="center"/>
              <w:rPr>
                <w:sz w:val="21"/>
              </w:rPr>
            </w:pPr>
            <w:r>
              <w:rPr>
                <w:sz w:val="21"/>
              </w:rPr>
              <w:t>5</w:t>
            </w:r>
          </w:p>
        </w:tc>
        <w:tc>
          <w:tcPr>
            <w:tcW w:w="736" w:type="pct"/>
            <w:vAlign w:val="center"/>
          </w:tcPr>
          <w:p w14:paraId="079D3715">
            <w:pPr>
              <w:spacing w:line="240" w:lineRule="auto"/>
              <w:ind w:firstLine="0" w:firstLineChars="0"/>
              <w:jc w:val="center"/>
              <w:rPr>
                <w:sz w:val="21"/>
              </w:rPr>
            </w:pPr>
            <w:r>
              <w:rPr>
                <w:sz w:val="21"/>
              </w:rPr>
              <w:t>现场仓库</w:t>
            </w:r>
          </w:p>
        </w:tc>
        <w:tc>
          <w:tcPr>
            <w:tcW w:w="736" w:type="pct"/>
            <w:vAlign w:val="center"/>
          </w:tcPr>
          <w:p w14:paraId="3556E617">
            <w:pPr>
              <w:spacing w:line="240" w:lineRule="auto"/>
              <w:ind w:firstLine="0" w:firstLineChars="0"/>
              <w:jc w:val="center"/>
              <w:rPr>
                <w:sz w:val="21"/>
              </w:rPr>
            </w:pPr>
            <w:r>
              <w:rPr>
                <w:sz w:val="21"/>
              </w:rPr>
              <w:t>良好</w:t>
            </w:r>
          </w:p>
        </w:tc>
        <w:tc>
          <w:tcPr>
            <w:tcW w:w="443" w:type="pct"/>
            <w:vAlign w:val="center"/>
          </w:tcPr>
          <w:p w14:paraId="61C5C271">
            <w:pPr>
              <w:spacing w:line="240" w:lineRule="auto"/>
              <w:ind w:firstLine="0" w:firstLineChars="0"/>
              <w:jc w:val="center"/>
              <w:rPr>
                <w:sz w:val="21"/>
              </w:rPr>
            </w:pPr>
          </w:p>
        </w:tc>
      </w:tr>
      <w:tr w14:paraId="16CE8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460A8CA">
            <w:pPr>
              <w:pStyle w:val="71"/>
              <w:numPr>
                <w:ilvl w:val="0"/>
                <w:numId w:val="45"/>
              </w:numPr>
              <w:spacing w:line="240" w:lineRule="auto"/>
              <w:ind w:firstLineChars="0"/>
              <w:jc w:val="center"/>
              <w:rPr>
                <w:sz w:val="21"/>
              </w:rPr>
            </w:pPr>
          </w:p>
        </w:tc>
        <w:tc>
          <w:tcPr>
            <w:tcW w:w="733" w:type="pct"/>
            <w:vMerge w:val="continue"/>
            <w:vAlign w:val="center"/>
          </w:tcPr>
          <w:p w14:paraId="6B383E4C">
            <w:pPr>
              <w:spacing w:line="240" w:lineRule="auto"/>
              <w:ind w:firstLine="0" w:firstLineChars="0"/>
              <w:jc w:val="center"/>
              <w:rPr>
                <w:sz w:val="21"/>
              </w:rPr>
            </w:pPr>
          </w:p>
        </w:tc>
        <w:tc>
          <w:tcPr>
            <w:tcW w:w="1024" w:type="pct"/>
            <w:vAlign w:val="center"/>
          </w:tcPr>
          <w:p w14:paraId="67BADF8B">
            <w:pPr>
              <w:spacing w:line="240" w:lineRule="auto"/>
              <w:ind w:firstLine="0" w:firstLineChars="0"/>
              <w:jc w:val="center"/>
              <w:rPr>
                <w:sz w:val="21"/>
              </w:rPr>
            </w:pPr>
            <w:r>
              <w:rPr>
                <w:sz w:val="21"/>
              </w:rPr>
              <w:t>气割工具</w:t>
            </w:r>
          </w:p>
        </w:tc>
        <w:tc>
          <w:tcPr>
            <w:tcW w:w="443" w:type="pct"/>
            <w:vAlign w:val="center"/>
          </w:tcPr>
          <w:p w14:paraId="071ED41B">
            <w:pPr>
              <w:spacing w:line="240" w:lineRule="auto"/>
              <w:ind w:firstLine="0" w:firstLineChars="0"/>
              <w:jc w:val="center"/>
              <w:rPr>
                <w:sz w:val="21"/>
              </w:rPr>
            </w:pPr>
            <w:r>
              <w:rPr>
                <w:sz w:val="21"/>
              </w:rPr>
              <w:t>套</w:t>
            </w:r>
          </w:p>
        </w:tc>
        <w:tc>
          <w:tcPr>
            <w:tcW w:w="443" w:type="pct"/>
            <w:vAlign w:val="center"/>
          </w:tcPr>
          <w:p w14:paraId="44BBC5E8">
            <w:pPr>
              <w:spacing w:line="240" w:lineRule="auto"/>
              <w:ind w:firstLine="0" w:firstLineChars="0"/>
              <w:jc w:val="center"/>
              <w:rPr>
                <w:sz w:val="21"/>
              </w:rPr>
            </w:pPr>
            <w:r>
              <w:rPr>
                <w:sz w:val="21"/>
              </w:rPr>
              <w:t>2</w:t>
            </w:r>
          </w:p>
        </w:tc>
        <w:tc>
          <w:tcPr>
            <w:tcW w:w="736" w:type="pct"/>
            <w:vAlign w:val="center"/>
          </w:tcPr>
          <w:p w14:paraId="72A434AA">
            <w:pPr>
              <w:spacing w:line="240" w:lineRule="auto"/>
              <w:ind w:firstLine="0" w:firstLineChars="0"/>
              <w:jc w:val="center"/>
              <w:rPr>
                <w:sz w:val="21"/>
              </w:rPr>
            </w:pPr>
            <w:r>
              <w:rPr>
                <w:sz w:val="21"/>
              </w:rPr>
              <w:t>现场仓库</w:t>
            </w:r>
          </w:p>
        </w:tc>
        <w:tc>
          <w:tcPr>
            <w:tcW w:w="736" w:type="pct"/>
            <w:vAlign w:val="center"/>
          </w:tcPr>
          <w:p w14:paraId="2085405E">
            <w:pPr>
              <w:spacing w:line="240" w:lineRule="auto"/>
              <w:ind w:firstLine="0" w:firstLineChars="0"/>
              <w:jc w:val="center"/>
              <w:rPr>
                <w:sz w:val="21"/>
              </w:rPr>
            </w:pPr>
            <w:r>
              <w:rPr>
                <w:sz w:val="21"/>
              </w:rPr>
              <w:t>良好</w:t>
            </w:r>
          </w:p>
        </w:tc>
        <w:tc>
          <w:tcPr>
            <w:tcW w:w="443" w:type="pct"/>
            <w:vAlign w:val="center"/>
          </w:tcPr>
          <w:p w14:paraId="33030B20">
            <w:pPr>
              <w:spacing w:line="240" w:lineRule="auto"/>
              <w:ind w:firstLine="0" w:firstLineChars="0"/>
              <w:jc w:val="center"/>
              <w:rPr>
                <w:sz w:val="21"/>
              </w:rPr>
            </w:pPr>
          </w:p>
        </w:tc>
      </w:tr>
      <w:tr w14:paraId="52081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D328151">
            <w:pPr>
              <w:pStyle w:val="71"/>
              <w:numPr>
                <w:ilvl w:val="0"/>
                <w:numId w:val="45"/>
              </w:numPr>
              <w:spacing w:line="240" w:lineRule="auto"/>
              <w:ind w:firstLineChars="0"/>
              <w:jc w:val="center"/>
              <w:rPr>
                <w:sz w:val="21"/>
              </w:rPr>
            </w:pPr>
          </w:p>
        </w:tc>
        <w:tc>
          <w:tcPr>
            <w:tcW w:w="733" w:type="pct"/>
            <w:vMerge w:val="continue"/>
            <w:vAlign w:val="center"/>
          </w:tcPr>
          <w:p w14:paraId="6597AFC7">
            <w:pPr>
              <w:spacing w:line="240" w:lineRule="auto"/>
              <w:ind w:firstLine="0" w:firstLineChars="0"/>
              <w:jc w:val="center"/>
              <w:rPr>
                <w:sz w:val="21"/>
              </w:rPr>
            </w:pPr>
          </w:p>
        </w:tc>
        <w:tc>
          <w:tcPr>
            <w:tcW w:w="1024" w:type="pct"/>
            <w:vAlign w:val="center"/>
          </w:tcPr>
          <w:p w14:paraId="073F5DB5">
            <w:pPr>
              <w:spacing w:line="240" w:lineRule="auto"/>
              <w:ind w:firstLine="0" w:firstLineChars="0"/>
              <w:jc w:val="center"/>
              <w:rPr>
                <w:sz w:val="21"/>
              </w:rPr>
            </w:pPr>
            <w:r>
              <w:rPr>
                <w:sz w:val="21"/>
              </w:rPr>
              <w:t>电工工具</w:t>
            </w:r>
          </w:p>
        </w:tc>
        <w:tc>
          <w:tcPr>
            <w:tcW w:w="443" w:type="pct"/>
            <w:vAlign w:val="center"/>
          </w:tcPr>
          <w:p w14:paraId="24FA9843">
            <w:pPr>
              <w:spacing w:line="240" w:lineRule="auto"/>
              <w:ind w:firstLine="0" w:firstLineChars="0"/>
              <w:jc w:val="center"/>
              <w:rPr>
                <w:sz w:val="21"/>
              </w:rPr>
            </w:pPr>
            <w:r>
              <w:rPr>
                <w:sz w:val="21"/>
              </w:rPr>
              <w:t>套</w:t>
            </w:r>
          </w:p>
        </w:tc>
        <w:tc>
          <w:tcPr>
            <w:tcW w:w="443" w:type="pct"/>
            <w:vAlign w:val="center"/>
          </w:tcPr>
          <w:p w14:paraId="3CAFFBF6">
            <w:pPr>
              <w:spacing w:line="240" w:lineRule="auto"/>
              <w:ind w:firstLine="0" w:firstLineChars="0"/>
              <w:jc w:val="center"/>
              <w:rPr>
                <w:sz w:val="21"/>
              </w:rPr>
            </w:pPr>
            <w:r>
              <w:rPr>
                <w:sz w:val="21"/>
              </w:rPr>
              <w:t>若干　</w:t>
            </w:r>
          </w:p>
        </w:tc>
        <w:tc>
          <w:tcPr>
            <w:tcW w:w="736" w:type="pct"/>
            <w:vAlign w:val="center"/>
          </w:tcPr>
          <w:p w14:paraId="4661D9FE">
            <w:pPr>
              <w:spacing w:line="240" w:lineRule="auto"/>
              <w:ind w:firstLine="0" w:firstLineChars="0"/>
              <w:jc w:val="center"/>
              <w:rPr>
                <w:sz w:val="21"/>
              </w:rPr>
            </w:pPr>
            <w:r>
              <w:rPr>
                <w:sz w:val="21"/>
              </w:rPr>
              <w:t>现场仓库</w:t>
            </w:r>
          </w:p>
        </w:tc>
        <w:tc>
          <w:tcPr>
            <w:tcW w:w="736" w:type="pct"/>
            <w:vAlign w:val="center"/>
          </w:tcPr>
          <w:p w14:paraId="32F4C602">
            <w:pPr>
              <w:spacing w:line="240" w:lineRule="auto"/>
              <w:ind w:firstLine="0" w:firstLineChars="0"/>
              <w:jc w:val="center"/>
              <w:rPr>
                <w:sz w:val="21"/>
              </w:rPr>
            </w:pPr>
            <w:r>
              <w:rPr>
                <w:sz w:val="21"/>
              </w:rPr>
              <w:t>良好</w:t>
            </w:r>
          </w:p>
        </w:tc>
        <w:tc>
          <w:tcPr>
            <w:tcW w:w="443" w:type="pct"/>
            <w:vAlign w:val="center"/>
          </w:tcPr>
          <w:p w14:paraId="735D014E">
            <w:pPr>
              <w:spacing w:line="240" w:lineRule="auto"/>
              <w:ind w:firstLine="0" w:firstLineChars="0"/>
              <w:jc w:val="center"/>
              <w:rPr>
                <w:sz w:val="21"/>
              </w:rPr>
            </w:pPr>
          </w:p>
        </w:tc>
      </w:tr>
      <w:tr w14:paraId="30837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A9771E6">
            <w:pPr>
              <w:pStyle w:val="71"/>
              <w:numPr>
                <w:ilvl w:val="0"/>
                <w:numId w:val="45"/>
              </w:numPr>
              <w:spacing w:line="240" w:lineRule="auto"/>
              <w:ind w:firstLineChars="0"/>
              <w:jc w:val="center"/>
              <w:rPr>
                <w:sz w:val="21"/>
              </w:rPr>
            </w:pPr>
          </w:p>
        </w:tc>
        <w:tc>
          <w:tcPr>
            <w:tcW w:w="733" w:type="pct"/>
            <w:vMerge w:val="continue"/>
            <w:vAlign w:val="center"/>
          </w:tcPr>
          <w:p w14:paraId="3EF94631">
            <w:pPr>
              <w:spacing w:line="240" w:lineRule="auto"/>
              <w:ind w:firstLine="0" w:firstLineChars="0"/>
              <w:jc w:val="center"/>
              <w:rPr>
                <w:sz w:val="21"/>
              </w:rPr>
            </w:pPr>
          </w:p>
        </w:tc>
        <w:tc>
          <w:tcPr>
            <w:tcW w:w="1024" w:type="pct"/>
            <w:vAlign w:val="center"/>
          </w:tcPr>
          <w:p w14:paraId="7C06A422">
            <w:pPr>
              <w:spacing w:line="240" w:lineRule="auto"/>
              <w:ind w:firstLine="0" w:firstLineChars="0"/>
              <w:jc w:val="center"/>
              <w:rPr>
                <w:sz w:val="21"/>
              </w:rPr>
            </w:pPr>
            <w:r>
              <w:rPr>
                <w:sz w:val="21"/>
              </w:rPr>
              <w:t>简易担架</w:t>
            </w:r>
          </w:p>
        </w:tc>
        <w:tc>
          <w:tcPr>
            <w:tcW w:w="443" w:type="pct"/>
            <w:vAlign w:val="center"/>
          </w:tcPr>
          <w:p w14:paraId="25D3A07E">
            <w:pPr>
              <w:spacing w:line="240" w:lineRule="auto"/>
              <w:ind w:firstLine="0" w:firstLineChars="0"/>
              <w:jc w:val="center"/>
              <w:rPr>
                <w:sz w:val="21"/>
              </w:rPr>
            </w:pPr>
            <w:r>
              <w:rPr>
                <w:sz w:val="21"/>
              </w:rPr>
              <w:t>个</w:t>
            </w:r>
          </w:p>
        </w:tc>
        <w:tc>
          <w:tcPr>
            <w:tcW w:w="443" w:type="pct"/>
            <w:vAlign w:val="center"/>
          </w:tcPr>
          <w:p w14:paraId="42C0CA3B">
            <w:pPr>
              <w:spacing w:line="240" w:lineRule="auto"/>
              <w:ind w:firstLine="0" w:firstLineChars="0"/>
              <w:jc w:val="center"/>
              <w:rPr>
                <w:sz w:val="21"/>
              </w:rPr>
            </w:pPr>
            <w:r>
              <w:rPr>
                <w:sz w:val="21"/>
              </w:rPr>
              <w:t>2</w:t>
            </w:r>
          </w:p>
        </w:tc>
        <w:tc>
          <w:tcPr>
            <w:tcW w:w="736" w:type="pct"/>
            <w:vAlign w:val="center"/>
          </w:tcPr>
          <w:p w14:paraId="791B05B5">
            <w:pPr>
              <w:spacing w:line="240" w:lineRule="auto"/>
              <w:ind w:firstLine="0" w:firstLineChars="0"/>
              <w:jc w:val="center"/>
              <w:rPr>
                <w:sz w:val="21"/>
              </w:rPr>
            </w:pPr>
            <w:r>
              <w:rPr>
                <w:sz w:val="21"/>
              </w:rPr>
              <w:t>现场仓库</w:t>
            </w:r>
          </w:p>
        </w:tc>
        <w:tc>
          <w:tcPr>
            <w:tcW w:w="736" w:type="pct"/>
            <w:vAlign w:val="center"/>
          </w:tcPr>
          <w:p w14:paraId="1CB6ED83">
            <w:pPr>
              <w:spacing w:line="240" w:lineRule="auto"/>
              <w:ind w:firstLine="0" w:firstLineChars="0"/>
              <w:jc w:val="center"/>
              <w:rPr>
                <w:sz w:val="21"/>
              </w:rPr>
            </w:pPr>
            <w:r>
              <w:rPr>
                <w:sz w:val="21"/>
              </w:rPr>
              <w:t>良好</w:t>
            </w:r>
          </w:p>
        </w:tc>
        <w:tc>
          <w:tcPr>
            <w:tcW w:w="443" w:type="pct"/>
            <w:vAlign w:val="center"/>
          </w:tcPr>
          <w:p w14:paraId="30C27EB3">
            <w:pPr>
              <w:spacing w:line="240" w:lineRule="auto"/>
              <w:ind w:firstLine="0" w:firstLineChars="0"/>
              <w:jc w:val="center"/>
              <w:rPr>
                <w:sz w:val="21"/>
              </w:rPr>
            </w:pPr>
          </w:p>
        </w:tc>
      </w:tr>
      <w:tr w14:paraId="6A7BC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E7E58F3">
            <w:pPr>
              <w:pStyle w:val="71"/>
              <w:numPr>
                <w:ilvl w:val="0"/>
                <w:numId w:val="45"/>
              </w:numPr>
              <w:spacing w:line="240" w:lineRule="auto"/>
              <w:ind w:firstLineChars="0"/>
              <w:jc w:val="center"/>
              <w:rPr>
                <w:sz w:val="21"/>
              </w:rPr>
            </w:pPr>
          </w:p>
        </w:tc>
        <w:tc>
          <w:tcPr>
            <w:tcW w:w="733" w:type="pct"/>
            <w:vMerge w:val="restart"/>
            <w:vAlign w:val="center"/>
          </w:tcPr>
          <w:p w14:paraId="102736F3">
            <w:pPr>
              <w:spacing w:line="240" w:lineRule="auto"/>
              <w:ind w:firstLine="0" w:firstLineChars="0"/>
              <w:jc w:val="center"/>
              <w:rPr>
                <w:sz w:val="21"/>
              </w:rPr>
            </w:pPr>
            <w:r>
              <w:rPr>
                <w:sz w:val="21"/>
              </w:rPr>
              <w:t>照明器材</w:t>
            </w:r>
          </w:p>
        </w:tc>
        <w:tc>
          <w:tcPr>
            <w:tcW w:w="1024" w:type="pct"/>
            <w:vAlign w:val="center"/>
          </w:tcPr>
          <w:p w14:paraId="4B73C57E">
            <w:pPr>
              <w:spacing w:line="240" w:lineRule="auto"/>
              <w:ind w:firstLine="0" w:firstLineChars="0"/>
              <w:jc w:val="center"/>
              <w:rPr>
                <w:sz w:val="21"/>
              </w:rPr>
            </w:pPr>
            <w:r>
              <w:rPr>
                <w:sz w:val="21"/>
              </w:rPr>
              <w:t>手电筒</w:t>
            </w:r>
          </w:p>
        </w:tc>
        <w:tc>
          <w:tcPr>
            <w:tcW w:w="443" w:type="pct"/>
            <w:vAlign w:val="center"/>
          </w:tcPr>
          <w:p w14:paraId="336C5BF9">
            <w:pPr>
              <w:spacing w:line="240" w:lineRule="auto"/>
              <w:ind w:firstLine="0" w:firstLineChars="0"/>
              <w:jc w:val="center"/>
              <w:rPr>
                <w:sz w:val="21"/>
              </w:rPr>
            </w:pPr>
            <w:r>
              <w:rPr>
                <w:sz w:val="21"/>
              </w:rPr>
              <w:t>把</w:t>
            </w:r>
          </w:p>
        </w:tc>
        <w:tc>
          <w:tcPr>
            <w:tcW w:w="443" w:type="pct"/>
            <w:vAlign w:val="center"/>
          </w:tcPr>
          <w:p w14:paraId="5F113A32">
            <w:pPr>
              <w:spacing w:line="240" w:lineRule="auto"/>
              <w:ind w:firstLine="0" w:firstLineChars="0"/>
              <w:jc w:val="center"/>
              <w:rPr>
                <w:sz w:val="21"/>
              </w:rPr>
            </w:pPr>
            <w:r>
              <w:rPr>
                <w:sz w:val="21"/>
              </w:rPr>
              <w:t>10</w:t>
            </w:r>
          </w:p>
        </w:tc>
        <w:tc>
          <w:tcPr>
            <w:tcW w:w="736" w:type="pct"/>
            <w:vAlign w:val="center"/>
          </w:tcPr>
          <w:p w14:paraId="32F268BB">
            <w:pPr>
              <w:spacing w:line="240" w:lineRule="auto"/>
              <w:ind w:firstLine="0" w:firstLineChars="0"/>
              <w:jc w:val="center"/>
              <w:rPr>
                <w:sz w:val="21"/>
              </w:rPr>
            </w:pPr>
            <w:r>
              <w:rPr>
                <w:sz w:val="21"/>
              </w:rPr>
              <w:t>现场仓库</w:t>
            </w:r>
          </w:p>
        </w:tc>
        <w:tc>
          <w:tcPr>
            <w:tcW w:w="736" w:type="pct"/>
            <w:vAlign w:val="center"/>
          </w:tcPr>
          <w:p w14:paraId="18A89C3D">
            <w:pPr>
              <w:spacing w:line="240" w:lineRule="auto"/>
              <w:ind w:firstLine="0" w:firstLineChars="0"/>
              <w:jc w:val="center"/>
              <w:rPr>
                <w:sz w:val="21"/>
              </w:rPr>
            </w:pPr>
            <w:r>
              <w:rPr>
                <w:sz w:val="21"/>
              </w:rPr>
              <w:t>良好</w:t>
            </w:r>
          </w:p>
        </w:tc>
        <w:tc>
          <w:tcPr>
            <w:tcW w:w="443" w:type="pct"/>
            <w:vAlign w:val="center"/>
          </w:tcPr>
          <w:p w14:paraId="177E7C85">
            <w:pPr>
              <w:spacing w:line="240" w:lineRule="auto"/>
              <w:ind w:firstLine="0" w:firstLineChars="0"/>
              <w:jc w:val="center"/>
              <w:rPr>
                <w:sz w:val="21"/>
              </w:rPr>
            </w:pPr>
          </w:p>
        </w:tc>
      </w:tr>
      <w:tr w14:paraId="3834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8D4F33E">
            <w:pPr>
              <w:pStyle w:val="71"/>
              <w:numPr>
                <w:ilvl w:val="0"/>
                <w:numId w:val="45"/>
              </w:numPr>
              <w:spacing w:line="240" w:lineRule="auto"/>
              <w:ind w:firstLineChars="0"/>
              <w:jc w:val="center"/>
              <w:rPr>
                <w:sz w:val="21"/>
              </w:rPr>
            </w:pPr>
          </w:p>
        </w:tc>
        <w:tc>
          <w:tcPr>
            <w:tcW w:w="733" w:type="pct"/>
            <w:vMerge w:val="continue"/>
            <w:vAlign w:val="center"/>
          </w:tcPr>
          <w:p w14:paraId="0C846286">
            <w:pPr>
              <w:spacing w:line="240" w:lineRule="auto"/>
              <w:ind w:firstLine="0" w:firstLineChars="0"/>
              <w:jc w:val="center"/>
              <w:rPr>
                <w:sz w:val="21"/>
              </w:rPr>
            </w:pPr>
          </w:p>
        </w:tc>
        <w:tc>
          <w:tcPr>
            <w:tcW w:w="1024" w:type="pct"/>
            <w:vAlign w:val="center"/>
          </w:tcPr>
          <w:p w14:paraId="4DC46FB8">
            <w:pPr>
              <w:spacing w:line="240" w:lineRule="auto"/>
              <w:ind w:firstLine="0" w:firstLineChars="0"/>
              <w:jc w:val="center"/>
              <w:rPr>
                <w:sz w:val="21"/>
              </w:rPr>
            </w:pPr>
            <w:r>
              <w:rPr>
                <w:sz w:val="21"/>
              </w:rPr>
              <w:t>应急灯具</w:t>
            </w:r>
          </w:p>
        </w:tc>
        <w:tc>
          <w:tcPr>
            <w:tcW w:w="443" w:type="pct"/>
            <w:vAlign w:val="center"/>
          </w:tcPr>
          <w:p w14:paraId="03FEB2CD">
            <w:pPr>
              <w:spacing w:line="240" w:lineRule="auto"/>
              <w:ind w:firstLine="0" w:firstLineChars="0"/>
              <w:jc w:val="center"/>
              <w:rPr>
                <w:sz w:val="21"/>
              </w:rPr>
            </w:pPr>
            <w:r>
              <w:rPr>
                <w:sz w:val="21"/>
              </w:rPr>
              <w:t>个</w:t>
            </w:r>
          </w:p>
        </w:tc>
        <w:tc>
          <w:tcPr>
            <w:tcW w:w="443" w:type="pct"/>
            <w:vAlign w:val="center"/>
          </w:tcPr>
          <w:p w14:paraId="5D1E047D">
            <w:pPr>
              <w:spacing w:line="240" w:lineRule="auto"/>
              <w:ind w:firstLine="0" w:firstLineChars="0"/>
              <w:jc w:val="center"/>
              <w:rPr>
                <w:sz w:val="21"/>
              </w:rPr>
            </w:pPr>
            <w:r>
              <w:rPr>
                <w:sz w:val="21"/>
              </w:rPr>
              <w:t>10</w:t>
            </w:r>
          </w:p>
        </w:tc>
        <w:tc>
          <w:tcPr>
            <w:tcW w:w="736" w:type="pct"/>
            <w:vAlign w:val="center"/>
          </w:tcPr>
          <w:p w14:paraId="639F1B15">
            <w:pPr>
              <w:spacing w:line="240" w:lineRule="auto"/>
              <w:ind w:firstLine="0" w:firstLineChars="0"/>
              <w:jc w:val="center"/>
              <w:rPr>
                <w:sz w:val="21"/>
              </w:rPr>
            </w:pPr>
            <w:r>
              <w:rPr>
                <w:sz w:val="21"/>
              </w:rPr>
              <w:t>现场仓库</w:t>
            </w:r>
          </w:p>
        </w:tc>
        <w:tc>
          <w:tcPr>
            <w:tcW w:w="736" w:type="pct"/>
            <w:vAlign w:val="center"/>
          </w:tcPr>
          <w:p w14:paraId="69DECF24">
            <w:pPr>
              <w:spacing w:line="240" w:lineRule="auto"/>
              <w:ind w:firstLine="0" w:firstLineChars="0"/>
              <w:jc w:val="center"/>
              <w:rPr>
                <w:sz w:val="21"/>
              </w:rPr>
            </w:pPr>
            <w:r>
              <w:rPr>
                <w:sz w:val="21"/>
              </w:rPr>
              <w:t>良好</w:t>
            </w:r>
          </w:p>
        </w:tc>
        <w:tc>
          <w:tcPr>
            <w:tcW w:w="443" w:type="pct"/>
            <w:vAlign w:val="center"/>
          </w:tcPr>
          <w:p w14:paraId="23BD821B">
            <w:pPr>
              <w:spacing w:line="240" w:lineRule="auto"/>
              <w:ind w:firstLine="0" w:firstLineChars="0"/>
              <w:jc w:val="center"/>
              <w:rPr>
                <w:sz w:val="21"/>
              </w:rPr>
            </w:pPr>
          </w:p>
        </w:tc>
      </w:tr>
      <w:tr w14:paraId="0C542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36BD5C4">
            <w:pPr>
              <w:pStyle w:val="71"/>
              <w:numPr>
                <w:ilvl w:val="0"/>
                <w:numId w:val="45"/>
              </w:numPr>
              <w:spacing w:line="240" w:lineRule="auto"/>
              <w:ind w:firstLineChars="0"/>
              <w:jc w:val="center"/>
              <w:rPr>
                <w:sz w:val="21"/>
              </w:rPr>
            </w:pPr>
          </w:p>
        </w:tc>
        <w:tc>
          <w:tcPr>
            <w:tcW w:w="733" w:type="pct"/>
            <w:vMerge w:val="restart"/>
            <w:vAlign w:val="center"/>
          </w:tcPr>
          <w:p w14:paraId="3AF4B8FD">
            <w:pPr>
              <w:spacing w:line="240" w:lineRule="auto"/>
              <w:ind w:firstLine="0" w:firstLineChars="0"/>
              <w:jc w:val="center"/>
              <w:rPr>
                <w:sz w:val="21"/>
              </w:rPr>
            </w:pPr>
            <w:r>
              <w:rPr>
                <w:sz w:val="21"/>
              </w:rPr>
              <w:t>通讯器材</w:t>
            </w:r>
          </w:p>
        </w:tc>
        <w:tc>
          <w:tcPr>
            <w:tcW w:w="1024" w:type="pct"/>
            <w:vAlign w:val="center"/>
          </w:tcPr>
          <w:p w14:paraId="59699441">
            <w:pPr>
              <w:spacing w:line="240" w:lineRule="auto"/>
              <w:ind w:firstLine="0" w:firstLineChars="0"/>
              <w:jc w:val="center"/>
              <w:rPr>
                <w:sz w:val="21"/>
              </w:rPr>
            </w:pPr>
            <w:r>
              <w:rPr>
                <w:sz w:val="21"/>
              </w:rPr>
              <w:t>对讲机</w:t>
            </w:r>
          </w:p>
        </w:tc>
        <w:tc>
          <w:tcPr>
            <w:tcW w:w="443" w:type="pct"/>
            <w:vAlign w:val="center"/>
          </w:tcPr>
          <w:p w14:paraId="4269735B">
            <w:pPr>
              <w:spacing w:line="240" w:lineRule="auto"/>
              <w:ind w:firstLine="0" w:firstLineChars="0"/>
              <w:jc w:val="center"/>
              <w:rPr>
                <w:sz w:val="21"/>
              </w:rPr>
            </w:pPr>
            <w:r>
              <w:rPr>
                <w:sz w:val="21"/>
              </w:rPr>
              <w:t>部</w:t>
            </w:r>
          </w:p>
        </w:tc>
        <w:tc>
          <w:tcPr>
            <w:tcW w:w="443" w:type="pct"/>
            <w:vAlign w:val="center"/>
          </w:tcPr>
          <w:p w14:paraId="627B398E">
            <w:pPr>
              <w:spacing w:line="240" w:lineRule="auto"/>
              <w:ind w:firstLine="0" w:firstLineChars="0"/>
              <w:jc w:val="center"/>
              <w:rPr>
                <w:sz w:val="21"/>
              </w:rPr>
            </w:pPr>
            <w:r>
              <w:rPr>
                <w:sz w:val="21"/>
              </w:rPr>
              <w:t>5</w:t>
            </w:r>
          </w:p>
        </w:tc>
        <w:tc>
          <w:tcPr>
            <w:tcW w:w="736" w:type="pct"/>
            <w:vAlign w:val="center"/>
          </w:tcPr>
          <w:p w14:paraId="2C5BF213">
            <w:pPr>
              <w:spacing w:line="240" w:lineRule="auto"/>
              <w:ind w:firstLine="0" w:firstLineChars="0"/>
              <w:jc w:val="center"/>
              <w:rPr>
                <w:sz w:val="21"/>
              </w:rPr>
            </w:pPr>
            <w:r>
              <w:rPr>
                <w:sz w:val="21"/>
              </w:rPr>
              <w:t>现场</w:t>
            </w:r>
          </w:p>
        </w:tc>
        <w:tc>
          <w:tcPr>
            <w:tcW w:w="736" w:type="pct"/>
            <w:vAlign w:val="center"/>
          </w:tcPr>
          <w:p w14:paraId="5E62958C">
            <w:pPr>
              <w:spacing w:line="240" w:lineRule="auto"/>
              <w:ind w:firstLine="0" w:firstLineChars="0"/>
              <w:jc w:val="center"/>
              <w:rPr>
                <w:sz w:val="21"/>
              </w:rPr>
            </w:pPr>
            <w:r>
              <w:rPr>
                <w:sz w:val="21"/>
              </w:rPr>
              <w:t>良好</w:t>
            </w:r>
          </w:p>
        </w:tc>
        <w:tc>
          <w:tcPr>
            <w:tcW w:w="443" w:type="pct"/>
            <w:vAlign w:val="center"/>
          </w:tcPr>
          <w:p w14:paraId="0710031D">
            <w:pPr>
              <w:spacing w:line="240" w:lineRule="auto"/>
              <w:ind w:firstLine="0" w:firstLineChars="0"/>
              <w:jc w:val="center"/>
              <w:rPr>
                <w:sz w:val="21"/>
              </w:rPr>
            </w:pPr>
          </w:p>
        </w:tc>
      </w:tr>
      <w:tr w14:paraId="28973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48AA7D9">
            <w:pPr>
              <w:pStyle w:val="71"/>
              <w:numPr>
                <w:ilvl w:val="0"/>
                <w:numId w:val="45"/>
              </w:numPr>
              <w:spacing w:line="240" w:lineRule="auto"/>
              <w:ind w:firstLineChars="0"/>
              <w:jc w:val="center"/>
              <w:rPr>
                <w:sz w:val="21"/>
              </w:rPr>
            </w:pPr>
          </w:p>
        </w:tc>
        <w:tc>
          <w:tcPr>
            <w:tcW w:w="733" w:type="pct"/>
            <w:vMerge w:val="continue"/>
            <w:vAlign w:val="center"/>
          </w:tcPr>
          <w:p w14:paraId="2655F465">
            <w:pPr>
              <w:spacing w:line="240" w:lineRule="auto"/>
              <w:ind w:firstLine="0" w:firstLineChars="0"/>
              <w:jc w:val="center"/>
              <w:rPr>
                <w:sz w:val="21"/>
              </w:rPr>
            </w:pPr>
          </w:p>
        </w:tc>
        <w:tc>
          <w:tcPr>
            <w:tcW w:w="1024" w:type="pct"/>
            <w:vAlign w:val="center"/>
          </w:tcPr>
          <w:p w14:paraId="4A8D81E2">
            <w:pPr>
              <w:spacing w:line="240" w:lineRule="auto"/>
              <w:ind w:firstLine="0" w:firstLineChars="0"/>
              <w:jc w:val="center"/>
              <w:rPr>
                <w:sz w:val="21"/>
              </w:rPr>
            </w:pPr>
            <w:r>
              <w:rPr>
                <w:sz w:val="21"/>
              </w:rPr>
              <w:t>手机</w:t>
            </w:r>
          </w:p>
        </w:tc>
        <w:tc>
          <w:tcPr>
            <w:tcW w:w="443" w:type="pct"/>
            <w:vAlign w:val="center"/>
          </w:tcPr>
          <w:p w14:paraId="31BCA7F9">
            <w:pPr>
              <w:spacing w:line="240" w:lineRule="auto"/>
              <w:ind w:firstLine="0" w:firstLineChars="0"/>
              <w:jc w:val="center"/>
              <w:rPr>
                <w:sz w:val="21"/>
              </w:rPr>
            </w:pPr>
            <w:r>
              <w:rPr>
                <w:sz w:val="21"/>
              </w:rPr>
              <w:t>部</w:t>
            </w:r>
          </w:p>
        </w:tc>
        <w:tc>
          <w:tcPr>
            <w:tcW w:w="443" w:type="pct"/>
            <w:vAlign w:val="center"/>
          </w:tcPr>
          <w:p w14:paraId="2D84D260">
            <w:pPr>
              <w:spacing w:line="240" w:lineRule="auto"/>
              <w:ind w:firstLine="0" w:firstLineChars="0"/>
              <w:jc w:val="center"/>
              <w:rPr>
                <w:sz w:val="21"/>
              </w:rPr>
            </w:pPr>
            <w:r>
              <w:rPr>
                <w:sz w:val="21"/>
              </w:rPr>
              <w:t>若干</w:t>
            </w:r>
          </w:p>
        </w:tc>
        <w:tc>
          <w:tcPr>
            <w:tcW w:w="736" w:type="pct"/>
            <w:vAlign w:val="center"/>
          </w:tcPr>
          <w:p w14:paraId="5B877B53">
            <w:pPr>
              <w:spacing w:line="240" w:lineRule="auto"/>
              <w:ind w:firstLine="0" w:firstLineChars="0"/>
              <w:jc w:val="center"/>
              <w:rPr>
                <w:sz w:val="21"/>
              </w:rPr>
            </w:pPr>
            <w:r>
              <w:rPr>
                <w:sz w:val="21"/>
              </w:rPr>
              <w:t>现场</w:t>
            </w:r>
          </w:p>
        </w:tc>
        <w:tc>
          <w:tcPr>
            <w:tcW w:w="736" w:type="pct"/>
            <w:vAlign w:val="center"/>
          </w:tcPr>
          <w:p w14:paraId="7792FFCF">
            <w:pPr>
              <w:spacing w:line="240" w:lineRule="auto"/>
              <w:ind w:firstLine="0" w:firstLineChars="0"/>
              <w:jc w:val="center"/>
              <w:rPr>
                <w:sz w:val="21"/>
              </w:rPr>
            </w:pPr>
            <w:r>
              <w:rPr>
                <w:sz w:val="21"/>
              </w:rPr>
              <w:t>良好</w:t>
            </w:r>
          </w:p>
        </w:tc>
        <w:tc>
          <w:tcPr>
            <w:tcW w:w="443" w:type="pct"/>
            <w:vAlign w:val="center"/>
          </w:tcPr>
          <w:p w14:paraId="5D6C8E2D">
            <w:pPr>
              <w:spacing w:line="240" w:lineRule="auto"/>
              <w:ind w:firstLine="0" w:firstLineChars="0"/>
              <w:jc w:val="center"/>
              <w:rPr>
                <w:sz w:val="21"/>
              </w:rPr>
            </w:pPr>
          </w:p>
        </w:tc>
      </w:tr>
      <w:tr w14:paraId="027F1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C0FEAE2">
            <w:pPr>
              <w:pStyle w:val="71"/>
              <w:numPr>
                <w:ilvl w:val="0"/>
                <w:numId w:val="45"/>
              </w:numPr>
              <w:spacing w:line="240" w:lineRule="auto"/>
              <w:ind w:firstLineChars="0"/>
              <w:jc w:val="center"/>
              <w:rPr>
                <w:sz w:val="21"/>
              </w:rPr>
            </w:pPr>
          </w:p>
        </w:tc>
        <w:tc>
          <w:tcPr>
            <w:tcW w:w="733" w:type="pct"/>
            <w:vMerge w:val="restart"/>
            <w:vAlign w:val="center"/>
          </w:tcPr>
          <w:p w14:paraId="19B2C089">
            <w:pPr>
              <w:spacing w:line="240" w:lineRule="auto"/>
              <w:ind w:firstLine="0" w:firstLineChars="0"/>
              <w:jc w:val="center"/>
              <w:rPr>
                <w:sz w:val="21"/>
              </w:rPr>
            </w:pPr>
            <w:r>
              <w:rPr>
                <w:sz w:val="21"/>
              </w:rPr>
              <w:t>抢救设备</w:t>
            </w:r>
          </w:p>
        </w:tc>
        <w:tc>
          <w:tcPr>
            <w:tcW w:w="1024" w:type="pct"/>
            <w:vAlign w:val="center"/>
          </w:tcPr>
          <w:p w14:paraId="799118D7">
            <w:pPr>
              <w:spacing w:line="240" w:lineRule="auto"/>
              <w:ind w:firstLine="0" w:firstLineChars="0"/>
              <w:jc w:val="center"/>
              <w:rPr>
                <w:sz w:val="21"/>
              </w:rPr>
            </w:pPr>
            <w:r>
              <w:rPr>
                <w:sz w:val="21"/>
              </w:rPr>
              <w:t>汽车吊</w:t>
            </w:r>
          </w:p>
        </w:tc>
        <w:tc>
          <w:tcPr>
            <w:tcW w:w="443" w:type="pct"/>
            <w:vAlign w:val="center"/>
          </w:tcPr>
          <w:p w14:paraId="4E72DE79">
            <w:pPr>
              <w:spacing w:line="240" w:lineRule="auto"/>
              <w:ind w:firstLine="0" w:firstLineChars="0"/>
              <w:jc w:val="center"/>
              <w:rPr>
                <w:sz w:val="21"/>
              </w:rPr>
            </w:pPr>
            <w:r>
              <w:rPr>
                <w:sz w:val="21"/>
              </w:rPr>
              <w:t>辆</w:t>
            </w:r>
          </w:p>
        </w:tc>
        <w:tc>
          <w:tcPr>
            <w:tcW w:w="443" w:type="pct"/>
            <w:vAlign w:val="center"/>
          </w:tcPr>
          <w:p w14:paraId="27CDB73A">
            <w:pPr>
              <w:spacing w:line="240" w:lineRule="auto"/>
              <w:ind w:firstLine="0" w:firstLineChars="0"/>
              <w:jc w:val="center"/>
              <w:rPr>
                <w:sz w:val="21"/>
              </w:rPr>
            </w:pPr>
            <w:r>
              <w:rPr>
                <w:sz w:val="21"/>
              </w:rPr>
              <w:t>1</w:t>
            </w:r>
          </w:p>
        </w:tc>
        <w:tc>
          <w:tcPr>
            <w:tcW w:w="736" w:type="pct"/>
            <w:vAlign w:val="center"/>
          </w:tcPr>
          <w:p w14:paraId="19FAFBCC">
            <w:pPr>
              <w:spacing w:line="240" w:lineRule="auto"/>
              <w:ind w:firstLine="0" w:firstLineChars="0"/>
              <w:jc w:val="center"/>
              <w:rPr>
                <w:sz w:val="21"/>
              </w:rPr>
            </w:pPr>
            <w:r>
              <w:rPr>
                <w:sz w:val="21"/>
              </w:rPr>
              <w:t>现场仓库</w:t>
            </w:r>
          </w:p>
        </w:tc>
        <w:tc>
          <w:tcPr>
            <w:tcW w:w="736" w:type="pct"/>
            <w:vAlign w:val="center"/>
          </w:tcPr>
          <w:p w14:paraId="4C9A7EC6">
            <w:pPr>
              <w:spacing w:line="240" w:lineRule="auto"/>
              <w:ind w:firstLine="0" w:firstLineChars="0"/>
              <w:jc w:val="center"/>
              <w:rPr>
                <w:sz w:val="21"/>
              </w:rPr>
            </w:pPr>
            <w:r>
              <w:rPr>
                <w:sz w:val="21"/>
              </w:rPr>
              <w:t>良好</w:t>
            </w:r>
          </w:p>
        </w:tc>
        <w:tc>
          <w:tcPr>
            <w:tcW w:w="443" w:type="pct"/>
            <w:vAlign w:val="center"/>
          </w:tcPr>
          <w:p w14:paraId="5DFE5E93">
            <w:pPr>
              <w:spacing w:line="240" w:lineRule="auto"/>
              <w:ind w:firstLine="0" w:firstLineChars="0"/>
              <w:jc w:val="center"/>
              <w:rPr>
                <w:sz w:val="21"/>
              </w:rPr>
            </w:pPr>
          </w:p>
        </w:tc>
      </w:tr>
      <w:tr w14:paraId="1E4B3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0734E1B">
            <w:pPr>
              <w:pStyle w:val="71"/>
              <w:numPr>
                <w:ilvl w:val="0"/>
                <w:numId w:val="45"/>
              </w:numPr>
              <w:spacing w:line="240" w:lineRule="auto"/>
              <w:ind w:firstLineChars="0"/>
              <w:jc w:val="center"/>
              <w:rPr>
                <w:sz w:val="21"/>
              </w:rPr>
            </w:pPr>
          </w:p>
        </w:tc>
        <w:tc>
          <w:tcPr>
            <w:tcW w:w="733" w:type="pct"/>
            <w:vMerge w:val="continue"/>
            <w:vAlign w:val="center"/>
          </w:tcPr>
          <w:p w14:paraId="42884158">
            <w:pPr>
              <w:spacing w:line="240" w:lineRule="auto"/>
              <w:ind w:firstLine="0" w:firstLineChars="0"/>
              <w:jc w:val="center"/>
              <w:rPr>
                <w:sz w:val="21"/>
              </w:rPr>
            </w:pPr>
          </w:p>
        </w:tc>
        <w:tc>
          <w:tcPr>
            <w:tcW w:w="1024" w:type="pct"/>
            <w:vAlign w:val="center"/>
          </w:tcPr>
          <w:p w14:paraId="003FAE28">
            <w:pPr>
              <w:spacing w:line="240" w:lineRule="auto"/>
              <w:ind w:firstLine="0" w:firstLineChars="0"/>
              <w:jc w:val="center"/>
              <w:rPr>
                <w:sz w:val="21"/>
              </w:rPr>
            </w:pPr>
            <w:r>
              <w:rPr>
                <w:sz w:val="21"/>
              </w:rPr>
              <w:t>小车</w:t>
            </w:r>
          </w:p>
        </w:tc>
        <w:tc>
          <w:tcPr>
            <w:tcW w:w="443" w:type="pct"/>
            <w:vAlign w:val="center"/>
          </w:tcPr>
          <w:p w14:paraId="2608D833">
            <w:pPr>
              <w:spacing w:line="240" w:lineRule="auto"/>
              <w:ind w:firstLine="0" w:firstLineChars="0"/>
              <w:jc w:val="center"/>
              <w:rPr>
                <w:sz w:val="21"/>
              </w:rPr>
            </w:pPr>
            <w:r>
              <w:rPr>
                <w:sz w:val="21"/>
              </w:rPr>
              <w:t>辆</w:t>
            </w:r>
          </w:p>
        </w:tc>
        <w:tc>
          <w:tcPr>
            <w:tcW w:w="443" w:type="pct"/>
            <w:vAlign w:val="center"/>
          </w:tcPr>
          <w:p w14:paraId="3C5AE1B0">
            <w:pPr>
              <w:spacing w:line="240" w:lineRule="auto"/>
              <w:ind w:firstLine="0" w:firstLineChars="0"/>
              <w:jc w:val="center"/>
              <w:rPr>
                <w:sz w:val="21"/>
              </w:rPr>
            </w:pPr>
            <w:r>
              <w:rPr>
                <w:sz w:val="21"/>
              </w:rPr>
              <w:t>1</w:t>
            </w:r>
          </w:p>
        </w:tc>
        <w:tc>
          <w:tcPr>
            <w:tcW w:w="736" w:type="pct"/>
            <w:vAlign w:val="center"/>
          </w:tcPr>
          <w:p w14:paraId="0590F7E8">
            <w:pPr>
              <w:spacing w:line="240" w:lineRule="auto"/>
              <w:ind w:firstLine="0" w:firstLineChars="0"/>
              <w:jc w:val="center"/>
              <w:rPr>
                <w:sz w:val="21"/>
              </w:rPr>
            </w:pPr>
            <w:r>
              <w:rPr>
                <w:sz w:val="21"/>
              </w:rPr>
              <w:t>现场仓库</w:t>
            </w:r>
          </w:p>
        </w:tc>
        <w:tc>
          <w:tcPr>
            <w:tcW w:w="736" w:type="pct"/>
            <w:vAlign w:val="center"/>
          </w:tcPr>
          <w:p w14:paraId="25832007">
            <w:pPr>
              <w:spacing w:line="240" w:lineRule="auto"/>
              <w:ind w:firstLine="0" w:firstLineChars="0"/>
              <w:jc w:val="center"/>
              <w:rPr>
                <w:sz w:val="21"/>
              </w:rPr>
            </w:pPr>
            <w:r>
              <w:rPr>
                <w:sz w:val="21"/>
              </w:rPr>
              <w:t>良好</w:t>
            </w:r>
          </w:p>
        </w:tc>
        <w:tc>
          <w:tcPr>
            <w:tcW w:w="443" w:type="pct"/>
            <w:vAlign w:val="center"/>
          </w:tcPr>
          <w:p w14:paraId="32706E7B">
            <w:pPr>
              <w:spacing w:line="240" w:lineRule="auto"/>
              <w:ind w:firstLine="0" w:firstLineChars="0"/>
              <w:jc w:val="center"/>
              <w:rPr>
                <w:sz w:val="21"/>
              </w:rPr>
            </w:pPr>
          </w:p>
        </w:tc>
      </w:tr>
    </w:tbl>
    <w:p w14:paraId="7116BC6C">
      <w:pPr>
        <w:pStyle w:val="16"/>
      </w:pPr>
    </w:p>
    <w:p w14:paraId="139AD903">
      <w:pPr>
        <w:pStyle w:val="3"/>
        <w:bidi w:val="0"/>
        <w:ind w:left="575" w:leftChars="0" w:hanging="575" w:firstLineChars="0"/>
        <w:rPr>
          <w:b/>
          <w:bCs w:val="0"/>
          <w:sz w:val="28"/>
          <w:szCs w:val="28"/>
        </w:rPr>
      </w:pPr>
      <w:bookmarkStart w:id="196" w:name="_Toc102825403"/>
      <w:bookmarkStart w:id="197" w:name="_Toc102481228"/>
      <w:bookmarkStart w:id="198" w:name="_Toc102481279"/>
      <w:bookmarkStart w:id="199" w:name="_Toc40778458"/>
      <w:bookmarkStart w:id="200" w:name="_Toc12896"/>
      <w:bookmarkStart w:id="201" w:name="_Toc121344363"/>
      <w:bookmarkStart w:id="202" w:name="_Toc389"/>
      <w:bookmarkStart w:id="203" w:name="_Toc5867"/>
      <w:bookmarkStart w:id="204" w:name="_Toc13043"/>
      <w:bookmarkStart w:id="205" w:name="_Toc77771648"/>
      <w:bookmarkStart w:id="206" w:name="_Toc40778459"/>
      <w:bookmarkStart w:id="207" w:name="_Toc1146"/>
      <w:r>
        <w:rPr>
          <w:rFonts w:hint="eastAsia"/>
          <w:b/>
          <w:bCs w:val="0"/>
          <w:sz w:val="28"/>
          <w:szCs w:val="28"/>
        </w:rPr>
        <w:t>应急医院及线路图</w:t>
      </w:r>
      <w:bookmarkEnd w:id="196"/>
      <w:bookmarkEnd w:id="197"/>
      <w:bookmarkEnd w:id="198"/>
      <w:bookmarkEnd w:id="199"/>
      <w:bookmarkEnd w:id="200"/>
      <w:bookmarkEnd w:id="201"/>
      <w:bookmarkEnd w:id="202"/>
      <w:bookmarkEnd w:id="203"/>
      <w:bookmarkEnd w:id="204"/>
      <w:bookmarkEnd w:id="205"/>
    </w:p>
    <w:p w14:paraId="06D554C2">
      <w:bookmarkStart w:id="208" w:name="_Toc102825404"/>
      <w:bookmarkStart w:id="209" w:name="_Toc102481280"/>
      <w:bookmarkStart w:id="210" w:name="_Toc102481229"/>
      <w:bookmarkStart w:id="211" w:name="_Toc121344364"/>
      <w:r>
        <w:rPr>
          <w:rFonts w:hint="eastAsia" w:ascii="Times New Roman" w:hAnsi="Times New Roman" w:eastAsia="宋体" w:cs="Times New Roman"/>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施工现场去往医院线路见</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_Ref85787898 \h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图</w:t>
      </w:r>
      <w:r>
        <w:rPr>
          <w:rFonts w:hint="eastAsia" w:ascii="Times New Roman" w:hAnsi="Times New Roman" w:eastAsia="宋体" w:cs="Times New Roman"/>
          <w:lang w:val="en-US" w:eastAsia="zh-CN"/>
        </w:rPr>
        <w:t>8</w:t>
      </w:r>
      <w:r>
        <w:rPr>
          <w:rFonts w:hint="eastAsia" w:ascii="Times New Roman" w:hAnsi="Times New Roman" w:eastAsia="宋体" w:cs="Times New Roman"/>
        </w:rPr>
        <w:t>.</w:t>
      </w:r>
      <w:r>
        <w:rPr>
          <w:rFonts w:hint="eastAsia" w:ascii="Times New Roman" w:hAnsi="Times New Roman" w:eastAsia="宋体" w:cs="Times New Roman"/>
          <w:lang w:val="en-US" w:eastAsia="zh-CN"/>
        </w:rPr>
        <w:t>4</w:t>
      </w:r>
      <w:r>
        <w:rPr>
          <w:rFonts w:hint="eastAsia" w:ascii="Times New Roman" w:hAnsi="Times New Roman" w:eastAsia="宋体" w:cs="Times New Roman"/>
        </w:rPr>
        <w:t>-1</w:t>
      </w:r>
      <w:r>
        <w:rPr>
          <w:rFonts w:hint="eastAsia" w:ascii="Times New Roman" w:hAnsi="Times New Roman" w:eastAsia="宋体" w:cs="Times New Roman"/>
        </w:rPr>
        <w:fldChar w:fldCharType="end"/>
      </w:r>
      <w:r>
        <w:rPr>
          <w:rFonts w:hint="eastAsia" w:ascii="Times New Roman" w:hAnsi="Times New Roman" w:eastAsia="宋体" w:cs="Times New Roman"/>
        </w:rPr>
        <w:t>。</w:t>
      </w:r>
    </w:p>
    <w:p w14:paraId="01B19698">
      <w:pPr>
        <w:pStyle w:val="391"/>
        <w:ind w:firstLine="360"/>
        <w:rPr>
          <w:rFonts w:hint="eastAsia"/>
        </w:rPr>
      </w:pPr>
      <w:r>
        <w:t>表</w:t>
      </w:r>
      <w:r>
        <w:fldChar w:fldCharType="begin"/>
      </w:r>
      <w:r>
        <w:instrText xml:space="preserve"> STYLEREF 2 \s </w:instrText>
      </w:r>
      <w:r>
        <w:fldChar w:fldCharType="separate"/>
      </w:r>
      <w:r>
        <w:t>9.4</w:t>
      </w:r>
      <w:r>
        <w:fldChar w:fldCharType="end"/>
      </w:r>
      <w:r>
        <w:noBreakHyphen/>
      </w:r>
      <w:r>
        <w:rPr>
          <w:rFonts w:hint="eastAsia"/>
        </w:rPr>
        <w:t>1</w:t>
      </w:r>
      <w:r>
        <w:t xml:space="preserve"> </w:t>
      </w:r>
      <w:r>
        <w:rPr>
          <w:rFonts w:hint="eastAsia"/>
        </w:rPr>
        <w:t>应急医院地址及联系电话</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200"/>
        <w:gridCol w:w="3960"/>
        <w:gridCol w:w="2710"/>
        <w:gridCol w:w="1416"/>
      </w:tblGrid>
      <w:tr w14:paraId="2A301F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37C5740">
            <w:pPr>
              <w:pStyle w:val="16"/>
              <w:rPr>
                <w:b/>
                <w:bCs/>
              </w:rPr>
            </w:pPr>
            <w:r>
              <w:rPr>
                <w:rFonts w:hint="eastAsia"/>
                <w:b/>
                <w:bCs/>
              </w:rPr>
              <w:t>序号</w:t>
            </w:r>
          </w:p>
        </w:tc>
        <w:tc>
          <w:tcPr>
            <w:tcW w:w="2132" w:type="pct"/>
            <w:shd w:val="clear" w:color="auto" w:fill="FFFFFF"/>
            <w:vAlign w:val="center"/>
          </w:tcPr>
          <w:p w14:paraId="342C224E">
            <w:pPr>
              <w:pStyle w:val="16"/>
              <w:rPr>
                <w:b/>
                <w:bCs/>
              </w:rPr>
            </w:pPr>
            <w:r>
              <w:rPr>
                <w:rFonts w:hint="eastAsia"/>
                <w:b/>
                <w:bCs/>
              </w:rPr>
              <w:t>单位</w:t>
            </w:r>
          </w:p>
        </w:tc>
        <w:tc>
          <w:tcPr>
            <w:tcW w:w="1459" w:type="pct"/>
            <w:shd w:val="clear" w:color="auto" w:fill="FFFFFF"/>
            <w:vAlign w:val="center"/>
          </w:tcPr>
          <w:p w14:paraId="1C2CE9A6">
            <w:pPr>
              <w:pStyle w:val="16"/>
              <w:rPr>
                <w:b/>
                <w:bCs/>
              </w:rPr>
            </w:pPr>
            <w:r>
              <w:rPr>
                <w:rFonts w:hint="eastAsia"/>
                <w:b/>
                <w:bCs/>
              </w:rPr>
              <w:t>联系电话</w:t>
            </w:r>
          </w:p>
        </w:tc>
        <w:tc>
          <w:tcPr>
            <w:tcW w:w="762" w:type="pct"/>
            <w:shd w:val="clear" w:color="auto" w:fill="FFFFFF"/>
            <w:vAlign w:val="center"/>
          </w:tcPr>
          <w:p w14:paraId="020C3A95">
            <w:pPr>
              <w:pStyle w:val="16"/>
              <w:rPr>
                <w:b/>
                <w:bCs/>
              </w:rPr>
            </w:pPr>
            <w:r>
              <w:rPr>
                <w:rFonts w:hint="eastAsia"/>
                <w:b/>
                <w:bCs/>
              </w:rPr>
              <w:t>备注</w:t>
            </w:r>
          </w:p>
        </w:tc>
      </w:tr>
      <w:tr w14:paraId="2B8545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132AB749">
            <w:pPr>
              <w:pStyle w:val="16"/>
              <w:numPr>
                <w:ilvl w:val="0"/>
                <w:numId w:val="46"/>
              </w:numPr>
            </w:pPr>
          </w:p>
        </w:tc>
        <w:tc>
          <w:tcPr>
            <w:tcW w:w="2132" w:type="pct"/>
            <w:shd w:val="clear" w:color="auto" w:fill="FFFFFF"/>
            <w:vAlign w:val="center"/>
          </w:tcPr>
          <w:p w14:paraId="68C63360">
            <w:pPr>
              <w:pStyle w:val="16"/>
            </w:pPr>
            <w:r>
              <w:rPr>
                <w:rFonts w:hint="eastAsia"/>
              </w:rPr>
              <w:t>麻栗坡县应急管理</w:t>
            </w:r>
            <w:r>
              <w:t>局</w:t>
            </w:r>
          </w:p>
        </w:tc>
        <w:tc>
          <w:tcPr>
            <w:tcW w:w="1459" w:type="pct"/>
            <w:shd w:val="clear" w:color="auto" w:fill="FFFFFF"/>
            <w:vAlign w:val="center"/>
          </w:tcPr>
          <w:p w14:paraId="16ADCB23">
            <w:pPr>
              <w:pStyle w:val="16"/>
            </w:pPr>
            <w:r>
              <w:rPr>
                <w:rFonts w:hint="eastAsia"/>
              </w:rPr>
              <w:t>0</w:t>
            </w:r>
            <w:r>
              <w:t>876-6627199</w:t>
            </w:r>
          </w:p>
        </w:tc>
        <w:tc>
          <w:tcPr>
            <w:tcW w:w="762" w:type="pct"/>
            <w:shd w:val="clear" w:color="auto" w:fill="FFFFFF"/>
            <w:vAlign w:val="center"/>
          </w:tcPr>
          <w:p w14:paraId="2456A85A">
            <w:pPr>
              <w:pStyle w:val="16"/>
            </w:pPr>
          </w:p>
        </w:tc>
      </w:tr>
      <w:tr w14:paraId="517D44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0EEBCA7D">
            <w:pPr>
              <w:pStyle w:val="16"/>
              <w:numPr>
                <w:ilvl w:val="0"/>
                <w:numId w:val="46"/>
              </w:numPr>
            </w:pPr>
          </w:p>
        </w:tc>
        <w:tc>
          <w:tcPr>
            <w:tcW w:w="2132" w:type="pct"/>
            <w:shd w:val="clear" w:color="auto" w:fill="FFFFFF"/>
            <w:vAlign w:val="center"/>
          </w:tcPr>
          <w:p w14:paraId="06C3C859">
            <w:pPr>
              <w:pStyle w:val="16"/>
            </w:pPr>
            <w:r>
              <w:rPr>
                <w:rFonts w:hint="eastAsia"/>
              </w:rPr>
              <w:t>城子上村卫生院</w:t>
            </w:r>
          </w:p>
        </w:tc>
        <w:tc>
          <w:tcPr>
            <w:tcW w:w="1459" w:type="pct"/>
            <w:shd w:val="clear" w:color="auto" w:fill="FFFFFF"/>
            <w:vAlign w:val="center"/>
          </w:tcPr>
          <w:p w14:paraId="63CCFE91">
            <w:pPr>
              <w:pStyle w:val="16"/>
            </w:pPr>
            <w:r>
              <w:rPr>
                <w:rFonts w:hint="eastAsia"/>
              </w:rPr>
              <w:t>0</w:t>
            </w:r>
            <w:r>
              <w:t>876-6550298</w:t>
            </w:r>
          </w:p>
        </w:tc>
        <w:tc>
          <w:tcPr>
            <w:tcW w:w="762" w:type="pct"/>
            <w:shd w:val="clear" w:color="auto" w:fill="FFFFFF"/>
            <w:vAlign w:val="center"/>
          </w:tcPr>
          <w:p w14:paraId="4A4EF0EB">
            <w:pPr>
              <w:pStyle w:val="16"/>
            </w:pPr>
            <w:r>
              <w:rPr>
                <w:rFonts w:hint="eastAsia"/>
              </w:rPr>
              <w:t>1</w:t>
            </w:r>
            <w:r>
              <w:t>0</w:t>
            </w:r>
            <w:r>
              <w:rPr>
                <w:rFonts w:hint="eastAsia"/>
              </w:rPr>
              <w:t>min</w:t>
            </w:r>
          </w:p>
        </w:tc>
      </w:tr>
      <w:tr w14:paraId="59EB32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261CBF74">
            <w:pPr>
              <w:pStyle w:val="16"/>
              <w:numPr>
                <w:ilvl w:val="0"/>
                <w:numId w:val="46"/>
              </w:numPr>
            </w:pPr>
          </w:p>
        </w:tc>
        <w:tc>
          <w:tcPr>
            <w:tcW w:w="2132" w:type="pct"/>
            <w:shd w:val="clear" w:color="auto" w:fill="FFFFFF"/>
            <w:vAlign w:val="center"/>
          </w:tcPr>
          <w:p w14:paraId="37E999BC">
            <w:pPr>
              <w:pStyle w:val="16"/>
            </w:pPr>
            <w:r>
              <w:rPr>
                <w:rFonts w:hint="eastAsia"/>
              </w:rPr>
              <w:t>麻栗坡县人民医院</w:t>
            </w:r>
          </w:p>
        </w:tc>
        <w:tc>
          <w:tcPr>
            <w:tcW w:w="1459" w:type="pct"/>
            <w:shd w:val="clear" w:color="auto" w:fill="FFFFFF"/>
            <w:vAlign w:val="center"/>
          </w:tcPr>
          <w:p w14:paraId="13A5BA9B">
            <w:pPr>
              <w:pStyle w:val="16"/>
            </w:pPr>
            <w:r>
              <w:rPr>
                <w:rFonts w:hint="eastAsia"/>
              </w:rPr>
              <w:t>0</w:t>
            </w:r>
            <w:r>
              <w:t>876-6622962</w:t>
            </w:r>
          </w:p>
        </w:tc>
        <w:tc>
          <w:tcPr>
            <w:tcW w:w="762" w:type="pct"/>
            <w:shd w:val="clear" w:color="auto" w:fill="FFFFFF"/>
            <w:vAlign w:val="center"/>
          </w:tcPr>
          <w:p w14:paraId="57F4804F">
            <w:pPr>
              <w:pStyle w:val="16"/>
            </w:pPr>
            <w:r>
              <w:rPr>
                <w:rFonts w:hint="eastAsia"/>
              </w:rPr>
              <w:t>7</w:t>
            </w:r>
            <w:r>
              <w:t>0</w:t>
            </w:r>
            <w:r>
              <w:rPr>
                <w:rFonts w:hint="eastAsia"/>
              </w:rPr>
              <w:t>min</w:t>
            </w:r>
          </w:p>
        </w:tc>
      </w:tr>
    </w:tbl>
    <w:p w14:paraId="7DB36F99">
      <w:pPr>
        <w:pStyle w:val="391"/>
        <w:ind w:firstLine="360"/>
        <w:rPr>
          <w:rFonts w:hint="eastAsia"/>
        </w:rPr>
      </w:pPr>
    </w:p>
    <w:p w14:paraId="5BCCD159">
      <w:pPr>
        <w:pStyle w:val="160"/>
      </w:pPr>
    </w:p>
    <w:p w14:paraId="7605F784">
      <w:pPr>
        <w:pStyle w:val="16"/>
      </w:pPr>
      <w:r>
        <w:drawing>
          <wp:inline distT="0" distB="0" distL="0" distR="0">
            <wp:extent cx="2886075" cy="1979930"/>
            <wp:effectExtent l="0" t="0" r="952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17145"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14:paraId="6CC4AEDC">
      <w:pPr>
        <w:pStyle w:val="15"/>
        <w:ind w:firstLine="422"/>
        <w:rPr>
          <w:rFonts w:ascii="Times New Roman" w:hAnsi="Times New Roman"/>
          <w:szCs w:val="22"/>
        </w:rPr>
      </w:pPr>
      <w:r>
        <w:rPr>
          <w:rFonts w:hint="eastAsia" w:ascii="Times New Roman" w:hAnsi="Times New Roman"/>
          <w:szCs w:val="22"/>
        </w:rPr>
        <w:t>图</w:t>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STYLEREF 2 \s</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8.4</w:t>
      </w:r>
      <w:r>
        <w:rPr>
          <w:rFonts w:ascii="Times New Roman" w:hAnsi="Times New Roman"/>
          <w:szCs w:val="22"/>
        </w:rPr>
        <w:fldChar w:fldCharType="end"/>
      </w:r>
      <w:r>
        <w:rPr>
          <w:rFonts w:ascii="Times New Roman" w:hAnsi="Times New Roman"/>
          <w:szCs w:val="22"/>
        </w:rPr>
        <w:noBreakHyphen/>
      </w:r>
      <w:r>
        <w:rPr>
          <w:rFonts w:hint="eastAsia"/>
          <w:szCs w:val="22"/>
          <w:lang w:val="en-US" w:eastAsia="zh-CN"/>
        </w:rPr>
        <w:t>1</w:t>
      </w:r>
      <w:r>
        <w:rPr>
          <w:rFonts w:ascii="Times New Roman" w:hAnsi="Times New Roman"/>
          <w:szCs w:val="22"/>
        </w:rPr>
        <w:t xml:space="preserve"> </w:t>
      </w:r>
      <w:r>
        <w:rPr>
          <w:rFonts w:hint="eastAsia" w:ascii="Times New Roman" w:hAnsi="Times New Roman"/>
          <w:szCs w:val="22"/>
        </w:rPr>
        <w:t>救援路线图</w:t>
      </w:r>
    </w:p>
    <w:p w14:paraId="150DE4F5">
      <w:pPr>
        <w:pStyle w:val="3"/>
        <w:bidi w:val="0"/>
        <w:ind w:left="575" w:leftChars="0" w:hanging="575" w:firstLineChars="0"/>
        <w:rPr>
          <w:b/>
          <w:bCs w:val="0"/>
          <w:sz w:val="28"/>
          <w:szCs w:val="28"/>
        </w:rPr>
      </w:pPr>
      <w:bookmarkStart w:id="212" w:name="_Toc25690"/>
      <w:bookmarkStart w:id="213" w:name="_Toc18500"/>
      <w:bookmarkStart w:id="214" w:name="_Toc11208"/>
      <w:r>
        <w:rPr>
          <w:rFonts w:hint="eastAsia"/>
          <w:b/>
          <w:bCs w:val="0"/>
          <w:sz w:val="28"/>
          <w:szCs w:val="28"/>
          <w:lang w:val="en-US" w:eastAsia="zh-CN"/>
        </w:rPr>
        <w:t>事故善后及恢复生产</w:t>
      </w:r>
      <w:bookmarkEnd w:id="206"/>
      <w:bookmarkEnd w:id="207"/>
      <w:bookmarkEnd w:id="208"/>
      <w:bookmarkEnd w:id="209"/>
      <w:bookmarkEnd w:id="210"/>
      <w:bookmarkEnd w:id="211"/>
      <w:bookmarkEnd w:id="212"/>
      <w:bookmarkEnd w:id="213"/>
      <w:bookmarkEnd w:id="214"/>
    </w:p>
    <w:p w14:paraId="079E6385">
      <w:pPr>
        <w:ind w:firstLine="480"/>
      </w:pPr>
      <w:r>
        <w:rPr>
          <w:rFonts w:hint="eastAsia"/>
        </w:rPr>
        <w:t>应急小组在抢援工作结束后，对发生人员伤亡、机损事故和财产损失等事故的，遵循下列原则进行处理。</w:t>
      </w:r>
    </w:p>
    <w:p w14:paraId="54F77315">
      <w:pPr>
        <w:ind w:firstLine="480"/>
      </w:pPr>
      <w:r>
        <w:rPr>
          <w:rFonts w:hint="eastAsia"/>
        </w:rPr>
        <w:t>（1）伤员处理</w:t>
      </w:r>
    </w:p>
    <w:p w14:paraId="7AFC0CA8">
      <w:pPr>
        <w:ind w:firstLine="480"/>
      </w:pPr>
      <w:r>
        <w:rPr>
          <w:rFonts w:hint="eastAsia"/>
        </w:rPr>
        <w:t>按国家有关规定，做好事后伤亡家属的接待、安抚和善后处理以及保险赔偿工作。</w:t>
      </w:r>
    </w:p>
    <w:p w14:paraId="6440E09C">
      <w:pPr>
        <w:ind w:firstLine="480"/>
      </w:pPr>
      <w:r>
        <w:rPr>
          <w:rFonts w:hint="eastAsia"/>
        </w:rPr>
        <w:t>（2）调查分析</w:t>
      </w:r>
    </w:p>
    <w:p w14:paraId="12018E09">
      <w:pPr>
        <w:ind w:firstLine="480"/>
      </w:pPr>
      <w:r>
        <w:rPr>
          <w:rFonts w:hint="eastAsia"/>
        </w:rPr>
        <w:t>对事故原因调查分析，确定责任和应该吸取的教训。</w:t>
      </w:r>
    </w:p>
    <w:p w14:paraId="3756755A">
      <w:pPr>
        <w:ind w:firstLine="480"/>
      </w:pPr>
      <w:r>
        <w:rPr>
          <w:rFonts w:hint="eastAsia"/>
        </w:rPr>
        <w:t>（3）事故处理</w:t>
      </w:r>
    </w:p>
    <w:p w14:paraId="26930155">
      <w:pPr>
        <w:ind w:firstLine="480"/>
      </w:pPr>
      <w:r>
        <w:rPr>
          <w:rFonts w:hint="eastAsia"/>
        </w:rPr>
        <w:t>根据事故调查结果，按“四不放过”原则，认真总结事故经验教训，对发生事故的责任人或责任部门依照相关法律法规，提出事故处理意见。</w:t>
      </w:r>
    </w:p>
    <w:p w14:paraId="64BA7C4A">
      <w:pPr>
        <w:ind w:firstLine="480"/>
      </w:pPr>
      <w:r>
        <w:rPr>
          <w:rFonts w:hint="eastAsia"/>
        </w:rPr>
        <w:t>（4）事故总结</w:t>
      </w:r>
    </w:p>
    <w:p w14:paraId="028BBFAA">
      <w:pPr>
        <w:ind w:firstLine="480"/>
      </w:pPr>
      <w:r>
        <w:rPr>
          <w:rFonts w:hint="eastAsia"/>
        </w:rPr>
        <w:t>事故处理完毕后，认真总结经验教训，完善管理，对事故后的处理过程认真分析总结、防范措施及应急预案进行补充和修改。</w:t>
      </w:r>
    </w:p>
    <w:p w14:paraId="21667B45">
      <w:pPr>
        <w:ind w:firstLine="480"/>
      </w:pPr>
      <w:r>
        <w:rPr>
          <w:rFonts w:hint="eastAsia"/>
        </w:rPr>
        <w:t>（5）恢复生产</w:t>
      </w:r>
    </w:p>
    <w:p w14:paraId="507FC477">
      <w:pPr>
        <w:ind w:firstLine="480"/>
      </w:pPr>
      <w:r>
        <w:rPr>
          <w:rFonts w:hint="eastAsia"/>
        </w:rPr>
        <w:t>对现场隐患进行全面排查，整改完毕后报请业主、监理单位审批，同意后方可组织恢复生产工作。</w:t>
      </w:r>
    </w:p>
    <w:p w14:paraId="65023909">
      <w:pPr>
        <w:ind w:firstLine="480"/>
      </w:pPr>
    </w:p>
    <w:p w14:paraId="3F591482">
      <w:pPr>
        <w:pStyle w:val="2"/>
        <w:bidi w:val="0"/>
        <w:ind w:left="432" w:leftChars="0" w:hanging="432" w:firstLineChars="0"/>
        <w:rPr>
          <w:rFonts w:hint="eastAsia"/>
        </w:rPr>
      </w:pPr>
      <w:bookmarkStart w:id="215" w:name="_Toc30183"/>
      <w:bookmarkStart w:id="216" w:name="_Toc8477"/>
      <w:bookmarkStart w:id="217" w:name="_Toc20158"/>
      <w:r>
        <w:rPr>
          <w:rFonts w:hint="eastAsia"/>
        </w:rPr>
        <w:t>绿色及文明施工</w:t>
      </w:r>
      <w:bookmarkEnd w:id="215"/>
      <w:bookmarkEnd w:id="216"/>
      <w:bookmarkEnd w:id="217"/>
    </w:p>
    <w:p w14:paraId="2F385A75">
      <w:pPr>
        <w:pStyle w:val="3"/>
        <w:bidi w:val="0"/>
        <w:ind w:left="575" w:leftChars="0" w:hanging="575" w:firstLineChars="0"/>
        <w:rPr>
          <w:b/>
          <w:bCs w:val="0"/>
          <w:sz w:val="28"/>
          <w:szCs w:val="28"/>
        </w:rPr>
      </w:pPr>
      <w:bookmarkStart w:id="218" w:name="_Toc119247042"/>
      <w:bookmarkStart w:id="219" w:name="_Toc16610"/>
      <w:bookmarkStart w:id="220" w:name="_Toc32406"/>
      <w:bookmarkStart w:id="221" w:name="_Toc22880"/>
      <w:bookmarkStart w:id="222" w:name="_Toc40778460"/>
      <w:bookmarkStart w:id="223" w:name="_Toc27911"/>
      <w:r>
        <w:rPr>
          <w:rFonts w:hint="eastAsia"/>
          <w:b/>
          <w:bCs w:val="0"/>
          <w:sz w:val="28"/>
          <w:szCs w:val="28"/>
          <w:lang w:val="en-US" w:eastAsia="zh-CN"/>
        </w:rPr>
        <w:t>管理</w:t>
      </w:r>
      <w:r>
        <w:rPr>
          <w:b/>
          <w:bCs w:val="0"/>
          <w:sz w:val="28"/>
          <w:szCs w:val="28"/>
        </w:rPr>
        <w:t>组织机构</w:t>
      </w:r>
      <w:bookmarkEnd w:id="218"/>
      <w:bookmarkEnd w:id="219"/>
      <w:bookmarkEnd w:id="220"/>
      <w:bookmarkEnd w:id="221"/>
    </w:p>
    <w:p w14:paraId="2A079088">
      <w:pPr>
        <w:pStyle w:val="12"/>
        <w:ind w:firstLine="480"/>
        <w:rPr>
          <w:rFonts w:hint="default"/>
          <w:lang w:val="en-US" w:eastAsia="zh-CN"/>
        </w:rPr>
      </w:pPr>
      <w:bookmarkStart w:id="224" w:name="_Toc164179620"/>
      <w:r>
        <w:rPr>
          <w:rFonts w:hint="eastAsia"/>
          <w:lang w:val="en-US" w:eastAsia="zh-CN"/>
        </w:rPr>
        <w:t>根据本施工工程成立管理组织机构，其人员组成、工作职责详见表10.1-1。</w:t>
      </w:r>
    </w:p>
    <w:p w14:paraId="014AF162">
      <w:pPr>
        <w:bidi w:val="0"/>
        <w:jc w:val="center"/>
        <w:rPr>
          <w:rFonts w:hint="eastAsia" w:ascii="Times New Roman" w:hAnsi="Times New Roman" w:eastAsia="宋体" w:cstheme="majorBidi"/>
          <w:b/>
          <w:bCs w:val="0"/>
          <w:kern w:val="2"/>
          <w:sz w:val="21"/>
          <w:szCs w:val="22"/>
          <w:lang w:val="en-US" w:eastAsia="zh-CN" w:bidi="ar-SA"/>
        </w:rPr>
      </w:pPr>
      <w:r>
        <w:rPr>
          <w:rFonts w:hint="eastAsia" w:cstheme="majorBidi"/>
          <w:b/>
          <w:bCs w:val="0"/>
          <w:kern w:val="2"/>
          <w:sz w:val="21"/>
          <w:szCs w:val="22"/>
          <w:lang w:val="en-US" w:eastAsia="zh-CN" w:bidi="ar-SA"/>
        </w:rPr>
        <w:t>表</w:t>
      </w:r>
      <w:r>
        <w:rPr>
          <w:rFonts w:hint="eastAsia" w:ascii="Times New Roman" w:hAnsi="Times New Roman" w:eastAsia="宋体" w:cstheme="majorBidi"/>
          <w:b/>
          <w:bCs w:val="0"/>
          <w:kern w:val="2"/>
          <w:sz w:val="21"/>
          <w:szCs w:val="22"/>
          <w:lang w:val="en-US" w:eastAsia="zh-CN" w:bidi="ar-SA"/>
        </w:rPr>
        <w:t>10.1</w:t>
      </w:r>
      <w:r>
        <w:rPr>
          <w:rFonts w:hint="eastAsia" w:ascii="Times New Roman" w:hAnsi="Times New Roman" w:eastAsia="宋体" w:cstheme="majorBidi"/>
          <w:b/>
          <w:bCs w:val="0"/>
          <w:kern w:val="2"/>
          <w:sz w:val="21"/>
          <w:szCs w:val="22"/>
          <w:lang w:val="en-US" w:eastAsia="zh-CN" w:bidi="ar-SA"/>
        </w:rPr>
        <w:noBreakHyphen/>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SEQ 图 \* ARABIC \s 2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1</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t xml:space="preserve">  质量管理组织机构</w:t>
      </w:r>
      <w:r>
        <w:rPr>
          <w:rFonts w:hint="eastAsia" w:cstheme="majorBidi"/>
          <w:b/>
          <w:bCs w:val="0"/>
          <w:kern w:val="2"/>
          <w:sz w:val="21"/>
          <w:szCs w:val="22"/>
          <w:lang w:val="en-US" w:eastAsia="zh-CN" w:bidi="ar-SA"/>
        </w:rPr>
        <w:t>表</w:t>
      </w:r>
    </w:p>
    <w:tbl>
      <w:tblPr>
        <w:tblStyle w:val="38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91ED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A40AB93">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7DDB29CB">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57F30352">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6EED043">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43B4A70F">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531AB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C0D57C2">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5E47A8A">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DFA8CBD">
            <w:pPr>
              <w:pStyle w:val="16"/>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张存祥</w:t>
            </w:r>
          </w:p>
        </w:tc>
        <w:tc>
          <w:tcPr>
            <w:tcW w:w="2626" w:type="pct"/>
            <w:shd w:val="clear" w:color="auto" w:fill="auto"/>
            <w:vAlign w:val="center"/>
          </w:tcPr>
          <w:p w14:paraId="10F5B65D">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工艺规程及</w:t>
            </w:r>
            <w:r>
              <w:rPr>
                <w:rFonts w:hint="eastAsia" w:cs="Times New Roman"/>
                <w:b w:val="0"/>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使用说明书要求进行作业，负责每日的工作安排，安全交底、工作记录，制止任何违章作业。</w:t>
            </w:r>
          </w:p>
        </w:tc>
        <w:tc>
          <w:tcPr>
            <w:tcW w:w="295" w:type="pct"/>
            <w:shd w:val="clear" w:color="auto" w:fill="auto"/>
            <w:vAlign w:val="center"/>
          </w:tcPr>
          <w:p w14:paraId="0FDD2FD5">
            <w:pPr>
              <w:spacing w:line="240" w:lineRule="auto"/>
              <w:ind w:firstLine="0" w:firstLineChars="0"/>
              <w:jc w:val="center"/>
              <w:rPr>
                <w:sz w:val="21"/>
              </w:rPr>
            </w:pPr>
          </w:p>
        </w:tc>
      </w:tr>
      <w:tr w14:paraId="53A29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A1483EF">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33CD37E">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7939F8C1">
            <w:pPr>
              <w:pStyle w:val="16"/>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67D87688">
            <w:pPr>
              <w:pStyle w:val="16"/>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w:t>
            </w:r>
            <w:r>
              <w:rPr>
                <w:rFonts w:hint="eastAsia" w:cs="Times New Roman"/>
                <w:b w:val="0"/>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指导及安全管理</w:t>
            </w:r>
          </w:p>
        </w:tc>
        <w:tc>
          <w:tcPr>
            <w:tcW w:w="295" w:type="pct"/>
            <w:shd w:val="clear" w:color="auto" w:fill="auto"/>
            <w:vAlign w:val="center"/>
          </w:tcPr>
          <w:p w14:paraId="0C808A58">
            <w:pPr>
              <w:spacing w:line="240" w:lineRule="auto"/>
              <w:ind w:firstLine="0" w:firstLineChars="0"/>
              <w:jc w:val="center"/>
              <w:rPr>
                <w:sz w:val="21"/>
              </w:rPr>
            </w:pPr>
          </w:p>
        </w:tc>
      </w:tr>
      <w:tr w14:paraId="5BC14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C3549B3">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A9D3BFF">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0A85ACA9">
            <w:pPr>
              <w:pStyle w:val="16"/>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刘云祥</w:t>
            </w:r>
          </w:p>
        </w:tc>
        <w:tc>
          <w:tcPr>
            <w:tcW w:w="2626" w:type="pct"/>
            <w:shd w:val="clear" w:color="auto" w:fill="auto"/>
            <w:vAlign w:val="center"/>
          </w:tcPr>
          <w:p w14:paraId="03D14C0A">
            <w:pPr>
              <w:pStyle w:val="16"/>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负责现场拆除指导及安全管理</w:t>
            </w:r>
          </w:p>
        </w:tc>
        <w:tc>
          <w:tcPr>
            <w:tcW w:w="295" w:type="pct"/>
            <w:shd w:val="clear" w:color="auto" w:fill="auto"/>
            <w:vAlign w:val="center"/>
          </w:tcPr>
          <w:p w14:paraId="7F289058">
            <w:pPr>
              <w:spacing w:line="240" w:lineRule="auto"/>
              <w:ind w:firstLine="0" w:firstLineChars="0"/>
              <w:jc w:val="center"/>
              <w:rPr>
                <w:sz w:val="21"/>
              </w:rPr>
            </w:pPr>
          </w:p>
        </w:tc>
      </w:tr>
      <w:tr w14:paraId="39BFD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03A68E0">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7384B0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0D60FA3">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4523E01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A16132F">
            <w:pPr>
              <w:spacing w:line="240" w:lineRule="auto"/>
              <w:ind w:firstLine="0" w:firstLineChars="0"/>
              <w:jc w:val="center"/>
              <w:rPr>
                <w:sz w:val="21"/>
              </w:rPr>
            </w:pPr>
          </w:p>
        </w:tc>
      </w:tr>
      <w:tr w14:paraId="1127D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379A29D">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2BBF53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DF431F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AB655C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969425F">
            <w:pPr>
              <w:spacing w:line="240" w:lineRule="auto"/>
              <w:ind w:firstLine="0" w:firstLineChars="0"/>
              <w:jc w:val="center"/>
              <w:rPr>
                <w:sz w:val="21"/>
              </w:rPr>
            </w:pPr>
          </w:p>
        </w:tc>
      </w:tr>
      <w:tr w14:paraId="5F56D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4FEBA986">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E0FB48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FC754D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孔令德</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7AF0D11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5F56246">
            <w:pPr>
              <w:spacing w:line="240" w:lineRule="auto"/>
              <w:ind w:firstLine="0" w:firstLineChars="0"/>
              <w:jc w:val="center"/>
              <w:rPr>
                <w:sz w:val="21"/>
              </w:rPr>
            </w:pPr>
          </w:p>
        </w:tc>
      </w:tr>
      <w:tr w14:paraId="4EF74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F20C614">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93AC8E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304A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3AEB1B6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2D343AB">
            <w:pPr>
              <w:spacing w:line="240" w:lineRule="auto"/>
              <w:ind w:firstLine="0" w:firstLineChars="0"/>
              <w:jc w:val="center"/>
              <w:rPr>
                <w:sz w:val="21"/>
              </w:rPr>
            </w:pPr>
          </w:p>
        </w:tc>
      </w:tr>
      <w:tr w14:paraId="2AC2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C0D3E9A">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311179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6568E4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4757250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30BD985C">
            <w:pPr>
              <w:spacing w:line="240" w:lineRule="auto"/>
              <w:ind w:firstLine="0" w:firstLineChars="0"/>
              <w:jc w:val="center"/>
              <w:rPr>
                <w:sz w:val="21"/>
              </w:rPr>
            </w:pPr>
          </w:p>
        </w:tc>
      </w:tr>
      <w:tr w14:paraId="6265E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8892195">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7B3C94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20C2689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534D64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过程中对</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进行操作。严守操作规程，严格</w:t>
            </w:r>
            <w:r>
              <w:rPr>
                <w:rFonts w:hint="eastAsia" w:cs="Times New Roman"/>
                <w:bCs/>
                <w:color w:val="000000" w:themeColor="text1"/>
                <w:kern w:val="2"/>
                <w:sz w:val="21"/>
                <w:szCs w:val="21"/>
                <w:lang w:val="en-US" w:eastAsia="zh-CN" w:bidi="ar-SA"/>
                <w14:textFill>
                  <w14:solidFill>
                    <w14:schemeClr w14:val="tx1"/>
                  </w14:solidFill>
                </w14:textFill>
              </w:rPr>
              <w:t>按照</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日常保养维护检查，确保</w:t>
            </w:r>
            <w:r>
              <w:rPr>
                <w:rFonts w:hint="eastAsia" w:cs="Times New Roman"/>
                <w:bCs/>
                <w:color w:val="000000" w:themeColor="text1"/>
                <w:kern w:val="2"/>
                <w:sz w:val="21"/>
                <w:szCs w:val="21"/>
                <w:lang w:val="en-US" w:eastAsia="zh-CN" w:bidi="ar-SA"/>
                <w14:textFill>
                  <w14:solidFill>
                    <w14:schemeClr w14:val="tx1"/>
                  </w14:solidFill>
                </w14:textFill>
              </w:rPr>
              <w:t>塔机</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处于良好状态。</w:t>
            </w:r>
          </w:p>
        </w:tc>
        <w:tc>
          <w:tcPr>
            <w:tcW w:w="295" w:type="pct"/>
            <w:shd w:val="clear" w:color="auto" w:fill="auto"/>
            <w:vAlign w:val="center"/>
          </w:tcPr>
          <w:p w14:paraId="73C1F1A6">
            <w:pPr>
              <w:spacing w:line="240" w:lineRule="auto"/>
              <w:ind w:firstLine="0" w:firstLineChars="0"/>
              <w:jc w:val="center"/>
              <w:rPr>
                <w:sz w:val="21"/>
              </w:rPr>
            </w:pPr>
          </w:p>
        </w:tc>
      </w:tr>
      <w:tr w14:paraId="186EB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80272D9">
            <w:pPr>
              <w:keepNext w:val="0"/>
              <w:keepLines w:val="0"/>
              <w:pageBreakBefore w:val="0"/>
              <w:widowControl w:val="0"/>
              <w:numPr>
                <w:ilvl w:val="0"/>
                <w:numId w:val="47"/>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069F4F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570351B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23A0F9A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w:t>
            </w:r>
            <w:r>
              <w:rPr>
                <w:rFonts w:hint="eastAsia" w:cs="Times New Roman"/>
                <w:bCs/>
                <w:color w:val="000000" w:themeColor="text1"/>
                <w:kern w:val="2"/>
                <w:sz w:val="21"/>
                <w:szCs w:val="21"/>
                <w:lang w:val="en-US" w:eastAsia="zh-CN" w:bidi="ar-SA"/>
                <w14:textFill>
                  <w14:solidFill>
                    <w14:schemeClr w14:val="tx1"/>
                  </w14:solidFill>
                </w14:textFill>
              </w:rPr>
              <w:t>拆除</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过程中的指挥信号</w:t>
            </w:r>
          </w:p>
        </w:tc>
        <w:tc>
          <w:tcPr>
            <w:tcW w:w="295" w:type="pct"/>
            <w:shd w:val="clear" w:color="auto" w:fill="auto"/>
            <w:vAlign w:val="center"/>
          </w:tcPr>
          <w:p w14:paraId="62FB77D5">
            <w:pPr>
              <w:spacing w:line="240" w:lineRule="auto"/>
              <w:ind w:firstLine="0" w:firstLineChars="0"/>
              <w:jc w:val="center"/>
              <w:rPr>
                <w:sz w:val="21"/>
              </w:rPr>
            </w:pPr>
          </w:p>
        </w:tc>
      </w:tr>
    </w:tbl>
    <w:p w14:paraId="1984B3DF">
      <w:pPr>
        <w:bidi w:val="0"/>
        <w:jc w:val="center"/>
        <w:rPr>
          <w:rFonts w:hint="eastAsia" w:ascii="Times New Roman" w:hAnsi="Times New Roman" w:eastAsia="宋体" w:cstheme="majorBidi"/>
          <w:b/>
          <w:bCs w:val="0"/>
          <w:kern w:val="2"/>
          <w:sz w:val="21"/>
          <w:szCs w:val="22"/>
          <w:lang w:val="en-US" w:eastAsia="zh-CN" w:bidi="ar-SA"/>
        </w:rPr>
      </w:pPr>
    </w:p>
    <w:p w14:paraId="0486310E">
      <w:pPr>
        <w:pStyle w:val="3"/>
        <w:bidi w:val="0"/>
        <w:ind w:left="575" w:leftChars="0" w:hanging="575" w:firstLineChars="0"/>
        <w:rPr>
          <w:b/>
          <w:bCs w:val="0"/>
          <w:sz w:val="28"/>
          <w:szCs w:val="28"/>
        </w:rPr>
      </w:pPr>
      <w:bookmarkStart w:id="225" w:name="_Toc22903"/>
      <w:bookmarkStart w:id="226" w:name="_Toc22256"/>
      <w:bookmarkStart w:id="227" w:name="_Toc5310"/>
      <w:r>
        <w:rPr>
          <w:b/>
          <w:bCs w:val="0"/>
          <w:sz w:val="28"/>
          <w:szCs w:val="28"/>
        </w:rPr>
        <w:t>绿色及文明施工保证体系</w:t>
      </w:r>
      <w:bookmarkEnd w:id="224"/>
      <w:bookmarkEnd w:id="225"/>
      <w:bookmarkEnd w:id="226"/>
      <w:bookmarkEnd w:id="227"/>
    </w:p>
    <w:p w14:paraId="5CCA343C">
      <w:r>
        <w:t>根据施工区域周边环境特点，依据有关法律、法规及建设单位的规定，制定详细的绿色文明施工措施，从思想保证、制度保证、过程控制、资源保证、技术保证、组织保证六个方面控制。绿色文明施工保证体系见下图。</w:t>
      </w:r>
    </w:p>
    <w:p w14:paraId="667F546D">
      <w:pPr>
        <w:pStyle w:val="391"/>
      </w:pPr>
      <w:r>
        <w:object>
          <v:shape id="_x0000_i1027" o:spt="75" type="#_x0000_t75" style="height:342.25pt;width:299.85pt;" o:ole="t" filled="f" o:preferrelative="t" stroked="f" coordsize="21600,21600">
            <v:path/>
            <v:fill on="f" focussize="0,0"/>
            <v:stroke on="f" joinstyle="miter"/>
            <v:imagedata r:id="rId57" o:title=""/>
            <o:lock v:ext="edit" aspectratio="t"/>
            <w10:wrap type="none"/>
            <w10:anchorlock/>
          </v:shape>
          <o:OLEObject Type="Embed" ProgID="Visio.Drawing.11" ShapeID="_x0000_i1027" DrawAspect="Content" ObjectID="_1468075727" r:id="rId56">
            <o:LockedField>false</o:LockedField>
          </o:OLEObject>
        </w:object>
      </w:r>
    </w:p>
    <w:p w14:paraId="3EB29C10">
      <w:pPr>
        <w:pStyle w:val="15"/>
        <w:rPr>
          <w:rFonts w:cs="Times New Roman"/>
        </w:rPr>
      </w:pPr>
      <w:r>
        <w:t>图</w:t>
      </w:r>
      <w:r>
        <w:fldChar w:fldCharType="begin"/>
      </w:r>
      <w:r>
        <w:instrText xml:space="preserve"> STYLEREF 2 \s </w:instrText>
      </w:r>
      <w:r>
        <w:fldChar w:fldCharType="separate"/>
      </w:r>
      <w:r>
        <w:t>9.2</w:t>
      </w:r>
      <w:r>
        <w:fldChar w:fldCharType="end"/>
      </w:r>
      <w:r>
        <w:noBreakHyphen/>
      </w:r>
      <w:r>
        <w:fldChar w:fldCharType="begin"/>
      </w:r>
      <w:r>
        <w:instrText xml:space="preserve"> SEQ 图 \* ARABIC \s 2 </w:instrText>
      </w:r>
      <w:r>
        <w:fldChar w:fldCharType="separate"/>
      </w:r>
      <w:r>
        <w:t>1</w:t>
      </w:r>
      <w:r>
        <w:fldChar w:fldCharType="end"/>
      </w:r>
      <w:r>
        <w:t xml:space="preserve">  绿色及文明施工保证体系图</w:t>
      </w:r>
    </w:p>
    <w:p w14:paraId="295EF164">
      <w:pPr>
        <w:pStyle w:val="3"/>
        <w:bidi w:val="0"/>
        <w:ind w:left="575" w:leftChars="0" w:hanging="575" w:firstLineChars="0"/>
        <w:rPr>
          <w:rFonts w:hint="eastAsia"/>
          <w:b/>
          <w:bCs w:val="0"/>
          <w:sz w:val="28"/>
          <w:szCs w:val="28"/>
          <w:lang w:val="en-US" w:eastAsia="zh-CN"/>
        </w:rPr>
      </w:pPr>
      <w:bookmarkStart w:id="228" w:name="_Toc164179621"/>
      <w:bookmarkStart w:id="229" w:name="_Toc16383"/>
      <w:bookmarkStart w:id="230" w:name="_Toc109715010"/>
      <w:bookmarkStart w:id="231" w:name="_Toc48836961"/>
      <w:bookmarkStart w:id="232" w:name="_Toc28805"/>
      <w:bookmarkStart w:id="233" w:name="_Toc31190"/>
      <w:r>
        <w:rPr>
          <w:rFonts w:hint="eastAsia"/>
          <w:b/>
          <w:bCs w:val="0"/>
          <w:sz w:val="28"/>
          <w:szCs w:val="28"/>
        </w:rPr>
        <w:t>绿色施工保证措施</w:t>
      </w:r>
      <w:bookmarkEnd w:id="228"/>
      <w:bookmarkEnd w:id="229"/>
      <w:bookmarkEnd w:id="230"/>
      <w:bookmarkEnd w:id="231"/>
      <w:bookmarkEnd w:id="232"/>
      <w:bookmarkEnd w:id="233"/>
    </w:p>
    <w:bookmarkEnd w:id="222"/>
    <w:bookmarkEnd w:id="223"/>
    <w:p w14:paraId="0D8AF1D9">
      <w:pPr>
        <w:rPr>
          <w:rFonts w:hint="eastAsia" w:ascii="Times New Roman" w:hAnsi="Times New Roman" w:eastAsia="宋体" w:cs="Times New Roman"/>
        </w:rPr>
      </w:pPr>
      <w:r>
        <w:rPr>
          <w:rFonts w:hint="eastAsia" w:ascii="Times New Roman" w:hAnsi="Times New Roman" w:eastAsia="宋体" w:cs="Times New Roman"/>
        </w:rPr>
        <w:t>各工序与各施工部位在施工过程中，都可能产生对环境不利的因素。针对各部位和工序的环境有害因素，需要从危害类别制定相关措施，危害环境因素见表</w:t>
      </w:r>
      <w:r>
        <w:rPr>
          <w:rFonts w:hint="eastAsia" w:ascii="Times New Roman" w:hAnsi="Times New Roman" w:eastAsia="宋体" w:cs="Times New Roman"/>
          <w:lang w:val="en-US" w:eastAsia="zh-CN"/>
        </w:rPr>
        <w:t>9</w:t>
      </w:r>
      <w:r>
        <w:rPr>
          <w:rFonts w:hint="eastAsia" w:ascii="Times New Roman" w:hAnsi="Times New Roman" w:eastAsia="宋体" w:cs="Times New Roman"/>
        </w:rPr>
        <w:t>.3</w:t>
      </w:r>
      <w:r>
        <w:rPr>
          <w:rFonts w:hint="eastAsia" w:ascii="Times New Roman" w:hAnsi="Times New Roman" w:eastAsia="宋体" w:cs="Times New Roman"/>
          <w:lang w:val="en-US" w:eastAsia="zh-CN"/>
        </w:rPr>
        <w:t>-</w:t>
      </w:r>
      <w:r>
        <w:rPr>
          <w:rFonts w:hint="eastAsia" w:ascii="Times New Roman" w:hAnsi="Times New Roman" w:eastAsia="宋体" w:cs="Times New Roman"/>
        </w:rPr>
        <w:t>1。</w:t>
      </w:r>
    </w:p>
    <w:p w14:paraId="456AC5AA">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 xml:space="preserve">表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ascii="Times New Roman" w:hAnsi="Times New Roman" w:cstheme="majorBidi"/>
          <w:color w:val="auto"/>
          <w:szCs w:val="20"/>
        </w:rPr>
        <w:t xml:space="preserve"> </w:t>
      </w:r>
      <w:r>
        <w:rPr>
          <w:rFonts w:hint="eastAsia" w:ascii="Times New Roman" w:hAnsi="Times New Roman" w:cstheme="majorBidi"/>
          <w:color w:val="auto"/>
          <w:szCs w:val="20"/>
        </w:rPr>
        <w:t>环境危害因素表</w:t>
      </w:r>
    </w:p>
    <w:tbl>
      <w:tblPr>
        <w:tblStyle w:val="44"/>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678"/>
        <w:gridCol w:w="2869"/>
        <w:gridCol w:w="4783"/>
      </w:tblGrid>
      <w:tr w14:paraId="11D9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A6F09CA">
            <w:pPr>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序号</w:t>
            </w:r>
          </w:p>
        </w:tc>
        <w:tc>
          <w:tcPr>
            <w:tcW w:w="2869" w:type="dxa"/>
            <w:shd w:val="clear" w:color="auto" w:fill="FFFFFF"/>
            <w:vAlign w:val="center"/>
          </w:tcPr>
          <w:p w14:paraId="0E0157E6">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控制部位与工序</w:t>
            </w:r>
          </w:p>
        </w:tc>
        <w:tc>
          <w:tcPr>
            <w:tcW w:w="4783" w:type="dxa"/>
            <w:shd w:val="clear" w:color="auto" w:fill="FFFFFF"/>
            <w:vAlign w:val="center"/>
          </w:tcPr>
          <w:p w14:paraId="4B810012">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可能存在的危害</w:t>
            </w:r>
          </w:p>
        </w:tc>
      </w:tr>
      <w:tr w14:paraId="6641A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4FC1CAC">
            <w:pPr>
              <w:spacing w:line="240" w:lineRule="auto"/>
              <w:ind w:firstLine="0" w:firstLineChars="0"/>
              <w:contextualSpacing/>
              <w:jc w:val="center"/>
              <w:textAlignment w:val="baseline"/>
              <w:rPr>
                <w:color w:val="000000"/>
                <w:kern w:val="0"/>
                <w:sz w:val="21"/>
              </w:rPr>
            </w:pPr>
            <w:r>
              <w:rPr>
                <w:color w:val="000000"/>
                <w:kern w:val="0"/>
                <w:sz w:val="21"/>
              </w:rPr>
              <w:t>1</w:t>
            </w:r>
          </w:p>
        </w:tc>
        <w:tc>
          <w:tcPr>
            <w:tcW w:w="2869" w:type="dxa"/>
            <w:shd w:val="clear" w:color="auto" w:fill="FFFFFF"/>
            <w:vAlign w:val="center"/>
          </w:tcPr>
          <w:p w14:paraId="41AF80AF">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材料贮存、保管与运输</w:t>
            </w:r>
          </w:p>
        </w:tc>
        <w:tc>
          <w:tcPr>
            <w:tcW w:w="4783" w:type="dxa"/>
            <w:shd w:val="clear" w:color="auto" w:fill="FFFFFF"/>
            <w:vAlign w:val="center"/>
          </w:tcPr>
          <w:p w14:paraId="10FF20B0">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油料、粉料泄漏，造成水体、土壤污染。</w:t>
            </w:r>
          </w:p>
          <w:p w14:paraId="162F371E">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发生火灾事故，造成有毒有害气体泄漏及污染伤亡事故。</w:t>
            </w:r>
          </w:p>
        </w:tc>
      </w:tr>
      <w:tr w14:paraId="329C8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39BEA9D">
            <w:pPr>
              <w:spacing w:line="240" w:lineRule="auto"/>
              <w:ind w:firstLine="0" w:firstLineChars="0"/>
              <w:contextualSpacing/>
              <w:jc w:val="center"/>
              <w:textAlignment w:val="baseline"/>
              <w:rPr>
                <w:color w:val="000000"/>
                <w:kern w:val="0"/>
                <w:sz w:val="21"/>
              </w:rPr>
            </w:pPr>
            <w:r>
              <w:rPr>
                <w:color w:val="000000"/>
                <w:kern w:val="0"/>
                <w:sz w:val="21"/>
              </w:rPr>
              <w:t>2</w:t>
            </w:r>
          </w:p>
        </w:tc>
        <w:tc>
          <w:tcPr>
            <w:tcW w:w="2869" w:type="dxa"/>
            <w:shd w:val="clear" w:color="auto" w:fill="FFFFFF"/>
            <w:vAlign w:val="center"/>
          </w:tcPr>
          <w:p w14:paraId="0512CA81">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材料半成品加工</w:t>
            </w:r>
          </w:p>
        </w:tc>
        <w:tc>
          <w:tcPr>
            <w:tcW w:w="4783" w:type="dxa"/>
            <w:shd w:val="clear" w:color="auto" w:fill="FFFFFF"/>
            <w:vAlign w:val="center"/>
          </w:tcPr>
          <w:p w14:paraId="202BC78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施工废料处理不当造成固体废弃物污染。</w:t>
            </w:r>
          </w:p>
        </w:tc>
      </w:tr>
      <w:tr w14:paraId="7FEF0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BDCBF07">
            <w:pPr>
              <w:spacing w:line="240" w:lineRule="auto"/>
              <w:ind w:firstLine="0" w:firstLineChars="0"/>
              <w:contextualSpacing/>
              <w:jc w:val="center"/>
              <w:textAlignment w:val="baseline"/>
              <w:rPr>
                <w:color w:val="000000"/>
                <w:kern w:val="0"/>
                <w:sz w:val="21"/>
              </w:rPr>
            </w:pPr>
            <w:r>
              <w:rPr>
                <w:color w:val="000000"/>
                <w:kern w:val="0"/>
                <w:sz w:val="21"/>
              </w:rPr>
              <w:t>3</w:t>
            </w:r>
          </w:p>
        </w:tc>
        <w:tc>
          <w:tcPr>
            <w:tcW w:w="2869" w:type="dxa"/>
            <w:shd w:val="clear" w:color="auto" w:fill="FFFFFF"/>
            <w:vAlign w:val="center"/>
          </w:tcPr>
          <w:p w14:paraId="53F2AC98">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设备运行</w:t>
            </w:r>
          </w:p>
        </w:tc>
        <w:tc>
          <w:tcPr>
            <w:tcW w:w="4783" w:type="dxa"/>
            <w:shd w:val="clear" w:color="auto" w:fill="FFFFFF"/>
            <w:vAlign w:val="center"/>
          </w:tcPr>
          <w:p w14:paraId="51C1BD0A">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设备加油、维护保养时油料泄漏造成水体、土壤污染。</w:t>
            </w:r>
          </w:p>
        </w:tc>
      </w:tr>
      <w:tr w14:paraId="43C2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1C80EFA3">
            <w:pPr>
              <w:spacing w:line="240" w:lineRule="auto"/>
              <w:ind w:firstLine="0" w:firstLineChars="0"/>
              <w:contextualSpacing/>
              <w:jc w:val="center"/>
              <w:textAlignment w:val="baseline"/>
              <w:rPr>
                <w:color w:val="000000"/>
                <w:kern w:val="0"/>
                <w:sz w:val="21"/>
              </w:rPr>
            </w:pPr>
            <w:r>
              <w:rPr>
                <w:color w:val="000000"/>
                <w:kern w:val="0"/>
                <w:sz w:val="21"/>
              </w:rPr>
              <w:t>4</w:t>
            </w:r>
          </w:p>
        </w:tc>
        <w:tc>
          <w:tcPr>
            <w:tcW w:w="2869" w:type="dxa"/>
            <w:shd w:val="clear" w:color="auto" w:fill="FFFFFF"/>
            <w:vAlign w:val="center"/>
          </w:tcPr>
          <w:p w14:paraId="266436E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办公与生活</w:t>
            </w:r>
          </w:p>
        </w:tc>
        <w:tc>
          <w:tcPr>
            <w:tcW w:w="4783" w:type="dxa"/>
            <w:shd w:val="clear" w:color="auto" w:fill="FFFFFF"/>
            <w:vAlign w:val="center"/>
          </w:tcPr>
          <w:p w14:paraId="178FFCF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办公生活产生的固体废弃物处理不当造成水体、土壤污染。</w:t>
            </w:r>
          </w:p>
        </w:tc>
      </w:tr>
      <w:tr w14:paraId="4545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7CDDA7B0">
            <w:pPr>
              <w:spacing w:line="240" w:lineRule="auto"/>
              <w:ind w:firstLine="0" w:firstLineChars="0"/>
              <w:contextualSpacing/>
              <w:jc w:val="center"/>
              <w:textAlignment w:val="baseline"/>
              <w:rPr>
                <w:color w:val="000000"/>
                <w:kern w:val="0"/>
                <w:sz w:val="21"/>
              </w:rPr>
            </w:pPr>
            <w:r>
              <w:rPr>
                <w:color w:val="000000"/>
                <w:kern w:val="0"/>
                <w:sz w:val="21"/>
              </w:rPr>
              <w:t>5</w:t>
            </w:r>
          </w:p>
        </w:tc>
        <w:tc>
          <w:tcPr>
            <w:tcW w:w="2869" w:type="dxa"/>
            <w:shd w:val="clear" w:color="auto" w:fill="FFFFFF"/>
            <w:vAlign w:val="center"/>
          </w:tcPr>
          <w:p w14:paraId="28B0236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场地三通一平</w:t>
            </w:r>
          </w:p>
          <w:p w14:paraId="13371067">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便道修筑与基坑开挖</w:t>
            </w:r>
          </w:p>
        </w:tc>
        <w:tc>
          <w:tcPr>
            <w:tcW w:w="4783" w:type="dxa"/>
            <w:shd w:val="clear" w:color="auto" w:fill="FFFFFF"/>
            <w:vAlign w:val="center"/>
          </w:tcPr>
          <w:p w14:paraId="6EA8B6D6">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施工弃土石方在运输中泄漏或未倾倒到指定位置，造成农田、水渠固体废弃物污染。</w:t>
            </w:r>
          </w:p>
          <w:p w14:paraId="116AAF7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施工前未对地下管线详细勘测，避免开挖时管线泄漏，造成环境污染和资源浪费。</w:t>
            </w:r>
          </w:p>
        </w:tc>
      </w:tr>
      <w:tr w14:paraId="0930E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70D3279">
            <w:pPr>
              <w:spacing w:line="240" w:lineRule="auto"/>
              <w:ind w:firstLine="0" w:firstLineChars="0"/>
              <w:contextualSpacing/>
              <w:jc w:val="center"/>
              <w:textAlignment w:val="baseline"/>
              <w:rPr>
                <w:color w:val="000000"/>
                <w:kern w:val="0"/>
                <w:sz w:val="21"/>
              </w:rPr>
            </w:pPr>
            <w:r>
              <w:rPr>
                <w:color w:val="000000"/>
                <w:kern w:val="0"/>
                <w:sz w:val="21"/>
              </w:rPr>
              <w:t>6</w:t>
            </w:r>
          </w:p>
        </w:tc>
        <w:tc>
          <w:tcPr>
            <w:tcW w:w="2869" w:type="dxa"/>
            <w:shd w:val="clear" w:color="auto" w:fill="FFFFFF"/>
            <w:vAlign w:val="center"/>
          </w:tcPr>
          <w:p w14:paraId="4892ADE4">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混凝土生产、运输和浇筑施工</w:t>
            </w:r>
          </w:p>
        </w:tc>
        <w:tc>
          <w:tcPr>
            <w:tcW w:w="4783" w:type="dxa"/>
            <w:shd w:val="clear" w:color="auto" w:fill="FFFFFF"/>
            <w:vAlign w:val="center"/>
          </w:tcPr>
          <w:p w14:paraId="72C1945E">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废弃混凝土没有倾倒在指定位置，造成土体废弃物污染。</w:t>
            </w:r>
          </w:p>
        </w:tc>
      </w:tr>
      <w:tr w14:paraId="1DF62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B9AD365">
            <w:pPr>
              <w:spacing w:line="240" w:lineRule="auto"/>
              <w:ind w:firstLine="0" w:firstLineChars="0"/>
              <w:contextualSpacing/>
              <w:jc w:val="center"/>
              <w:textAlignment w:val="baseline"/>
              <w:rPr>
                <w:color w:val="000000"/>
                <w:kern w:val="0"/>
                <w:sz w:val="21"/>
              </w:rPr>
            </w:pPr>
            <w:r>
              <w:rPr>
                <w:color w:val="000000"/>
                <w:kern w:val="0"/>
                <w:sz w:val="21"/>
              </w:rPr>
              <w:t>7</w:t>
            </w:r>
          </w:p>
        </w:tc>
        <w:tc>
          <w:tcPr>
            <w:tcW w:w="2869" w:type="dxa"/>
            <w:shd w:val="clear" w:color="auto" w:fill="FFFFFF"/>
            <w:vAlign w:val="center"/>
          </w:tcPr>
          <w:p w14:paraId="1C721413">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施工临时用地、弃渣场</w:t>
            </w:r>
          </w:p>
        </w:tc>
        <w:tc>
          <w:tcPr>
            <w:tcW w:w="4783" w:type="dxa"/>
            <w:shd w:val="clear" w:color="auto" w:fill="FFFFFF"/>
            <w:vAlign w:val="center"/>
          </w:tcPr>
          <w:p w14:paraId="0BE3035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造成用地水土流失。</w:t>
            </w:r>
          </w:p>
        </w:tc>
      </w:tr>
    </w:tbl>
    <w:p w14:paraId="6AA7C492">
      <w:pPr>
        <w:pStyle w:val="4"/>
        <w:bidi w:val="0"/>
        <w:ind w:left="720" w:leftChars="0" w:hanging="720" w:firstLineChars="0"/>
        <w:rPr>
          <w:rFonts w:hint="eastAsia"/>
          <w:b/>
          <w:bCs w:val="0"/>
        </w:rPr>
      </w:pPr>
      <w:bookmarkStart w:id="234" w:name="_Toc48836962"/>
      <w:bookmarkStart w:id="235" w:name="_Toc109715011"/>
      <w:r>
        <w:rPr>
          <w:rFonts w:hint="eastAsia"/>
          <w:b/>
          <w:bCs w:val="0"/>
        </w:rPr>
        <w:t>固体废弃物污染防治措施</w:t>
      </w:r>
      <w:bookmarkEnd w:id="234"/>
      <w:bookmarkEnd w:id="235"/>
    </w:p>
    <w:p w14:paraId="7A2B0244">
      <w:pPr>
        <w:rPr>
          <w:color w:val="000000"/>
        </w:rPr>
      </w:pPr>
      <w:bookmarkStart w:id="236" w:name="_Toc11393790"/>
      <w:bookmarkStart w:id="237" w:name="_Toc48836963"/>
      <w:r>
        <w:rPr>
          <w:rFonts w:hint="eastAsia"/>
          <w:color w:val="000000"/>
        </w:rPr>
        <w:t>（1）施工中产生的废料、固体废物不得堆放在河旁或随意弃置，及时收集清运，防止雨水冲刷进入水体。</w:t>
      </w:r>
    </w:p>
    <w:p w14:paraId="1B5DA1F6">
      <w:pPr>
        <w:rPr>
          <w:color w:val="000000"/>
        </w:rPr>
      </w:pPr>
      <w:r>
        <w:rPr>
          <w:rFonts w:hint="eastAsia"/>
          <w:color w:val="000000"/>
        </w:rPr>
        <w:t>（</w:t>
      </w:r>
      <w:r>
        <w:rPr>
          <w:color w:val="000000"/>
        </w:rPr>
        <w:t>2</w:t>
      </w:r>
      <w:r>
        <w:rPr>
          <w:rFonts w:hint="eastAsia"/>
          <w:color w:val="000000"/>
        </w:rPr>
        <w:t>）凿毛产生的废渣和废弃的混凝土，采用运输车运至指定地点弃置。</w:t>
      </w:r>
    </w:p>
    <w:p w14:paraId="3F40B616">
      <w:pPr>
        <w:rPr>
          <w:color w:val="000000"/>
        </w:rPr>
      </w:pPr>
      <w:r>
        <w:rPr>
          <w:rFonts w:hint="eastAsia"/>
          <w:color w:val="000000"/>
        </w:rPr>
        <w:t>（</w:t>
      </w:r>
      <w:r>
        <w:rPr>
          <w:color w:val="000000"/>
        </w:rPr>
        <w:t>3</w:t>
      </w:r>
      <w:r>
        <w:rPr>
          <w:rFonts w:hint="eastAsia"/>
          <w:color w:val="000000"/>
        </w:rPr>
        <w:t>）施工现场设置垃圾桶收集各种垃圾，集中运至指定回收点进行处理。</w:t>
      </w:r>
    </w:p>
    <w:p w14:paraId="5B38EC6D">
      <w:pPr>
        <w:rPr>
          <w:color w:val="000000"/>
        </w:rPr>
      </w:pPr>
      <w:r>
        <w:rPr>
          <w:rFonts w:hint="eastAsia"/>
          <w:color w:val="000000"/>
        </w:rPr>
        <w:t>（</w:t>
      </w:r>
      <w:r>
        <w:rPr>
          <w:color w:val="000000"/>
        </w:rPr>
        <w:t>4</w:t>
      </w:r>
      <w:r>
        <w:rPr>
          <w:rFonts w:hint="eastAsia"/>
          <w:color w:val="000000"/>
        </w:rPr>
        <w:t>）施工现场运送各种材料、预拌混凝土、垃圾等应采取遮盖或防护措施，防止溢撒。</w:t>
      </w:r>
    </w:p>
    <w:p w14:paraId="08F12232">
      <w:pPr>
        <w:rPr>
          <w:color w:val="000000"/>
        </w:rPr>
      </w:pPr>
      <w:r>
        <w:rPr>
          <w:rFonts w:hint="eastAsia"/>
          <w:color w:val="000000"/>
        </w:rPr>
        <w:t>（</w:t>
      </w:r>
      <w:r>
        <w:rPr>
          <w:color w:val="000000"/>
        </w:rPr>
        <w:t>5</w:t>
      </w:r>
      <w:r>
        <w:rPr>
          <w:rFonts w:hint="eastAsia"/>
          <w:color w:val="000000"/>
        </w:rPr>
        <w:t>）润泵用的砂浆应进行收集，集中运至指定地点处理。</w:t>
      </w:r>
    </w:p>
    <w:p w14:paraId="3D8844B5">
      <w:pPr>
        <w:pStyle w:val="4"/>
        <w:bidi w:val="0"/>
        <w:ind w:left="720" w:leftChars="0" w:hanging="720" w:firstLineChars="0"/>
        <w:rPr>
          <w:rFonts w:hint="eastAsia"/>
          <w:b/>
          <w:bCs w:val="0"/>
        </w:rPr>
      </w:pPr>
      <w:bookmarkStart w:id="238" w:name="_Toc58781344"/>
      <w:bookmarkStart w:id="239" w:name="_Toc6407"/>
      <w:bookmarkStart w:id="240" w:name="_Toc109715012"/>
      <w:r>
        <w:rPr>
          <w:rFonts w:hint="eastAsia"/>
          <w:b/>
          <w:bCs w:val="0"/>
        </w:rPr>
        <w:t>水污染防治措施</w:t>
      </w:r>
      <w:bookmarkEnd w:id="238"/>
      <w:bookmarkEnd w:id="239"/>
      <w:bookmarkEnd w:id="240"/>
    </w:p>
    <w:p w14:paraId="5F0523ED">
      <w:pPr>
        <w:rPr>
          <w:color w:val="000000"/>
        </w:rPr>
      </w:pPr>
      <w:r>
        <w:rPr>
          <w:rFonts w:hint="eastAsia"/>
          <w:color w:val="000000"/>
        </w:rPr>
        <w:t>（1）压浆过程中为防止浆液喷洒，在出浆口位置设置回收桶，对多余浆液进行回收，防止污染水库。</w:t>
      </w:r>
    </w:p>
    <w:p w14:paraId="7A1F2FA9">
      <w:pPr>
        <w:rPr>
          <w:color w:val="000000"/>
        </w:rPr>
      </w:pPr>
      <w:r>
        <w:rPr>
          <w:rFonts w:hint="eastAsia"/>
          <w:color w:val="000000"/>
        </w:rPr>
        <w:t>（2）清洗泵管的水、养护水、冷却水管的循环水应进行收集，集中运至指定地点处理。</w:t>
      </w:r>
    </w:p>
    <w:p w14:paraId="75CF1BE0">
      <w:pPr>
        <w:rPr>
          <w:color w:val="000000"/>
        </w:rPr>
      </w:pPr>
      <w:r>
        <w:rPr>
          <w:rFonts w:hint="eastAsia"/>
          <w:color w:val="000000"/>
        </w:rPr>
        <w:t>（3）施工机械的废油料要专门回收，严禁直接排放。</w:t>
      </w:r>
    </w:p>
    <w:p w14:paraId="4E6FEFD9">
      <w:r>
        <w:t>（4）各类施工钢材需要外露时，均要涂刷油漆，以防锈蚀后雨水将铁锈冲刷至</w:t>
      </w:r>
      <w:r>
        <w:rPr>
          <w:rFonts w:hint="eastAsia"/>
        </w:rPr>
        <w:t>水库</w:t>
      </w:r>
      <w:r>
        <w:t>中。</w:t>
      </w:r>
    </w:p>
    <w:p w14:paraId="77BDF11A">
      <w:pPr>
        <w:pStyle w:val="4"/>
        <w:bidi w:val="0"/>
        <w:ind w:left="720" w:leftChars="0" w:hanging="720" w:firstLineChars="0"/>
        <w:rPr>
          <w:rFonts w:hint="eastAsia"/>
          <w:b/>
          <w:bCs w:val="0"/>
        </w:rPr>
      </w:pPr>
      <w:bookmarkStart w:id="241" w:name="_Toc109715013"/>
      <w:r>
        <w:rPr>
          <w:rFonts w:hint="eastAsia"/>
          <w:b/>
          <w:bCs w:val="0"/>
        </w:rPr>
        <w:t>噪声污染防治措施</w:t>
      </w:r>
      <w:bookmarkEnd w:id="236"/>
      <w:bookmarkEnd w:id="237"/>
      <w:bookmarkEnd w:id="241"/>
    </w:p>
    <w:p w14:paraId="39FB3166">
      <w:pPr>
        <w:numPr>
          <w:ilvl w:val="0"/>
          <w:numId w:val="48"/>
        </w:numPr>
        <w:shd w:val="clear" w:color="auto" w:fill="auto"/>
        <w:ind w:left="0" w:firstLine="480"/>
        <w:jc w:val="left"/>
        <w:rPr>
          <w:color w:val="000000"/>
        </w:rPr>
      </w:pPr>
      <w:bookmarkStart w:id="242" w:name="_Toc493422935"/>
      <w:bookmarkStart w:id="243" w:name="_Toc48836964"/>
      <w:r>
        <w:rPr>
          <w:rFonts w:hint="eastAsia"/>
          <w:color w:val="000000"/>
        </w:rPr>
        <w:t>根据国家和地方有关环保法规，严格控制施工期噪声排放量，施工场界噪声排放量按照《建筑施工场界环境噪声排放标准》（GB 12523-2011）的相关规定控制。</w:t>
      </w:r>
    </w:p>
    <w:p w14:paraId="1BDF4108">
      <w:pPr>
        <w:numPr>
          <w:ilvl w:val="0"/>
          <w:numId w:val="48"/>
        </w:numPr>
        <w:shd w:val="clear" w:color="auto" w:fill="auto"/>
        <w:ind w:left="0" w:firstLine="480"/>
        <w:jc w:val="left"/>
        <w:rPr>
          <w:color w:val="000000"/>
        </w:rPr>
      </w:pPr>
      <w:r>
        <w:rPr>
          <w:rFonts w:hint="eastAsia"/>
        </w:rPr>
        <w:t>边跨混凝土梁</w:t>
      </w:r>
      <w:r>
        <w:rPr>
          <w:color w:val="000000"/>
        </w:rPr>
        <w:t>施工中注意选用效率高、噪声低的机械设备，并注意维修养护和正确使用，使之保持最佳工作状态和最低声级水平，可视情况给强噪声设备装隔声罩。</w:t>
      </w:r>
    </w:p>
    <w:p w14:paraId="574FD6E4">
      <w:pPr>
        <w:numPr>
          <w:ilvl w:val="0"/>
          <w:numId w:val="48"/>
        </w:numPr>
        <w:shd w:val="clear" w:color="auto" w:fill="auto"/>
        <w:ind w:left="0" w:firstLine="480"/>
        <w:jc w:val="left"/>
        <w:rPr>
          <w:color w:val="000000"/>
        </w:rPr>
      </w:pPr>
      <w:r>
        <w:rPr>
          <w:rFonts w:hint="eastAsia"/>
          <w:color w:val="000000"/>
        </w:rPr>
        <w:t>施工期间，注意控制施工车辆鸣笛，经过居民区的重型运输或施工机械，注意限速。</w:t>
      </w:r>
    </w:p>
    <w:p w14:paraId="7ECDF128">
      <w:pPr>
        <w:numPr>
          <w:ilvl w:val="0"/>
          <w:numId w:val="48"/>
        </w:numPr>
        <w:shd w:val="clear" w:color="auto" w:fill="auto"/>
        <w:ind w:left="0" w:firstLine="480"/>
        <w:jc w:val="left"/>
        <w:rPr>
          <w:color w:val="000000"/>
        </w:rPr>
      </w:pPr>
      <w:r>
        <w:rPr>
          <w:rFonts w:hint="eastAsia"/>
          <w:color w:val="000000"/>
        </w:rPr>
        <w:t>合理安排施工活动，减少施工噪声影响时间，避免高噪声施工机械在同一区域内使用。</w:t>
      </w:r>
    </w:p>
    <w:p w14:paraId="531FD79B">
      <w:pPr>
        <w:pStyle w:val="4"/>
        <w:bidi w:val="0"/>
        <w:ind w:left="720" w:leftChars="0" w:hanging="720" w:firstLineChars="0"/>
        <w:rPr>
          <w:rFonts w:hint="eastAsia"/>
          <w:b/>
          <w:bCs w:val="0"/>
        </w:rPr>
      </w:pPr>
      <w:bookmarkStart w:id="244" w:name="_Toc109715014"/>
      <w:r>
        <w:rPr>
          <w:rFonts w:hint="eastAsia"/>
          <w:b/>
          <w:bCs w:val="0"/>
        </w:rPr>
        <w:t>大气污染防治</w:t>
      </w:r>
      <w:bookmarkEnd w:id="242"/>
      <w:r>
        <w:rPr>
          <w:rFonts w:hint="eastAsia"/>
          <w:b/>
          <w:bCs w:val="0"/>
        </w:rPr>
        <w:t>措施</w:t>
      </w:r>
      <w:bookmarkEnd w:id="243"/>
      <w:bookmarkEnd w:id="244"/>
    </w:p>
    <w:p w14:paraId="0211305A">
      <w:r>
        <w:rPr>
          <w:rFonts w:hint="eastAsia"/>
        </w:rPr>
        <w:t>（1）在设备选型时选择低污染设备，机动车辆或机械设备的废气排放要符合国家和地方相关排放标准方能投入使用。</w:t>
      </w:r>
    </w:p>
    <w:p w14:paraId="71E63576">
      <w:r>
        <w:rPr>
          <w:rFonts w:hint="eastAsia"/>
        </w:rPr>
        <w:t>（2）在运输物料时用蓬布覆盖严密，并装量适中，不得超限运输；散装材料采用密闭运输、存放。</w:t>
      </w:r>
    </w:p>
    <w:p w14:paraId="325D825D">
      <w:r>
        <w:rPr>
          <w:rFonts w:hint="eastAsia"/>
        </w:rPr>
        <w:t>（3）配备专用洒水车，对施工现场和运输道路经常洒水湿润，在搅拌站车辆出入口设置清洗池，对车辆进行清洗，减少扬尘。</w:t>
      </w:r>
    </w:p>
    <w:p w14:paraId="2DEA5D4F">
      <w:r>
        <w:rPr>
          <w:rFonts w:hint="eastAsia"/>
        </w:rPr>
        <w:t>（4）混凝土搅拌站定期检查密封系统的性能。</w:t>
      </w:r>
    </w:p>
    <w:p w14:paraId="522419E2">
      <w:r>
        <w:rPr>
          <w:rFonts w:hint="eastAsia"/>
        </w:rPr>
        <w:t>（5）不得现场焚烧废弃塑料波纹管、塑料袋，应收集起来，统一进行回收处理。</w:t>
      </w:r>
    </w:p>
    <w:p w14:paraId="6678A2C5">
      <w:pPr>
        <w:pStyle w:val="4"/>
        <w:bidi w:val="0"/>
        <w:ind w:left="720" w:leftChars="0" w:hanging="720" w:firstLineChars="0"/>
        <w:rPr>
          <w:rFonts w:hint="eastAsia"/>
          <w:b/>
          <w:bCs w:val="0"/>
        </w:rPr>
      </w:pPr>
      <w:bookmarkStart w:id="245" w:name="_Toc109715015"/>
      <w:bookmarkStart w:id="246" w:name="_Toc48836965"/>
      <w:r>
        <w:rPr>
          <w:rFonts w:hint="eastAsia"/>
          <w:b/>
          <w:bCs w:val="0"/>
        </w:rPr>
        <w:t>节能减排措施</w:t>
      </w:r>
      <w:bookmarkEnd w:id="245"/>
      <w:bookmarkEnd w:id="246"/>
    </w:p>
    <w:p w14:paraId="33507187">
      <w:r>
        <w:rPr>
          <w:rFonts w:hint="eastAsia"/>
        </w:rPr>
        <w:t>（1）优先使用国家、行业推荐的节能、高效、环保的施工设备和机具。</w:t>
      </w:r>
    </w:p>
    <w:p w14:paraId="4CB36E51">
      <w:r>
        <w:rPr>
          <w:rFonts w:hint="eastAsia"/>
        </w:rPr>
        <w:t>（2）节约用水、用电，施工用水优先采用天然水，施工用电优先选择接入电网。</w:t>
      </w:r>
    </w:p>
    <w:p w14:paraId="38BDBEE8">
      <w:r>
        <w:rPr>
          <w:rFonts w:hint="eastAsia"/>
        </w:rPr>
        <w:t>（3）建立施工机械设备管理制度，开展用油计量，完善设备档案，及时做好维修保养工作，使机械设备保持低耗、高效的状态。</w:t>
      </w:r>
    </w:p>
    <w:p w14:paraId="4E0BA3F9">
      <w:pPr>
        <w:ind w:firstLine="480"/>
      </w:pPr>
      <w:r>
        <w:rPr>
          <w:rFonts w:hint="eastAsia"/>
        </w:rPr>
        <w:t>（4）合理安排工序，提高各种机械的使用率和满载率，降低设备的单位耗能。</w:t>
      </w:r>
    </w:p>
    <w:p w14:paraId="5A255659">
      <w:pPr>
        <w:pStyle w:val="3"/>
        <w:spacing w:before="156" w:after="156"/>
        <w:rPr>
          <w:b/>
          <w:bCs w:val="0"/>
          <w:sz w:val="28"/>
          <w:szCs w:val="28"/>
        </w:rPr>
      </w:pPr>
      <w:bookmarkStart w:id="247" w:name="_Toc109715016"/>
      <w:bookmarkStart w:id="248" w:name="_Toc48836966"/>
      <w:bookmarkStart w:id="249" w:name="_Toc164179622"/>
      <w:bookmarkStart w:id="250" w:name="_Toc8493"/>
      <w:bookmarkStart w:id="251" w:name="_Toc5238"/>
      <w:bookmarkStart w:id="252" w:name="_Toc5711"/>
      <w:r>
        <w:rPr>
          <w:b/>
          <w:bCs w:val="0"/>
          <w:sz w:val="28"/>
          <w:szCs w:val="28"/>
        </w:rPr>
        <w:t>文明施工</w:t>
      </w:r>
      <w:r>
        <w:rPr>
          <w:rFonts w:hint="eastAsia"/>
          <w:b/>
          <w:bCs w:val="0"/>
          <w:sz w:val="28"/>
          <w:szCs w:val="28"/>
        </w:rPr>
        <w:t>保证措施</w:t>
      </w:r>
      <w:bookmarkEnd w:id="247"/>
      <w:bookmarkEnd w:id="248"/>
      <w:bookmarkEnd w:id="249"/>
      <w:bookmarkEnd w:id="250"/>
      <w:bookmarkEnd w:id="251"/>
      <w:bookmarkEnd w:id="252"/>
    </w:p>
    <w:p w14:paraId="1B2D85B7">
      <w:pPr>
        <w:rPr>
          <w:rFonts w:hint="eastAsia" w:ascii="Times New Roman" w:hAnsi="Times New Roman" w:eastAsia="宋体" w:cs="Times New Roman"/>
        </w:rPr>
      </w:pPr>
      <w:r>
        <w:rPr>
          <w:rFonts w:hint="eastAsia" w:ascii="Times New Roman" w:hAnsi="Times New Roman" w:eastAsia="宋体" w:cs="Times New Roman"/>
        </w:rPr>
        <w:t>分析项目文明施工中可能出现的不利因素，见</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REF _Ref141694215 \h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t>表</w:t>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STYLEREF 2 \s </w:instrText>
      </w:r>
      <w:r>
        <w:rPr>
          <w:rFonts w:hint="eastAsia" w:ascii="Times New Roman" w:hAnsi="Times New Roman" w:eastAsia="宋体" w:cs="Times New Roman"/>
        </w:rPr>
        <w:fldChar w:fldCharType="separate"/>
      </w:r>
      <w:r>
        <w:rPr>
          <w:rFonts w:hint="eastAsia" w:ascii="Times New Roman" w:hAnsi="Times New Roman" w:eastAsia="宋体" w:cs="Times New Roman"/>
          <w:lang w:val="en-US" w:eastAsia="zh-CN"/>
        </w:rPr>
        <w:t>9</w:t>
      </w:r>
      <w:r>
        <w:rPr>
          <w:rFonts w:hint="eastAsia" w:ascii="Times New Roman" w:hAnsi="Times New Roman" w:eastAsia="宋体" w:cs="Times New Roman"/>
        </w:rPr>
        <w:t>.4</w:t>
      </w:r>
      <w:r>
        <w:rPr>
          <w:rFonts w:hint="eastAsia" w:ascii="Times New Roman" w:hAnsi="Times New Roman" w:eastAsia="宋体" w:cs="Times New Roman"/>
        </w:rPr>
        <w:fldChar w:fldCharType="end"/>
      </w:r>
      <w:r>
        <w:rPr>
          <w:rFonts w:hint="eastAsia" w:ascii="Times New Roman" w:hAnsi="Times New Roman" w:eastAsia="宋体" w:cs="Times New Roman"/>
        </w:rPr>
        <w:noBreakHyphen/>
      </w:r>
      <w:r>
        <w:rPr>
          <w:rFonts w:hint="eastAsia" w:ascii="Times New Roman" w:hAnsi="Times New Roman" w:eastAsia="宋体" w:cs="Times New Roman"/>
        </w:rPr>
        <w:t>1</w:t>
      </w:r>
      <w:r>
        <w:rPr>
          <w:rFonts w:hint="eastAsia" w:ascii="Times New Roman" w:hAnsi="Times New Roman" w:eastAsia="宋体" w:cs="Times New Roman"/>
        </w:rPr>
        <w:fldChar w:fldCharType="end"/>
      </w:r>
      <w:r>
        <w:rPr>
          <w:rFonts w:hint="eastAsia" w:ascii="Times New Roman" w:hAnsi="Times New Roman" w:eastAsia="宋体" w:cs="Times New Roman"/>
        </w:rPr>
        <w:t>。从施工人员、施工物资、设备、驻地、施工过程等角度出发做好文明施工措施落实。</w:t>
      </w:r>
    </w:p>
    <w:p w14:paraId="63342194">
      <w:pPr>
        <w:pStyle w:val="15"/>
        <w:shd w:val="clear" w:color="auto" w:fill="auto"/>
        <w:adjustRightInd w:val="0"/>
        <w:ind w:firstLine="0" w:firstLineChars="0"/>
        <w:rPr>
          <w:rFonts w:ascii="Times New Roman" w:hAnsi="Times New Roman" w:cstheme="majorBidi"/>
          <w:color w:val="auto"/>
          <w:szCs w:val="20"/>
        </w:rPr>
      </w:pPr>
      <w:bookmarkStart w:id="253" w:name="_Ref141694215"/>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bookmarkEnd w:id="253"/>
      <w:r>
        <w:rPr>
          <w:rFonts w:ascii="Times New Roman" w:hAnsi="Times New Roman" w:cstheme="majorBidi"/>
          <w:color w:val="auto"/>
          <w:szCs w:val="20"/>
        </w:rPr>
        <w:t xml:space="preserve"> </w:t>
      </w:r>
      <w:r>
        <w:rPr>
          <w:rFonts w:hint="eastAsia" w:ascii="Times New Roman" w:hAnsi="Times New Roman" w:cstheme="majorBidi"/>
          <w:color w:val="auto"/>
          <w:szCs w:val="20"/>
        </w:rPr>
        <w:t>文明施工不利因素一览表</w:t>
      </w:r>
    </w:p>
    <w:tbl>
      <w:tblPr>
        <w:tblStyle w:val="4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33"/>
        <w:gridCol w:w="1277"/>
        <w:gridCol w:w="2337"/>
        <w:gridCol w:w="4748"/>
      </w:tblGrid>
      <w:tr w14:paraId="77B7F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3" w:type="pct"/>
            <w:shd w:val="clear" w:color="auto" w:fill="FFFFFF"/>
            <w:vAlign w:val="center"/>
          </w:tcPr>
          <w:p w14:paraId="36CC9226">
            <w:pPr>
              <w:pStyle w:val="16"/>
              <w:rPr>
                <w:b/>
              </w:rPr>
            </w:pPr>
            <w:r>
              <w:rPr>
                <w:b/>
              </w:rPr>
              <w:t>序号</w:t>
            </w:r>
          </w:p>
        </w:tc>
        <w:tc>
          <w:tcPr>
            <w:tcW w:w="702" w:type="pct"/>
            <w:shd w:val="clear" w:color="auto" w:fill="FFFFFF"/>
            <w:vAlign w:val="center"/>
          </w:tcPr>
          <w:p w14:paraId="79AB0CD1">
            <w:pPr>
              <w:pStyle w:val="16"/>
              <w:rPr>
                <w:b/>
              </w:rPr>
            </w:pPr>
            <w:r>
              <w:rPr>
                <w:rFonts w:hint="eastAsia"/>
                <w:b/>
              </w:rPr>
              <w:t>施工环节</w:t>
            </w:r>
          </w:p>
        </w:tc>
        <w:tc>
          <w:tcPr>
            <w:tcW w:w="1285" w:type="pct"/>
            <w:shd w:val="clear" w:color="auto" w:fill="FFFFFF"/>
            <w:vAlign w:val="center"/>
          </w:tcPr>
          <w:p w14:paraId="6F3E45A8">
            <w:pPr>
              <w:pStyle w:val="16"/>
              <w:rPr>
                <w:b/>
              </w:rPr>
            </w:pPr>
            <w:r>
              <w:rPr>
                <w:rFonts w:hint="eastAsia"/>
                <w:b/>
              </w:rPr>
              <w:t>不利因素</w:t>
            </w:r>
          </w:p>
        </w:tc>
        <w:tc>
          <w:tcPr>
            <w:tcW w:w="2610" w:type="pct"/>
            <w:shd w:val="clear" w:color="auto" w:fill="FFFFFF"/>
            <w:vAlign w:val="center"/>
          </w:tcPr>
          <w:p w14:paraId="429556DB">
            <w:pPr>
              <w:pStyle w:val="16"/>
              <w:rPr>
                <w:b/>
              </w:rPr>
            </w:pPr>
            <w:r>
              <w:rPr>
                <w:rFonts w:hint="eastAsia"/>
                <w:b/>
              </w:rPr>
              <w:t>可能出现的后果</w:t>
            </w:r>
          </w:p>
        </w:tc>
      </w:tr>
      <w:tr w14:paraId="61120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3" w:type="pct"/>
            <w:shd w:val="clear" w:color="auto" w:fill="FFFFFF"/>
            <w:vAlign w:val="center"/>
          </w:tcPr>
          <w:p w14:paraId="341C161D">
            <w:pPr>
              <w:pStyle w:val="16"/>
              <w:rPr>
                <w:b/>
                <w:bCs/>
              </w:rPr>
            </w:pPr>
            <w:r>
              <w:rPr>
                <w:rFonts w:hint="eastAsia"/>
                <w:bCs/>
              </w:rPr>
              <w:t>1</w:t>
            </w:r>
          </w:p>
        </w:tc>
        <w:tc>
          <w:tcPr>
            <w:tcW w:w="702" w:type="pct"/>
            <w:shd w:val="clear" w:color="auto" w:fill="FFFFFF"/>
            <w:vAlign w:val="center"/>
          </w:tcPr>
          <w:p w14:paraId="2D3E8625">
            <w:pPr>
              <w:pStyle w:val="16"/>
              <w:rPr>
                <w:b w:val="0"/>
                <w:bCs w:val="0"/>
              </w:rPr>
            </w:pPr>
            <w:r>
              <w:rPr>
                <w:rFonts w:hint="eastAsia"/>
                <w:b w:val="0"/>
                <w:bCs w:val="0"/>
              </w:rPr>
              <w:t>施工人员</w:t>
            </w:r>
          </w:p>
        </w:tc>
        <w:tc>
          <w:tcPr>
            <w:tcW w:w="1285" w:type="pct"/>
            <w:shd w:val="clear" w:color="auto" w:fill="FFFFFF"/>
            <w:vAlign w:val="center"/>
          </w:tcPr>
          <w:p w14:paraId="1BB47F98">
            <w:pPr>
              <w:pStyle w:val="16"/>
              <w:rPr>
                <w:b w:val="0"/>
                <w:bCs w:val="0"/>
              </w:rPr>
            </w:pPr>
            <w:r>
              <w:rPr>
                <w:rFonts w:hint="eastAsia"/>
                <w:b w:val="0"/>
                <w:bCs w:val="0"/>
              </w:rPr>
              <w:t>文明施工制度不健全或对人员文明行为要求执行不严</w:t>
            </w:r>
          </w:p>
        </w:tc>
        <w:tc>
          <w:tcPr>
            <w:tcW w:w="2610" w:type="pct"/>
            <w:shd w:val="clear" w:color="auto" w:fill="FFFFFF"/>
            <w:vAlign w:val="center"/>
          </w:tcPr>
          <w:p w14:paraId="10A61008">
            <w:pPr>
              <w:pStyle w:val="16"/>
              <w:jc w:val="both"/>
              <w:rPr>
                <w:b w:val="0"/>
                <w:bCs w:val="0"/>
              </w:rPr>
            </w:pPr>
            <w:r>
              <w:rPr>
                <w:rFonts w:hint="eastAsia"/>
                <w:b w:val="0"/>
                <w:bCs w:val="0"/>
              </w:rPr>
              <w:t>1、人员不按照项目部要求着装；</w:t>
            </w:r>
          </w:p>
          <w:p w14:paraId="4DB7521F">
            <w:pPr>
              <w:pStyle w:val="16"/>
              <w:jc w:val="both"/>
              <w:rPr>
                <w:b w:val="0"/>
                <w:bCs w:val="0"/>
              </w:rPr>
            </w:pPr>
            <w:r>
              <w:rPr>
                <w:rFonts w:hint="eastAsia"/>
                <w:b w:val="0"/>
                <w:bCs w:val="0"/>
              </w:rPr>
              <w:t>2、导致施工垃圾清理不到位、设备维护不当、材料摆放杂乱，形成较差的场容场貌；</w:t>
            </w:r>
          </w:p>
          <w:p w14:paraId="0C5A4953">
            <w:pPr>
              <w:pStyle w:val="16"/>
              <w:jc w:val="both"/>
              <w:rPr>
                <w:b w:val="0"/>
                <w:bCs w:val="0"/>
              </w:rPr>
            </w:pPr>
            <w:r>
              <w:rPr>
                <w:rFonts w:hint="eastAsia"/>
                <w:b w:val="0"/>
                <w:bCs w:val="0"/>
              </w:rPr>
              <w:t>3、违章施工、野蛮施工。</w:t>
            </w:r>
          </w:p>
        </w:tc>
      </w:tr>
      <w:tr w14:paraId="418C6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B2715DE">
            <w:pPr>
              <w:pStyle w:val="16"/>
              <w:rPr>
                <w:b/>
                <w:bCs/>
              </w:rPr>
            </w:pPr>
            <w:r>
              <w:rPr>
                <w:rFonts w:hint="eastAsia"/>
                <w:bCs/>
              </w:rPr>
              <w:t>2</w:t>
            </w:r>
          </w:p>
        </w:tc>
        <w:tc>
          <w:tcPr>
            <w:tcW w:w="702" w:type="pct"/>
            <w:shd w:val="clear" w:color="auto" w:fill="FFFFFF"/>
            <w:vAlign w:val="center"/>
          </w:tcPr>
          <w:p w14:paraId="0C00C9B7">
            <w:pPr>
              <w:pStyle w:val="16"/>
              <w:rPr>
                <w:b w:val="0"/>
                <w:bCs w:val="0"/>
              </w:rPr>
            </w:pPr>
            <w:r>
              <w:rPr>
                <w:rFonts w:hint="eastAsia"/>
                <w:b w:val="0"/>
                <w:bCs w:val="0"/>
              </w:rPr>
              <w:t>物资</w:t>
            </w:r>
          </w:p>
        </w:tc>
        <w:tc>
          <w:tcPr>
            <w:tcW w:w="1285" w:type="pct"/>
            <w:shd w:val="clear" w:color="auto" w:fill="FFFFFF"/>
            <w:vAlign w:val="center"/>
          </w:tcPr>
          <w:p w14:paraId="5B937FC0">
            <w:pPr>
              <w:pStyle w:val="16"/>
              <w:rPr>
                <w:b w:val="0"/>
                <w:bCs w:val="0"/>
              </w:rPr>
            </w:pPr>
            <w:r>
              <w:rPr>
                <w:rFonts w:hint="eastAsia"/>
                <w:b w:val="0"/>
                <w:bCs w:val="0"/>
              </w:rPr>
              <w:t>运输、储存过程的包装方式不当或破坏</w:t>
            </w:r>
          </w:p>
        </w:tc>
        <w:tc>
          <w:tcPr>
            <w:tcW w:w="2610" w:type="pct"/>
            <w:shd w:val="clear" w:color="auto" w:fill="FFFFFF"/>
            <w:vAlign w:val="center"/>
          </w:tcPr>
          <w:p w14:paraId="293962DC">
            <w:pPr>
              <w:pStyle w:val="16"/>
              <w:jc w:val="both"/>
              <w:rPr>
                <w:b w:val="0"/>
                <w:bCs w:val="0"/>
              </w:rPr>
            </w:pPr>
            <w:r>
              <w:rPr>
                <w:rFonts w:hint="eastAsia"/>
                <w:b w:val="0"/>
                <w:bCs w:val="0"/>
              </w:rPr>
              <w:t>1、材料摆放杂乱、施工废料随意丢弃；</w:t>
            </w:r>
          </w:p>
          <w:p w14:paraId="08340435">
            <w:pPr>
              <w:pStyle w:val="16"/>
              <w:jc w:val="both"/>
              <w:rPr>
                <w:b w:val="0"/>
                <w:bCs w:val="0"/>
              </w:rPr>
            </w:pPr>
            <w:r>
              <w:rPr>
                <w:rFonts w:hint="eastAsia"/>
                <w:b w:val="0"/>
                <w:bCs w:val="0"/>
              </w:rPr>
              <w:t>2、储存中意外泄漏造成污染或环境破坏。</w:t>
            </w:r>
          </w:p>
        </w:tc>
      </w:tr>
      <w:tr w14:paraId="197C3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7584212">
            <w:pPr>
              <w:pStyle w:val="16"/>
              <w:rPr>
                <w:b/>
                <w:bCs/>
              </w:rPr>
            </w:pPr>
            <w:r>
              <w:rPr>
                <w:rFonts w:hint="eastAsia"/>
                <w:bCs/>
              </w:rPr>
              <w:t>3</w:t>
            </w:r>
          </w:p>
        </w:tc>
        <w:tc>
          <w:tcPr>
            <w:tcW w:w="702" w:type="pct"/>
            <w:shd w:val="clear" w:color="auto" w:fill="FFFFFF"/>
            <w:vAlign w:val="center"/>
          </w:tcPr>
          <w:p w14:paraId="057E3409">
            <w:pPr>
              <w:pStyle w:val="16"/>
              <w:rPr>
                <w:b w:val="0"/>
                <w:bCs w:val="0"/>
              </w:rPr>
            </w:pPr>
            <w:r>
              <w:rPr>
                <w:rFonts w:hint="eastAsia"/>
                <w:b w:val="0"/>
                <w:bCs w:val="0"/>
              </w:rPr>
              <w:t>设备</w:t>
            </w:r>
          </w:p>
        </w:tc>
        <w:tc>
          <w:tcPr>
            <w:tcW w:w="1285" w:type="pct"/>
            <w:shd w:val="clear" w:color="auto" w:fill="FFFFFF"/>
            <w:vAlign w:val="center"/>
          </w:tcPr>
          <w:p w14:paraId="48E06FAB">
            <w:pPr>
              <w:pStyle w:val="16"/>
              <w:rPr>
                <w:b w:val="0"/>
                <w:bCs w:val="0"/>
              </w:rPr>
            </w:pPr>
            <w:r>
              <w:rPr>
                <w:rFonts w:hint="eastAsia"/>
                <w:b w:val="0"/>
                <w:bCs w:val="0"/>
              </w:rPr>
              <w:t>维护保养不到位</w:t>
            </w:r>
          </w:p>
        </w:tc>
        <w:tc>
          <w:tcPr>
            <w:tcW w:w="2610" w:type="pct"/>
            <w:shd w:val="clear" w:color="auto" w:fill="FFFFFF"/>
            <w:vAlign w:val="center"/>
          </w:tcPr>
          <w:p w14:paraId="73BB5EFE">
            <w:pPr>
              <w:pStyle w:val="16"/>
              <w:jc w:val="both"/>
              <w:rPr>
                <w:b w:val="0"/>
                <w:bCs w:val="0"/>
              </w:rPr>
            </w:pPr>
            <w:r>
              <w:rPr>
                <w:rFonts w:hint="eastAsia"/>
                <w:b w:val="0"/>
                <w:bCs w:val="0"/>
              </w:rPr>
              <w:t>1、设备外观脏乱差；</w:t>
            </w:r>
          </w:p>
          <w:p w14:paraId="1A1D4F0A">
            <w:pPr>
              <w:pStyle w:val="16"/>
              <w:jc w:val="both"/>
              <w:rPr>
                <w:b w:val="0"/>
                <w:bCs w:val="0"/>
              </w:rPr>
            </w:pPr>
            <w:r>
              <w:rPr>
                <w:rFonts w:hint="eastAsia"/>
                <w:b w:val="0"/>
                <w:bCs w:val="0"/>
              </w:rPr>
              <w:t>2、设备停靠不整齐，影响形象。</w:t>
            </w:r>
          </w:p>
        </w:tc>
      </w:tr>
      <w:tr w14:paraId="654B9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3" w:type="pct"/>
            <w:shd w:val="clear" w:color="auto" w:fill="FFFFFF"/>
            <w:vAlign w:val="center"/>
          </w:tcPr>
          <w:p w14:paraId="381443DC">
            <w:pPr>
              <w:pStyle w:val="16"/>
              <w:rPr>
                <w:b/>
                <w:bCs/>
              </w:rPr>
            </w:pPr>
            <w:r>
              <w:rPr>
                <w:rFonts w:hint="eastAsia"/>
                <w:bCs/>
              </w:rPr>
              <w:t>4</w:t>
            </w:r>
          </w:p>
        </w:tc>
        <w:tc>
          <w:tcPr>
            <w:tcW w:w="702" w:type="pct"/>
            <w:shd w:val="clear" w:color="auto" w:fill="FFFFFF"/>
            <w:vAlign w:val="center"/>
          </w:tcPr>
          <w:p w14:paraId="3C25D119">
            <w:pPr>
              <w:pStyle w:val="16"/>
              <w:rPr>
                <w:b w:val="0"/>
                <w:bCs w:val="0"/>
              </w:rPr>
            </w:pPr>
            <w:r>
              <w:rPr>
                <w:rFonts w:hint="eastAsia"/>
                <w:b w:val="0"/>
                <w:bCs w:val="0"/>
              </w:rPr>
              <w:t>生活办公</w:t>
            </w:r>
          </w:p>
        </w:tc>
        <w:tc>
          <w:tcPr>
            <w:tcW w:w="1285" w:type="pct"/>
            <w:shd w:val="clear" w:color="auto" w:fill="FFFFFF"/>
            <w:vAlign w:val="center"/>
          </w:tcPr>
          <w:p w14:paraId="1AB6D3C8">
            <w:pPr>
              <w:pStyle w:val="16"/>
              <w:rPr>
                <w:b w:val="0"/>
                <w:bCs w:val="0"/>
              </w:rPr>
            </w:pPr>
            <w:r>
              <w:rPr>
                <w:rFonts w:hint="eastAsia"/>
                <w:b w:val="0"/>
                <w:bCs w:val="0"/>
              </w:rPr>
              <w:t>房间清洁卫生不到位</w:t>
            </w:r>
          </w:p>
        </w:tc>
        <w:tc>
          <w:tcPr>
            <w:tcW w:w="2610" w:type="pct"/>
            <w:shd w:val="clear" w:color="auto" w:fill="FFFFFF"/>
            <w:vAlign w:val="center"/>
          </w:tcPr>
          <w:p w14:paraId="0A3FA0DE">
            <w:pPr>
              <w:pStyle w:val="16"/>
              <w:jc w:val="both"/>
              <w:rPr>
                <w:b w:val="0"/>
                <w:bCs w:val="0"/>
              </w:rPr>
            </w:pPr>
            <w:r>
              <w:rPr>
                <w:rFonts w:hint="eastAsia"/>
                <w:b w:val="0"/>
                <w:bCs w:val="0"/>
              </w:rPr>
              <w:t>1、生活和办公垃圾随意丢弃，区域内不整洁、卫生条件下降。</w:t>
            </w:r>
          </w:p>
        </w:tc>
      </w:tr>
      <w:tr w14:paraId="692FB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FAF87BC">
            <w:pPr>
              <w:pStyle w:val="16"/>
              <w:rPr>
                <w:b/>
                <w:bCs/>
              </w:rPr>
            </w:pPr>
            <w:r>
              <w:rPr>
                <w:rFonts w:hint="eastAsia"/>
                <w:bCs/>
              </w:rPr>
              <w:t>5</w:t>
            </w:r>
          </w:p>
        </w:tc>
        <w:tc>
          <w:tcPr>
            <w:tcW w:w="702" w:type="pct"/>
            <w:shd w:val="clear" w:color="auto" w:fill="FFFFFF"/>
            <w:vAlign w:val="center"/>
          </w:tcPr>
          <w:p w14:paraId="0980A753">
            <w:pPr>
              <w:pStyle w:val="16"/>
              <w:rPr>
                <w:b w:val="0"/>
                <w:bCs w:val="0"/>
              </w:rPr>
            </w:pPr>
            <w:r>
              <w:rPr>
                <w:rFonts w:hint="eastAsia"/>
                <w:b w:val="0"/>
                <w:bCs w:val="0"/>
              </w:rPr>
              <w:t>施工过程</w:t>
            </w:r>
          </w:p>
        </w:tc>
        <w:tc>
          <w:tcPr>
            <w:tcW w:w="1285" w:type="pct"/>
            <w:shd w:val="clear" w:color="auto" w:fill="FFFFFF"/>
            <w:vAlign w:val="center"/>
          </w:tcPr>
          <w:p w14:paraId="050A0143">
            <w:pPr>
              <w:pStyle w:val="16"/>
              <w:rPr>
                <w:b w:val="0"/>
                <w:bCs w:val="0"/>
              </w:rPr>
            </w:pPr>
            <w:r>
              <w:rPr>
                <w:rFonts w:hint="eastAsia"/>
                <w:b w:val="0"/>
                <w:bCs w:val="0"/>
              </w:rPr>
              <w:t>每天施工开始时间过早、结束过晚</w:t>
            </w:r>
          </w:p>
        </w:tc>
        <w:tc>
          <w:tcPr>
            <w:tcW w:w="2610" w:type="pct"/>
            <w:shd w:val="clear" w:color="auto" w:fill="FFFFFF"/>
            <w:vAlign w:val="center"/>
          </w:tcPr>
          <w:p w14:paraId="76CBBEBC">
            <w:pPr>
              <w:pStyle w:val="16"/>
              <w:jc w:val="both"/>
              <w:rPr>
                <w:b w:val="0"/>
                <w:bCs w:val="0"/>
              </w:rPr>
            </w:pPr>
            <w:r>
              <w:rPr>
                <w:rFonts w:hint="eastAsia"/>
                <w:b w:val="0"/>
                <w:bCs w:val="0"/>
              </w:rPr>
              <w:t>1、噪声污染扰民。</w:t>
            </w:r>
          </w:p>
        </w:tc>
      </w:tr>
    </w:tbl>
    <w:p w14:paraId="22ACD390">
      <w:pPr>
        <w:pStyle w:val="4"/>
        <w:bidi w:val="0"/>
        <w:ind w:left="720" w:leftChars="0" w:hanging="720" w:firstLineChars="0"/>
        <w:rPr>
          <w:rFonts w:hint="eastAsia"/>
          <w:b/>
          <w:bCs w:val="0"/>
        </w:rPr>
      </w:pPr>
      <w:r>
        <w:rPr>
          <w:rFonts w:hint="eastAsia"/>
          <w:b/>
          <w:bCs w:val="0"/>
        </w:rPr>
        <w:t>人员文明施工管理措施</w:t>
      </w:r>
    </w:p>
    <w:p w14:paraId="245C9367">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.1</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人员文明施工管理措施</w:t>
      </w:r>
    </w:p>
    <w:tbl>
      <w:tblPr>
        <w:tblStyle w:val="4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8352"/>
      </w:tblGrid>
      <w:tr w14:paraId="55FD3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0" w:type="pct"/>
            <w:shd w:val="clear" w:color="auto" w:fill="auto"/>
            <w:vAlign w:val="center"/>
          </w:tcPr>
          <w:p w14:paraId="72B9B202">
            <w:pPr>
              <w:pStyle w:val="16"/>
              <w:rPr>
                <w:b/>
              </w:rPr>
            </w:pPr>
            <w:r>
              <w:rPr>
                <w:b/>
              </w:rPr>
              <w:t>序号</w:t>
            </w:r>
          </w:p>
        </w:tc>
        <w:tc>
          <w:tcPr>
            <w:tcW w:w="4589" w:type="pct"/>
            <w:shd w:val="clear" w:color="auto" w:fill="auto"/>
            <w:vAlign w:val="center"/>
          </w:tcPr>
          <w:p w14:paraId="481F5E05">
            <w:pPr>
              <w:pStyle w:val="16"/>
              <w:rPr>
                <w:b/>
              </w:rPr>
            </w:pPr>
            <w:r>
              <w:rPr>
                <w:b/>
              </w:rPr>
              <w:t>主要</w:t>
            </w:r>
            <w:r>
              <w:rPr>
                <w:rFonts w:hint="eastAsia"/>
                <w:b/>
              </w:rPr>
              <w:t>管理</w:t>
            </w:r>
            <w:r>
              <w:rPr>
                <w:b/>
              </w:rPr>
              <w:t>措施</w:t>
            </w:r>
          </w:p>
        </w:tc>
      </w:tr>
      <w:tr w14:paraId="60C9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59998F93">
            <w:pPr>
              <w:pStyle w:val="16"/>
              <w:rPr>
                <w:b/>
                <w:bCs/>
              </w:rPr>
            </w:pPr>
            <w:r>
              <w:rPr>
                <w:bCs/>
              </w:rPr>
              <w:t>1</w:t>
            </w:r>
          </w:p>
        </w:tc>
        <w:tc>
          <w:tcPr>
            <w:tcW w:w="4589" w:type="pct"/>
            <w:shd w:val="clear" w:color="auto" w:fill="auto"/>
            <w:vAlign w:val="center"/>
          </w:tcPr>
          <w:p w14:paraId="3D228DB1">
            <w:pPr>
              <w:pStyle w:val="16"/>
              <w:jc w:val="both"/>
              <w:rPr>
                <w:b w:val="0"/>
                <w:bCs w:val="0"/>
              </w:rPr>
            </w:pPr>
            <w:r>
              <w:rPr>
                <w:b w:val="0"/>
                <w:bCs w:val="0"/>
              </w:rPr>
              <w:t>施工人员应按要求分类着装，佩戴安全帽；</w:t>
            </w:r>
          </w:p>
          <w:p w14:paraId="553614B1">
            <w:pPr>
              <w:pStyle w:val="16"/>
              <w:jc w:val="both"/>
              <w:rPr>
                <w:b w:val="0"/>
                <w:bCs w:val="0"/>
              </w:rPr>
            </w:pPr>
            <w:r>
              <w:rPr>
                <w:b w:val="0"/>
                <w:bCs w:val="0"/>
              </w:rPr>
              <w:t>各种岗位人员佩戴胸卡，质量检查人员、安全监督人员佩戴红色袖标；</w:t>
            </w:r>
          </w:p>
          <w:p w14:paraId="01EC0D94">
            <w:pPr>
              <w:pStyle w:val="16"/>
              <w:jc w:val="both"/>
              <w:rPr>
                <w:b w:val="0"/>
                <w:bCs w:val="0"/>
              </w:rPr>
            </w:pPr>
            <w:r>
              <w:rPr>
                <w:b w:val="0"/>
                <w:bCs w:val="0"/>
              </w:rPr>
              <w:t>坚守岗位，职责清楚。</w:t>
            </w:r>
          </w:p>
        </w:tc>
      </w:tr>
      <w:tr w14:paraId="06FD5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06B8A9F">
            <w:pPr>
              <w:pStyle w:val="16"/>
              <w:rPr>
                <w:b/>
                <w:bCs/>
              </w:rPr>
            </w:pPr>
            <w:r>
              <w:rPr>
                <w:bCs/>
              </w:rPr>
              <w:t>2</w:t>
            </w:r>
          </w:p>
        </w:tc>
        <w:tc>
          <w:tcPr>
            <w:tcW w:w="4589" w:type="pct"/>
            <w:shd w:val="clear" w:color="auto" w:fill="auto"/>
            <w:vAlign w:val="center"/>
          </w:tcPr>
          <w:p w14:paraId="155AD87A">
            <w:pPr>
              <w:pStyle w:val="16"/>
              <w:jc w:val="both"/>
              <w:rPr>
                <w:b w:val="0"/>
                <w:bCs w:val="0"/>
              </w:rPr>
            </w:pPr>
            <w:r>
              <w:rPr>
                <w:b w:val="0"/>
                <w:bCs w:val="0"/>
              </w:rPr>
              <w:t>进入场区人员在区域内活动要举止大方、衣容整洁、文明礼貌；</w:t>
            </w:r>
          </w:p>
          <w:p w14:paraId="22249AAD">
            <w:pPr>
              <w:pStyle w:val="16"/>
              <w:jc w:val="both"/>
              <w:rPr>
                <w:b w:val="0"/>
                <w:bCs w:val="0"/>
              </w:rPr>
            </w:pPr>
            <w:r>
              <w:rPr>
                <w:b w:val="0"/>
                <w:bCs w:val="0"/>
              </w:rPr>
              <w:t>定期对全体施工人员进行法律、法规教育，严格遵守社会公德、职业道德、职业纪律；</w:t>
            </w:r>
          </w:p>
          <w:p w14:paraId="242FCB99">
            <w:pPr>
              <w:pStyle w:val="16"/>
              <w:jc w:val="both"/>
              <w:rPr>
                <w:b w:val="0"/>
                <w:bCs w:val="0"/>
              </w:rPr>
            </w:pPr>
            <w:r>
              <w:rPr>
                <w:b w:val="0"/>
                <w:bCs w:val="0"/>
              </w:rPr>
              <w:t>设专人协调处理好周边的公共关系，发生纠纷按程序逐级追究解决，杜绝打架斗殴。</w:t>
            </w:r>
          </w:p>
        </w:tc>
      </w:tr>
      <w:tr w14:paraId="33CBE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D047D9D">
            <w:pPr>
              <w:pStyle w:val="16"/>
              <w:rPr>
                <w:b/>
                <w:bCs/>
              </w:rPr>
            </w:pPr>
            <w:r>
              <w:rPr>
                <w:bCs/>
              </w:rPr>
              <w:t>3</w:t>
            </w:r>
          </w:p>
        </w:tc>
        <w:tc>
          <w:tcPr>
            <w:tcW w:w="4589" w:type="pct"/>
            <w:shd w:val="clear" w:color="auto" w:fill="auto"/>
            <w:vAlign w:val="center"/>
          </w:tcPr>
          <w:p w14:paraId="6F234EE9">
            <w:pPr>
              <w:pStyle w:val="16"/>
              <w:jc w:val="both"/>
              <w:rPr>
                <w:b w:val="0"/>
                <w:bCs w:val="0"/>
              </w:rPr>
            </w:pPr>
            <w:r>
              <w:rPr>
                <w:b w:val="0"/>
                <w:bCs w:val="0"/>
              </w:rPr>
              <w:t>工人在上岗前必须经过文明施工教育培训，未经培训的工人，不得使用；</w:t>
            </w:r>
          </w:p>
          <w:p w14:paraId="5DD9CF69">
            <w:pPr>
              <w:pStyle w:val="16"/>
              <w:jc w:val="both"/>
              <w:rPr>
                <w:b w:val="0"/>
                <w:bCs w:val="0"/>
              </w:rPr>
            </w:pPr>
            <w:r>
              <w:rPr>
                <w:b w:val="0"/>
                <w:bCs w:val="0"/>
              </w:rPr>
              <w:t>所有施工人员每月需要进行施工安全、法纪和文明施工教育，增强文明施工意识，养成良好的作业习惯，如不在吸烟室以外场所吸烟，严禁穿拖鞋、短袖，不酒后作业等。</w:t>
            </w:r>
          </w:p>
        </w:tc>
      </w:tr>
      <w:tr w14:paraId="3720C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83C3EF6">
            <w:pPr>
              <w:pStyle w:val="16"/>
              <w:rPr>
                <w:b/>
                <w:bCs/>
              </w:rPr>
            </w:pPr>
            <w:r>
              <w:rPr>
                <w:bCs/>
              </w:rPr>
              <w:t>4</w:t>
            </w:r>
          </w:p>
        </w:tc>
        <w:tc>
          <w:tcPr>
            <w:tcW w:w="4589" w:type="pct"/>
            <w:shd w:val="clear" w:color="auto" w:fill="auto"/>
            <w:vAlign w:val="center"/>
          </w:tcPr>
          <w:p w14:paraId="4832833E">
            <w:pPr>
              <w:pStyle w:val="16"/>
              <w:jc w:val="both"/>
              <w:rPr>
                <w:b w:val="0"/>
                <w:bCs w:val="0"/>
              </w:rPr>
            </w:pPr>
            <w:r>
              <w:rPr>
                <w:b w:val="0"/>
                <w:bCs w:val="0"/>
              </w:rPr>
              <w:t>施工中有计划组织职工学习有关文明施工的规定，争做文明人民；</w:t>
            </w:r>
          </w:p>
          <w:p w14:paraId="443B418A">
            <w:pPr>
              <w:pStyle w:val="16"/>
              <w:jc w:val="both"/>
              <w:rPr>
                <w:b w:val="0"/>
                <w:bCs w:val="0"/>
              </w:rPr>
            </w:pPr>
            <w:r>
              <w:rPr>
                <w:b w:val="0"/>
                <w:bCs w:val="0"/>
              </w:rPr>
              <w:t>加强员工文明施工行为考评，并将考评结果</w:t>
            </w:r>
            <w:r>
              <w:rPr>
                <w:rFonts w:hint="eastAsia"/>
                <w:b w:val="0"/>
                <w:bCs w:val="0"/>
              </w:rPr>
              <w:t>纳入</w:t>
            </w:r>
            <w:r>
              <w:rPr>
                <w:b w:val="0"/>
                <w:bCs w:val="0"/>
              </w:rPr>
              <w:t>为月度绩效考核指标。</w:t>
            </w:r>
          </w:p>
        </w:tc>
      </w:tr>
      <w:tr w14:paraId="6BC4E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419818D">
            <w:pPr>
              <w:pStyle w:val="16"/>
              <w:rPr>
                <w:b/>
                <w:bCs/>
              </w:rPr>
            </w:pPr>
            <w:r>
              <w:rPr>
                <w:bCs/>
              </w:rPr>
              <w:t>5</w:t>
            </w:r>
          </w:p>
        </w:tc>
        <w:tc>
          <w:tcPr>
            <w:tcW w:w="4589" w:type="pct"/>
            <w:shd w:val="clear" w:color="auto" w:fill="auto"/>
            <w:vAlign w:val="center"/>
          </w:tcPr>
          <w:p w14:paraId="6CEC6664">
            <w:pPr>
              <w:pStyle w:val="16"/>
              <w:jc w:val="both"/>
              <w:rPr>
                <w:b w:val="0"/>
                <w:bCs w:val="0"/>
              </w:rPr>
            </w:pPr>
            <w:r>
              <w:rPr>
                <w:b w:val="0"/>
                <w:bCs w:val="0"/>
              </w:rPr>
              <w:t>建立文明施工档案，做好文明施工宣传，对违反文明施工人员进行教育、纠偏、处罚，严重者清除出场；在文明施工中表现优秀的给予褒奖。</w:t>
            </w:r>
          </w:p>
        </w:tc>
      </w:tr>
    </w:tbl>
    <w:p w14:paraId="1A6A1D87">
      <w:pPr>
        <w:pStyle w:val="4"/>
        <w:bidi w:val="0"/>
        <w:ind w:left="720" w:leftChars="0" w:hanging="720" w:firstLineChars="0"/>
        <w:rPr>
          <w:rFonts w:hint="eastAsia"/>
          <w:b/>
          <w:bCs w:val="0"/>
        </w:rPr>
      </w:pPr>
      <w:r>
        <w:rPr>
          <w:rFonts w:hint="eastAsia"/>
          <w:b/>
          <w:bCs w:val="0"/>
        </w:rPr>
        <w:t>物资文明管理措施</w:t>
      </w:r>
    </w:p>
    <w:p w14:paraId="2D2F4384">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.2</w:t>
      </w:r>
      <w:r>
        <w:rPr>
          <w:rFonts w:ascii="Times New Roman" w:hAnsi="Times New Roman" w:cstheme="majorBidi"/>
          <w:color w:val="auto"/>
          <w:szCs w:val="20"/>
        </w:rPr>
        <w:noBreakHyphen/>
      </w:r>
      <w:r>
        <w:rPr>
          <w:rFonts w:hint="eastAsia" w:cstheme="majorBidi"/>
          <w:color w:val="auto"/>
          <w:szCs w:val="20"/>
          <w:lang w:val="en-US" w:eastAsia="zh-CN"/>
        </w:rPr>
        <w:t>1</w:t>
      </w:r>
      <w:r>
        <w:rPr>
          <w:rFonts w:hint="eastAsia" w:ascii="Times New Roman" w:hAnsi="Times New Roman" w:cstheme="majorBidi"/>
          <w:color w:val="auto"/>
          <w:szCs w:val="20"/>
        </w:rPr>
        <w:t xml:space="preserve"> 物资文明管理措施</w:t>
      </w:r>
    </w:p>
    <w:tbl>
      <w:tblPr>
        <w:tblStyle w:val="4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365"/>
      </w:tblGrid>
      <w:tr w14:paraId="380F6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3" w:type="pct"/>
            <w:shd w:val="clear" w:color="auto" w:fill="auto"/>
            <w:vAlign w:val="center"/>
          </w:tcPr>
          <w:p w14:paraId="7B0826C0">
            <w:pPr>
              <w:pStyle w:val="16"/>
              <w:rPr>
                <w:b/>
              </w:rPr>
            </w:pPr>
            <w:r>
              <w:rPr>
                <w:b/>
              </w:rPr>
              <w:t>序号</w:t>
            </w:r>
          </w:p>
        </w:tc>
        <w:tc>
          <w:tcPr>
            <w:tcW w:w="4596" w:type="pct"/>
            <w:shd w:val="clear" w:color="auto" w:fill="auto"/>
            <w:vAlign w:val="center"/>
          </w:tcPr>
          <w:p w14:paraId="5F346670">
            <w:pPr>
              <w:pStyle w:val="16"/>
              <w:rPr>
                <w:b/>
              </w:rPr>
            </w:pPr>
            <w:r>
              <w:rPr>
                <w:b/>
              </w:rPr>
              <w:t>主要</w:t>
            </w:r>
            <w:r>
              <w:rPr>
                <w:rFonts w:hint="eastAsia"/>
                <w:b/>
              </w:rPr>
              <w:t>管理</w:t>
            </w:r>
            <w:r>
              <w:rPr>
                <w:b/>
              </w:rPr>
              <w:t>措施</w:t>
            </w:r>
          </w:p>
        </w:tc>
      </w:tr>
      <w:tr w14:paraId="6A96E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2A4140A8">
            <w:pPr>
              <w:pStyle w:val="16"/>
              <w:rPr>
                <w:b/>
                <w:bCs/>
              </w:rPr>
            </w:pPr>
            <w:r>
              <w:rPr>
                <w:bCs/>
              </w:rPr>
              <w:t>1</w:t>
            </w:r>
          </w:p>
        </w:tc>
        <w:tc>
          <w:tcPr>
            <w:tcW w:w="4596" w:type="pct"/>
            <w:shd w:val="clear" w:color="auto" w:fill="auto"/>
            <w:vAlign w:val="center"/>
          </w:tcPr>
          <w:p w14:paraId="2F466B0B">
            <w:pPr>
              <w:pStyle w:val="16"/>
              <w:jc w:val="both"/>
              <w:rPr>
                <w:b w:val="0"/>
                <w:bCs w:val="0"/>
              </w:rPr>
            </w:pPr>
            <w:r>
              <w:rPr>
                <w:rFonts w:hint="eastAsia"/>
                <w:b w:val="0"/>
                <w:bCs w:val="0"/>
              </w:rPr>
              <w:t>砂石料运输车辆采用篷布覆盖，在料仓内按规格分类分批堆放，严禁混堆</w:t>
            </w:r>
          </w:p>
        </w:tc>
      </w:tr>
      <w:tr w14:paraId="74F10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6AB3769D">
            <w:pPr>
              <w:pStyle w:val="16"/>
              <w:rPr>
                <w:b/>
                <w:bCs/>
              </w:rPr>
            </w:pPr>
            <w:r>
              <w:rPr>
                <w:bCs/>
              </w:rPr>
              <w:t>2</w:t>
            </w:r>
          </w:p>
        </w:tc>
        <w:tc>
          <w:tcPr>
            <w:tcW w:w="4596" w:type="pct"/>
            <w:shd w:val="clear" w:color="auto" w:fill="auto"/>
            <w:vAlign w:val="center"/>
          </w:tcPr>
          <w:p w14:paraId="53BAE3DD">
            <w:pPr>
              <w:pStyle w:val="16"/>
              <w:jc w:val="both"/>
              <w:rPr>
                <w:b w:val="0"/>
                <w:bCs w:val="0"/>
              </w:rPr>
            </w:pPr>
            <w:r>
              <w:rPr>
                <w:rFonts w:hint="eastAsia"/>
                <w:b w:val="0"/>
                <w:bCs w:val="0"/>
              </w:rPr>
              <w:t>钢筋加工场按原材料、半成品、成品分区堆放，设置相应的标识标牌</w:t>
            </w:r>
          </w:p>
        </w:tc>
      </w:tr>
      <w:tr w14:paraId="40058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4BDC782F">
            <w:pPr>
              <w:pStyle w:val="16"/>
              <w:rPr>
                <w:b/>
                <w:bCs/>
              </w:rPr>
            </w:pPr>
            <w:r>
              <w:rPr>
                <w:bCs/>
              </w:rPr>
              <w:t>3</w:t>
            </w:r>
          </w:p>
        </w:tc>
        <w:tc>
          <w:tcPr>
            <w:tcW w:w="4596" w:type="pct"/>
            <w:shd w:val="clear" w:color="auto" w:fill="auto"/>
            <w:vAlign w:val="center"/>
          </w:tcPr>
          <w:p w14:paraId="74CB8983">
            <w:pPr>
              <w:pStyle w:val="16"/>
              <w:jc w:val="both"/>
              <w:rPr>
                <w:b w:val="0"/>
                <w:bCs w:val="0"/>
              </w:rPr>
            </w:pPr>
            <w:r>
              <w:rPr>
                <w:rFonts w:hint="eastAsia"/>
                <w:b w:val="0"/>
                <w:bCs w:val="0"/>
              </w:rPr>
              <w:t>销轴、安全销、螺栓、套筒等存放在干燥的仓库内，由专人负责保管存放</w:t>
            </w:r>
          </w:p>
        </w:tc>
      </w:tr>
      <w:tr w14:paraId="458EC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393BBFBE">
            <w:pPr>
              <w:pStyle w:val="16"/>
              <w:rPr>
                <w:b/>
                <w:bCs/>
              </w:rPr>
            </w:pPr>
            <w:r>
              <w:rPr>
                <w:bCs/>
              </w:rPr>
              <w:t>4</w:t>
            </w:r>
          </w:p>
        </w:tc>
        <w:tc>
          <w:tcPr>
            <w:tcW w:w="4596" w:type="pct"/>
            <w:shd w:val="clear" w:color="auto" w:fill="auto"/>
            <w:vAlign w:val="center"/>
          </w:tcPr>
          <w:p w14:paraId="5E2D4DEB">
            <w:pPr>
              <w:pStyle w:val="16"/>
              <w:jc w:val="both"/>
              <w:rPr>
                <w:b w:val="0"/>
                <w:bCs w:val="0"/>
              </w:rPr>
            </w:pPr>
            <w:r>
              <w:rPr>
                <w:rFonts w:hint="eastAsia"/>
                <w:b w:val="0"/>
                <w:bCs w:val="0"/>
              </w:rPr>
              <w:t>现场相关小型、临时物资设置相应的储存收纳箱，便于集中存放和取用</w:t>
            </w:r>
          </w:p>
        </w:tc>
      </w:tr>
    </w:tbl>
    <w:p w14:paraId="64155ADA">
      <w:pPr>
        <w:pStyle w:val="4"/>
        <w:bidi w:val="0"/>
        <w:ind w:left="720" w:leftChars="0" w:hanging="720" w:firstLineChars="0"/>
        <w:rPr>
          <w:rFonts w:hint="eastAsia"/>
          <w:b/>
          <w:bCs w:val="0"/>
        </w:rPr>
      </w:pPr>
      <w:r>
        <w:rPr>
          <w:rFonts w:hint="eastAsia"/>
          <w:b/>
          <w:bCs w:val="0"/>
        </w:rPr>
        <w:t>机械文明施工管理措施</w:t>
      </w:r>
    </w:p>
    <w:p w14:paraId="627D0247">
      <w:r>
        <w:rPr>
          <w:rFonts w:hint="eastAsia"/>
        </w:rPr>
        <w:t>编制车辆与机械设备文明驾驶守则，制定各种车辆、机械的操作规程，加强车辆、机械的维修与保养。车辆、机械不带故障上路，不违规违章行驶，杜绝机械、车辆事故。</w:t>
      </w:r>
      <w:r>
        <w:br w:type="page"/>
      </w:r>
    </w:p>
    <w:p w14:paraId="2DC2DB60">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.3</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机械文明施工管理措施</w:t>
      </w:r>
    </w:p>
    <w:tbl>
      <w:tblPr>
        <w:tblStyle w:val="4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8381"/>
      </w:tblGrid>
      <w:tr w14:paraId="748C3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394" w:type="pct"/>
            <w:shd w:val="clear" w:color="auto" w:fill="auto"/>
            <w:vAlign w:val="center"/>
          </w:tcPr>
          <w:p w14:paraId="49558E64">
            <w:pPr>
              <w:pStyle w:val="16"/>
              <w:rPr>
                <w:bCs/>
              </w:rPr>
            </w:pPr>
            <w:r>
              <w:rPr>
                <w:bCs/>
              </w:rPr>
              <w:t>序号</w:t>
            </w:r>
          </w:p>
        </w:tc>
        <w:tc>
          <w:tcPr>
            <w:tcW w:w="4605" w:type="pct"/>
            <w:shd w:val="clear" w:color="auto" w:fill="auto"/>
            <w:vAlign w:val="center"/>
          </w:tcPr>
          <w:p w14:paraId="668D21EA">
            <w:pPr>
              <w:pStyle w:val="16"/>
              <w:rPr>
                <w:bCs/>
              </w:rPr>
            </w:pPr>
            <w:r>
              <w:rPr>
                <w:bCs/>
              </w:rPr>
              <w:t>主要</w:t>
            </w:r>
            <w:r>
              <w:rPr>
                <w:rFonts w:hint="eastAsia"/>
                <w:bCs/>
              </w:rPr>
              <w:t>管理</w:t>
            </w:r>
            <w:r>
              <w:rPr>
                <w:bCs/>
              </w:rPr>
              <w:t>措施</w:t>
            </w:r>
          </w:p>
        </w:tc>
      </w:tr>
      <w:tr w14:paraId="29449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7D9F19E8">
            <w:pPr>
              <w:pStyle w:val="16"/>
              <w:rPr>
                <w:b/>
                <w:bCs/>
              </w:rPr>
            </w:pPr>
            <w:r>
              <w:rPr>
                <w:bCs/>
              </w:rPr>
              <w:t>1</w:t>
            </w:r>
          </w:p>
        </w:tc>
        <w:tc>
          <w:tcPr>
            <w:tcW w:w="4605" w:type="pct"/>
            <w:shd w:val="clear" w:color="auto" w:fill="auto"/>
            <w:vAlign w:val="center"/>
          </w:tcPr>
          <w:p w14:paraId="4C0AD3CD">
            <w:pPr>
              <w:pStyle w:val="16"/>
              <w:jc w:val="both"/>
              <w:rPr>
                <w:b w:val="0"/>
                <w:bCs w:val="0"/>
              </w:rPr>
            </w:pPr>
            <w:r>
              <w:rPr>
                <w:b w:val="0"/>
                <w:bCs w:val="0"/>
              </w:rPr>
              <w:t>配备专职的车辆、机械管理员，负责现场的车辆、机械的管理及调度；</w:t>
            </w:r>
          </w:p>
          <w:p w14:paraId="2F0488C7">
            <w:pPr>
              <w:pStyle w:val="16"/>
              <w:jc w:val="both"/>
              <w:rPr>
                <w:b w:val="0"/>
                <w:bCs w:val="0"/>
              </w:rPr>
            </w:pPr>
            <w:r>
              <w:rPr>
                <w:b w:val="0"/>
                <w:bCs w:val="0"/>
              </w:rPr>
              <w:t>配备专业人员，负责现场的车辆、机械的维修、保养，使车辆、机械保持良好的状况。</w:t>
            </w:r>
          </w:p>
        </w:tc>
      </w:tr>
      <w:tr w14:paraId="2EA32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46E71767">
            <w:pPr>
              <w:pStyle w:val="16"/>
              <w:rPr>
                <w:b/>
                <w:bCs/>
              </w:rPr>
            </w:pPr>
            <w:r>
              <w:rPr>
                <w:bCs/>
              </w:rPr>
              <w:t>2</w:t>
            </w:r>
          </w:p>
        </w:tc>
        <w:tc>
          <w:tcPr>
            <w:tcW w:w="4605" w:type="pct"/>
            <w:shd w:val="clear" w:color="auto" w:fill="auto"/>
            <w:vAlign w:val="center"/>
          </w:tcPr>
          <w:p w14:paraId="74FE0404">
            <w:pPr>
              <w:pStyle w:val="16"/>
              <w:jc w:val="both"/>
              <w:rPr>
                <w:b w:val="0"/>
                <w:bCs w:val="0"/>
              </w:rPr>
            </w:pPr>
            <w:r>
              <w:rPr>
                <w:b w:val="0"/>
                <w:bCs w:val="0"/>
              </w:rPr>
              <w:t>统一车辆、机械的颜色、标记、标识，并制定相应的机械操作规程。</w:t>
            </w:r>
          </w:p>
        </w:tc>
      </w:tr>
      <w:tr w14:paraId="6C97B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472907E">
            <w:pPr>
              <w:pStyle w:val="16"/>
              <w:rPr>
                <w:b/>
                <w:bCs/>
              </w:rPr>
            </w:pPr>
            <w:r>
              <w:rPr>
                <w:bCs/>
              </w:rPr>
              <w:t>3</w:t>
            </w:r>
          </w:p>
        </w:tc>
        <w:tc>
          <w:tcPr>
            <w:tcW w:w="4605" w:type="pct"/>
            <w:shd w:val="clear" w:color="auto" w:fill="auto"/>
            <w:vAlign w:val="center"/>
          </w:tcPr>
          <w:p w14:paraId="6C2CE7B9">
            <w:pPr>
              <w:pStyle w:val="16"/>
              <w:jc w:val="both"/>
              <w:rPr>
                <w:b w:val="0"/>
                <w:bCs w:val="0"/>
              </w:rPr>
            </w:pPr>
            <w:r>
              <w:rPr>
                <w:b w:val="0"/>
                <w:bCs w:val="0"/>
              </w:rPr>
              <w:t>车辆、机械经常清洗，停放有序；</w:t>
            </w:r>
          </w:p>
          <w:p w14:paraId="7624DE99">
            <w:pPr>
              <w:pStyle w:val="16"/>
              <w:jc w:val="both"/>
              <w:rPr>
                <w:b w:val="0"/>
                <w:bCs w:val="0"/>
              </w:rPr>
            </w:pPr>
            <w:r>
              <w:rPr>
                <w:b w:val="0"/>
                <w:bCs w:val="0"/>
              </w:rPr>
              <w:t>定期对驾驶人员进行遵章守纪、交通法规、文明施工教育，保证文明行驶，礼让三先，确保交通安全。</w:t>
            </w:r>
          </w:p>
        </w:tc>
      </w:tr>
      <w:tr w14:paraId="1F26F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03B7AF8">
            <w:pPr>
              <w:pStyle w:val="16"/>
              <w:rPr>
                <w:b/>
                <w:bCs/>
              </w:rPr>
            </w:pPr>
            <w:r>
              <w:rPr>
                <w:bCs/>
              </w:rPr>
              <w:t>4</w:t>
            </w:r>
          </w:p>
        </w:tc>
        <w:tc>
          <w:tcPr>
            <w:tcW w:w="4605" w:type="pct"/>
            <w:shd w:val="clear" w:color="auto" w:fill="auto"/>
            <w:vAlign w:val="center"/>
          </w:tcPr>
          <w:p w14:paraId="62624F2B">
            <w:pPr>
              <w:pStyle w:val="16"/>
              <w:jc w:val="both"/>
              <w:rPr>
                <w:b w:val="0"/>
                <w:bCs w:val="0"/>
              </w:rPr>
            </w:pPr>
            <w:r>
              <w:rPr>
                <w:b w:val="0"/>
                <w:bCs w:val="0"/>
              </w:rPr>
              <w:t>清洗车辆机械排出的污水有排放措施，不随地流淌；</w:t>
            </w:r>
          </w:p>
          <w:p w14:paraId="28A34495">
            <w:pPr>
              <w:pStyle w:val="16"/>
              <w:jc w:val="both"/>
              <w:rPr>
                <w:b w:val="0"/>
                <w:bCs w:val="0"/>
              </w:rPr>
            </w:pPr>
            <w:r>
              <w:rPr>
                <w:b w:val="0"/>
                <w:bCs w:val="0"/>
              </w:rPr>
              <w:t>机械设备防止严重漏油，运行中产生的油污水不随意污染道路及水源。</w:t>
            </w:r>
          </w:p>
        </w:tc>
      </w:tr>
      <w:tr w14:paraId="51C5D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12A720E">
            <w:pPr>
              <w:pStyle w:val="16"/>
              <w:rPr>
                <w:b/>
                <w:bCs/>
              </w:rPr>
            </w:pPr>
            <w:r>
              <w:rPr>
                <w:bCs/>
              </w:rPr>
              <w:t>5</w:t>
            </w:r>
          </w:p>
        </w:tc>
        <w:tc>
          <w:tcPr>
            <w:tcW w:w="4605" w:type="pct"/>
            <w:shd w:val="clear" w:color="auto" w:fill="auto"/>
            <w:vAlign w:val="center"/>
          </w:tcPr>
          <w:p w14:paraId="1B619F2E">
            <w:pPr>
              <w:pStyle w:val="16"/>
              <w:jc w:val="both"/>
              <w:rPr>
                <w:b w:val="0"/>
                <w:bCs w:val="0"/>
              </w:rPr>
            </w:pPr>
            <w:r>
              <w:rPr>
                <w:b w:val="0"/>
                <w:bCs w:val="0"/>
              </w:rPr>
              <w:t>合理规划使用施工场地内各种车辆、机械、设备，减少噪音累加，尽量采用底噪音设备，控制噪音污染。</w:t>
            </w:r>
          </w:p>
        </w:tc>
      </w:tr>
      <w:tr w14:paraId="36950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57612F15">
            <w:pPr>
              <w:pStyle w:val="16"/>
              <w:rPr>
                <w:b/>
                <w:bCs/>
              </w:rPr>
            </w:pPr>
            <w:r>
              <w:rPr>
                <w:bCs/>
              </w:rPr>
              <w:t>6</w:t>
            </w:r>
          </w:p>
        </w:tc>
        <w:tc>
          <w:tcPr>
            <w:tcW w:w="4605" w:type="pct"/>
            <w:shd w:val="clear" w:color="auto" w:fill="auto"/>
            <w:vAlign w:val="center"/>
          </w:tcPr>
          <w:p w14:paraId="73003592">
            <w:pPr>
              <w:pStyle w:val="16"/>
              <w:jc w:val="both"/>
              <w:rPr>
                <w:b w:val="0"/>
                <w:bCs w:val="0"/>
              </w:rPr>
            </w:pPr>
            <w:r>
              <w:rPr>
                <w:b w:val="0"/>
                <w:bCs w:val="0"/>
              </w:rPr>
              <w:t>装运土石方、建筑垃圾等车辆，采取覆盖措施，确保行驶途中不污染道路和环境</w:t>
            </w:r>
            <w:r>
              <w:rPr>
                <w:rFonts w:hint="eastAsia"/>
                <w:b w:val="0"/>
                <w:bCs w:val="0"/>
              </w:rPr>
              <w:t>。</w:t>
            </w:r>
          </w:p>
        </w:tc>
      </w:tr>
    </w:tbl>
    <w:p w14:paraId="480A7EFB">
      <w:pPr>
        <w:pStyle w:val="4"/>
        <w:bidi w:val="0"/>
        <w:ind w:left="720" w:leftChars="0" w:hanging="720" w:firstLineChars="0"/>
        <w:rPr>
          <w:rFonts w:hint="eastAsia"/>
          <w:b/>
          <w:bCs w:val="0"/>
        </w:rPr>
      </w:pPr>
      <w:r>
        <w:rPr>
          <w:rFonts w:hint="eastAsia"/>
          <w:b/>
          <w:bCs w:val="0"/>
        </w:rPr>
        <w:t>驻地文明施工管理措施</w:t>
      </w:r>
    </w:p>
    <w:p w14:paraId="362FC1B9">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9.4</w:t>
      </w:r>
      <w:r>
        <w:rPr>
          <w:rFonts w:ascii="Times New Roman" w:hAnsi="Times New Roman" w:cstheme="majorBidi"/>
          <w:color w:val="auto"/>
          <w:szCs w:val="20"/>
        </w:rPr>
        <w:fldChar w:fldCharType="end"/>
      </w:r>
      <w:r>
        <w:rPr>
          <w:rFonts w:hint="eastAsia" w:cstheme="majorBidi"/>
          <w:color w:val="auto"/>
          <w:szCs w:val="20"/>
          <w:lang w:val="en-US" w:eastAsia="zh-CN"/>
        </w:rPr>
        <w:t>.4</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驻地文明施工管理措施</w:t>
      </w:r>
    </w:p>
    <w:tbl>
      <w:tblPr>
        <w:tblStyle w:val="4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27"/>
        <w:gridCol w:w="1185"/>
        <w:gridCol w:w="7184"/>
      </w:tblGrid>
      <w:tr w14:paraId="78F51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0" w:type="pct"/>
            <w:shd w:val="clear" w:color="auto" w:fill="FFFFFF"/>
            <w:vAlign w:val="center"/>
          </w:tcPr>
          <w:p w14:paraId="72F1DCA7">
            <w:pPr>
              <w:pStyle w:val="16"/>
              <w:rPr>
                <w:b/>
              </w:rPr>
            </w:pPr>
            <w:r>
              <w:rPr>
                <w:b/>
              </w:rPr>
              <w:t>序号</w:t>
            </w:r>
          </w:p>
        </w:tc>
        <w:tc>
          <w:tcPr>
            <w:tcW w:w="651" w:type="pct"/>
            <w:shd w:val="clear" w:color="auto" w:fill="FFFFFF"/>
            <w:vAlign w:val="center"/>
          </w:tcPr>
          <w:p w14:paraId="0735D9F7">
            <w:pPr>
              <w:pStyle w:val="16"/>
              <w:rPr>
                <w:b/>
              </w:rPr>
            </w:pPr>
            <w:r>
              <w:rPr>
                <w:b/>
              </w:rPr>
              <w:t>项目区域</w:t>
            </w:r>
          </w:p>
        </w:tc>
        <w:tc>
          <w:tcPr>
            <w:tcW w:w="3948" w:type="pct"/>
            <w:shd w:val="clear" w:color="auto" w:fill="FFFFFF"/>
            <w:vAlign w:val="center"/>
          </w:tcPr>
          <w:p w14:paraId="26E13467">
            <w:pPr>
              <w:pStyle w:val="16"/>
              <w:rPr>
                <w:b/>
              </w:rPr>
            </w:pPr>
            <w:r>
              <w:rPr>
                <w:b/>
              </w:rPr>
              <w:t>主要保证措施</w:t>
            </w:r>
          </w:p>
        </w:tc>
      </w:tr>
      <w:tr w14:paraId="5157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707DE1F2">
            <w:pPr>
              <w:pStyle w:val="16"/>
              <w:rPr>
                <w:b/>
                <w:bCs/>
              </w:rPr>
            </w:pPr>
            <w:r>
              <w:rPr>
                <w:bCs/>
              </w:rPr>
              <w:t>1</w:t>
            </w:r>
          </w:p>
        </w:tc>
        <w:tc>
          <w:tcPr>
            <w:tcW w:w="651" w:type="pct"/>
            <w:shd w:val="clear" w:color="auto" w:fill="FFFFFF"/>
            <w:vAlign w:val="center"/>
          </w:tcPr>
          <w:p w14:paraId="6F7140BD">
            <w:pPr>
              <w:pStyle w:val="16"/>
              <w:rPr>
                <w:b/>
                <w:bCs/>
              </w:rPr>
            </w:pPr>
            <w:r>
              <w:rPr>
                <w:bCs/>
              </w:rPr>
              <w:t>生活区</w:t>
            </w:r>
          </w:p>
        </w:tc>
        <w:tc>
          <w:tcPr>
            <w:tcW w:w="3948" w:type="pct"/>
            <w:shd w:val="clear" w:color="auto" w:fill="FFFFFF"/>
            <w:vAlign w:val="center"/>
          </w:tcPr>
          <w:p w14:paraId="59DF9B50">
            <w:pPr>
              <w:pStyle w:val="16"/>
              <w:jc w:val="both"/>
              <w:rPr>
                <w:b w:val="0"/>
                <w:bCs w:val="0"/>
              </w:rPr>
            </w:pPr>
            <w:r>
              <w:rPr>
                <w:rFonts w:hint="eastAsia"/>
                <w:b w:val="0"/>
                <w:bCs w:val="0"/>
              </w:rPr>
              <w:t>（1）</w:t>
            </w:r>
            <w:r>
              <w:rPr>
                <w:b w:val="0"/>
                <w:bCs w:val="0"/>
              </w:rPr>
              <w:t>按批准的施工组织设计平面布置图，修建宿舍、食堂、开水房、淋浴间、厕所、卫生室、文体活动场所、封闭式垃圾站、污水处理站、消防通道等生活区临建设施，合理布局，做到生活设施规范化、标准化、人性化。</w:t>
            </w:r>
          </w:p>
          <w:p w14:paraId="4364D4C3">
            <w:pPr>
              <w:pStyle w:val="16"/>
              <w:jc w:val="both"/>
              <w:rPr>
                <w:b w:val="0"/>
                <w:bCs w:val="0"/>
              </w:rPr>
            </w:pPr>
            <w:r>
              <w:rPr>
                <w:rFonts w:hint="eastAsia"/>
                <w:b w:val="0"/>
                <w:bCs w:val="0"/>
              </w:rPr>
              <w:t>（2）</w:t>
            </w:r>
            <w:r>
              <w:rPr>
                <w:b w:val="0"/>
                <w:bCs w:val="0"/>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10F53454">
            <w:pPr>
              <w:pStyle w:val="16"/>
              <w:jc w:val="both"/>
              <w:rPr>
                <w:b w:val="0"/>
                <w:bCs w:val="0"/>
              </w:rPr>
            </w:pPr>
            <w:r>
              <w:rPr>
                <w:rFonts w:hint="eastAsia"/>
                <w:b w:val="0"/>
                <w:bCs w:val="0"/>
              </w:rPr>
              <w:t>（3）</w:t>
            </w:r>
            <w:r>
              <w:rPr>
                <w:b w:val="0"/>
                <w:bCs w:val="0"/>
              </w:rPr>
              <w:t>做好生活区场地硬化、绿化；按规范要求建设专项生活办公区水电供应设施及排水设施，严禁电线私拉乱接、使用大功率用电设备，严禁乱排污水；做好安全消防设施。</w:t>
            </w:r>
          </w:p>
          <w:p w14:paraId="70E37565">
            <w:pPr>
              <w:pStyle w:val="16"/>
              <w:jc w:val="both"/>
              <w:rPr>
                <w:b w:val="0"/>
                <w:bCs w:val="0"/>
              </w:rPr>
            </w:pPr>
            <w:r>
              <w:rPr>
                <w:rFonts w:hint="eastAsia"/>
                <w:b w:val="0"/>
                <w:bCs w:val="0"/>
              </w:rPr>
              <w:t>（4）</w:t>
            </w:r>
            <w:r>
              <w:rPr>
                <w:b w:val="0"/>
                <w:bCs w:val="0"/>
              </w:rPr>
              <w:t>生活区设施设专人维护，生活区（宿舍、食堂、厕所等）由专人清洁。宿舍整洁、物品有序；保持食堂通风、卫生、清洁；室外环境清洁，无污物、污水；垃圾密封存放，及时清运；厕所定期喷药，无异味，清洁卫生等。</w:t>
            </w:r>
          </w:p>
          <w:p w14:paraId="5986C4EA">
            <w:pPr>
              <w:pStyle w:val="16"/>
              <w:jc w:val="both"/>
              <w:rPr>
                <w:b w:val="0"/>
                <w:bCs w:val="0"/>
              </w:rPr>
            </w:pPr>
            <w:r>
              <w:rPr>
                <w:rFonts w:hint="eastAsia"/>
                <w:b w:val="0"/>
                <w:bCs w:val="0"/>
              </w:rPr>
              <w:t>（5）</w:t>
            </w:r>
            <w:r>
              <w:rPr>
                <w:b w:val="0"/>
                <w:bCs w:val="0"/>
              </w:rPr>
              <w:t>定期进行生活区文明施工检查，开展文明施工宣传。在宣传教育栏中对生活区文明情况进行奖罚公告、督促整改，创造一个和谐、有序、文明的生活环境。</w:t>
            </w:r>
          </w:p>
        </w:tc>
      </w:tr>
      <w:tr w14:paraId="7493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1A7AB8DA">
            <w:pPr>
              <w:pStyle w:val="16"/>
              <w:rPr>
                <w:b/>
                <w:bCs/>
              </w:rPr>
            </w:pPr>
            <w:r>
              <w:rPr>
                <w:bCs/>
              </w:rPr>
              <w:t>2</w:t>
            </w:r>
          </w:p>
        </w:tc>
        <w:tc>
          <w:tcPr>
            <w:tcW w:w="651" w:type="pct"/>
            <w:shd w:val="clear" w:color="auto" w:fill="FFFFFF"/>
            <w:vAlign w:val="center"/>
          </w:tcPr>
          <w:p w14:paraId="72C8B06F">
            <w:pPr>
              <w:pStyle w:val="16"/>
              <w:rPr>
                <w:b/>
                <w:bCs/>
              </w:rPr>
            </w:pPr>
            <w:r>
              <w:rPr>
                <w:bCs/>
              </w:rPr>
              <w:t>办公区</w:t>
            </w:r>
          </w:p>
        </w:tc>
        <w:tc>
          <w:tcPr>
            <w:tcW w:w="3948" w:type="pct"/>
            <w:shd w:val="clear" w:color="auto" w:fill="FFFFFF"/>
            <w:vAlign w:val="center"/>
          </w:tcPr>
          <w:p w14:paraId="02D88359">
            <w:pPr>
              <w:pStyle w:val="16"/>
              <w:jc w:val="both"/>
              <w:rPr>
                <w:b w:val="0"/>
                <w:bCs w:val="0"/>
              </w:rPr>
            </w:pPr>
            <w:r>
              <w:rPr>
                <w:rFonts w:hint="eastAsia"/>
                <w:b w:val="0"/>
                <w:bCs w:val="0"/>
              </w:rPr>
              <w:t>（1）</w:t>
            </w:r>
            <w:r>
              <w:rPr>
                <w:b w:val="0"/>
                <w:bCs w:val="0"/>
              </w:rPr>
              <w:t>按批准的施工组织设计平面布置图，建设规范化、标准化的项目部大门、门卫、围墙、围挡、旗杆、旗帜、宣传教育栏、洗车台、停车场、门厅、会议室、办公室等办公区临建设施。</w:t>
            </w:r>
          </w:p>
          <w:p w14:paraId="717009E5">
            <w:pPr>
              <w:pStyle w:val="16"/>
              <w:jc w:val="both"/>
              <w:rPr>
                <w:b w:val="0"/>
                <w:bCs w:val="0"/>
              </w:rPr>
            </w:pPr>
            <w:r>
              <w:rPr>
                <w:rFonts w:hint="eastAsia"/>
                <w:b w:val="0"/>
                <w:bCs w:val="0"/>
              </w:rPr>
              <w:t>（2）</w:t>
            </w:r>
            <w:r>
              <w:rPr>
                <w:b w:val="0"/>
                <w:bCs w:val="0"/>
              </w:rPr>
              <w:t>在大门入口处，设置周正醒目的“七牌一图”，即工程概况牌、工程责任人牌、安全制度牌、消防保卫制度牌、环境保护制度牌、文明施工牌、工程创优牌、施工总平面布置图。</w:t>
            </w:r>
          </w:p>
          <w:p w14:paraId="138056F2">
            <w:pPr>
              <w:pStyle w:val="16"/>
              <w:jc w:val="both"/>
              <w:rPr>
                <w:b w:val="0"/>
                <w:bCs w:val="0"/>
              </w:rPr>
            </w:pPr>
            <w:r>
              <w:rPr>
                <w:rFonts w:hint="eastAsia"/>
                <w:b w:val="0"/>
                <w:bCs w:val="0"/>
              </w:rPr>
              <w:t>（3）</w:t>
            </w:r>
            <w:r>
              <w:rPr>
                <w:b w:val="0"/>
                <w:bCs w:val="0"/>
              </w:rPr>
              <w:t>在门厅设立宣传教育栏、办公区平面布置图及其它标识标牌，在办公区周围插设宣传旗，切实起到教育、宣传作用。</w:t>
            </w:r>
          </w:p>
          <w:p w14:paraId="7EB6185B">
            <w:pPr>
              <w:pStyle w:val="16"/>
              <w:jc w:val="both"/>
              <w:rPr>
                <w:b w:val="0"/>
                <w:bCs w:val="0"/>
              </w:rPr>
            </w:pPr>
            <w:r>
              <w:rPr>
                <w:rFonts w:hint="eastAsia"/>
                <w:b w:val="0"/>
                <w:bCs w:val="0"/>
              </w:rPr>
              <w:t>（4）</w:t>
            </w:r>
            <w:r>
              <w:rPr>
                <w:b w:val="0"/>
                <w:bCs w:val="0"/>
              </w:rPr>
              <w:t>办公室或值班室，墙面悬挂现场总平面布置图、施工形象进度图、组织机构、工作职责、工作制度。</w:t>
            </w:r>
          </w:p>
          <w:p w14:paraId="181C7A81">
            <w:pPr>
              <w:pStyle w:val="16"/>
              <w:jc w:val="both"/>
              <w:rPr>
                <w:b w:val="0"/>
                <w:bCs w:val="0"/>
              </w:rPr>
            </w:pPr>
            <w:r>
              <w:rPr>
                <w:rFonts w:hint="eastAsia"/>
                <w:b w:val="0"/>
                <w:bCs w:val="0"/>
              </w:rPr>
              <w:t>（5）</w:t>
            </w:r>
            <w:r>
              <w:rPr>
                <w:b w:val="0"/>
                <w:bCs w:val="0"/>
              </w:rPr>
              <w:t>办公区设施设专人维护，办公区（办公室、会议室、门厅等）由专人清洁，做到办公室整洁、物品有序，给员工提供一个良好的办公环境。门卫室做好外来人员、车辆登记，并做到车辆停放规范。</w:t>
            </w:r>
          </w:p>
          <w:p w14:paraId="620C17DC">
            <w:pPr>
              <w:pStyle w:val="16"/>
              <w:jc w:val="both"/>
              <w:rPr>
                <w:b w:val="0"/>
                <w:bCs w:val="0"/>
              </w:rPr>
            </w:pPr>
            <w:r>
              <w:rPr>
                <w:b w:val="0"/>
                <w:bCs w:val="0"/>
              </w:rPr>
              <w:t>文明施工管理员每天对办公区进行检查，并在宣传教育栏中进行奖罚公告、督促整改，创造一个和谐、有序办公环境。</w:t>
            </w:r>
          </w:p>
          <w:p w14:paraId="2525743D">
            <w:pPr>
              <w:pStyle w:val="16"/>
              <w:jc w:val="both"/>
              <w:rPr>
                <w:b w:val="0"/>
                <w:bCs w:val="0"/>
              </w:rPr>
            </w:pPr>
            <w:r>
              <w:rPr>
                <w:rFonts w:hint="eastAsia"/>
                <w:b w:val="0"/>
                <w:bCs w:val="0"/>
              </w:rPr>
              <w:t>（6）</w:t>
            </w:r>
            <w:r>
              <w:rPr>
                <w:b w:val="0"/>
                <w:bCs w:val="0"/>
              </w:rPr>
              <w:t>做好办公区场地硬化、绿化，按规范要求建设专项生活办公区水电供应设施及排水设施，严禁电线私拉乱接、使用大功率用电设备，严禁乱排污水；做好安全消防设施。</w:t>
            </w:r>
          </w:p>
        </w:tc>
      </w:tr>
    </w:tbl>
    <w:p w14:paraId="2E821558">
      <w:pPr>
        <w:pStyle w:val="4"/>
        <w:bidi w:val="0"/>
        <w:ind w:left="720" w:leftChars="0" w:hanging="720" w:firstLineChars="0"/>
        <w:rPr>
          <w:rFonts w:hint="eastAsia"/>
          <w:b/>
          <w:bCs w:val="0"/>
        </w:rPr>
      </w:pPr>
      <w:r>
        <w:rPr>
          <w:rFonts w:hint="eastAsia"/>
          <w:b/>
          <w:bCs w:val="0"/>
        </w:rPr>
        <w:t>现场文明施工管理措施</w:t>
      </w:r>
    </w:p>
    <w:p w14:paraId="49D2F83B">
      <w:r>
        <w:rPr>
          <w:rFonts w:hint="eastAsia"/>
        </w:rPr>
        <w:t>（1）修建的生产和生活设施，合理布局。</w:t>
      </w:r>
    </w:p>
    <w:p w14:paraId="7991A6CA">
      <w:r>
        <w:rPr>
          <w:rFonts w:hint="eastAsia"/>
        </w:rPr>
        <w:t>（2）建立文明施工责任区，划分区域明确责任人，挂牌监督。</w:t>
      </w:r>
    </w:p>
    <w:p w14:paraId="5F1411B6">
      <w:r>
        <w:rPr>
          <w:rFonts w:hint="eastAsia"/>
        </w:rPr>
        <w:t>（3）临时场地布置科学合理，机具材料堆放有序，布局合理，无造成污染的现象。</w:t>
      </w:r>
    </w:p>
    <w:p w14:paraId="4E80E02F">
      <w:r>
        <w:rPr>
          <w:rFonts w:hint="eastAsia"/>
        </w:rPr>
        <w:t>（4）施工现场做好文明施工宣传标识牌布置，要齐全、美观、整齐、按照规定的材料、式样、颜色、内容等标准格式统一加工制作。</w:t>
      </w:r>
    </w:p>
    <w:p w14:paraId="26F89658">
      <w:r>
        <w:rPr>
          <w:rFonts w:hint="eastAsia"/>
        </w:rPr>
        <w:t>（5）对</w:t>
      </w:r>
      <w:r>
        <w:rPr>
          <w:rFonts w:hint="eastAsia"/>
          <w:lang w:val="en-US" w:eastAsia="zh-CN"/>
        </w:rPr>
        <w:t>退场</w:t>
      </w:r>
      <w:r>
        <w:rPr>
          <w:rFonts w:hint="eastAsia"/>
        </w:rPr>
        <w:t>的材料、机具、安全禁令标志、配电箱、消防器材等严格按布置图位置进行堆放、设置，堆放设置要做到整齐有序，材料挂设标识牌，注明名称、品种、规格、检验状态。每天由专职文明施工管理员负责检查。</w:t>
      </w:r>
    </w:p>
    <w:p w14:paraId="430C8B23">
      <w:pPr>
        <w:ind w:firstLine="480"/>
        <w:sectPr>
          <w:headerReference r:id="rId11" w:type="default"/>
          <w:footerReference r:id="rId12"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498" w:charSpace="17788"/>
        </w:sectPr>
      </w:pPr>
      <w:r>
        <w:rPr>
          <w:rFonts w:hint="eastAsia"/>
        </w:rPr>
        <w:t>（6）施工现场设置醒目的安全警示标志标语，作业场所有安全操作规程。</w:t>
      </w:r>
    </w:p>
    <w:p w14:paraId="6648D33E">
      <w:pPr>
        <w:pStyle w:val="2"/>
        <w:bidi w:val="0"/>
        <w:ind w:left="432" w:leftChars="0" w:hanging="432" w:firstLineChars="0"/>
        <w:rPr>
          <w:rFonts w:hint="eastAsia"/>
        </w:rPr>
      </w:pPr>
      <w:bookmarkStart w:id="254" w:name="_Toc12062"/>
      <w:bookmarkStart w:id="255" w:name="_Toc4231"/>
      <w:bookmarkStart w:id="256" w:name="_Toc21589"/>
      <w:bookmarkStart w:id="257" w:name="_Toc8196"/>
      <w:r>
        <w:rPr>
          <w:rFonts w:hint="eastAsia"/>
        </w:rPr>
        <w:t>计算书</w:t>
      </w:r>
      <w:bookmarkEnd w:id="254"/>
      <w:bookmarkEnd w:id="255"/>
      <w:bookmarkEnd w:id="256"/>
      <w:bookmarkEnd w:id="257"/>
    </w:p>
    <w:p w14:paraId="2409DEB3">
      <w:pPr>
        <w:pStyle w:val="3"/>
        <w:bidi w:val="0"/>
        <w:ind w:left="575" w:leftChars="0" w:hanging="575" w:firstLineChars="0"/>
        <w:rPr>
          <w:b/>
          <w:bCs w:val="0"/>
          <w:sz w:val="28"/>
          <w:szCs w:val="28"/>
        </w:rPr>
      </w:pPr>
      <w:bookmarkStart w:id="258" w:name="_Toc8152"/>
      <w:bookmarkStart w:id="259" w:name="_Toc31585"/>
      <w:bookmarkStart w:id="260" w:name="_Toc32682"/>
      <w:bookmarkStart w:id="261" w:name="_Toc4603"/>
      <w:r>
        <w:rPr>
          <w:rFonts w:hint="eastAsia"/>
          <w:b/>
          <w:bCs w:val="0"/>
          <w:sz w:val="28"/>
          <w:szCs w:val="28"/>
        </w:rPr>
        <w:t>选用的吊索受力计算</w:t>
      </w:r>
      <w:bookmarkEnd w:id="258"/>
      <w:bookmarkEnd w:id="259"/>
      <w:bookmarkEnd w:id="260"/>
      <w:bookmarkEnd w:id="261"/>
    </w:p>
    <w:p w14:paraId="1C747A5E">
      <w:pPr>
        <w:pStyle w:val="4"/>
        <w:bidi w:val="0"/>
        <w:ind w:left="720" w:leftChars="0" w:hanging="720" w:firstLineChars="0"/>
        <w:rPr>
          <w:rFonts w:hint="eastAsia"/>
          <w:b/>
          <w:bCs w:val="0"/>
          <w:lang w:val="en-US" w:eastAsia="zh-CN"/>
        </w:rPr>
      </w:pPr>
      <w:bookmarkStart w:id="262" w:name="_Toc7720"/>
      <w:bookmarkStart w:id="263" w:name="_Toc4685"/>
      <w:bookmarkStart w:id="264" w:name="_Toc4403"/>
      <w:bookmarkStart w:id="265" w:name="_Toc10409856"/>
      <w:bookmarkStart w:id="266" w:name="_Toc19094"/>
      <w:bookmarkStart w:id="267" w:name="_Toc21344"/>
      <w:r>
        <w:rPr>
          <w:rFonts w:hint="eastAsia"/>
          <w:b/>
          <w:bCs w:val="0"/>
          <w:lang w:val="en-US" w:eastAsia="zh-CN"/>
        </w:rPr>
        <w:t>钢丝绳选型计算</w:t>
      </w:r>
      <w:bookmarkEnd w:id="262"/>
    </w:p>
    <w:p w14:paraId="056D9EAD">
      <w:pPr>
        <w:rPr>
          <w:color w:val="auto"/>
        </w:rPr>
      </w:pPr>
      <w:bookmarkStart w:id="268" w:name="_Toc16842"/>
      <w:r>
        <w:rPr>
          <w:rFonts w:hint="eastAsia"/>
          <w:color w:val="auto"/>
          <w:lang w:val="en-US" w:eastAsia="zh-CN"/>
        </w:rPr>
        <w:t>1、</w:t>
      </w:r>
      <w:r>
        <w:rPr>
          <w:color w:val="auto"/>
        </w:rPr>
        <w:t>钢丝绳选型依据</w:t>
      </w:r>
      <w:bookmarkEnd w:id="268"/>
    </w:p>
    <w:p w14:paraId="14FBCB4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4E89594C">
      <w:pPr>
        <w:ind w:firstLine="480"/>
        <w:rPr>
          <w:rFonts w:ascii="Times New Roman" w:hAnsi="Times New Roman" w:eastAsia="宋体" w:cs="Times New Roman"/>
        </w:rPr>
      </w:pPr>
      <w:r>
        <w:rPr>
          <w:rFonts w:hint="eastAsia" w:ascii="Times New Roman" w:hAnsi="Times New Roman" w:eastAsia="宋体" w:cs="Times New Roman"/>
        </w:rPr>
        <w:t>采用四点吊的</w:t>
      </w:r>
      <w:r>
        <w:rPr>
          <w:rFonts w:hint="eastAsia" w:cs="Times New Roman"/>
          <w:lang w:eastAsia="zh-CN"/>
        </w:rPr>
        <w:t>塔机</w:t>
      </w:r>
      <w:r>
        <w:rPr>
          <w:rFonts w:hint="eastAsia" w:ascii="Times New Roman" w:hAnsi="Times New Roman" w:eastAsia="宋体" w:cs="Times New Roman"/>
        </w:rPr>
        <w:t>主要部件最大重量为</w:t>
      </w:r>
      <w:r>
        <w:rPr>
          <w:rFonts w:hint="eastAsia" w:cs="Times New Roman"/>
          <w:lang w:val="en-US" w:eastAsia="zh-CN"/>
        </w:rPr>
        <w:t>回转总成</w:t>
      </w:r>
      <w:r>
        <w:rPr>
          <w:rFonts w:hint="eastAsia" w:ascii="Times New Roman" w:hAnsi="Times New Roman" w:eastAsia="宋体" w:cs="Times New Roman"/>
        </w:rPr>
        <w:t>，</w:t>
      </w:r>
      <w:r>
        <w:rPr>
          <w:rFonts w:hint="eastAsia" w:cs="Times New Roman"/>
          <w:lang w:val="en-US" w:eastAsia="zh-CN"/>
        </w:rPr>
        <w:t>回转总成</w:t>
      </w:r>
      <w:r>
        <w:rPr>
          <w:rFonts w:hint="eastAsia" w:ascii="Times New Roman" w:hAnsi="Times New Roman" w:eastAsia="宋体" w:cs="Times New Roman"/>
        </w:rPr>
        <w:t>起重量约</w:t>
      </w:r>
      <w:r>
        <w:rPr>
          <w:rFonts w:hint="eastAsia" w:cs="Times New Roman"/>
          <w:lang w:val="en-US" w:eastAsia="zh-CN"/>
        </w:rPr>
        <w:t>7.675t</w:t>
      </w:r>
      <w:r>
        <w:rPr>
          <w:rFonts w:hint="eastAsia" w:ascii="Times New Roman" w:hAnsi="Times New Roman" w:eastAsia="宋体" w:cs="Times New Roman"/>
        </w:rPr>
        <w:t>，钢丝绳与</w:t>
      </w:r>
      <w:r>
        <w:rPr>
          <w:rFonts w:hint="eastAsia" w:cs="Times New Roman"/>
          <w:lang w:eastAsia="zh-CN"/>
        </w:rPr>
        <w:t>回转总成</w:t>
      </w:r>
      <w:r>
        <w:rPr>
          <w:rFonts w:hint="eastAsia" w:ascii="Times New Roman" w:hAnsi="Times New Roman" w:eastAsia="宋体" w:cs="Times New Roman"/>
        </w:rPr>
        <w:t>60°夹角，以</w:t>
      </w:r>
      <w:r>
        <w:rPr>
          <w:rFonts w:hint="eastAsia" w:cs="Times New Roman"/>
          <w:lang w:eastAsia="zh-CN"/>
        </w:rPr>
        <w:t>回转总成</w:t>
      </w:r>
      <w:r>
        <w:rPr>
          <w:rFonts w:hint="eastAsia" w:ascii="Times New Roman" w:hAnsi="Times New Roman" w:eastAsia="宋体" w:cs="Times New Roman"/>
        </w:rPr>
        <w:t>顶部四个销轴孔作为吊装孔，钢丝绳采用压制接头。</w:t>
      </w:r>
    </w:p>
    <w:p w14:paraId="7FCC6C3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7.675</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238.94</m:t>
          </m:r>
          <m:r>
            <m:rPr>
              <m:nor/>
              <m:sty m:val="p"/>
            </m:rPr>
            <w:rPr>
              <w:b w:val="0"/>
              <w:i w:val="0"/>
            </w:rPr>
            <m:t>kN</m:t>
          </m:r>
        </m:oMath>
      </m:oMathPara>
    </w:p>
    <w:p w14:paraId="6D246934">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238.94</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1870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19.68</m:t>
          </m:r>
          <m:r>
            <m:rPr>
              <m:nor/>
              <m:sty m:val="p"/>
            </m:rPr>
            <w:rPr>
              <w:b w:val="0"/>
              <w:i w:val="0"/>
            </w:rPr>
            <m:t>mm</m:t>
          </m:r>
        </m:oMath>
      </m:oMathPara>
    </w:p>
    <w:p w14:paraId="5AFB8197">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w:t>
      </w:r>
      <w:r>
        <w:rPr>
          <w:rFonts w:hint="eastAsia" w:ascii="SJQY" w:hAnsi="SJQY" w:eastAsia="SJQY" w:cs="Times New Roman"/>
          <w:lang w:val="en-US" w:eastAsia="zh-CN"/>
        </w:rPr>
        <w:t>20</w:t>
      </w:r>
      <w:r>
        <w:rPr>
          <w:rFonts w:hint="eastAsia" w:ascii="Times New Roman" w:hAnsi="Times New Roman" w:eastAsia="宋体" w:cs="Times New Roman"/>
        </w:rPr>
        <w:t>mm钢丝绳可满足要求。</w:t>
      </w:r>
    </w:p>
    <w:p w14:paraId="32D1DC52">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eastAsia="宋体" w:cs="Times New Roman"/>
          <w:lang w:val="en-US" w:eastAsia="zh-CN"/>
        </w:rPr>
        <w:t>两</w:t>
      </w:r>
      <w:r>
        <w:rPr>
          <w:rFonts w:hint="eastAsia" w:ascii="Times New Roman" w:hAnsi="Times New Roman" w:eastAsia="宋体" w:cs="Times New Roman"/>
        </w:rPr>
        <w:t>点吊的</w:t>
      </w:r>
      <w:r>
        <w:rPr>
          <w:rFonts w:hint="eastAsia" w:cs="Times New Roman"/>
          <w:lang w:eastAsia="zh-CN"/>
        </w:rPr>
        <w:t>塔机</w:t>
      </w:r>
      <w:r>
        <w:rPr>
          <w:rFonts w:hint="eastAsia" w:ascii="Times New Roman" w:hAnsi="Times New Roman" w:eastAsia="宋体" w:cs="Times New Roman"/>
        </w:rPr>
        <w:t>主要部件最大重量为</w:t>
      </w:r>
      <w:r>
        <w:rPr>
          <w:rFonts w:hint="eastAsia" w:cs="Times New Roman"/>
          <w:lang w:val="en-US" w:eastAsia="zh-CN"/>
        </w:rPr>
        <w:t>平衡重A，</w:t>
      </w:r>
      <w:r>
        <w:rPr>
          <w:rFonts w:hint="eastAsia" w:ascii="Times New Roman" w:hAnsi="Times New Roman" w:eastAsia="宋体" w:cs="Times New Roman"/>
        </w:rPr>
        <w:t>最大重量约</w:t>
      </w:r>
      <w:r>
        <w:rPr>
          <w:rFonts w:hint="eastAsia" w:cs="Times New Roman"/>
          <w:lang w:val="en-US" w:eastAsia="zh-CN"/>
        </w:rPr>
        <w:t>3.32</w:t>
      </w:r>
      <w:r>
        <w:rPr>
          <w:rFonts w:hint="eastAsia" w:ascii="Times New Roman" w:hAnsi="Times New Roman" w:eastAsia="宋体" w:cs="Times New Roman"/>
        </w:rPr>
        <w:t>t，钢丝绳与</w:t>
      </w:r>
      <w:r>
        <w:rPr>
          <w:rFonts w:hint="eastAsia" w:cs="Times New Roman"/>
          <w:lang w:val="en-US" w:eastAsia="zh-CN"/>
        </w:rPr>
        <w:t>平衡重A</w:t>
      </w:r>
      <w:r>
        <w:rPr>
          <w:rFonts w:hint="eastAsia" w:ascii="Times New Roman" w:hAnsi="Times New Roman" w:eastAsia="宋体" w:cs="Times New Roman"/>
        </w:rPr>
        <w:t>成60°夹角，钢丝绳采用压制接头。</w:t>
      </w:r>
    </w:p>
    <w:p w14:paraId="2A4ECA3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155.04</m:t>
          </m:r>
          <m:r>
            <m:rPr>
              <m:nor/>
              <m:sty m:val="p"/>
            </m:rPr>
            <w:rPr>
              <w:b w:val="0"/>
              <w:i w:val="0"/>
            </w:rPr>
            <m:t>kN</m:t>
          </m:r>
        </m:oMath>
      </m:oMathPara>
    </w:p>
    <w:p w14:paraId="3388D4F8">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b w:val="0"/>
                      <w:i w:val="0"/>
                      <w:lang w:val="en-US" w:eastAsia="zh-CN"/>
                    </w:rPr>
                    <m:t>155.04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15.86</m:t>
          </m:r>
          <m:r>
            <m:rPr>
              <m:nor/>
              <m:sty m:val="p"/>
            </m:rPr>
            <w:rPr>
              <w:b w:val="0"/>
              <w:i w:val="0"/>
            </w:rPr>
            <m:t>mm</m:t>
          </m:r>
        </m:oMath>
      </m:oMathPara>
    </w:p>
    <w:p w14:paraId="35B135EE">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3F11658">
      <w:pPr>
        <w:pStyle w:val="4"/>
        <w:bidi w:val="0"/>
        <w:ind w:left="720" w:leftChars="0" w:hanging="720" w:firstLineChars="0"/>
        <w:rPr>
          <w:rFonts w:hint="eastAsia"/>
          <w:b/>
          <w:bCs w:val="0"/>
          <w:lang w:val="en-US" w:eastAsia="zh-CN"/>
        </w:rPr>
      </w:pPr>
      <w:bookmarkStart w:id="269" w:name="_Toc132535969"/>
      <w:r>
        <w:rPr>
          <w:rFonts w:hint="eastAsia"/>
          <w:b/>
          <w:bCs w:val="0"/>
          <w:lang w:val="en-US" w:eastAsia="zh-CN"/>
        </w:rPr>
        <w:t>卸扣选型</w:t>
      </w:r>
      <w:bookmarkEnd w:id="269"/>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15"/>
        <w:rPr>
          <w:color w:val="auto"/>
          <w:lang w:val="en-US" w:eastAsia="zh-CN"/>
        </w:rPr>
      </w:pPr>
      <w:r>
        <w:rPr>
          <w:rFonts w:hint="eastAsia"/>
          <w:color w:val="auto"/>
          <w:lang w:val="en-US" w:eastAsia="zh-CN"/>
        </w:rPr>
        <w:t>表10.1.2</w:t>
      </w:r>
      <w:r>
        <w:rPr>
          <w:color w:val="auto"/>
          <w:lang w:val="en-US" w:eastAsia="zh-CN"/>
        </w:rPr>
        <w:noBreakHyphen/>
      </w:r>
      <w:r>
        <w:rPr>
          <w:rFonts w:hint="eastAsia"/>
          <w:color w:val="auto"/>
          <w:lang w:val="en-US" w:eastAsia="zh-CN"/>
        </w:rPr>
        <w:t>1D形卸扣尺寸</w:t>
      </w:r>
    </w:p>
    <w:tbl>
      <w:tblPr>
        <w:tblStyle w:val="3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w:t>
      </w:r>
      <w:r>
        <w:rPr>
          <w:rFonts w:hint="eastAsia" w:cs="Times New Roman"/>
          <w:lang w:eastAsia="zh-CN"/>
        </w:rPr>
        <w:t>塔机</w:t>
      </w:r>
      <w:r>
        <w:rPr>
          <w:rFonts w:hint="eastAsia" w:ascii="Times New Roman" w:hAnsi="Times New Roman" w:eastAsia="宋体" w:cs="Times New Roman"/>
        </w:rPr>
        <w:t>主要部件除起重臂</w:t>
      </w:r>
      <w:r>
        <w:rPr>
          <w:rFonts w:hint="eastAsia" w:cs="Times New Roman"/>
          <w:lang w:eastAsia="zh-CN"/>
        </w:rPr>
        <w:t>、</w:t>
      </w:r>
      <w:r>
        <w:rPr>
          <w:rFonts w:hint="eastAsia" w:cs="Times New Roman"/>
          <w:lang w:val="en-US" w:eastAsia="zh-CN"/>
        </w:rPr>
        <w:t>平衡重</w:t>
      </w:r>
      <w:r>
        <w:rPr>
          <w:rFonts w:hint="eastAsia" w:ascii="Times New Roman" w:hAnsi="Times New Roman" w:eastAsia="宋体" w:cs="Times New Roman"/>
        </w:rPr>
        <w:t>外钢丝绳连接卸扣工作荷载：</w:t>
      </w:r>
    </w:p>
    <w:p w14:paraId="5B3DC6D6">
      <w:pPr>
        <w:ind w:firstLine="480"/>
        <w:rPr>
          <w:rFonts w:ascii="Times New Roman" w:hAnsi="Times New Roman" w:eastAsia="宋体" w:cs="Times New Roman"/>
          <w:highlight w:val="none"/>
        </w:rPr>
      </w:pPr>
      <m:oMath>
        <m:r>
          <m:rPr>
            <m:nor/>
            <m:sty m:val="p"/>
          </m:rPr>
          <w:rPr>
            <w:rFonts w:ascii="Cambria Math" w:hAnsi="Cambria Math"/>
            <w:b w:val="0"/>
            <w:i w:val="0"/>
            <w:highlight w:val="none"/>
          </w:rPr>
          <m:t>WL</m:t>
        </m:r>
        <m:sSub>
          <m:sSubPr>
            <m:ctrlPr>
              <w:rPr>
                <w:rFonts w:ascii="Cambria Math" w:hAnsi="Cambria Math"/>
                <w:i/>
                <w:highlight w:val="none"/>
              </w:rPr>
            </m:ctrlPr>
          </m:sSubPr>
          <m:e>
            <m:r>
              <m:rPr>
                <m:nor/>
                <m:sty m:val="p"/>
              </m:rPr>
              <w:rPr>
                <w:rFonts w:ascii="Cambria Math" w:hAnsi="Cambria Math"/>
                <w:b w:val="0"/>
                <w:i w:val="0"/>
                <w:highlight w:val="none"/>
              </w:rPr>
              <m:t>L</m:t>
            </m:r>
            <m:ctrlPr>
              <w:rPr>
                <w:rFonts w:ascii="Cambria Math" w:hAnsi="Cambria Math"/>
                <w:i/>
                <w:highlight w:val="none"/>
              </w:rPr>
            </m:ctrlPr>
          </m:e>
          <m:sub>
            <m:r>
              <m:rPr>
                <m:nor/>
                <m:sty m:val="p"/>
              </m:rPr>
              <w:rPr>
                <w:rFonts w:ascii="Cambria Math" w:hAnsi="Cambria Math"/>
                <w:b w:val="0"/>
                <w:i w:val="0"/>
                <w:highlight w:val="none"/>
              </w:rPr>
              <m:t>0</m:t>
            </m:r>
            <m:ctrlPr>
              <w:rPr>
                <w:rFonts w:ascii="Cambria Math" w:hAnsi="Cambria Math"/>
                <w:i/>
                <w:highlight w:val="none"/>
              </w:rPr>
            </m:ctrlPr>
          </m:sub>
        </m:sSub>
        <m:r>
          <m:rPr>
            <m:nor/>
            <m:sty m:val="p"/>
          </m:rPr>
          <w:rPr>
            <w:rFonts w:ascii="Cambria Math" w:hAnsi="Cambria Math"/>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238.94</m:t>
            </m:r>
            <m:ctrlPr>
              <w:rPr>
                <w:rFonts w:ascii="Cambria Math" w:hAnsi="Cambria Math"/>
                <w:i/>
                <w:highlight w:val="none"/>
              </w:rPr>
            </m:ctrlPr>
          </m:num>
          <m:den>
            <m:r>
              <m:rPr>
                <m:nor/>
                <m:sty m:val="p"/>
              </m:rPr>
              <w:rPr>
                <w:rFonts w:ascii="Cambria Math" w:hAnsi="Cambria Math"/>
                <w:b w:val="0"/>
                <w:i w:val="0"/>
                <w:highlight w:val="none"/>
              </w:rPr>
              <m:t>6</m:t>
            </m:r>
            <m:ctrlPr>
              <w:rPr>
                <w:rFonts w:ascii="Cambria Math" w:hAnsi="Cambria Math"/>
                <w:i/>
                <w:highlight w:val="none"/>
              </w:rPr>
            </m:ctrlPr>
          </m:den>
        </m:f>
        <m:r>
          <m:rPr>
            <m:nor/>
            <m:sty m:val="p"/>
          </m:rPr>
          <w:rPr>
            <w:rFonts w:ascii="Cambria Math" w:hAnsi="Cambria Math"/>
            <w:b w:val="0"/>
            <w:i w:val="0"/>
            <w:highlight w:val="none"/>
          </w:rPr>
          <m:t>=</m:t>
        </m:r>
        <m:r>
          <m:rPr>
            <m:nor/>
            <m:sty m:val="p"/>
          </m:rPr>
          <w:rPr>
            <w:rFonts w:hint="default" w:ascii="Cambria Math" w:hAnsi="Cambria Math"/>
            <w:b w:val="0"/>
            <w:i w:val="0"/>
            <w:highlight w:val="none"/>
            <w:lang w:val="en-US" w:eastAsia="zh-CN"/>
          </w:rPr>
          <m:t>39.83</m:t>
        </m:r>
        <m:r>
          <m:rPr>
            <m:nor/>
            <m:sty m:val="p"/>
          </m:rPr>
          <w:rPr>
            <w:rFonts w:ascii="Cambria Math" w:hAnsi="Cambria Math"/>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24A6B945">
      <w:pPr>
        <w:ind w:firstLine="480"/>
        <w:rPr>
          <w:rFonts w:ascii="Times New Roman" w:hAnsi="Times New Roman" w:eastAsia="宋体" w:cs="Times New Roman"/>
          <w:highlight w:val="none"/>
        </w:rPr>
      </w:pP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吊装钢丝绳连接卸扣工作荷载：</w:t>
      </w:r>
    </w:p>
    <w:p w14:paraId="6C4EA10F">
      <w:pPr>
        <w:ind w:firstLine="480"/>
        <w:rPr>
          <w:rFonts w:ascii="Times New Roman" w:hAnsi="Times New Roman" w:eastAsia="宋体" w:cs="Times New Roman"/>
          <w:highlight w:val="none"/>
        </w:rPr>
      </w:pPr>
      <m:oMath>
        <m:r>
          <m:rPr>
            <m:nor/>
            <m:sty m:val="p"/>
          </m:rPr>
          <w:rPr>
            <w:rFonts w:ascii="Cambria Math" w:hAns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hAnsi="Cambria Math" w:cs="Times New Roman"/>
                <w:b w:val="0"/>
                <w:i w:val="0"/>
                <w:highlight w:val="none"/>
              </w:rPr>
              <m:t>L</m:t>
            </m:r>
            <m:ctrlPr>
              <w:rPr>
                <w:rFonts w:ascii="Cambria Math" w:hAnsi="Cambria Math" w:cs="Times New Roman"/>
                <w:i/>
                <w:highlight w:val="none"/>
              </w:rPr>
            </m:ctrlPr>
          </m:e>
          <m:sub>
            <m:r>
              <m:rPr>
                <m:nor/>
                <m:sty m:val="p"/>
              </m:rPr>
              <w:rPr>
                <w:rFonts w:ascii="Cambria Math" w:hAnsi="Cambria Math" w:cs="Times New Roman"/>
                <w:b w:val="0"/>
                <w:i w:val="0"/>
                <w:highlight w:val="none"/>
              </w:rPr>
              <m:t>0</m:t>
            </m:r>
            <m:ctrlPr>
              <w:rPr>
                <w:rFonts w:ascii="Cambria Math" w:hAnsi="Cambria Math" w:cs="Times New Roman"/>
                <w:i/>
                <w:highlight w:val="none"/>
              </w:rPr>
            </m:ctrlPr>
          </m:sub>
        </m:sSub>
        <m:r>
          <m:rPr>
            <m:nor/>
            <m:sty m:val="p"/>
          </m:rPr>
          <w:rPr>
            <w:rFonts w:ascii="Cambria Math" w:hAns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155.04</m:t>
            </m:r>
            <m:ctrlPr>
              <w:rPr>
                <w:rFonts w:ascii="Cambria Math" w:hAnsi="Cambria Math" w:cs="Times New Roman"/>
                <w:i/>
                <w:highlight w:val="none"/>
              </w:rPr>
            </m:ctrlPr>
          </m:num>
          <m:den>
            <m:r>
              <m:rPr>
                <m:nor/>
                <m:sty m:val="p"/>
              </m:rPr>
              <w:rPr>
                <w:rFonts w:ascii="Cambria Math" w:hAnsi="Cambria Math" w:cs="Times New Roman"/>
                <w:b w:val="0"/>
                <w:i w:val="0"/>
                <w:highlight w:val="none"/>
              </w:rPr>
              <m:t>6</m:t>
            </m:r>
            <m:ctrlPr>
              <w:rPr>
                <w:rFonts w:ascii="Cambria Math" w:hAnsi="Cambria Math" w:cs="Times New Roman"/>
                <w:i/>
                <w:highlight w:val="none"/>
              </w:rPr>
            </m:ctrlPr>
          </m:den>
        </m:f>
        <m:r>
          <m:rPr>
            <m:nor/>
            <m:sty m:val="p"/>
          </m:rPr>
          <w:rPr>
            <w:rFonts w:ascii="Cambria Math" w:hAnsi="Cambria Math" w:cs="Times New Roman"/>
            <w:b w:val="0"/>
            <w:i w:val="0"/>
            <w:highlight w:val="none"/>
          </w:rPr>
          <m:t>=</m:t>
        </m:r>
        <m:r>
          <m:rPr>
            <m:nor/>
            <m:sty m:val="p"/>
          </m:rPr>
          <w:rPr>
            <w:rFonts w:hint="default" w:ascii="Cambria Math" w:cs="Times New Roman"/>
            <w:b w:val="0"/>
            <w:i w:val="0"/>
            <w:highlight w:val="none"/>
            <w:lang w:val="en-US" w:eastAsia="zh-CN"/>
          </w:rPr>
          <m:t>25.84</m:t>
        </m:r>
        <m:r>
          <m:rPr>
            <m:nor/>
            <m:sty m:val="p"/>
          </m:rPr>
          <w:rPr>
            <w:rFonts w:ascii="Cambria Math" w:hAns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w:t>
      </w:r>
      <w:r>
        <w:rPr>
          <w:rFonts w:hint="eastAsia"/>
          <w:color w:val="auto"/>
          <w:lang w:eastAsia="zh-CN"/>
        </w:rPr>
        <w:t>塔机</w:t>
      </w:r>
      <w:r>
        <w:rPr>
          <w:color w:val="auto"/>
        </w:rPr>
        <w:t>基础设计参数及</w:t>
      </w:r>
      <w:r>
        <w:rPr>
          <w:rFonts w:hint="eastAsia"/>
          <w:color w:val="auto"/>
          <w:lang w:eastAsia="zh-CN"/>
        </w:rPr>
        <w:t>塔机</w:t>
      </w:r>
      <w:r>
        <w:rPr>
          <w:color w:val="auto"/>
        </w:rPr>
        <w:t>主要部件重量及吊</w:t>
      </w:r>
      <w:r>
        <w:rPr>
          <w:rFonts w:hint="eastAsia"/>
          <w:color w:val="auto"/>
        </w:rPr>
        <w:t>装</w:t>
      </w:r>
      <w:r>
        <w:rPr>
          <w:color w:val="auto"/>
        </w:rPr>
        <w:t>高度，确定</w:t>
      </w:r>
      <w:r>
        <w:rPr>
          <w:rFonts w:hint="eastAsia"/>
          <w:color w:val="auto"/>
          <w:lang w:val="en-US" w:eastAsia="zh-CN"/>
        </w:rPr>
        <w:t>拆除</w:t>
      </w:r>
      <w:r>
        <w:rPr>
          <w:color w:val="auto"/>
        </w:rPr>
        <w:t>过程中所需的最大吊重、最大钢丝绳夹角，结合施工现场实际情况，确定起重钢丝绳型号。钢丝绳及卸扣选型见下表。</w:t>
      </w:r>
    </w:p>
    <w:p w14:paraId="6598208D">
      <w:pPr>
        <w:pStyle w:val="15"/>
        <w:rPr>
          <w:color w:val="auto"/>
        </w:rPr>
      </w:pPr>
      <w:r>
        <w:rPr>
          <w:color w:val="auto"/>
        </w:rPr>
        <w:t xml:space="preserve">表 </w:t>
      </w:r>
      <w:r>
        <w:rPr>
          <w:rFonts w:hint="eastAsia"/>
          <w:color w:val="auto"/>
          <w:lang w:val="en-US" w:eastAsia="zh-CN"/>
        </w:rPr>
        <w:t>10.1.2-2</w:t>
      </w:r>
      <w:r>
        <w:rPr>
          <w:color w:val="auto"/>
        </w:rPr>
        <w:t>钢丝绳选型表</w:t>
      </w:r>
    </w:p>
    <w:tbl>
      <w:tblPr>
        <w:tblStyle w:val="45"/>
        <w:tblW w:w="6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3179"/>
        <w:gridCol w:w="767"/>
        <w:gridCol w:w="875"/>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328"/>
              <w:rPr>
                <w:b w:val="0"/>
                <w:color w:val="auto"/>
              </w:rPr>
            </w:pPr>
            <w:r>
              <w:rPr>
                <w:b/>
                <w:color w:val="auto"/>
              </w:rPr>
              <w:t>序号</w:t>
            </w:r>
          </w:p>
        </w:tc>
        <w:tc>
          <w:tcPr>
            <w:tcW w:w="1559" w:type="dxa"/>
            <w:vAlign w:val="center"/>
          </w:tcPr>
          <w:p w14:paraId="2B69C5FF">
            <w:pPr>
              <w:pStyle w:val="328"/>
              <w:rPr>
                <w:b w:val="0"/>
                <w:color w:val="auto"/>
              </w:rPr>
            </w:pPr>
            <w:r>
              <w:rPr>
                <w:b/>
                <w:color w:val="auto"/>
              </w:rPr>
              <w:t>设备名称</w:t>
            </w:r>
          </w:p>
        </w:tc>
        <w:tc>
          <w:tcPr>
            <w:tcW w:w="3179" w:type="dxa"/>
            <w:vAlign w:val="center"/>
          </w:tcPr>
          <w:p w14:paraId="591DE1A5">
            <w:pPr>
              <w:pStyle w:val="328"/>
              <w:rPr>
                <w:b w:val="0"/>
                <w:color w:val="auto"/>
              </w:rPr>
            </w:pPr>
            <w:r>
              <w:rPr>
                <w:b/>
                <w:color w:val="auto"/>
              </w:rPr>
              <w:t>规格型号</w:t>
            </w:r>
          </w:p>
        </w:tc>
        <w:tc>
          <w:tcPr>
            <w:tcW w:w="767" w:type="dxa"/>
            <w:vAlign w:val="center"/>
          </w:tcPr>
          <w:p w14:paraId="3C505794">
            <w:pPr>
              <w:pStyle w:val="328"/>
              <w:rPr>
                <w:b w:val="0"/>
                <w:color w:val="auto"/>
              </w:rPr>
            </w:pPr>
            <w:r>
              <w:rPr>
                <w:b/>
                <w:color w:val="auto"/>
              </w:rPr>
              <w:t>单位</w:t>
            </w:r>
          </w:p>
        </w:tc>
        <w:tc>
          <w:tcPr>
            <w:tcW w:w="875" w:type="dxa"/>
            <w:vAlign w:val="center"/>
          </w:tcPr>
          <w:p w14:paraId="7564A4F8">
            <w:pPr>
              <w:pStyle w:val="328"/>
              <w:rPr>
                <w:b w:val="0"/>
                <w:color w:val="auto"/>
              </w:rPr>
            </w:pPr>
            <w:r>
              <w:rPr>
                <w:b/>
                <w:color w:val="auto"/>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328"/>
              <w:numPr>
                <w:ilvl w:val="0"/>
                <w:numId w:val="49"/>
              </w:numPr>
              <w:ind w:left="425" w:leftChars="0" w:hanging="425" w:firstLineChars="0"/>
              <w:rPr>
                <w:rFonts w:hint="default" w:eastAsia="宋体"/>
                <w:color w:val="auto"/>
                <w:lang w:val="en-US" w:eastAsia="zh-CN"/>
              </w:rPr>
            </w:pPr>
          </w:p>
        </w:tc>
        <w:tc>
          <w:tcPr>
            <w:tcW w:w="1559" w:type="dxa"/>
            <w:vAlign w:val="center"/>
          </w:tcPr>
          <w:p w14:paraId="5873FBC6">
            <w:pPr>
              <w:pStyle w:val="328"/>
              <w:rPr>
                <w:color w:val="auto"/>
              </w:rPr>
            </w:pPr>
            <w:r>
              <w:rPr>
                <w:color w:val="auto"/>
              </w:rPr>
              <w:t>起重用钢丝绳</w:t>
            </w:r>
          </w:p>
        </w:tc>
        <w:tc>
          <w:tcPr>
            <w:tcW w:w="3179" w:type="dxa"/>
            <w:vAlign w:val="center"/>
          </w:tcPr>
          <w:p w14:paraId="383C94F7">
            <w:pPr>
              <w:pStyle w:val="328"/>
              <w:ind w:firstLine="0" w:firstLineChars="0"/>
              <w:rPr>
                <w:color w:val="auto"/>
              </w:rPr>
            </w:pPr>
            <w:r>
              <w:rPr>
                <w:rFonts w:hint="eastAsia" w:cs="Times New Roman"/>
                <w:b w:val="0"/>
                <w:bCs w:val="0"/>
                <w:lang w:val="en-US" w:eastAsia="zh-CN"/>
              </w:rPr>
              <w:t>16mm6×19W+IWR 1870Mpa</w:t>
            </w:r>
          </w:p>
        </w:tc>
        <w:tc>
          <w:tcPr>
            <w:tcW w:w="767" w:type="dxa"/>
            <w:vAlign w:val="center"/>
          </w:tcPr>
          <w:p w14:paraId="11AD972C">
            <w:pPr>
              <w:pStyle w:val="328"/>
              <w:rPr>
                <w:color w:val="auto"/>
              </w:rPr>
            </w:pPr>
            <w:r>
              <w:rPr>
                <w:color w:val="auto"/>
              </w:rPr>
              <w:t>根</w:t>
            </w:r>
          </w:p>
        </w:tc>
        <w:tc>
          <w:tcPr>
            <w:tcW w:w="875" w:type="dxa"/>
            <w:vAlign w:val="center"/>
          </w:tcPr>
          <w:p w14:paraId="5F961709">
            <w:pPr>
              <w:pStyle w:val="328"/>
              <w:rPr>
                <w:rFonts w:hint="eastAsia" w:eastAsia="宋体"/>
                <w:color w:val="auto"/>
                <w:lang w:eastAsia="zh-CN"/>
              </w:rPr>
            </w:pPr>
            <w:r>
              <w:rPr>
                <w:rFonts w:hint="eastAsia"/>
                <w:color w:val="auto"/>
                <w:lang w:val="en-US" w:eastAsia="zh-CN"/>
              </w:rPr>
              <w:t>2</w:t>
            </w:r>
          </w:p>
        </w:tc>
      </w:tr>
      <w:tr w14:paraId="7BB7D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937C8B">
            <w:pPr>
              <w:pStyle w:val="328"/>
              <w:numPr>
                <w:ilvl w:val="0"/>
                <w:numId w:val="49"/>
              </w:numPr>
              <w:ind w:left="425" w:leftChars="0" w:hanging="425" w:firstLineChars="0"/>
              <w:rPr>
                <w:rFonts w:hint="default" w:eastAsia="宋体"/>
                <w:color w:val="auto"/>
                <w:lang w:val="en-US" w:eastAsia="zh-CN"/>
              </w:rPr>
            </w:pPr>
          </w:p>
        </w:tc>
        <w:tc>
          <w:tcPr>
            <w:tcW w:w="1559" w:type="dxa"/>
            <w:shd w:val="clear" w:color="auto" w:fill="auto"/>
            <w:vAlign w:val="center"/>
          </w:tcPr>
          <w:p w14:paraId="53BD3504">
            <w:pPr>
              <w:pStyle w:val="328"/>
              <w:ind w:firstLine="0" w:firstLineChars="0"/>
              <w:rPr>
                <w:rFonts w:ascii="Times New Roman" w:hAnsi="Times New Roman" w:eastAsia="宋体" w:cstheme="minorBidi"/>
                <w:color w:val="auto"/>
                <w:kern w:val="2"/>
                <w:sz w:val="21"/>
                <w:szCs w:val="21"/>
                <w:lang w:val="en-US" w:eastAsia="zh-CN" w:bidi="ar-SA"/>
              </w:rPr>
            </w:pPr>
            <w:r>
              <w:rPr>
                <w:color w:val="auto"/>
              </w:rPr>
              <w:t>起重用钢丝绳</w:t>
            </w:r>
          </w:p>
        </w:tc>
        <w:tc>
          <w:tcPr>
            <w:tcW w:w="3179" w:type="dxa"/>
            <w:shd w:val="clear" w:color="auto" w:fill="auto"/>
            <w:vAlign w:val="center"/>
          </w:tcPr>
          <w:p w14:paraId="2DF6A749">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s="Times New Roman"/>
                <w:b w:val="0"/>
                <w:bCs w:val="0"/>
                <w:lang w:val="en-US" w:eastAsia="zh-CN"/>
              </w:rPr>
              <w:t>20mm6×19W+IWR 1870Mpa</w:t>
            </w:r>
          </w:p>
        </w:tc>
        <w:tc>
          <w:tcPr>
            <w:tcW w:w="767" w:type="dxa"/>
            <w:shd w:val="clear" w:color="auto" w:fill="auto"/>
            <w:vAlign w:val="center"/>
          </w:tcPr>
          <w:p w14:paraId="4798D270">
            <w:pPr>
              <w:pStyle w:val="328"/>
              <w:ind w:firstLine="0" w:firstLineChars="0"/>
              <w:rPr>
                <w:rFonts w:ascii="Times New Roman" w:hAnsi="Times New Roman" w:eastAsia="宋体" w:cstheme="minorBidi"/>
                <w:color w:val="auto"/>
                <w:kern w:val="2"/>
                <w:sz w:val="21"/>
                <w:szCs w:val="21"/>
                <w:lang w:val="en-US" w:eastAsia="zh-CN" w:bidi="ar-SA"/>
              </w:rPr>
            </w:pPr>
            <w:r>
              <w:rPr>
                <w:color w:val="auto"/>
              </w:rPr>
              <w:t>根</w:t>
            </w:r>
          </w:p>
        </w:tc>
        <w:tc>
          <w:tcPr>
            <w:tcW w:w="875" w:type="dxa"/>
            <w:shd w:val="clear" w:color="auto" w:fill="auto"/>
            <w:vAlign w:val="center"/>
          </w:tcPr>
          <w:p w14:paraId="4D1630CF">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4</w:t>
            </w:r>
          </w:p>
        </w:tc>
      </w:tr>
      <w:tr w14:paraId="78E3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79300EF3">
            <w:pPr>
              <w:pStyle w:val="328"/>
              <w:numPr>
                <w:ilvl w:val="0"/>
                <w:numId w:val="49"/>
              </w:numPr>
              <w:ind w:left="425" w:leftChars="0" w:hanging="425" w:firstLineChars="0"/>
              <w:rPr>
                <w:rFonts w:hint="default"/>
                <w:color w:val="auto"/>
                <w:lang w:val="en-US" w:eastAsia="zh-CN"/>
              </w:rPr>
            </w:pPr>
          </w:p>
        </w:tc>
        <w:tc>
          <w:tcPr>
            <w:tcW w:w="1559" w:type="dxa"/>
            <w:vAlign w:val="center"/>
          </w:tcPr>
          <w:p w14:paraId="68522954">
            <w:pPr>
              <w:pStyle w:val="328"/>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3179" w:type="dxa"/>
            <w:vAlign w:val="center"/>
          </w:tcPr>
          <w:p w14:paraId="357474C1">
            <w:pPr>
              <w:pStyle w:val="328"/>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767" w:type="dxa"/>
            <w:vAlign w:val="center"/>
          </w:tcPr>
          <w:p w14:paraId="19B39ABE">
            <w:pPr>
              <w:pStyle w:val="328"/>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875" w:type="dxa"/>
            <w:vAlign w:val="center"/>
          </w:tcPr>
          <w:p w14:paraId="713274D4">
            <w:pPr>
              <w:pStyle w:val="328"/>
              <w:ind w:firstLine="0" w:firstLineChars="0"/>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4</w:t>
            </w:r>
            <w:bookmarkStart w:id="279" w:name="_GoBack"/>
            <w:bookmarkEnd w:id="279"/>
          </w:p>
        </w:tc>
      </w:tr>
    </w:tbl>
    <w:p w14:paraId="7CC416EF">
      <w:pPr>
        <w:pStyle w:val="2"/>
        <w:bidi w:val="0"/>
        <w:ind w:left="432" w:leftChars="0" w:hanging="432" w:firstLineChars="0"/>
      </w:pPr>
      <w:bookmarkStart w:id="270" w:name="_Toc24691"/>
      <w:bookmarkStart w:id="271" w:name="_Toc20622"/>
      <w:bookmarkStart w:id="272" w:name="_Toc18054"/>
      <w:r>
        <w:rPr>
          <w:rFonts w:hint="eastAsia"/>
        </w:rPr>
        <w:t>附件</w:t>
      </w:r>
      <w:bookmarkEnd w:id="270"/>
      <w:bookmarkEnd w:id="271"/>
      <w:bookmarkEnd w:id="272"/>
    </w:p>
    <w:p w14:paraId="4F197C06">
      <w:pPr>
        <w:pStyle w:val="3"/>
        <w:bidi w:val="0"/>
        <w:ind w:left="575" w:leftChars="0" w:hanging="575" w:firstLineChars="0"/>
        <w:rPr>
          <w:rFonts w:hint="eastAsia"/>
          <w:b/>
          <w:bCs w:val="0"/>
        </w:rPr>
      </w:pPr>
      <w:bookmarkStart w:id="273" w:name="_Toc18400"/>
      <w:bookmarkStart w:id="274" w:name="_Toc27354"/>
      <w:bookmarkStart w:id="275" w:name="_Toc26885"/>
      <w:r>
        <w:rPr>
          <w:rFonts w:hint="eastAsia"/>
          <w:b/>
          <w:bCs w:val="0"/>
        </w:rPr>
        <w:t>附</w:t>
      </w:r>
      <w:r>
        <w:rPr>
          <w:rFonts w:hint="eastAsia"/>
          <w:b/>
          <w:bCs w:val="0"/>
          <w:lang w:val="en-US" w:eastAsia="zh-CN"/>
        </w:rPr>
        <w:t>件1：拆除</w:t>
      </w:r>
      <w:r>
        <w:rPr>
          <w:rFonts w:hint="eastAsia"/>
          <w:b/>
          <w:bCs w:val="0"/>
        </w:rPr>
        <w:t>单位资质及人员证件</w:t>
      </w:r>
      <w:bookmarkEnd w:id="263"/>
      <w:bookmarkEnd w:id="264"/>
      <w:bookmarkEnd w:id="265"/>
      <w:bookmarkEnd w:id="266"/>
      <w:bookmarkEnd w:id="267"/>
      <w:bookmarkEnd w:id="273"/>
      <w:bookmarkEnd w:id="274"/>
      <w:bookmarkEnd w:id="275"/>
    </w:p>
    <w:p w14:paraId="31A66E7B">
      <w:pPr>
        <w:pStyle w:val="3"/>
        <w:bidi w:val="0"/>
        <w:ind w:left="575" w:leftChars="0" w:hanging="575" w:firstLineChars="0"/>
        <w:rPr>
          <w:rFonts w:hint="default"/>
          <w:b/>
          <w:bCs w:val="0"/>
          <w:lang w:val="en-US" w:eastAsia="zh-CN"/>
        </w:rPr>
      </w:pPr>
      <w:bookmarkStart w:id="276" w:name="_Toc18975"/>
      <w:bookmarkStart w:id="277" w:name="_Toc18893"/>
      <w:bookmarkStart w:id="278" w:name="_Toc10007"/>
      <w:r>
        <w:rPr>
          <w:rFonts w:hint="eastAsia"/>
          <w:b/>
          <w:bCs w:val="0"/>
          <w:lang w:val="en-US" w:eastAsia="zh-CN"/>
        </w:rPr>
        <w:t>附件2：塔式起重机说明书</w:t>
      </w:r>
      <w:bookmarkEnd w:id="276"/>
      <w:bookmarkEnd w:id="277"/>
      <w:bookmarkEnd w:id="278"/>
    </w:p>
    <w:p w14:paraId="60BC27A1"/>
    <w:p w14:paraId="652212BA"/>
    <w:p w14:paraId="329014FF"/>
    <w:sectPr>
      <w:headerReference r:id="rId13" w:type="default"/>
      <w:pgSz w:w="11906" w:h="16838"/>
      <w:pgMar w:top="1417" w:right="1134" w:bottom="1417" w:left="1701" w:header="851" w:footer="850" w:gutter="0"/>
      <w:pgBorders>
        <w:top w:val="none" w:sz="0" w:space="0"/>
        <w:left w:val="none" w:sz="0" w:space="0"/>
        <w:bottom w:val="none" w:sz="0" w:space="0"/>
        <w:right w:val="none" w:sz="0" w:space="0"/>
      </w:pgBorders>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panose1 w:val="02010600030101010101"/>
    <w:charset w:val="86"/>
    <w:family w:val="auto"/>
    <w:pitch w:val="default"/>
    <w:sig w:usb0="00000003" w:usb1="080E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1505">
    <w:pPr>
      <w:pStyle w:val="30"/>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A8EE">
    <w:pPr>
      <w:pStyle w:val="30"/>
      <w:jc w:val="both"/>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6299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1396299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31B1">
    <w:pPr>
      <w:pStyle w:val="30"/>
      <w:ind w:firstLine="0" w:firstLineChars="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C7CF9">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F6C7CF9">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1C9E">
    <w:pPr>
      <w:pStyle w:val="31"/>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7ED0">
    <w:pPr>
      <w:pBdr>
        <w:bottom w:val="single" w:color="auto" w:sz="4" w:space="1"/>
      </w:pBdr>
      <w:snapToGrid w:val="0"/>
      <w:spacing w:line="240" w:lineRule="auto"/>
      <w:ind w:firstLine="0" w:firstLineChars="0"/>
      <w:jc w:val="left"/>
      <w:rPr>
        <w:rFonts w:hint="default" w:ascii="Times New Roman" w:hAnsi="Times New Roman" w:eastAsia="楷体" w:cs="Times New Roman"/>
        <w:sz w:val="18"/>
        <w:szCs w:val="18"/>
        <w:lang w:val="en-US" w:eastAsia="zh-CN"/>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ascii="Times New Roman" w:hAnsi="Times New Roman" w:eastAsia="楷体" w:cs="Times New Roman"/>
        <w:sz w:val="18"/>
        <w:szCs w:val="18"/>
      </w:rPr>
      <w:ptab w:relativeTo="margin" w:alignment="right" w:leader="none"/>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REF 方案类别 \h  \* MERGEFORMAT </w:instrText>
    </w:r>
    <w:r>
      <w:rPr>
        <w:rFonts w:ascii="Times New Roman" w:hAnsi="Times New Roman" w:eastAsia="楷体" w:cs="Times New Roman"/>
        <w:sz w:val="18"/>
        <w:szCs w:val="18"/>
      </w:rPr>
      <w:fldChar w:fldCharType="separate"/>
    </w:r>
    <w:r>
      <w:rPr>
        <w:rFonts w:hint="eastAsia" w:eastAsia="楷体" w:cs="Times New Roman"/>
        <w:sz w:val="18"/>
        <w:szCs w:val="18"/>
        <w:lang w:val="en-US" w:eastAsia="zh-CN"/>
      </w:rPr>
      <w:t>拆除</w:t>
    </w:r>
    <w:r>
      <w:rPr>
        <w:rFonts w:hint="eastAsia" w:ascii="Times New Roman" w:hAnsi="Times New Roman" w:eastAsia="楷体" w:cs="Times New Roman"/>
        <w:sz w:val="18"/>
        <w:szCs w:val="18"/>
      </w:rPr>
      <w:t>方案</w:t>
    </w:r>
    <w:r>
      <w:rPr>
        <w:rFonts w:ascii="Times New Roman" w:hAnsi="Times New Roman" w:eastAsia="楷体" w:cs="Times New Roman"/>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05CA">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84814">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AF89C">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91690">
    <w:pPr>
      <w:pBdr>
        <w:bottom w:val="single" w:color="auto" w:sz="4" w:space="1"/>
      </w:pBdr>
      <w:snapToGrid w:val="0"/>
      <w:spacing w:line="240" w:lineRule="auto"/>
      <w:ind w:firstLine="0" w:firstLineChars="0"/>
      <w:jc w:val="left"/>
      <w:rPr>
        <w:rFonts w:eastAsia="楷体"/>
        <w:sz w:val="18"/>
        <w:szCs w:val="18"/>
      </w:rPr>
    </w:pPr>
    <w:r>
      <w:rPr>
        <w:rFonts w:hint="eastAsia" w:ascii="Times New Roman" w:hAnsi="Times New Roman" w:eastAsia="楷体" w:cs="Times New Roman"/>
        <w:sz w:val="18"/>
        <w:szCs w:val="18"/>
      </w:rPr>
      <w:fldChar w:fldCharType="begin"/>
    </w:r>
    <w:r>
      <w:rPr>
        <w:rFonts w:hint="eastAsia" w:ascii="Times New Roman" w:hAnsi="Times New Roman" w:eastAsia="楷体" w:cs="Times New Roman"/>
        <w:sz w:val="18"/>
        <w:szCs w:val="18"/>
      </w:rPr>
      <w:instrText xml:space="preserve"> REF 项目名称  \* MERGEFORMAT </w:instrText>
    </w:r>
    <w:r>
      <w:rPr>
        <w:rFonts w:hint="eastAsia"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天保至麻栗坡高速公路TJ-2标项目</w:t>
    </w:r>
    <w:r>
      <w:rPr>
        <w:rFonts w:hint="eastAsia" w:ascii="Times New Roman" w:hAnsi="Times New Roman" w:eastAsia="楷体" w:cs="Times New Roman"/>
        <w:sz w:val="18"/>
        <w:szCs w:val="18"/>
      </w:rPr>
      <w:fldChar w:fldCharType="end"/>
    </w:r>
    <w:r>
      <w:rPr>
        <w:rFonts w:hint="eastAsia" w:eastAsia="楷体"/>
        <w:sz w:val="18"/>
        <w:szCs w:val="18"/>
        <w:lang w:val="en-US" w:eastAsia="zh-CN"/>
      </w:rPr>
      <w:t xml:space="preserve">                                                                                                        </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lang w:val="en-US" w:eastAsia="zh-CN"/>
      </w:rPr>
      <w:t>拆除</w:t>
    </w:r>
    <w:r>
      <w:rPr>
        <w:rFonts w:hint="eastAsia" w:eastAsia="楷体"/>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0D6B1"/>
    <w:multiLevelType w:val="singleLevel"/>
    <w:tmpl w:val="9230D6B1"/>
    <w:lvl w:ilvl="0" w:tentative="0">
      <w:start w:val="1"/>
      <w:numFmt w:val="decimal"/>
      <w:lvlText w:val="(%1)"/>
      <w:lvlJc w:val="left"/>
      <w:pPr>
        <w:ind w:left="425" w:hanging="425"/>
      </w:pPr>
      <w:rPr>
        <w:rFonts w:hint="default" w:ascii="宋体" w:hAnsi="宋体" w:eastAsia="宋体" w:cs="宋体"/>
        <w:sz w:val="24"/>
        <w:szCs w:val="24"/>
      </w:rPr>
    </w:lvl>
  </w:abstractNum>
  <w:abstractNum w:abstractNumId="1">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4"/>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AC4D5D6C"/>
    <w:multiLevelType w:val="singleLevel"/>
    <w:tmpl w:val="AC4D5D6C"/>
    <w:lvl w:ilvl="0" w:tentative="0">
      <w:start w:val="1"/>
      <w:numFmt w:val="decimal"/>
      <w:lvlText w:val="(%1)"/>
      <w:lvlJc w:val="left"/>
      <w:pPr>
        <w:ind w:left="425" w:hanging="425"/>
      </w:pPr>
      <w:rPr>
        <w:rFonts w:hint="default" w:ascii="宋体" w:hAnsi="宋体" w:eastAsia="宋体" w:cs="宋体"/>
        <w:sz w:val="24"/>
        <w:szCs w:val="24"/>
      </w:rPr>
    </w:lvl>
  </w:abstractNum>
  <w:abstractNum w:abstractNumId="3">
    <w:nsid w:val="B3AFC5A7"/>
    <w:multiLevelType w:val="multilevel"/>
    <w:tmpl w:val="B3AFC5A7"/>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C04CB57C"/>
    <w:multiLevelType w:val="singleLevel"/>
    <w:tmpl w:val="C04CB57C"/>
    <w:lvl w:ilvl="0" w:tentative="0">
      <w:start w:val="1"/>
      <w:numFmt w:val="decimal"/>
      <w:lvlText w:val="(%1)"/>
      <w:lvlJc w:val="left"/>
      <w:pPr>
        <w:ind w:left="425" w:hanging="425"/>
      </w:pPr>
      <w:rPr>
        <w:rFonts w:hint="default" w:ascii="宋体" w:hAnsi="宋体" w:eastAsia="宋体" w:cs="宋体"/>
        <w:sz w:val="24"/>
        <w:szCs w:val="24"/>
      </w:rPr>
    </w:lvl>
  </w:abstractNum>
  <w:abstractNum w:abstractNumId="5">
    <w:nsid w:val="E7AF55FA"/>
    <w:multiLevelType w:val="multilevel"/>
    <w:tmpl w:val="E7AF55F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ED2028FF"/>
    <w:multiLevelType w:val="multilevel"/>
    <w:tmpl w:val="ED2028FF"/>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9156B1"/>
    <w:multiLevelType w:val="multilevel"/>
    <w:tmpl w:val="009156B1"/>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934742"/>
    <w:multiLevelType w:val="multilevel"/>
    <w:tmpl w:val="0093474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40030FB"/>
    <w:multiLevelType w:val="singleLevel"/>
    <w:tmpl w:val="040030FB"/>
    <w:lvl w:ilvl="0" w:tentative="0">
      <w:start w:val="1"/>
      <w:numFmt w:val="lowerLetter"/>
      <w:lvlText w:val="%1."/>
      <w:lvlJc w:val="left"/>
      <w:pPr>
        <w:ind w:left="425" w:hanging="425"/>
      </w:pPr>
      <w:rPr>
        <w:rFonts w:hint="default" w:ascii="宋体" w:hAnsi="宋体" w:eastAsia="宋体" w:cs="宋体"/>
        <w:sz w:val="24"/>
        <w:szCs w:val="24"/>
      </w:rPr>
    </w:lvl>
  </w:abstractNum>
  <w:abstractNum w:abstractNumId="11">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B70E3F"/>
    <w:multiLevelType w:val="singleLevel"/>
    <w:tmpl w:val="08B70E3F"/>
    <w:lvl w:ilvl="0" w:tentative="0">
      <w:start w:val="1"/>
      <w:numFmt w:val="decimal"/>
      <w:suff w:val="nothing"/>
      <w:lvlText w:val="%1"/>
      <w:lvlJc w:val="left"/>
      <w:pPr>
        <w:ind w:left="425" w:leftChars="0" w:hanging="425" w:firstLineChars="0"/>
      </w:pPr>
      <w:rPr>
        <w:rFonts w:hint="default"/>
      </w:rPr>
    </w:lvl>
  </w:abstractNum>
  <w:abstractNum w:abstractNumId="13">
    <w:nsid w:val="0A406FC0"/>
    <w:multiLevelType w:val="multilevel"/>
    <w:tmpl w:val="0A406FC0"/>
    <w:lvl w:ilvl="0" w:tentative="0">
      <w:start w:val="1"/>
      <w:numFmt w:val="bullet"/>
      <w:pStyle w:val="11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8">
    <w:nsid w:val="16CBA154"/>
    <w:multiLevelType w:val="multilevel"/>
    <w:tmpl w:val="16CBA154"/>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tabs>
          <w:tab w:val="left" w:pos="0"/>
        </w:tabs>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6"/>
      <w:suff w:val="space"/>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9">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CA1D74B"/>
    <w:multiLevelType w:val="multilevel"/>
    <w:tmpl w:val="1CA1D74B"/>
    <w:lvl w:ilvl="0" w:tentative="0">
      <w:start w:val="1"/>
      <w:numFmt w:val="decimal"/>
      <w:pStyle w:val="80"/>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2F8363A2"/>
    <w:multiLevelType w:val="multilevel"/>
    <w:tmpl w:val="2F8363A2"/>
    <w:lvl w:ilvl="0" w:tentative="0">
      <w:start w:val="1"/>
      <w:numFmt w:val="decimal"/>
      <w:suff w:val="nothing"/>
      <w:lvlText w:val="（%1）"/>
      <w:lvlJc w:val="left"/>
      <w:pPr>
        <w:ind w:left="0" w:firstLine="480"/>
      </w:pPr>
      <w:rPr>
        <w:rFonts w:hint="default"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31895762"/>
    <w:multiLevelType w:val="singleLevel"/>
    <w:tmpl w:val="31895762"/>
    <w:lvl w:ilvl="0" w:tentative="0">
      <w:start w:val="1"/>
      <w:numFmt w:val="decimal"/>
      <w:suff w:val="nothing"/>
      <w:lvlText w:val="%1"/>
      <w:lvlJc w:val="left"/>
      <w:pPr>
        <w:ind w:left="425" w:leftChars="0" w:hanging="425" w:firstLineChars="0"/>
      </w:pPr>
      <w:rPr>
        <w:rFonts w:hint="default"/>
      </w:rPr>
    </w:lvl>
  </w:abstractNum>
  <w:abstractNum w:abstractNumId="25">
    <w:nsid w:val="32720037"/>
    <w:multiLevelType w:val="multilevel"/>
    <w:tmpl w:val="3272003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283101D"/>
    <w:multiLevelType w:val="multilevel"/>
    <w:tmpl w:val="3283101D"/>
    <w:lvl w:ilvl="0" w:tentative="0">
      <w:start w:val="1"/>
      <w:numFmt w:val="decimal"/>
      <w:pStyle w:val="71"/>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1B72D11"/>
    <w:multiLevelType w:val="multilevel"/>
    <w:tmpl w:val="41B72D11"/>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4535BD3"/>
    <w:multiLevelType w:val="multilevel"/>
    <w:tmpl w:val="44535BD3"/>
    <w:lvl w:ilvl="0" w:tentative="0">
      <w:start w:val="1"/>
      <w:numFmt w:val="bullet"/>
      <w:pStyle w:val="154"/>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00F0A56"/>
    <w:multiLevelType w:val="multilevel"/>
    <w:tmpl w:val="500F0A56"/>
    <w:lvl w:ilvl="0" w:tentative="0">
      <w:start w:val="1"/>
      <w:numFmt w:val="decimal"/>
      <w:pStyle w:val="114"/>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64146E5"/>
    <w:multiLevelType w:val="multilevel"/>
    <w:tmpl w:val="564146E5"/>
    <w:lvl w:ilvl="0" w:tentative="0">
      <w:start w:val="1"/>
      <w:numFmt w:val="decimal"/>
      <w:suff w:val="nothing"/>
      <w:lvlText w:val="（%1）"/>
      <w:lvlJc w:val="left"/>
      <w:pPr>
        <w:ind w:left="0" w:firstLine="480"/>
      </w:pPr>
      <w:rPr>
        <w:rFonts w:hint="default"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662068E5"/>
    <w:multiLevelType w:val="singleLevel"/>
    <w:tmpl w:val="662068E5"/>
    <w:lvl w:ilvl="0" w:tentative="0">
      <w:start w:val="1"/>
      <w:numFmt w:val="decimal"/>
      <w:lvlText w:val="%1."/>
      <w:lvlJc w:val="left"/>
      <w:pPr>
        <w:ind w:left="425" w:hanging="425"/>
      </w:pPr>
      <w:rPr>
        <w:rFonts w:hint="default" w:ascii="宋体" w:hAnsi="宋体" w:eastAsia="宋体" w:cs="宋体"/>
        <w:sz w:val="24"/>
        <w:szCs w:val="24"/>
      </w:rPr>
    </w:lvl>
  </w:abstractNum>
  <w:abstractNum w:abstractNumId="39">
    <w:nsid w:val="68B44C1A"/>
    <w:multiLevelType w:val="multilevel"/>
    <w:tmpl w:val="68B44C1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771C2D68"/>
    <w:multiLevelType w:val="multilevel"/>
    <w:tmpl w:val="771C2D68"/>
    <w:lvl w:ilvl="0" w:tentative="0">
      <w:start w:val="1"/>
      <w:numFmt w:val="bullet"/>
      <w:pStyle w:val="89"/>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774D27EF"/>
    <w:multiLevelType w:val="multilevel"/>
    <w:tmpl w:val="774D27EF"/>
    <w:lvl w:ilvl="0" w:tentative="0">
      <w:start w:val="1"/>
      <w:numFmt w:val="decimal"/>
      <w:pStyle w:val="141"/>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26"/>
  </w:num>
  <w:num w:numId="3">
    <w:abstractNumId w:val="20"/>
  </w:num>
  <w:num w:numId="4">
    <w:abstractNumId w:val="43"/>
  </w:num>
  <w:num w:numId="5">
    <w:abstractNumId w:val="35"/>
  </w:num>
  <w:num w:numId="6">
    <w:abstractNumId w:val="13"/>
  </w:num>
  <w:num w:numId="7">
    <w:abstractNumId w:val="44"/>
  </w:num>
  <w:num w:numId="8">
    <w:abstractNumId w:val="31"/>
  </w:num>
  <w:num w:numId="9">
    <w:abstractNumId w:val="1"/>
  </w:num>
  <w:num w:numId="10">
    <w:abstractNumId w:val="33"/>
  </w:num>
  <w:num w:numId="11">
    <w:abstractNumId w:val="15"/>
  </w:num>
  <w:num w:numId="12">
    <w:abstractNumId w:val="4"/>
  </w:num>
  <w:num w:numId="13">
    <w:abstractNumId w:val="22"/>
  </w:num>
  <w:num w:numId="14">
    <w:abstractNumId w:val="25"/>
  </w:num>
  <w:num w:numId="15">
    <w:abstractNumId w:val="8"/>
  </w:num>
  <w:num w:numId="16">
    <w:abstractNumId w:val="21"/>
  </w:num>
  <w:num w:numId="17">
    <w:abstractNumId w:val="34"/>
  </w:num>
  <w:num w:numId="18">
    <w:abstractNumId w:val="30"/>
  </w:num>
  <w:num w:numId="19">
    <w:abstractNumId w:val="36"/>
  </w:num>
  <w:num w:numId="20">
    <w:abstractNumId w:val="23"/>
  </w:num>
  <w:num w:numId="21">
    <w:abstractNumId w:val="12"/>
  </w:num>
  <w:num w:numId="22">
    <w:abstractNumId w:val="38"/>
  </w:num>
  <w:num w:numId="23">
    <w:abstractNumId w:val="10"/>
  </w:num>
  <w:num w:numId="24">
    <w:abstractNumId w:val="0"/>
  </w:num>
  <w:num w:numId="25">
    <w:abstractNumId w:val="2"/>
  </w:num>
  <w:num w:numId="26">
    <w:abstractNumId w:val="29"/>
  </w:num>
  <w:num w:numId="27">
    <w:abstractNumId w:val="17"/>
  </w:num>
  <w:num w:numId="28">
    <w:abstractNumId w:val="39"/>
  </w:num>
  <w:num w:numId="29">
    <w:abstractNumId w:val="42"/>
  </w:num>
  <w:num w:numId="30">
    <w:abstractNumId w:val="3"/>
  </w:num>
  <w:num w:numId="31">
    <w:abstractNumId w:val="11"/>
  </w:num>
  <w:num w:numId="32">
    <w:abstractNumId w:val="40"/>
  </w:num>
  <w:num w:numId="33">
    <w:abstractNumId w:val="19"/>
  </w:num>
  <w:num w:numId="34">
    <w:abstractNumId w:val="32"/>
  </w:num>
  <w:num w:numId="35">
    <w:abstractNumId w:val="16"/>
  </w:num>
  <w:num w:numId="36">
    <w:abstractNumId w:val="37"/>
  </w:num>
  <w:num w:numId="37">
    <w:abstractNumId w:val="28"/>
  </w:num>
  <w:num w:numId="38">
    <w:abstractNumId w:val="45"/>
  </w:num>
  <w:num w:numId="39">
    <w:abstractNumId w:val="6"/>
  </w:num>
  <w:num w:numId="40">
    <w:abstractNumId w:val="9"/>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27"/>
  </w:num>
  <w:num w:numId="47">
    <w:abstractNumId w:val="5"/>
  </w:num>
  <w:num w:numId="48">
    <w:abstractNumId w:val="7"/>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353AE6"/>
    <w:rsid w:val="015B4CA3"/>
    <w:rsid w:val="016B6B19"/>
    <w:rsid w:val="01877B89"/>
    <w:rsid w:val="019E4ED3"/>
    <w:rsid w:val="01B91D0C"/>
    <w:rsid w:val="01F675F1"/>
    <w:rsid w:val="02025613"/>
    <w:rsid w:val="021A06B0"/>
    <w:rsid w:val="023B43AB"/>
    <w:rsid w:val="0248145E"/>
    <w:rsid w:val="026A47BC"/>
    <w:rsid w:val="0282156D"/>
    <w:rsid w:val="02B4251F"/>
    <w:rsid w:val="02B84A11"/>
    <w:rsid w:val="02FC6582"/>
    <w:rsid w:val="033E696D"/>
    <w:rsid w:val="03577A2F"/>
    <w:rsid w:val="03782B4D"/>
    <w:rsid w:val="039858F2"/>
    <w:rsid w:val="03A03184"/>
    <w:rsid w:val="040231B9"/>
    <w:rsid w:val="040A1C11"/>
    <w:rsid w:val="044367B0"/>
    <w:rsid w:val="048B4423"/>
    <w:rsid w:val="048F6BA5"/>
    <w:rsid w:val="04BD3D81"/>
    <w:rsid w:val="05537FF7"/>
    <w:rsid w:val="05CF4C44"/>
    <w:rsid w:val="05E5600D"/>
    <w:rsid w:val="06661F8B"/>
    <w:rsid w:val="06710E08"/>
    <w:rsid w:val="068612E7"/>
    <w:rsid w:val="06C75A8A"/>
    <w:rsid w:val="06CC10CD"/>
    <w:rsid w:val="06DC70B6"/>
    <w:rsid w:val="071023CF"/>
    <w:rsid w:val="07650056"/>
    <w:rsid w:val="07AF256F"/>
    <w:rsid w:val="07B319DE"/>
    <w:rsid w:val="07CF5DE6"/>
    <w:rsid w:val="09146E98"/>
    <w:rsid w:val="09210183"/>
    <w:rsid w:val="09540C99"/>
    <w:rsid w:val="09C9501C"/>
    <w:rsid w:val="09CF6AA4"/>
    <w:rsid w:val="09DA6CC4"/>
    <w:rsid w:val="09F9205B"/>
    <w:rsid w:val="0A407F4A"/>
    <w:rsid w:val="0A4648CF"/>
    <w:rsid w:val="0A7E3BC1"/>
    <w:rsid w:val="0AD16353"/>
    <w:rsid w:val="0AF20E23"/>
    <w:rsid w:val="0B0F0128"/>
    <w:rsid w:val="0B5D6924"/>
    <w:rsid w:val="0BB83A54"/>
    <w:rsid w:val="0BE001DA"/>
    <w:rsid w:val="0C0A3890"/>
    <w:rsid w:val="0C53176E"/>
    <w:rsid w:val="0C5E697A"/>
    <w:rsid w:val="0C853969"/>
    <w:rsid w:val="0C92670B"/>
    <w:rsid w:val="0CD9646D"/>
    <w:rsid w:val="0D3C5EE6"/>
    <w:rsid w:val="0D422474"/>
    <w:rsid w:val="0D4D1B24"/>
    <w:rsid w:val="0E047CEB"/>
    <w:rsid w:val="0E130DFA"/>
    <w:rsid w:val="0E843802"/>
    <w:rsid w:val="0E8D65A6"/>
    <w:rsid w:val="0EC6513C"/>
    <w:rsid w:val="0EE7323B"/>
    <w:rsid w:val="0F3330FE"/>
    <w:rsid w:val="0F467E20"/>
    <w:rsid w:val="0F584859"/>
    <w:rsid w:val="0FA02DE0"/>
    <w:rsid w:val="0FB86BA3"/>
    <w:rsid w:val="0FD27814"/>
    <w:rsid w:val="0FE0115B"/>
    <w:rsid w:val="0FF65836"/>
    <w:rsid w:val="104B7BFF"/>
    <w:rsid w:val="105A3D15"/>
    <w:rsid w:val="108160EB"/>
    <w:rsid w:val="108C39E7"/>
    <w:rsid w:val="10B06788"/>
    <w:rsid w:val="10BD494B"/>
    <w:rsid w:val="116B5255"/>
    <w:rsid w:val="1174109F"/>
    <w:rsid w:val="11787836"/>
    <w:rsid w:val="118F6932"/>
    <w:rsid w:val="11973CAE"/>
    <w:rsid w:val="11C542F3"/>
    <w:rsid w:val="122E5DFF"/>
    <w:rsid w:val="129841CB"/>
    <w:rsid w:val="12BF13BC"/>
    <w:rsid w:val="13061C0C"/>
    <w:rsid w:val="13110BFF"/>
    <w:rsid w:val="13301502"/>
    <w:rsid w:val="133631BD"/>
    <w:rsid w:val="136A7EDD"/>
    <w:rsid w:val="13A92C40"/>
    <w:rsid w:val="13E66595"/>
    <w:rsid w:val="14752F62"/>
    <w:rsid w:val="148C1855"/>
    <w:rsid w:val="14AA2DBC"/>
    <w:rsid w:val="15155054"/>
    <w:rsid w:val="15451DDD"/>
    <w:rsid w:val="1553032B"/>
    <w:rsid w:val="155308F6"/>
    <w:rsid w:val="15945CB1"/>
    <w:rsid w:val="15C9656A"/>
    <w:rsid w:val="15CF7AC2"/>
    <w:rsid w:val="15E82EDD"/>
    <w:rsid w:val="16172C53"/>
    <w:rsid w:val="16195FDE"/>
    <w:rsid w:val="16201F02"/>
    <w:rsid w:val="16583AD2"/>
    <w:rsid w:val="16854426"/>
    <w:rsid w:val="16D029A6"/>
    <w:rsid w:val="1714086C"/>
    <w:rsid w:val="17361483"/>
    <w:rsid w:val="1767428D"/>
    <w:rsid w:val="17D17FE1"/>
    <w:rsid w:val="17E864DD"/>
    <w:rsid w:val="180608F8"/>
    <w:rsid w:val="18CD0120"/>
    <w:rsid w:val="19251057"/>
    <w:rsid w:val="196565AA"/>
    <w:rsid w:val="1989126B"/>
    <w:rsid w:val="19A608D2"/>
    <w:rsid w:val="19CB6AA7"/>
    <w:rsid w:val="19E82F2D"/>
    <w:rsid w:val="1A011416"/>
    <w:rsid w:val="1A237C7B"/>
    <w:rsid w:val="1A3A174F"/>
    <w:rsid w:val="1A741A14"/>
    <w:rsid w:val="1AB35309"/>
    <w:rsid w:val="1ACC53B0"/>
    <w:rsid w:val="1B9A401A"/>
    <w:rsid w:val="1BA605CB"/>
    <w:rsid w:val="1BF26197"/>
    <w:rsid w:val="1BF93AFC"/>
    <w:rsid w:val="1C3F1E54"/>
    <w:rsid w:val="1C412AAE"/>
    <w:rsid w:val="1CD22437"/>
    <w:rsid w:val="1D4E2AE9"/>
    <w:rsid w:val="1D530506"/>
    <w:rsid w:val="1DAB4084"/>
    <w:rsid w:val="1DBE7147"/>
    <w:rsid w:val="1DEF6368"/>
    <w:rsid w:val="1DFE6FCD"/>
    <w:rsid w:val="1E152CB3"/>
    <w:rsid w:val="1E1B0ADF"/>
    <w:rsid w:val="1E234FEF"/>
    <w:rsid w:val="1E2D487E"/>
    <w:rsid w:val="1E8A55AA"/>
    <w:rsid w:val="1E997153"/>
    <w:rsid w:val="1EEF0DDB"/>
    <w:rsid w:val="1F095F98"/>
    <w:rsid w:val="1F280323"/>
    <w:rsid w:val="1F3423B7"/>
    <w:rsid w:val="1FC42B64"/>
    <w:rsid w:val="1FCC62D3"/>
    <w:rsid w:val="20214B10"/>
    <w:rsid w:val="2035241D"/>
    <w:rsid w:val="205D447F"/>
    <w:rsid w:val="208244E5"/>
    <w:rsid w:val="208C54F6"/>
    <w:rsid w:val="20A0285A"/>
    <w:rsid w:val="20E65548"/>
    <w:rsid w:val="21060FD7"/>
    <w:rsid w:val="21545676"/>
    <w:rsid w:val="21815F4B"/>
    <w:rsid w:val="21A010F0"/>
    <w:rsid w:val="21C24082"/>
    <w:rsid w:val="21CD1190"/>
    <w:rsid w:val="21DB22DE"/>
    <w:rsid w:val="22125E5D"/>
    <w:rsid w:val="22F94F21"/>
    <w:rsid w:val="22FB4006"/>
    <w:rsid w:val="23052BAC"/>
    <w:rsid w:val="234E65B1"/>
    <w:rsid w:val="23623B5A"/>
    <w:rsid w:val="23883918"/>
    <w:rsid w:val="2439627A"/>
    <w:rsid w:val="24575689"/>
    <w:rsid w:val="249F21F1"/>
    <w:rsid w:val="24C64E94"/>
    <w:rsid w:val="24E30CCB"/>
    <w:rsid w:val="24FC3886"/>
    <w:rsid w:val="252B1339"/>
    <w:rsid w:val="25A20465"/>
    <w:rsid w:val="25DA6D7E"/>
    <w:rsid w:val="25E649EA"/>
    <w:rsid w:val="26081D01"/>
    <w:rsid w:val="260B782F"/>
    <w:rsid w:val="26340A86"/>
    <w:rsid w:val="263952BC"/>
    <w:rsid w:val="267D3601"/>
    <w:rsid w:val="267E05BA"/>
    <w:rsid w:val="26CB2917"/>
    <w:rsid w:val="270205A3"/>
    <w:rsid w:val="270E67C8"/>
    <w:rsid w:val="270F5FE3"/>
    <w:rsid w:val="27464FF0"/>
    <w:rsid w:val="27823EA2"/>
    <w:rsid w:val="27C45A95"/>
    <w:rsid w:val="28354E06"/>
    <w:rsid w:val="28584A86"/>
    <w:rsid w:val="288979C2"/>
    <w:rsid w:val="28C055AB"/>
    <w:rsid w:val="28DB5C1A"/>
    <w:rsid w:val="29044EE7"/>
    <w:rsid w:val="29102574"/>
    <w:rsid w:val="292D2255"/>
    <w:rsid w:val="29401E9D"/>
    <w:rsid w:val="296C2A4F"/>
    <w:rsid w:val="296D02FE"/>
    <w:rsid w:val="298C321D"/>
    <w:rsid w:val="29C1466A"/>
    <w:rsid w:val="29D72057"/>
    <w:rsid w:val="2A040055"/>
    <w:rsid w:val="2A0B4D20"/>
    <w:rsid w:val="2A7A61A0"/>
    <w:rsid w:val="2A8451C8"/>
    <w:rsid w:val="2ABA708D"/>
    <w:rsid w:val="2ACD5C73"/>
    <w:rsid w:val="2B043E08"/>
    <w:rsid w:val="2B2C3635"/>
    <w:rsid w:val="2B363792"/>
    <w:rsid w:val="2B4B5A9E"/>
    <w:rsid w:val="2B822FB7"/>
    <w:rsid w:val="2B9D7E25"/>
    <w:rsid w:val="2BB47753"/>
    <w:rsid w:val="2BCF61F7"/>
    <w:rsid w:val="2BF734FF"/>
    <w:rsid w:val="2CA070EF"/>
    <w:rsid w:val="2CAD5165"/>
    <w:rsid w:val="2CB72DF0"/>
    <w:rsid w:val="2D0013C1"/>
    <w:rsid w:val="2D056147"/>
    <w:rsid w:val="2D422172"/>
    <w:rsid w:val="2D517119"/>
    <w:rsid w:val="2D895A12"/>
    <w:rsid w:val="2D917E1D"/>
    <w:rsid w:val="2D9D6FEC"/>
    <w:rsid w:val="2DD17405"/>
    <w:rsid w:val="2E063E89"/>
    <w:rsid w:val="2E11721B"/>
    <w:rsid w:val="2ED232DC"/>
    <w:rsid w:val="2EEF4EDA"/>
    <w:rsid w:val="2F081A5A"/>
    <w:rsid w:val="2F6A6E98"/>
    <w:rsid w:val="2FB16CA4"/>
    <w:rsid w:val="30144EC2"/>
    <w:rsid w:val="3023594D"/>
    <w:rsid w:val="303073CE"/>
    <w:rsid w:val="304D2ECC"/>
    <w:rsid w:val="30E119FE"/>
    <w:rsid w:val="30F24EA9"/>
    <w:rsid w:val="30F721F2"/>
    <w:rsid w:val="314E77A6"/>
    <w:rsid w:val="3156044E"/>
    <w:rsid w:val="31676BDA"/>
    <w:rsid w:val="31A8218F"/>
    <w:rsid w:val="31C14142"/>
    <w:rsid w:val="32065451"/>
    <w:rsid w:val="324E3C27"/>
    <w:rsid w:val="3334050A"/>
    <w:rsid w:val="33475512"/>
    <w:rsid w:val="33C80504"/>
    <w:rsid w:val="33DA6CFB"/>
    <w:rsid w:val="33E60EE4"/>
    <w:rsid w:val="33F10E1F"/>
    <w:rsid w:val="33F15628"/>
    <w:rsid w:val="348B0379"/>
    <w:rsid w:val="34E72BCD"/>
    <w:rsid w:val="353A18E4"/>
    <w:rsid w:val="35952AEC"/>
    <w:rsid w:val="35AA389E"/>
    <w:rsid w:val="35B704D6"/>
    <w:rsid w:val="35DB7CBD"/>
    <w:rsid w:val="363811E1"/>
    <w:rsid w:val="365C0720"/>
    <w:rsid w:val="36E431AB"/>
    <w:rsid w:val="375D124A"/>
    <w:rsid w:val="379D78BD"/>
    <w:rsid w:val="37D709C5"/>
    <w:rsid w:val="3801771C"/>
    <w:rsid w:val="380753BC"/>
    <w:rsid w:val="380D767A"/>
    <w:rsid w:val="38993E8F"/>
    <w:rsid w:val="38B0065D"/>
    <w:rsid w:val="38B60ECF"/>
    <w:rsid w:val="38C04622"/>
    <w:rsid w:val="38D330D8"/>
    <w:rsid w:val="38E5211B"/>
    <w:rsid w:val="39117A63"/>
    <w:rsid w:val="395922E0"/>
    <w:rsid w:val="396101CC"/>
    <w:rsid w:val="396B3311"/>
    <w:rsid w:val="39A2608B"/>
    <w:rsid w:val="39AB02EF"/>
    <w:rsid w:val="39D23390"/>
    <w:rsid w:val="3A181899"/>
    <w:rsid w:val="3A760F82"/>
    <w:rsid w:val="3ABE1B66"/>
    <w:rsid w:val="3AD75BDB"/>
    <w:rsid w:val="3AD815D7"/>
    <w:rsid w:val="3B9052B1"/>
    <w:rsid w:val="3BE0703A"/>
    <w:rsid w:val="3C0E1570"/>
    <w:rsid w:val="3C186B72"/>
    <w:rsid w:val="3C314001"/>
    <w:rsid w:val="3C3B59DA"/>
    <w:rsid w:val="3C53017F"/>
    <w:rsid w:val="3C8753CF"/>
    <w:rsid w:val="3CB43221"/>
    <w:rsid w:val="3D4906AC"/>
    <w:rsid w:val="3D6F7148"/>
    <w:rsid w:val="3DBF1746"/>
    <w:rsid w:val="3DCD3561"/>
    <w:rsid w:val="3E242A60"/>
    <w:rsid w:val="3E263D11"/>
    <w:rsid w:val="3E26436F"/>
    <w:rsid w:val="3E3B2B85"/>
    <w:rsid w:val="3E47749A"/>
    <w:rsid w:val="3E605436"/>
    <w:rsid w:val="3EB5522B"/>
    <w:rsid w:val="3EE82A03"/>
    <w:rsid w:val="3F281CA4"/>
    <w:rsid w:val="3F8E61EF"/>
    <w:rsid w:val="3FC823B0"/>
    <w:rsid w:val="4004136D"/>
    <w:rsid w:val="4005144C"/>
    <w:rsid w:val="401F56CC"/>
    <w:rsid w:val="402C1113"/>
    <w:rsid w:val="40351070"/>
    <w:rsid w:val="404B17A6"/>
    <w:rsid w:val="40CB4674"/>
    <w:rsid w:val="40EF3A24"/>
    <w:rsid w:val="41050FFA"/>
    <w:rsid w:val="41145433"/>
    <w:rsid w:val="41325446"/>
    <w:rsid w:val="413B7130"/>
    <w:rsid w:val="41ED7B8B"/>
    <w:rsid w:val="41F82507"/>
    <w:rsid w:val="420C3D6E"/>
    <w:rsid w:val="420D6D5B"/>
    <w:rsid w:val="424109D0"/>
    <w:rsid w:val="425C3BBE"/>
    <w:rsid w:val="426551F3"/>
    <w:rsid w:val="42835EF4"/>
    <w:rsid w:val="42990C13"/>
    <w:rsid w:val="429A3B51"/>
    <w:rsid w:val="42A91C31"/>
    <w:rsid w:val="436A002C"/>
    <w:rsid w:val="43C502C9"/>
    <w:rsid w:val="4407612D"/>
    <w:rsid w:val="448970B3"/>
    <w:rsid w:val="44CA405D"/>
    <w:rsid w:val="44D5474C"/>
    <w:rsid w:val="44D73F50"/>
    <w:rsid w:val="44DA09F4"/>
    <w:rsid w:val="44F56185"/>
    <w:rsid w:val="450D5D22"/>
    <w:rsid w:val="451A4E57"/>
    <w:rsid w:val="462E4E72"/>
    <w:rsid w:val="467313EF"/>
    <w:rsid w:val="467F5037"/>
    <w:rsid w:val="4690622E"/>
    <w:rsid w:val="46BC17F8"/>
    <w:rsid w:val="46EE732F"/>
    <w:rsid w:val="46F42577"/>
    <w:rsid w:val="47017063"/>
    <w:rsid w:val="470864C7"/>
    <w:rsid w:val="475876F0"/>
    <w:rsid w:val="477B0E32"/>
    <w:rsid w:val="47947446"/>
    <w:rsid w:val="47A00C06"/>
    <w:rsid w:val="481B56EC"/>
    <w:rsid w:val="482F4D73"/>
    <w:rsid w:val="48494406"/>
    <w:rsid w:val="48605DBF"/>
    <w:rsid w:val="48632718"/>
    <w:rsid w:val="489C2AAD"/>
    <w:rsid w:val="48BA396D"/>
    <w:rsid w:val="48FD1EA1"/>
    <w:rsid w:val="4907000F"/>
    <w:rsid w:val="4911002D"/>
    <w:rsid w:val="491714BC"/>
    <w:rsid w:val="495F26F7"/>
    <w:rsid w:val="49725D2E"/>
    <w:rsid w:val="49E24538"/>
    <w:rsid w:val="49E56247"/>
    <w:rsid w:val="49FA46A4"/>
    <w:rsid w:val="4A3B3251"/>
    <w:rsid w:val="4A8E7B4C"/>
    <w:rsid w:val="4A98308A"/>
    <w:rsid w:val="4AE35690"/>
    <w:rsid w:val="4AEA3692"/>
    <w:rsid w:val="4B176810"/>
    <w:rsid w:val="4B2A7DB1"/>
    <w:rsid w:val="4B6D54F7"/>
    <w:rsid w:val="4B711D52"/>
    <w:rsid w:val="4B7863E3"/>
    <w:rsid w:val="4BA803F5"/>
    <w:rsid w:val="4BB84AAD"/>
    <w:rsid w:val="4BC86423"/>
    <w:rsid w:val="4BEE4292"/>
    <w:rsid w:val="4BEF52BA"/>
    <w:rsid w:val="4C097D0C"/>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366C19"/>
    <w:rsid w:val="50844865"/>
    <w:rsid w:val="50871D27"/>
    <w:rsid w:val="50941B63"/>
    <w:rsid w:val="50B362D0"/>
    <w:rsid w:val="51007368"/>
    <w:rsid w:val="51B87694"/>
    <w:rsid w:val="51BC4C86"/>
    <w:rsid w:val="51CB5293"/>
    <w:rsid w:val="51D51F41"/>
    <w:rsid w:val="51E1640E"/>
    <w:rsid w:val="51FB09CD"/>
    <w:rsid w:val="51FC0E44"/>
    <w:rsid w:val="520D74BE"/>
    <w:rsid w:val="522377D2"/>
    <w:rsid w:val="522E14A8"/>
    <w:rsid w:val="52421C4A"/>
    <w:rsid w:val="52927AA2"/>
    <w:rsid w:val="52CE11C4"/>
    <w:rsid w:val="52F81F7A"/>
    <w:rsid w:val="530E3233"/>
    <w:rsid w:val="531D61F2"/>
    <w:rsid w:val="533F163E"/>
    <w:rsid w:val="53532B6D"/>
    <w:rsid w:val="538B1E69"/>
    <w:rsid w:val="53A33D6A"/>
    <w:rsid w:val="53AA00CD"/>
    <w:rsid w:val="541615DB"/>
    <w:rsid w:val="547A6F07"/>
    <w:rsid w:val="54EE0901"/>
    <w:rsid w:val="553354D0"/>
    <w:rsid w:val="553F29A4"/>
    <w:rsid w:val="559476AD"/>
    <w:rsid w:val="55992AE1"/>
    <w:rsid w:val="55AA6CC4"/>
    <w:rsid w:val="55AD2D00"/>
    <w:rsid w:val="55B2224E"/>
    <w:rsid w:val="55BF7B5D"/>
    <w:rsid w:val="55E069DD"/>
    <w:rsid w:val="56266A73"/>
    <w:rsid w:val="562C7824"/>
    <w:rsid w:val="56A11062"/>
    <w:rsid w:val="56DE4DCD"/>
    <w:rsid w:val="56F2180E"/>
    <w:rsid w:val="570B4460"/>
    <w:rsid w:val="570B7614"/>
    <w:rsid w:val="57482A8C"/>
    <w:rsid w:val="5751384D"/>
    <w:rsid w:val="57B07009"/>
    <w:rsid w:val="57E6738D"/>
    <w:rsid w:val="581D1E3C"/>
    <w:rsid w:val="582E0416"/>
    <w:rsid w:val="588A5924"/>
    <w:rsid w:val="58B7301E"/>
    <w:rsid w:val="58CD607B"/>
    <w:rsid w:val="58FE6895"/>
    <w:rsid w:val="59091DA7"/>
    <w:rsid w:val="590F16C3"/>
    <w:rsid w:val="5918653E"/>
    <w:rsid w:val="59223A64"/>
    <w:rsid w:val="593C66F4"/>
    <w:rsid w:val="59AD3E0E"/>
    <w:rsid w:val="59C6630F"/>
    <w:rsid w:val="59F35F3A"/>
    <w:rsid w:val="5A4C5F01"/>
    <w:rsid w:val="5A710EBE"/>
    <w:rsid w:val="5A7A2220"/>
    <w:rsid w:val="5AB665E6"/>
    <w:rsid w:val="5B1F10EA"/>
    <w:rsid w:val="5B6523ED"/>
    <w:rsid w:val="5B7A63DB"/>
    <w:rsid w:val="5B9B6396"/>
    <w:rsid w:val="5BE676FB"/>
    <w:rsid w:val="5BF8682E"/>
    <w:rsid w:val="5C0977AC"/>
    <w:rsid w:val="5C21053F"/>
    <w:rsid w:val="5C38462F"/>
    <w:rsid w:val="5D544350"/>
    <w:rsid w:val="5D6319B2"/>
    <w:rsid w:val="5D74263F"/>
    <w:rsid w:val="5D91187F"/>
    <w:rsid w:val="5DF42546"/>
    <w:rsid w:val="5DF55A45"/>
    <w:rsid w:val="5E3302C0"/>
    <w:rsid w:val="5E525F9E"/>
    <w:rsid w:val="5E9706DB"/>
    <w:rsid w:val="5EF04098"/>
    <w:rsid w:val="5F7A7D2B"/>
    <w:rsid w:val="5F88756C"/>
    <w:rsid w:val="5F954394"/>
    <w:rsid w:val="5F99009B"/>
    <w:rsid w:val="5FCD3B2E"/>
    <w:rsid w:val="5FD37252"/>
    <w:rsid w:val="5FE64BF0"/>
    <w:rsid w:val="5FEF619A"/>
    <w:rsid w:val="600A7C53"/>
    <w:rsid w:val="60207A49"/>
    <w:rsid w:val="6048114B"/>
    <w:rsid w:val="605A1055"/>
    <w:rsid w:val="605B54B8"/>
    <w:rsid w:val="608E35C3"/>
    <w:rsid w:val="60C213F0"/>
    <w:rsid w:val="60EB7DAD"/>
    <w:rsid w:val="611B477F"/>
    <w:rsid w:val="613C4878"/>
    <w:rsid w:val="615118C0"/>
    <w:rsid w:val="617252BB"/>
    <w:rsid w:val="619066B6"/>
    <w:rsid w:val="619C02D4"/>
    <w:rsid w:val="61B96A60"/>
    <w:rsid w:val="61D513C0"/>
    <w:rsid w:val="61F361F9"/>
    <w:rsid w:val="61F54E8E"/>
    <w:rsid w:val="620745A3"/>
    <w:rsid w:val="620D389C"/>
    <w:rsid w:val="627E42C3"/>
    <w:rsid w:val="62841E4A"/>
    <w:rsid w:val="628644E2"/>
    <w:rsid w:val="62E967AF"/>
    <w:rsid w:val="630A741E"/>
    <w:rsid w:val="636F0714"/>
    <w:rsid w:val="637468FE"/>
    <w:rsid w:val="63CD6237"/>
    <w:rsid w:val="63E04B73"/>
    <w:rsid w:val="63EC7A2E"/>
    <w:rsid w:val="63F7561D"/>
    <w:rsid w:val="647D77EC"/>
    <w:rsid w:val="649002A8"/>
    <w:rsid w:val="649C037C"/>
    <w:rsid w:val="64BC7486"/>
    <w:rsid w:val="64D85DCB"/>
    <w:rsid w:val="64E450B9"/>
    <w:rsid w:val="64E96674"/>
    <w:rsid w:val="653319F2"/>
    <w:rsid w:val="6544741A"/>
    <w:rsid w:val="656869CD"/>
    <w:rsid w:val="65AD7695"/>
    <w:rsid w:val="65B7493A"/>
    <w:rsid w:val="65BD1259"/>
    <w:rsid w:val="65CC69C8"/>
    <w:rsid w:val="65D1103F"/>
    <w:rsid w:val="661526EC"/>
    <w:rsid w:val="66477CF7"/>
    <w:rsid w:val="66741C04"/>
    <w:rsid w:val="66804CE0"/>
    <w:rsid w:val="66936A04"/>
    <w:rsid w:val="66A479F2"/>
    <w:rsid w:val="66B17B8A"/>
    <w:rsid w:val="66B4253F"/>
    <w:rsid w:val="670A28D3"/>
    <w:rsid w:val="671E4967"/>
    <w:rsid w:val="673D4E61"/>
    <w:rsid w:val="67854AA5"/>
    <w:rsid w:val="679B01F2"/>
    <w:rsid w:val="680F4B23"/>
    <w:rsid w:val="681177DB"/>
    <w:rsid w:val="682E182A"/>
    <w:rsid w:val="686B4EF9"/>
    <w:rsid w:val="688F2159"/>
    <w:rsid w:val="68A13DAA"/>
    <w:rsid w:val="68C0684E"/>
    <w:rsid w:val="68F43E75"/>
    <w:rsid w:val="68F52313"/>
    <w:rsid w:val="690B2BC3"/>
    <w:rsid w:val="691800E0"/>
    <w:rsid w:val="693634DB"/>
    <w:rsid w:val="69590A12"/>
    <w:rsid w:val="69605D0A"/>
    <w:rsid w:val="699E14D7"/>
    <w:rsid w:val="69C24462"/>
    <w:rsid w:val="69C41DE7"/>
    <w:rsid w:val="69DB25A5"/>
    <w:rsid w:val="6A2A2BAD"/>
    <w:rsid w:val="6A483EC8"/>
    <w:rsid w:val="6A791071"/>
    <w:rsid w:val="6ACA3056"/>
    <w:rsid w:val="6ACB55EB"/>
    <w:rsid w:val="6AE05BA5"/>
    <w:rsid w:val="6B13473A"/>
    <w:rsid w:val="6B1B6095"/>
    <w:rsid w:val="6B4C0418"/>
    <w:rsid w:val="6B571085"/>
    <w:rsid w:val="6BDB6883"/>
    <w:rsid w:val="6BE61923"/>
    <w:rsid w:val="6BEA3CBA"/>
    <w:rsid w:val="6C091931"/>
    <w:rsid w:val="6C134FBF"/>
    <w:rsid w:val="6C2E5844"/>
    <w:rsid w:val="6C4E3D3A"/>
    <w:rsid w:val="6C5A7A8C"/>
    <w:rsid w:val="6C853898"/>
    <w:rsid w:val="6CB917F8"/>
    <w:rsid w:val="6D125276"/>
    <w:rsid w:val="6D6462AF"/>
    <w:rsid w:val="6D91060A"/>
    <w:rsid w:val="6DA877B4"/>
    <w:rsid w:val="6DF62CED"/>
    <w:rsid w:val="6DF92A3D"/>
    <w:rsid w:val="6E2214E9"/>
    <w:rsid w:val="6E24245A"/>
    <w:rsid w:val="6E8201DA"/>
    <w:rsid w:val="6E8E2821"/>
    <w:rsid w:val="6E9A5523"/>
    <w:rsid w:val="6EB365E5"/>
    <w:rsid w:val="6EE851AF"/>
    <w:rsid w:val="6F4A6F49"/>
    <w:rsid w:val="6FA64B95"/>
    <w:rsid w:val="6FB928E3"/>
    <w:rsid w:val="6FFF3DBF"/>
    <w:rsid w:val="705C5AA3"/>
    <w:rsid w:val="70696998"/>
    <w:rsid w:val="707E1D6A"/>
    <w:rsid w:val="70904E1F"/>
    <w:rsid w:val="70980188"/>
    <w:rsid w:val="70A441BE"/>
    <w:rsid w:val="70DB1624"/>
    <w:rsid w:val="70EB650A"/>
    <w:rsid w:val="71311313"/>
    <w:rsid w:val="714479C8"/>
    <w:rsid w:val="71754026"/>
    <w:rsid w:val="71860207"/>
    <w:rsid w:val="71C249C8"/>
    <w:rsid w:val="722E0C82"/>
    <w:rsid w:val="72696601"/>
    <w:rsid w:val="72A37F56"/>
    <w:rsid w:val="72AA634E"/>
    <w:rsid w:val="72D45938"/>
    <w:rsid w:val="72DA160D"/>
    <w:rsid w:val="72E85665"/>
    <w:rsid w:val="72F24FF2"/>
    <w:rsid w:val="72F53670"/>
    <w:rsid w:val="73131704"/>
    <w:rsid w:val="73226B5C"/>
    <w:rsid w:val="734C56DF"/>
    <w:rsid w:val="73615290"/>
    <w:rsid w:val="73C3657C"/>
    <w:rsid w:val="73DD5C03"/>
    <w:rsid w:val="740D6106"/>
    <w:rsid w:val="74120664"/>
    <w:rsid w:val="745C7889"/>
    <w:rsid w:val="757D7AEA"/>
    <w:rsid w:val="7581743D"/>
    <w:rsid w:val="76230C32"/>
    <w:rsid w:val="768E38C7"/>
    <w:rsid w:val="76BC1C52"/>
    <w:rsid w:val="76BD4B40"/>
    <w:rsid w:val="76F617D3"/>
    <w:rsid w:val="772D65F7"/>
    <w:rsid w:val="77AB7A17"/>
    <w:rsid w:val="788A6982"/>
    <w:rsid w:val="78B95140"/>
    <w:rsid w:val="794C6E87"/>
    <w:rsid w:val="797D1C3E"/>
    <w:rsid w:val="799C7DE8"/>
    <w:rsid w:val="79B42286"/>
    <w:rsid w:val="79C773E8"/>
    <w:rsid w:val="79D8041A"/>
    <w:rsid w:val="79DB0D33"/>
    <w:rsid w:val="7A5A101B"/>
    <w:rsid w:val="7A6C7BE6"/>
    <w:rsid w:val="7A7F247F"/>
    <w:rsid w:val="7A915E47"/>
    <w:rsid w:val="7A950CD9"/>
    <w:rsid w:val="7AE555B6"/>
    <w:rsid w:val="7B0E3521"/>
    <w:rsid w:val="7B612B29"/>
    <w:rsid w:val="7B83427F"/>
    <w:rsid w:val="7B9B0B33"/>
    <w:rsid w:val="7BC71E36"/>
    <w:rsid w:val="7BCF7DD2"/>
    <w:rsid w:val="7C4C031C"/>
    <w:rsid w:val="7C5333B1"/>
    <w:rsid w:val="7CA2385F"/>
    <w:rsid w:val="7CAD1877"/>
    <w:rsid w:val="7CD614CC"/>
    <w:rsid w:val="7D036358"/>
    <w:rsid w:val="7D6320BF"/>
    <w:rsid w:val="7D882BC9"/>
    <w:rsid w:val="7D8D0561"/>
    <w:rsid w:val="7D9E6C0D"/>
    <w:rsid w:val="7E085FEC"/>
    <w:rsid w:val="7E0F2462"/>
    <w:rsid w:val="7E1D02EF"/>
    <w:rsid w:val="7E4B7D96"/>
    <w:rsid w:val="7E513A34"/>
    <w:rsid w:val="7E5C0A47"/>
    <w:rsid w:val="7EC04EE3"/>
    <w:rsid w:val="7ED40F43"/>
    <w:rsid w:val="7EF44B03"/>
    <w:rsid w:val="7EFA2E85"/>
    <w:rsid w:val="7F981085"/>
    <w:rsid w:val="7FBC5902"/>
    <w:rsid w:val="7FF73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5"/>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3">
    <w:name w:val="heading 2"/>
    <w:basedOn w:val="1"/>
    <w:next w:val="1"/>
    <w:link w:val="56"/>
    <w:autoRedefine/>
    <w:unhideWhenUsed/>
    <w:qFormat/>
    <w:uiPriority w:val="99"/>
    <w:pPr>
      <w:keepNext/>
      <w:keepLines/>
      <w:numPr>
        <w:ilvl w:val="1"/>
        <w:numId w:val="1"/>
      </w:numPr>
      <w:tabs>
        <w:tab w:val="left" w:pos="0"/>
      </w:tabs>
      <w:ind w:left="575" w:hanging="575" w:firstLineChars="0"/>
      <w:jc w:val="left"/>
      <w:outlineLvl w:val="1"/>
    </w:pPr>
    <w:rPr>
      <w:rFonts w:cstheme="majorBidi"/>
      <w:bCs/>
      <w:sz w:val="28"/>
      <w:szCs w:val="32"/>
    </w:rPr>
  </w:style>
  <w:style w:type="paragraph" w:styleId="4">
    <w:name w:val="heading 3"/>
    <w:basedOn w:val="3"/>
    <w:next w:val="1"/>
    <w:link w:val="57"/>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basedOn w:val="1"/>
    <w:next w:val="1"/>
    <w:link w:val="58"/>
    <w:unhideWhenUsed/>
    <w:qFormat/>
    <w:uiPriority w:val="9"/>
    <w:pPr>
      <w:numPr>
        <w:ilvl w:val="3"/>
        <w:numId w:val="1"/>
      </w:numPr>
      <w:tabs>
        <w:tab w:val="left" w:pos="0"/>
      </w:tabs>
      <w:ind w:left="864" w:hanging="864" w:firstLineChars="0"/>
      <w:outlineLvl w:val="3"/>
    </w:pPr>
  </w:style>
  <w:style w:type="paragraph" w:styleId="6">
    <w:name w:val="heading 5"/>
    <w:basedOn w:val="1"/>
    <w:next w:val="1"/>
    <w:link w:val="54"/>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7">
    <w:name w:val="heading 6"/>
    <w:basedOn w:val="1"/>
    <w:next w:val="1"/>
    <w:link w:val="123"/>
    <w:unhideWhenUsed/>
    <w:qFormat/>
    <w:uiPriority w:val="9"/>
    <w:pPr>
      <w:numPr>
        <w:ilvl w:val="5"/>
        <w:numId w:val="1"/>
      </w:numPr>
      <w:ind w:left="1151" w:hanging="1151" w:firstLineChars="0"/>
      <w:outlineLvl w:val="5"/>
    </w:pPr>
    <w:rPr>
      <w:b/>
    </w:rPr>
  </w:style>
  <w:style w:type="paragraph" w:styleId="8">
    <w:name w:val="heading 7"/>
    <w:basedOn w:val="1"/>
    <w:next w:val="1"/>
    <w:link w:val="59"/>
    <w:unhideWhenUsed/>
    <w:qFormat/>
    <w:uiPriority w:val="0"/>
    <w:pPr>
      <w:keepNext/>
      <w:keepLines/>
      <w:numPr>
        <w:ilvl w:val="6"/>
        <w:numId w:val="1"/>
      </w:numPr>
      <w:ind w:left="1296" w:hanging="1296" w:firstLineChars="0"/>
      <w:outlineLvl w:val="6"/>
    </w:pPr>
    <w:rPr>
      <w:b/>
      <w:bCs/>
      <w:szCs w:val="24"/>
    </w:rPr>
  </w:style>
  <w:style w:type="paragraph" w:styleId="9">
    <w:name w:val="heading 8"/>
    <w:basedOn w:val="1"/>
    <w:next w:val="1"/>
    <w:link w:val="60"/>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0">
    <w:name w:val="heading 9"/>
    <w:basedOn w:val="1"/>
    <w:next w:val="1"/>
    <w:link w:val="113"/>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next w:val="13"/>
    <w:link w:val="317"/>
    <w:qFormat/>
    <w:uiPriority w:val="0"/>
    <w:pPr>
      <w:ind w:firstLine="420"/>
    </w:pPr>
    <w:rPr>
      <w:rFonts w:ascii="Calibri" w:hAnsi="Calibri"/>
      <w:szCs w:val="22"/>
    </w:rPr>
  </w:style>
  <w:style w:type="paragraph" w:styleId="13">
    <w:name w:val="Body Text First Indent"/>
    <w:basedOn w:val="14"/>
    <w:next w:val="1"/>
    <w:link w:val="62"/>
    <w:unhideWhenUsed/>
    <w:qFormat/>
    <w:uiPriority w:val="0"/>
    <w:pPr>
      <w:spacing w:before="154"/>
      <w:ind w:left="121" w:firstLine="420" w:firstLineChars="100"/>
    </w:pPr>
    <w:rPr>
      <w:rFonts w:hint="eastAsia" w:ascii="仿宋" w:hAnsi="仿宋" w:eastAsia="仿宋"/>
      <w:szCs w:val="21"/>
    </w:rPr>
  </w:style>
  <w:style w:type="paragraph" w:styleId="14">
    <w:name w:val="Body Text"/>
    <w:basedOn w:val="1"/>
    <w:next w:val="1"/>
    <w:link w:val="61"/>
    <w:autoRedefine/>
    <w:unhideWhenUsed/>
    <w:qFormat/>
    <w:uiPriority w:val="0"/>
    <w:pPr>
      <w:ind w:firstLine="560"/>
    </w:pPr>
    <w:rPr>
      <w:szCs w:val="24"/>
    </w:rPr>
  </w:style>
  <w:style w:type="paragraph" w:styleId="15">
    <w:name w:val="caption"/>
    <w:basedOn w:val="1"/>
    <w:next w:val="16"/>
    <w:link w:val="63"/>
    <w:autoRedefine/>
    <w:unhideWhenUsed/>
    <w:qFormat/>
    <w:uiPriority w:val="35"/>
    <w:pPr>
      <w:spacing w:line="240" w:lineRule="auto"/>
      <w:ind w:firstLine="0" w:firstLineChars="0"/>
      <w:jc w:val="center"/>
    </w:pPr>
    <w:rPr>
      <w:rFonts w:cstheme="majorBidi"/>
      <w:b/>
      <w:sz w:val="21"/>
      <w:szCs w:val="20"/>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next w:val="1"/>
    <w:link w:val="184"/>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Document Map"/>
    <w:basedOn w:val="1"/>
    <w:link w:val="155"/>
    <w:unhideWhenUsed/>
    <w:qFormat/>
    <w:uiPriority w:val="99"/>
    <w:rPr>
      <w:rFonts w:ascii="Microsoft YaHei UI" w:eastAsia="Microsoft YaHei UI"/>
      <w:sz w:val="18"/>
      <w:szCs w:val="18"/>
    </w:rPr>
  </w:style>
  <w:style w:type="paragraph" w:styleId="19">
    <w:name w:val="annotation text"/>
    <w:basedOn w:val="1"/>
    <w:link w:val="64"/>
    <w:autoRedefine/>
    <w:unhideWhenUsed/>
    <w:qFormat/>
    <w:uiPriority w:val="0"/>
    <w:pPr>
      <w:jc w:val="left"/>
    </w:pPr>
  </w:style>
  <w:style w:type="paragraph" w:styleId="20">
    <w:name w:val="Body Text 3"/>
    <w:basedOn w:val="1"/>
    <w:link w:val="206"/>
    <w:autoRedefine/>
    <w:qFormat/>
    <w:uiPriority w:val="0"/>
    <w:pPr>
      <w:adjustRightInd w:val="0"/>
      <w:snapToGrid w:val="0"/>
      <w:ind w:firstLine="663" w:firstLineChars="150"/>
      <w:jc w:val="left"/>
    </w:pPr>
    <w:rPr>
      <w:szCs w:val="24"/>
    </w:rPr>
  </w:style>
  <w:style w:type="paragraph" w:styleId="21">
    <w:name w:val="Body Text Indent"/>
    <w:basedOn w:val="1"/>
    <w:next w:val="22"/>
    <w:link w:val="330"/>
    <w:autoRedefine/>
    <w:unhideWhenUsed/>
    <w:qFormat/>
    <w:uiPriority w:val="0"/>
    <w:pPr>
      <w:adjustRightInd w:val="0"/>
      <w:snapToGrid w:val="0"/>
      <w:ind w:firstLine="560"/>
    </w:pPr>
    <w:rPr>
      <w:color w:val="000000"/>
      <w:sz w:val="28"/>
      <w:szCs w:val="24"/>
    </w:rPr>
  </w:style>
  <w:style w:type="paragraph" w:customStyle="1" w:styleId="22">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23">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4">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5">
    <w:name w:val="Plain Text"/>
    <w:basedOn w:val="1"/>
    <w:link w:val="207"/>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6">
    <w:name w:val="toc 8"/>
    <w:basedOn w:val="1"/>
    <w:next w:val="1"/>
    <w:unhideWhenUsed/>
    <w:qFormat/>
    <w:uiPriority w:val="39"/>
    <w:pPr>
      <w:ind w:left="1680"/>
      <w:jc w:val="left"/>
    </w:pPr>
    <w:rPr>
      <w:rFonts w:asciiTheme="minorHAnsi" w:hAnsiTheme="minorHAnsi" w:cstheme="minorHAnsi"/>
      <w:sz w:val="18"/>
      <w:szCs w:val="18"/>
    </w:rPr>
  </w:style>
  <w:style w:type="paragraph" w:styleId="27">
    <w:name w:val="Date"/>
    <w:basedOn w:val="1"/>
    <w:next w:val="1"/>
    <w:link w:val="156"/>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8">
    <w:name w:val="Body Text Indent 2"/>
    <w:basedOn w:val="1"/>
    <w:link w:val="208"/>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9">
    <w:name w:val="Balloon Text"/>
    <w:basedOn w:val="1"/>
    <w:link w:val="106"/>
    <w:unhideWhenUsed/>
    <w:qFormat/>
    <w:uiPriority w:val="0"/>
    <w:pPr>
      <w:spacing w:line="240" w:lineRule="auto"/>
    </w:pPr>
    <w:rPr>
      <w:sz w:val="18"/>
      <w:szCs w:val="18"/>
    </w:rPr>
  </w:style>
  <w:style w:type="paragraph" w:styleId="30">
    <w:name w:val="footer"/>
    <w:basedOn w:val="1"/>
    <w:link w:val="65"/>
    <w:autoRedefine/>
    <w:unhideWhenUsed/>
    <w:qFormat/>
    <w:uiPriority w:val="99"/>
    <w:pPr>
      <w:tabs>
        <w:tab w:val="center" w:pos="4153"/>
        <w:tab w:val="right" w:pos="8306"/>
      </w:tabs>
      <w:snapToGrid w:val="0"/>
      <w:jc w:val="left"/>
    </w:pPr>
    <w:rPr>
      <w:sz w:val="21"/>
      <w:szCs w:val="18"/>
    </w:rPr>
  </w:style>
  <w:style w:type="paragraph" w:styleId="31">
    <w:name w:val="header"/>
    <w:basedOn w:val="1"/>
    <w:link w:val="66"/>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2">
    <w:name w:val="toc 1"/>
    <w:basedOn w:val="1"/>
    <w:next w:val="1"/>
    <w:link w:val="235"/>
    <w:autoRedefine/>
    <w:unhideWhenUsed/>
    <w:qFormat/>
    <w:uiPriority w:val="39"/>
    <w:pPr>
      <w:ind w:firstLine="0" w:firstLineChars="0"/>
      <w:jc w:val="center"/>
    </w:pPr>
    <w:rPr>
      <w:rFonts w:cstheme="minorHAnsi"/>
      <w:bCs/>
      <w:caps/>
      <w:szCs w:val="20"/>
    </w:rPr>
  </w:style>
  <w:style w:type="paragraph" w:styleId="33">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4">
    <w:name w:val="Subtitle"/>
    <w:basedOn w:val="1"/>
    <w:next w:val="1"/>
    <w:link w:val="120"/>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5">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6">
    <w:name w:val="Body Text Indent 3"/>
    <w:basedOn w:val="1"/>
    <w:link w:val="209"/>
    <w:autoRedefine/>
    <w:qFormat/>
    <w:uiPriority w:val="0"/>
    <w:pPr>
      <w:adjustRightInd w:val="0"/>
      <w:snapToGrid w:val="0"/>
      <w:spacing w:after="120"/>
      <w:ind w:left="420" w:leftChars="200" w:firstLine="883"/>
    </w:pPr>
    <w:rPr>
      <w:sz w:val="16"/>
      <w:szCs w:val="16"/>
    </w:rPr>
  </w:style>
  <w:style w:type="paragraph" w:styleId="37">
    <w:name w:val="toc 2"/>
    <w:basedOn w:val="1"/>
    <w:next w:val="1"/>
    <w:unhideWhenUsed/>
    <w:qFormat/>
    <w:uiPriority w:val="39"/>
    <w:rPr>
      <w:rFonts w:cstheme="minorHAnsi"/>
      <w:smallCaps/>
      <w:szCs w:val="20"/>
    </w:rPr>
  </w:style>
  <w:style w:type="paragraph" w:styleId="38">
    <w:name w:val="toc 9"/>
    <w:basedOn w:val="1"/>
    <w:next w:val="1"/>
    <w:unhideWhenUsed/>
    <w:qFormat/>
    <w:uiPriority w:val="39"/>
    <w:pPr>
      <w:ind w:left="1920"/>
      <w:jc w:val="left"/>
    </w:pPr>
    <w:rPr>
      <w:rFonts w:asciiTheme="minorHAnsi" w:hAnsiTheme="minorHAnsi" w:cstheme="minorHAnsi"/>
      <w:sz w:val="18"/>
      <w:szCs w:val="18"/>
    </w:rPr>
  </w:style>
  <w:style w:type="paragraph" w:styleId="39">
    <w:name w:val="Body Text 2"/>
    <w:basedOn w:val="1"/>
    <w:link w:val="67"/>
    <w:unhideWhenUsed/>
    <w:qFormat/>
    <w:uiPriority w:val="0"/>
    <w:pPr>
      <w:jc w:val="center"/>
    </w:pPr>
  </w:style>
  <w:style w:type="paragraph" w:styleId="40">
    <w:name w:val="Normal (Web)"/>
    <w:basedOn w:val="1"/>
    <w:link w:val="137"/>
    <w:qFormat/>
    <w:uiPriority w:val="99"/>
    <w:pPr>
      <w:widowControl/>
      <w:spacing w:before="100" w:beforeAutospacing="1" w:after="100" w:afterAutospacing="1" w:line="320" w:lineRule="atLeast"/>
      <w:jc w:val="left"/>
    </w:pPr>
    <w:rPr>
      <w:color w:val="000000"/>
      <w:kern w:val="0"/>
      <w:sz w:val="14"/>
      <w:szCs w:val="20"/>
    </w:rPr>
  </w:style>
  <w:style w:type="paragraph" w:styleId="41">
    <w:name w:val="Title"/>
    <w:basedOn w:val="1"/>
    <w:next w:val="1"/>
    <w:link w:val="210"/>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2">
    <w:name w:val="annotation subject"/>
    <w:basedOn w:val="19"/>
    <w:next w:val="19"/>
    <w:link w:val="68"/>
    <w:unhideWhenUsed/>
    <w:qFormat/>
    <w:uiPriority w:val="0"/>
    <w:rPr>
      <w:b/>
      <w:bCs/>
    </w:rPr>
  </w:style>
  <w:style w:type="paragraph" w:styleId="43">
    <w:name w:val="Body Text First Indent 2"/>
    <w:basedOn w:val="21"/>
    <w:link w:val="331"/>
    <w:unhideWhenUsed/>
    <w:qFormat/>
    <w:uiPriority w:val="0"/>
    <w:pPr>
      <w:ind w:firstLine="420"/>
    </w:pPr>
    <w:rPr>
      <w:sz w:val="24"/>
    </w:r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Hyperlink"/>
    <w:basedOn w:val="46"/>
    <w:unhideWhenUsed/>
    <w:qFormat/>
    <w:uiPriority w:val="99"/>
    <w:rPr>
      <w:color w:val="0000FF" w:themeColor="hyperlink"/>
      <w:u w:val="single"/>
      <w14:textFill>
        <w14:solidFill>
          <w14:schemeClr w14:val="hlink"/>
        </w14:solidFill>
      </w14:textFill>
    </w:rPr>
  </w:style>
  <w:style w:type="character" w:styleId="51">
    <w:name w:val="annotation reference"/>
    <w:basedOn w:val="46"/>
    <w:unhideWhenUsed/>
    <w:qFormat/>
    <w:uiPriority w:val="0"/>
    <w:rPr>
      <w:sz w:val="21"/>
      <w:szCs w:val="21"/>
    </w:rPr>
  </w:style>
  <w:style w:type="paragraph" w:customStyle="1" w:styleId="52">
    <w:name w:val="基准-无缩进"/>
    <w:basedOn w:val="4"/>
    <w:qFormat/>
    <w:uiPriority w:val="0"/>
    <w:pPr>
      <w:numPr>
        <w:ilvl w:val="0"/>
        <w:numId w:val="0"/>
      </w:numPr>
    </w:pPr>
  </w:style>
  <w:style w:type="paragraph" w:customStyle="1" w:styleId="53">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54">
    <w:name w:val="标题 5 字符"/>
    <w:basedOn w:val="46"/>
    <w:link w:val="6"/>
    <w:qFormat/>
    <w:uiPriority w:val="0"/>
    <w:rPr>
      <w:rFonts w:ascii="Times New Roman" w:hAnsi="Times New Roman" w:eastAsia="宋体"/>
      <w:bCs/>
      <w:kern w:val="2"/>
      <w:sz w:val="24"/>
      <w:szCs w:val="28"/>
    </w:rPr>
  </w:style>
  <w:style w:type="character" w:customStyle="1" w:styleId="55">
    <w:name w:val="标题 1 字符"/>
    <w:basedOn w:val="46"/>
    <w:link w:val="2"/>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6">
    <w:name w:val="标题 2 字符"/>
    <w:link w:val="3"/>
    <w:qFormat/>
    <w:uiPriority w:val="9"/>
    <w:rPr>
      <w:rFonts w:ascii="Times New Roman" w:hAnsi="Times New Roman" w:eastAsia="宋体" w:cstheme="majorBidi"/>
      <w:bCs/>
      <w:kern w:val="2"/>
      <w:sz w:val="28"/>
      <w:szCs w:val="32"/>
      <w:lang w:val="en-US" w:eastAsia="zh-CN" w:bidi="ar-SA"/>
    </w:rPr>
  </w:style>
  <w:style w:type="character" w:customStyle="1" w:styleId="57">
    <w:name w:val="标题 3 字符"/>
    <w:basedOn w:val="46"/>
    <w:link w:val="4"/>
    <w:qFormat/>
    <w:uiPriority w:val="9"/>
    <w:rPr>
      <w:rFonts w:ascii="Times New Roman" w:hAnsi="Times New Roman" w:eastAsia="宋体"/>
      <w:bCs/>
      <w:kern w:val="2"/>
      <w:sz w:val="24"/>
      <w:szCs w:val="24"/>
    </w:rPr>
  </w:style>
  <w:style w:type="character" w:customStyle="1" w:styleId="58">
    <w:name w:val="标题 4 字符"/>
    <w:basedOn w:val="46"/>
    <w:link w:val="5"/>
    <w:qFormat/>
    <w:uiPriority w:val="9"/>
    <w:rPr>
      <w:b/>
      <w:bCs/>
      <w:kern w:val="2"/>
      <w:sz w:val="24"/>
      <w:szCs w:val="24"/>
    </w:rPr>
  </w:style>
  <w:style w:type="character" w:customStyle="1" w:styleId="59">
    <w:name w:val="标题 7 字符"/>
    <w:basedOn w:val="46"/>
    <w:link w:val="8"/>
    <w:qFormat/>
    <w:uiPriority w:val="0"/>
    <w:rPr>
      <w:b/>
      <w:bCs/>
      <w:kern w:val="2"/>
      <w:sz w:val="24"/>
      <w:szCs w:val="24"/>
    </w:rPr>
  </w:style>
  <w:style w:type="character" w:customStyle="1" w:styleId="60">
    <w:name w:val="标题 8 字符"/>
    <w:basedOn w:val="46"/>
    <w:link w:val="9"/>
    <w:qFormat/>
    <w:uiPriority w:val="0"/>
    <w:rPr>
      <w:rFonts w:asciiTheme="majorHAnsi" w:hAnsiTheme="majorHAnsi" w:eastAsiaTheme="majorEastAsia" w:cstheme="majorBidi"/>
      <w:kern w:val="2"/>
      <w:sz w:val="24"/>
      <w:szCs w:val="24"/>
    </w:rPr>
  </w:style>
  <w:style w:type="character" w:customStyle="1" w:styleId="61">
    <w:name w:val="正文文本 字符"/>
    <w:basedOn w:val="46"/>
    <w:link w:val="14"/>
    <w:qFormat/>
    <w:uiPriority w:val="0"/>
    <w:rPr>
      <w:kern w:val="2"/>
      <w:sz w:val="24"/>
      <w:szCs w:val="24"/>
    </w:rPr>
  </w:style>
  <w:style w:type="character" w:customStyle="1" w:styleId="62">
    <w:name w:val="正文文本首行缩进 字符"/>
    <w:basedOn w:val="61"/>
    <w:link w:val="13"/>
    <w:autoRedefine/>
    <w:qFormat/>
    <w:uiPriority w:val="0"/>
    <w:rPr>
      <w:rFonts w:ascii="仿宋" w:hAnsi="仿宋" w:eastAsia="仿宋"/>
      <w:kern w:val="2"/>
      <w:sz w:val="24"/>
      <w:szCs w:val="21"/>
    </w:rPr>
  </w:style>
  <w:style w:type="character" w:customStyle="1" w:styleId="63">
    <w:name w:val="题注 字符"/>
    <w:basedOn w:val="46"/>
    <w:link w:val="15"/>
    <w:autoRedefine/>
    <w:qFormat/>
    <w:uiPriority w:val="35"/>
    <w:rPr>
      <w:rFonts w:ascii="Times New Roman" w:hAnsi="Times New Roman" w:eastAsia="宋体" w:cstheme="majorBidi"/>
      <w:b/>
      <w:kern w:val="2"/>
      <w:sz w:val="21"/>
    </w:rPr>
  </w:style>
  <w:style w:type="character" w:customStyle="1" w:styleId="64">
    <w:name w:val="批注文字 字符"/>
    <w:basedOn w:val="46"/>
    <w:link w:val="19"/>
    <w:autoRedefine/>
    <w:qFormat/>
    <w:uiPriority w:val="0"/>
    <w:rPr>
      <w:rFonts w:ascii="Times New Roman" w:hAnsi="Times New Roman" w:eastAsia="宋体" w:cs="Times New Roman"/>
      <w:kern w:val="2"/>
      <w:sz w:val="24"/>
      <w:szCs w:val="21"/>
    </w:rPr>
  </w:style>
  <w:style w:type="character" w:customStyle="1" w:styleId="65">
    <w:name w:val="页脚 字符"/>
    <w:basedOn w:val="46"/>
    <w:link w:val="30"/>
    <w:autoRedefine/>
    <w:qFormat/>
    <w:uiPriority w:val="99"/>
    <w:rPr>
      <w:kern w:val="2"/>
      <w:sz w:val="21"/>
      <w:szCs w:val="18"/>
    </w:rPr>
  </w:style>
  <w:style w:type="character" w:customStyle="1" w:styleId="66">
    <w:name w:val="页眉 字符"/>
    <w:basedOn w:val="46"/>
    <w:link w:val="31"/>
    <w:qFormat/>
    <w:uiPriority w:val="99"/>
    <w:rPr>
      <w:kern w:val="2"/>
      <w:sz w:val="21"/>
      <w:szCs w:val="18"/>
    </w:rPr>
  </w:style>
  <w:style w:type="character" w:customStyle="1" w:styleId="67">
    <w:name w:val="正文文本 2 字符"/>
    <w:basedOn w:val="46"/>
    <w:link w:val="39"/>
    <w:autoRedefine/>
    <w:qFormat/>
    <w:uiPriority w:val="0"/>
    <w:rPr>
      <w:kern w:val="2"/>
      <w:sz w:val="24"/>
      <w:szCs w:val="21"/>
    </w:rPr>
  </w:style>
  <w:style w:type="character" w:customStyle="1" w:styleId="68">
    <w:name w:val="批注主题 字符"/>
    <w:basedOn w:val="64"/>
    <w:link w:val="42"/>
    <w:autoRedefine/>
    <w:qFormat/>
    <w:uiPriority w:val="0"/>
    <w:rPr>
      <w:rFonts w:ascii="Times New Roman" w:hAnsi="Times New Roman" w:eastAsia="宋体" w:cs="Times New Roman"/>
      <w:b/>
      <w:bCs/>
      <w:kern w:val="2"/>
      <w:sz w:val="24"/>
      <w:szCs w:val="21"/>
    </w:rPr>
  </w:style>
  <w:style w:type="paragraph" w:customStyle="1" w:styleId="69">
    <w:name w:val="封面标题"/>
    <w:basedOn w:val="1"/>
    <w:next w:val="1"/>
    <w:link w:val="230"/>
    <w:autoRedefine/>
    <w:qFormat/>
    <w:uiPriority w:val="0"/>
    <w:pPr>
      <w:ind w:firstLine="0" w:firstLineChars="0"/>
      <w:jc w:val="center"/>
    </w:pPr>
    <w:rPr>
      <w:rFonts w:eastAsia="黑体"/>
      <w:b/>
      <w:sz w:val="52"/>
    </w:rPr>
  </w:style>
  <w:style w:type="paragraph" w:styleId="70">
    <w:name w:val="No Spacing"/>
    <w:basedOn w:val="1"/>
    <w:link w:val="97"/>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71">
    <w:name w:val="List Paragraph"/>
    <w:basedOn w:val="1"/>
    <w:link w:val="72"/>
    <w:autoRedefine/>
    <w:qFormat/>
    <w:uiPriority w:val="34"/>
    <w:pPr>
      <w:numPr>
        <w:ilvl w:val="0"/>
        <w:numId w:val="2"/>
      </w:numPr>
      <w:ind w:left="0" w:firstLine="0" w:firstLineChars="0"/>
      <w:jc w:val="left"/>
    </w:pPr>
  </w:style>
  <w:style w:type="character" w:customStyle="1" w:styleId="72">
    <w:name w:val="列表段落 字符"/>
    <w:basedOn w:val="46"/>
    <w:link w:val="71"/>
    <w:autoRedefine/>
    <w:qFormat/>
    <w:uiPriority w:val="34"/>
    <w:rPr>
      <w:kern w:val="2"/>
      <w:sz w:val="24"/>
      <w:szCs w:val="21"/>
    </w:rPr>
  </w:style>
  <w:style w:type="table" w:customStyle="1" w:styleId="73">
    <w:name w:val="XX表格"/>
    <w:basedOn w:val="44"/>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4">
    <w:name w:val="表中字"/>
    <w:basedOn w:val="1"/>
    <w:link w:val="75"/>
    <w:autoRedefine/>
    <w:qFormat/>
    <w:uiPriority w:val="0"/>
    <w:pPr>
      <w:spacing w:line="240" w:lineRule="auto"/>
      <w:ind w:firstLine="0" w:firstLineChars="0"/>
      <w:jc w:val="center"/>
    </w:pPr>
    <w:rPr>
      <w:rFonts w:cs="宋体"/>
      <w:sz w:val="21"/>
      <w:szCs w:val="24"/>
    </w:rPr>
  </w:style>
  <w:style w:type="character" w:customStyle="1" w:styleId="75">
    <w:name w:val="表中字 字符"/>
    <w:link w:val="74"/>
    <w:autoRedefine/>
    <w:qFormat/>
    <w:uiPriority w:val="0"/>
    <w:rPr>
      <w:rFonts w:ascii="Times New Roman" w:hAnsi="Times New Roman" w:eastAsia="宋体" w:cs="宋体"/>
      <w:kern w:val="2"/>
      <w:sz w:val="21"/>
      <w:szCs w:val="24"/>
    </w:rPr>
  </w:style>
  <w:style w:type="table" w:customStyle="1" w:styleId="76">
    <w:name w:val="XX表格11"/>
    <w:basedOn w:val="44"/>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7">
    <w:name w:val="Placeholder Text"/>
    <w:basedOn w:val="46"/>
    <w:autoRedefine/>
    <w:semiHidden/>
    <w:qFormat/>
    <w:uiPriority w:val="99"/>
    <w:rPr>
      <w:color w:val="808080"/>
    </w:rPr>
  </w:style>
  <w:style w:type="table" w:customStyle="1" w:styleId="78">
    <w:name w:val="两色网格表1"/>
    <w:basedOn w:val="44"/>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9">
    <w:name w:val="标准样式"/>
    <w:basedOn w:val="44"/>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80">
    <w:name w:val="表左字1"/>
    <w:basedOn w:val="74"/>
    <w:autoRedefine/>
    <w:qFormat/>
    <w:uiPriority w:val="0"/>
    <w:pPr>
      <w:numPr>
        <w:ilvl w:val="0"/>
        <w:numId w:val="3"/>
      </w:numPr>
      <w:jc w:val="both"/>
    </w:pPr>
  </w:style>
  <w:style w:type="table" w:customStyle="1" w:styleId="81">
    <w:name w:val="Table Normal"/>
    <w:unhideWhenUsed/>
    <w:qFormat/>
    <w:uiPriority w:val="0"/>
    <w:tblPr>
      <w:tblCellMar>
        <w:top w:w="0" w:type="dxa"/>
        <w:left w:w="0" w:type="dxa"/>
        <w:bottom w:w="0" w:type="dxa"/>
        <w:right w:w="0" w:type="dxa"/>
      </w:tblCellMar>
    </w:tblPr>
  </w:style>
  <w:style w:type="character" w:customStyle="1" w:styleId="82">
    <w:name w:val="未处理的提及1"/>
    <w:basedOn w:val="46"/>
    <w:autoRedefine/>
    <w:semiHidden/>
    <w:unhideWhenUsed/>
    <w:qFormat/>
    <w:uiPriority w:val="99"/>
    <w:rPr>
      <w:color w:val="605E5C"/>
      <w:shd w:val="clear" w:color="auto" w:fill="E1DFDD"/>
    </w:rPr>
  </w:style>
  <w:style w:type="paragraph" w:customStyle="1" w:styleId="83">
    <w:name w:val="表左字"/>
    <w:basedOn w:val="74"/>
    <w:link w:val="84"/>
    <w:autoRedefine/>
    <w:qFormat/>
    <w:uiPriority w:val="0"/>
    <w:pPr>
      <w:adjustRightInd w:val="0"/>
      <w:snapToGrid w:val="0"/>
      <w:jc w:val="left"/>
    </w:pPr>
    <w:rPr>
      <w:rFonts w:cstheme="minorBidi"/>
      <w:szCs w:val="21"/>
    </w:rPr>
  </w:style>
  <w:style w:type="character" w:customStyle="1" w:styleId="84">
    <w:name w:val="表左字 Char"/>
    <w:basedOn w:val="46"/>
    <w:link w:val="83"/>
    <w:qFormat/>
    <w:uiPriority w:val="0"/>
    <w:rPr>
      <w:rFonts w:cstheme="minorBidi"/>
      <w:kern w:val="2"/>
      <w:sz w:val="21"/>
      <w:szCs w:val="21"/>
    </w:rPr>
  </w:style>
  <w:style w:type="table" w:customStyle="1" w:styleId="85">
    <w:name w:val="标准样式2"/>
    <w:basedOn w:val="44"/>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6">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7">
    <w:name w:val="标准样式311"/>
    <w:basedOn w:val="44"/>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8">
    <w:name w:val="000"/>
    <w:basedOn w:val="44"/>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9">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90">
    <w:name w:val="方案编制"/>
    <w:basedOn w:val="44"/>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91">
    <w:name w:val="表中字使用"/>
    <w:basedOn w:val="1"/>
    <w:autoRedefine/>
    <w:qFormat/>
    <w:uiPriority w:val="0"/>
    <w:pPr>
      <w:spacing w:line="240" w:lineRule="auto"/>
      <w:ind w:firstLine="0" w:firstLineChars="0"/>
      <w:jc w:val="center"/>
    </w:pPr>
    <w:rPr>
      <w:rFonts w:cs="宋体"/>
      <w:sz w:val="21"/>
      <w:szCs w:val="24"/>
    </w:rPr>
  </w:style>
  <w:style w:type="paragraph" w:customStyle="1" w:styleId="92">
    <w:name w:val="ZG-ZW"/>
    <w:basedOn w:val="1"/>
    <w:link w:val="93"/>
    <w:autoRedefine/>
    <w:qFormat/>
    <w:uiPriority w:val="0"/>
    <w:pPr>
      <w:ind w:firstLine="420"/>
    </w:pPr>
  </w:style>
  <w:style w:type="character" w:customStyle="1" w:styleId="93">
    <w:name w:val="ZG-ZW Char"/>
    <w:link w:val="92"/>
    <w:qFormat/>
    <w:uiPriority w:val="0"/>
    <w:rPr>
      <w:kern w:val="2"/>
      <w:sz w:val="24"/>
      <w:szCs w:val="21"/>
    </w:rPr>
  </w:style>
  <w:style w:type="paragraph" w:customStyle="1" w:styleId="94">
    <w:name w:val="图表名"/>
    <w:basedOn w:val="1"/>
    <w:link w:val="95"/>
    <w:autoRedefine/>
    <w:qFormat/>
    <w:uiPriority w:val="0"/>
    <w:pPr>
      <w:spacing w:line="240" w:lineRule="auto"/>
      <w:ind w:firstLine="0" w:firstLineChars="0"/>
      <w:jc w:val="center"/>
    </w:pPr>
    <w:rPr>
      <w:rFonts w:cstheme="minorBidi"/>
      <w:b/>
      <w:szCs w:val="24"/>
    </w:rPr>
  </w:style>
  <w:style w:type="character" w:customStyle="1" w:styleId="95">
    <w:name w:val="图表名 Char"/>
    <w:link w:val="94"/>
    <w:autoRedefine/>
    <w:qFormat/>
    <w:uiPriority w:val="0"/>
    <w:rPr>
      <w:rFonts w:cstheme="minorBidi"/>
      <w:b/>
      <w:kern w:val="2"/>
      <w:sz w:val="24"/>
      <w:szCs w:val="24"/>
    </w:rPr>
  </w:style>
  <w:style w:type="paragraph" w:customStyle="1" w:styleId="96">
    <w:name w:val="图表字-居中"/>
    <w:basedOn w:val="1"/>
    <w:autoRedefine/>
    <w:qFormat/>
    <w:uiPriority w:val="0"/>
    <w:pPr>
      <w:spacing w:line="240" w:lineRule="auto"/>
      <w:ind w:firstLine="0" w:firstLineChars="0"/>
      <w:jc w:val="center"/>
    </w:pPr>
    <w:rPr>
      <w:rFonts w:cs="宋体"/>
      <w:sz w:val="21"/>
      <w:szCs w:val="24"/>
    </w:rPr>
  </w:style>
  <w:style w:type="character" w:customStyle="1" w:styleId="97">
    <w:name w:val="无间隔 字符"/>
    <w:link w:val="70"/>
    <w:autoRedefine/>
    <w:qFormat/>
    <w:uiPriority w:val="0"/>
    <w:rPr>
      <w:rFonts w:ascii="Arial" w:hAnsi="Arial" w:cs="Arial"/>
      <w:kern w:val="2"/>
      <w:sz w:val="18"/>
      <w:szCs w:val="18"/>
    </w:rPr>
  </w:style>
  <w:style w:type="paragraph" w:customStyle="1" w:styleId="98">
    <w:name w:val="图表题注"/>
    <w:basedOn w:val="1"/>
    <w:next w:val="1"/>
    <w:link w:val="99"/>
    <w:autoRedefine/>
    <w:qFormat/>
    <w:uiPriority w:val="0"/>
    <w:pPr>
      <w:spacing w:line="240" w:lineRule="auto"/>
      <w:ind w:firstLine="0" w:firstLineChars="0"/>
      <w:jc w:val="center"/>
    </w:pPr>
    <w:rPr>
      <w:rFonts w:cstheme="minorBidi"/>
      <w:b/>
      <w:szCs w:val="24"/>
    </w:rPr>
  </w:style>
  <w:style w:type="character" w:customStyle="1" w:styleId="99">
    <w:name w:val="图表题注 Char"/>
    <w:link w:val="98"/>
    <w:autoRedefine/>
    <w:qFormat/>
    <w:uiPriority w:val="0"/>
    <w:rPr>
      <w:rFonts w:cstheme="minorBidi"/>
      <w:b/>
      <w:kern w:val="2"/>
      <w:sz w:val="24"/>
      <w:szCs w:val="24"/>
    </w:rPr>
  </w:style>
  <w:style w:type="paragraph" w:customStyle="1" w:styleId="100">
    <w:name w:val="k4级"/>
    <w:basedOn w:val="1"/>
    <w:next w:val="1"/>
    <w:autoRedefine/>
    <w:qFormat/>
    <w:uiPriority w:val="0"/>
    <w:pPr>
      <w:outlineLvl w:val="3"/>
    </w:pPr>
  </w:style>
  <w:style w:type="paragraph" w:customStyle="1" w:styleId="101">
    <w:name w:val="表格文字"/>
    <w:basedOn w:val="1"/>
    <w:qFormat/>
    <w:uiPriority w:val="0"/>
    <w:pPr>
      <w:spacing w:line="240" w:lineRule="auto"/>
      <w:ind w:firstLine="0" w:firstLineChars="0"/>
      <w:jc w:val="center"/>
    </w:pPr>
    <w:rPr>
      <w:rFonts w:hint="eastAsia"/>
      <w:sz w:val="21"/>
      <w:szCs w:val="18"/>
    </w:rPr>
  </w:style>
  <w:style w:type="paragraph" w:customStyle="1" w:styleId="102">
    <w:name w:val="图表标题1"/>
    <w:basedOn w:val="1"/>
    <w:autoRedefine/>
    <w:qFormat/>
    <w:uiPriority w:val="0"/>
    <w:pPr>
      <w:ind w:firstLine="0" w:firstLineChars="0"/>
      <w:jc w:val="center"/>
    </w:pPr>
    <w:rPr>
      <w:b/>
      <w:bCs/>
      <w:sz w:val="21"/>
    </w:rPr>
  </w:style>
  <w:style w:type="table" w:customStyle="1" w:styleId="103">
    <w:name w:val="样式3"/>
    <w:basedOn w:val="44"/>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4">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5">
    <w:name w:val="表中字 Char"/>
    <w:basedOn w:val="46"/>
    <w:autoRedefine/>
    <w:qFormat/>
    <w:uiPriority w:val="0"/>
    <w:rPr>
      <w:rFonts w:ascii="Times New Roman" w:hAnsi="Times New Roman" w:eastAsia="宋体"/>
    </w:rPr>
  </w:style>
  <w:style w:type="character" w:customStyle="1" w:styleId="106">
    <w:name w:val="批注框文本 字符"/>
    <w:basedOn w:val="46"/>
    <w:link w:val="29"/>
    <w:autoRedefine/>
    <w:qFormat/>
    <w:uiPriority w:val="0"/>
    <w:rPr>
      <w:kern w:val="2"/>
      <w:sz w:val="18"/>
      <w:szCs w:val="18"/>
    </w:rPr>
  </w:style>
  <w:style w:type="paragraph" w:customStyle="1" w:styleId="107">
    <w:name w:val="k 表中字"/>
    <w:basedOn w:val="1"/>
    <w:link w:val="108"/>
    <w:autoRedefine/>
    <w:qFormat/>
    <w:uiPriority w:val="0"/>
    <w:pPr>
      <w:widowControl/>
      <w:adjustRightInd w:val="0"/>
      <w:ind w:hanging="420" w:hangingChars="189"/>
      <w:jc w:val="center"/>
      <w:textAlignment w:val="baseline"/>
    </w:pPr>
    <w:rPr>
      <w:sz w:val="21"/>
      <w:szCs w:val="22"/>
    </w:rPr>
  </w:style>
  <w:style w:type="character" w:customStyle="1" w:styleId="108">
    <w:name w:val="k 表中字 Char Char"/>
    <w:basedOn w:val="46"/>
    <w:link w:val="107"/>
    <w:autoRedefine/>
    <w:qFormat/>
    <w:uiPriority w:val="0"/>
    <w:rPr>
      <w:kern w:val="2"/>
      <w:sz w:val="21"/>
      <w:szCs w:val="22"/>
    </w:rPr>
  </w:style>
  <w:style w:type="paragraph" w:customStyle="1" w:styleId="109">
    <w:name w:val="表格"/>
    <w:next w:val="1"/>
    <w:link w:val="110"/>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0">
    <w:name w:val="表格 Char"/>
    <w:link w:val="109"/>
    <w:autoRedefine/>
    <w:qFormat/>
    <w:uiPriority w:val="0"/>
    <w:rPr>
      <w:kern w:val="2"/>
      <w:sz w:val="21"/>
      <w:szCs w:val="22"/>
    </w:rPr>
  </w:style>
  <w:style w:type="paragraph" w:customStyle="1" w:styleId="111">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2">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3">
    <w:name w:val="标题 9 字符"/>
    <w:basedOn w:val="46"/>
    <w:link w:val="10"/>
    <w:autoRedefine/>
    <w:qFormat/>
    <w:uiPriority w:val="0"/>
    <w:rPr>
      <w:rFonts w:asciiTheme="majorHAnsi" w:hAnsiTheme="majorHAnsi" w:eastAsiaTheme="majorEastAsia" w:cstheme="majorBidi"/>
      <w:kern w:val="2"/>
      <w:sz w:val="21"/>
      <w:szCs w:val="21"/>
    </w:rPr>
  </w:style>
  <w:style w:type="paragraph" w:customStyle="1" w:styleId="114">
    <w:name w:val="列表段落1）"/>
    <w:basedOn w:val="71"/>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5">
    <w:name w:val="网格表 7 彩色 - 着色 61"/>
    <w:basedOn w:val="44"/>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6">
    <w:name w:val="表左字段落标识"/>
    <w:basedOn w:val="1"/>
    <w:link w:val="117"/>
    <w:autoRedefine/>
    <w:qFormat/>
    <w:uiPriority w:val="0"/>
    <w:pPr>
      <w:numPr>
        <w:ilvl w:val="0"/>
        <w:numId w:val="6"/>
      </w:numPr>
      <w:spacing w:line="240" w:lineRule="auto"/>
      <w:ind w:left="0" w:firstLine="200"/>
      <w:jc w:val="left"/>
    </w:pPr>
    <w:rPr>
      <w:rFonts w:cstheme="minorBidi"/>
      <w:sz w:val="21"/>
    </w:rPr>
  </w:style>
  <w:style w:type="character" w:customStyle="1" w:styleId="117">
    <w:name w:val="表左字段落标识 字符"/>
    <w:basedOn w:val="72"/>
    <w:link w:val="116"/>
    <w:autoRedefine/>
    <w:qFormat/>
    <w:uiPriority w:val="0"/>
    <w:rPr>
      <w:rFonts w:cstheme="minorBidi"/>
      <w:kern w:val="2"/>
      <w:sz w:val="21"/>
      <w:szCs w:val="21"/>
    </w:rPr>
  </w:style>
  <w:style w:type="paragraph" w:customStyle="1" w:styleId="118">
    <w:name w:val="表左字缩进"/>
    <w:basedOn w:val="1"/>
    <w:link w:val="119"/>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9">
    <w:name w:val="表左字缩进 字符"/>
    <w:basedOn w:val="46"/>
    <w:link w:val="118"/>
    <w:autoRedefine/>
    <w:qFormat/>
    <w:uiPriority w:val="0"/>
    <w:rPr>
      <w:rFonts w:cs="宋体"/>
      <w:sz w:val="21"/>
      <w:szCs w:val="24"/>
    </w:rPr>
  </w:style>
  <w:style w:type="character" w:customStyle="1" w:styleId="120">
    <w:name w:val="副标题 字符"/>
    <w:basedOn w:val="46"/>
    <w:link w:val="34"/>
    <w:autoRedefine/>
    <w:qFormat/>
    <w:uiPriority w:val="11"/>
    <w:rPr>
      <w:rFonts w:asciiTheme="majorHAnsi" w:hAnsiTheme="majorHAnsi" w:cstheme="majorBidi"/>
      <w:b/>
      <w:bCs/>
      <w:kern w:val="28"/>
      <w:sz w:val="32"/>
      <w:szCs w:val="32"/>
    </w:rPr>
  </w:style>
  <w:style w:type="paragraph" w:customStyle="1" w:styleId="121">
    <w:name w:val="XX正文"/>
    <w:basedOn w:val="1"/>
    <w:link w:val="122"/>
    <w:autoRedefine/>
    <w:qFormat/>
    <w:uiPriority w:val="0"/>
    <w:pPr>
      <w:widowControl/>
    </w:pPr>
    <w:rPr>
      <w:rFonts w:cs="宋体"/>
      <w:kern w:val="0"/>
      <w:szCs w:val="24"/>
    </w:rPr>
  </w:style>
  <w:style w:type="character" w:customStyle="1" w:styleId="122">
    <w:name w:val="XX正文 字符"/>
    <w:link w:val="121"/>
    <w:autoRedefine/>
    <w:qFormat/>
    <w:uiPriority w:val="0"/>
    <w:rPr>
      <w:rFonts w:cs="宋体"/>
      <w:sz w:val="24"/>
      <w:szCs w:val="24"/>
    </w:rPr>
  </w:style>
  <w:style w:type="character" w:customStyle="1" w:styleId="123">
    <w:name w:val="标题 6 字符"/>
    <w:basedOn w:val="46"/>
    <w:link w:val="7"/>
    <w:autoRedefine/>
    <w:qFormat/>
    <w:uiPriority w:val="0"/>
    <w:rPr>
      <w:b/>
      <w:kern w:val="2"/>
      <w:sz w:val="24"/>
      <w:szCs w:val="21"/>
    </w:rPr>
  </w:style>
  <w:style w:type="table" w:customStyle="1" w:styleId="124">
    <w:name w:val="W"/>
    <w:basedOn w:val="44"/>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5">
    <w:name w:val="修订1"/>
    <w:autoRedefine/>
    <w:hidden/>
    <w:qFormat/>
    <w:uiPriority w:val="99"/>
    <w:rPr>
      <w:rFonts w:ascii="Times New Roman" w:hAnsi="Times New Roman" w:eastAsia="宋体" w:cs="宋体"/>
      <w:sz w:val="24"/>
      <w:szCs w:val="24"/>
      <w:lang w:val="en-US" w:eastAsia="zh-CN" w:bidi="ar-SA"/>
    </w:rPr>
  </w:style>
  <w:style w:type="table" w:customStyle="1" w:styleId="126">
    <w:name w:val="网格表 1 浅色1"/>
    <w:basedOn w:val="44"/>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7">
    <w:name w:val="两色网格表"/>
    <w:basedOn w:val="44"/>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8">
    <w:name w:val="方案编制标准"/>
    <w:basedOn w:val="44"/>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9">
    <w:name w:val="样式1"/>
    <w:basedOn w:val="44"/>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30">
    <w:name w:val="图名称"/>
    <w:basedOn w:val="1"/>
    <w:link w:val="131"/>
    <w:autoRedefine/>
    <w:qFormat/>
    <w:uiPriority w:val="0"/>
    <w:pPr>
      <w:spacing w:line="240" w:lineRule="auto"/>
      <w:ind w:firstLine="0" w:firstLineChars="0"/>
      <w:jc w:val="center"/>
    </w:pPr>
    <w:rPr>
      <w:b/>
      <w:sz w:val="21"/>
    </w:rPr>
  </w:style>
  <w:style w:type="character" w:customStyle="1" w:styleId="131">
    <w:name w:val="图名称 字符"/>
    <w:basedOn w:val="46"/>
    <w:link w:val="130"/>
    <w:autoRedefine/>
    <w:qFormat/>
    <w:uiPriority w:val="0"/>
    <w:rPr>
      <w:b/>
      <w:kern w:val="2"/>
      <w:sz w:val="21"/>
      <w:szCs w:val="21"/>
    </w:rPr>
  </w:style>
  <w:style w:type="paragraph" w:customStyle="1" w:styleId="132">
    <w:name w:val="缩进2"/>
    <w:basedOn w:val="1"/>
    <w:link w:val="133"/>
    <w:autoRedefine/>
    <w:qFormat/>
    <w:uiPriority w:val="0"/>
    <w:rPr>
      <w:rFonts w:cstheme="minorBidi"/>
      <w:szCs w:val="22"/>
    </w:rPr>
  </w:style>
  <w:style w:type="character" w:customStyle="1" w:styleId="133">
    <w:name w:val="缩进2 字符"/>
    <w:basedOn w:val="46"/>
    <w:link w:val="132"/>
    <w:autoRedefine/>
    <w:qFormat/>
    <w:uiPriority w:val="0"/>
    <w:rPr>
      <w:rFonts w:cstheme="minorBidi"/>
      <w:kern w:val="2"/>
      <w:sz w:val="24"/>
      <w:szCs w:val="22"/>
    </w:rPr>
  </w:style>
  <w:style w:type="paragraph" w:customStyle="1" w:styleId="134">
    <w:name w:val="缩进1.5"/>
    <w:basedOn w:val="1"/>
    <w:next w:val="1"/>
    <w:link w:val="135"/>
    <w:autoRedefine/>
    <w:qFormat/>
    <w:uiPriority w:val="0"/>
    <w:pPr>
      <w:ind w:firstLine="150" w:firstLineChars="150"/>
    </w:pPr>
    <w:rPr>
      <w:rFonts w:cstheme="minorBidi"/>
      <w:szCs w:val="22"/>
    </w:rPr>
  </w:style>
  <w:style w:type="character" w:customStyle="1" w:styleId="135">
    <w:name w:val="缩进1.5 字符"/>
    <w:basedOn w:val="46"/>
    <w:link w:val="134"/>
    <w:autoRedefine/>
    <w:qFormat/>
    <w:uiPriority w:val="0"/>
    <w:rPr>
      <w:rFonts w:cstheme="minorBidi"/>
      <w:kern w:val="2"/>
      <w:sz w:val="24"/>
      <w:szCs w:val="22"/>
    </w:rPr>
  </w:style>
  <w:style w:type="paragraph" w:customStyle="1" w:styleId="136">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7">
    <w:name w:val="普通(网站) 字符"/>
    <w:link w:val="40"/>
    <w:autoRedefine/>
    <w:qFormat/>
    <w:locked/>
    <w:uiPriority w:val="99"/>
    <w:rPr>
      <w:color w:val="000000"/>
      <w:sz w:val="14"/>
    </w:rPr>
  </w:style>
  <w:style w:type="paragraph" w:customStyle="1" w:styleId="138">
    <w:name w:val="表头"/>
    <w:next w:val="109"/>
    <w:link w:val="139"/>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9">
    <w:name w:val="表头 Char"/>
    <w:basedOn w:val="46"/>
    <w:link w:val="138"/>
    <w:autoRedefine/>
    <w:qFormat/>
    <w:uiPriority w:val="1"/>
    <w:rPr>
      <w:rFonts w:cstheme="minorBidi"/>
      <w:b/>
      <w:kern w:val="2"/>
      <w:sz w:val="21"/>
      <w:szCs w:val="22"/>
    </w:rPr>
  </w:style>
  <w:style w:type="table" w:customStyle="1" w:styleId="140">
    <w:name w:val="两色网格表2"/>
    <w:basedOn w:val="44"/>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41">
    <w:name w:val="列表段落）"/>
    <w:basedOn w:val="1"/>
    <w:autoRedefine/>
    <w:qFormat/>
    <w:uiPriority w:val="0"/>
    <w:pPr>
      <w:numPr>
        <w:ilvl w:val="0"/>
        <w:numId w:val="7"/>
      </w:numPr>
      <w:ind w:left="0" w:firstLine="200"/>
    </w:pPr>
  </w:style>
  <w:style w:type="paragraph" w:customStyle="1" w:styleId="142">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3">
    <w:name w:val="K正文"/>
    <w:basedOn w:val="1"/>
    <w:link w:val="144"/>
    <w:autoRedefine/>
    <w:qFormat/>
    <w:uiPriority w:val="0"/>
    <w:pPr>
      <w:ind w:firstLine="480"/>
    </w:pPr>
    <w:rPr>
      <w:rFonts w:cs="宋体"/>
      <w:szCs w:val="24"/>
    </w:rPr>
  </w:style>
  <w:style w:type="character" w:customStyle="1" w:styleId="144">
    <w:name w:val="K正文 Char"/>
    <w:link w:val="143"/>
    <w:autoRedefine/>
    <w:qFormat/>
    <w:uiPriority w:val="0"/>
    <w:rPr>
      <w:rFonts w:cs="宋体"/>
      <w:kern w:val="2"/>
      <w:sz w:val="24"/>
      <w:szCs w:val="24"/>
    </w:rPr>
  </w:style>
  <w:style w:type="paragraph" w:customStyle="1" w:styleId="145">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6">
    <w:name w:val="表格居中"/>
    <w:basedOn w:val="17"/>
    <w:link w:val="147"/>
    <w:autoRedefine/>
    <w:qFormat/>
    <w:uiPriority w:val="0"/>
    <w:pPr>
      <w:spacing w:line="240" w:lineRule="auto"/>
    </w:pPr>
    <w:rPr>
      <w:b w:val="0"/>
      <w:bCs w:val="0"/>
    </w:rPr>
  </w:style>
  <w:style w:type="character" w:customStyle="1" w:styleId="147">
    <w:name w:val="表格居中 Char"/>
    <w:link w:val="146"/>
    <w:autoRedefine/>
    <w:qFormat/>
    <w:uiPriority w:val="0"/>
    <w:rPr>
      <w:color w:val="000000" w:themeColor="text1"/>
      <w:kern w:val="2"/>
      <w:sz w:val="21"/>
      <w:szCs w:val="21"/>
      <w14:textFill>
        <w14:solidFill>
          <w14:schemeClr w14:val="tx1"/>
        </w14:solidFill>
      </w14:textFill>
    </w:rPr>
  </w:style>
  <w:style w:type="paragraph" w:customStyle="1" w:styleId="148">
    <w:name w:val="缩进-左表字"/>
    <w:basedOn w:val="118"/>
    <w:autoRedefine/>
    <w:qFormat/>
    <w:uiPriority w:val="0"/>
    <w:pPr>
      <w:ind w:firstLine="200" w:firstLineChars="200"/>
      <w:jc w:val="left"/>
    </w:pPr>
  </w:style>
  <w:style w:type="character" w:customStyle="1" w:styleId="149">
    <w:name w:val="表格正文 Char"/>
    <w:link w:val="150"/>
    <w:autoRedefine/>
    <w:qFormat/>
    <w:uiPriority w:val="0"/>
    <w:rPr>
      <w:rFonts w:ascii="宋体" w:hAnsi="宋体" w:eastAsia="仿宋_GB2312"/>
      <w:color w:val="0000FF"/>
      <w:sz w:val="24"/>
      <w:szCs w:val="24"/>
    </w:rPr>
  </w:style>
  <w:style w:type="paragraph" w:customStyle="1" w:styleId="150">
    <w:name w:val="表格正文"/>
    <w:basedOn w:val="1"/>
    <w:link w:val="149"/>
    <w:autoRedefine/>
    <w:qFormat/>
    <w:uiPriority w:val="0"/>
    <w:pPr>
      <w:ind w:firstLine="0" w:firstLineChars="0"/>
      <w:jc w:val="center"/>
    </w:pPr>
    <w:rPr>
      <w:rFonts w:ascii="宋体" w:hAnsi="宋体" w:eastAsia="仿宋_GB2312"/>
      <w:color w:val="0000FF"/>
      <w:kern w:val="0"/>
      <w:szCs w:val="24"/>
    </w:rPr>
  </w:style>
  <w:style w:type="character" w:customStyle="1" w:styleId="151">
    <w:name w:val="Char Char5"/>
    <w:autoRedefine/>
    <w:semiHidden/>
    <w:qFormat/>
    <w:uiPriority w:val="0"/>
    <w:rPr>
      <w:rFonts w:eastAsia="Verdana"/>
      <w:kern w:val="2"/>
      <w:sz w:val="18"/>
      <w:szCs w:val="18"/>
      <w:lang w:val="en-US" w:eastAsia="zh-CN" w:bidi="ar-SA"/>
    </w:rPr>
  </w:style>
  <w:style w:type="paragraph" w:customStyle="1" w:styleId="152">
    <w:name w:val="K图表字-居中"/>
    <w:basedOn w:val="143"/>
    <w:link w:val="153"/>
    <w:autoRedefine/>
    <w:qFormat/>
    <w:uiPriority w:val="0"/>
    <w:pPr>
      <w:spacing w:line="240" w:lineRule="auto"/>
      <w:ind w:firstLine="0" w:firstLineChars="0"/>
      <w:jc w:val="center"/>
    </w:pPr>
    <w:rPr>
      <w:rFonts w:ascii="宋体" w:hAnsi="宋体"/>
      <w:sz w:val="21"/>
    </w:rPr>
  </w:style>
  <w:style w:type="character" w:customStyle="1" w:styleId="153">
    <w:name w:val="K图表字-居中 Char"/>
    <w:link w:val="152"/>
    <w:autoRedefine/>
    <w:qFormat/>
    <w:uiPriority w:val="0"/>
    <w:rPr>
      <w:rFonts w:ascii="宋体" w:hAnsi="宋体" w:cs="宋体"/>
      <w:kern w:val="2"/>
      <w:sz w:val="21"/>
      <w:szCs w:val="24"/>
    </w:rPr>
  </w:style>
  <w:style w:type="paragraph" w:customStyle="1" w:styleId="154">
    <w:name w:val="表左缩进"/>
    <w:basedOn w:val="89"/>
    <w:autoRedefine/>
    <w:qFormat/>
    <w:uiPriority w:val="0"/>
    <w:pPr>
      <w:numPr>
        <w:ilvl w:val="0"/>
        <w:numId w:val="8"/>
      </w:numPr>
      <w:ind w:left="0" w:firstLine="0"/>
    </w:pPr>
  </w:style>
  <w:style w:type="character" w:customStyle="1" w:styleId="155">
    <w:name w:val="文档结构图 字符"/>
    <w:basedOn w:val="46"/>
    <w:link w:val="18"/>
    <w:autoRedefine/>
    <w:qFormat/>
    <w:uiPriority w:val="99"/>
    <w:rPr>
      <w:rFonts w:ascii="Microsoft YaHei UI" w:eastAsia="Microsoft YaHei UI"/>
      <w:kern w:val="2"/>
      <w:sz w:val="18"/>
      <w:szCs w:val="18"/>
    </w:rPr>
  </w:style>
  <w:style w:type="character" w:customStyle="1" w:styleId="156">
    <w:name w:val="日期 字符"/>
    <w:basedOn w:val="46"/>
    <w:link w:val="27"/>
    <w:autoRedefine/>
    <w:qFormat/>
    <w:uiPriority w:val="0"/>
    <w:rPr>
      <w:rFonts w:asciiTheme="minorHAnsi" w:hAnsiTheme="minorHAnsi" w:eastAsiaTheme="minorEastAsia" w:cstheme="minorBidi"/>
      <w:kern w:val="2"/>
      <w:sz w:val="21"/>
      <w:szCs w:val="21"/>
    </w:rPr>
  </w:style>
  <w:style w:type="table" w:customStyle="1" w:styleId="157">
    <w:name w:val="XX表格1"/>
    <w:basedOn w:val="44"/>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8">
    <w:name w:val="11111"/>
    <w:basedOn w:val="44"/>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9">
    <w:name w:val="无格式表格 11"/>
    <w:basedOn w:val="44"/>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0">
    <w:name w:val="图片"/>
    <w:basedOn w:val="15"/>
    <w:next w:val="161"/>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61">
    <w:name w:val="题注—图片"/>
    <w:basedOn w:val="15"/>
    <w:next w:val="1"/>
    <w:autoRedefine/>
    <w:qFormat/>
    <w:uiPriority w:val="0"/>
    <w:pPr>
      <w:keepNext w:val="0"/>
    </w:pPr>
  </w:style>
  <w:style w:type="table" w:customStyle="1" w:styleId="162">
    <w:name w:val="网格型浅色1"/>
    <w:basedOn w:val="44"/>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3">
    <w:name w:val="表2"/>
    <w:basedOn w:val="44"/>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4">
    <w:name w:val="k 表格1"/>
    <w:basedOn w:val="44"/>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5">
    <w:name w:val="K表格"/>
    <w:basedOn w:val="44"/>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6">
    <w:name w:val="日期 字符1"/>
    <w:basedOn w:val="46"/>
    <w:autoRedefine/>
    <w:semiHidden/>
    <w:qFormat/>
    <w:uiPriority w:val="99"/>
    <w:rPr>
      <w:rFonts w:ascii="Times New Roman" w:hAnsi="Times New Roman" w:eastAsia="宋体" w:cs="Times New Roman"/>
      <w:kern w:val="2"/>
      <w:sz w:val="24"/>
      <w:szCs w:val="21"/>
    </w:rPr>
  </w:style>
  <w:style w:type="paragraph" w:customStyle="1" w:styleId="167">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8">
    <w:name w:val="批注文字 字符1"/>
    <w:basedOn w:val="46"/>
    <w:autoRedefine/>
    <w:semiHidden/>
    <w:qFormat/>
    <w:uiPriority w:val="99"/>
    <w:rPr>
      <w:rFonts w:ascii="Times New Roman" w:hAnsi="Times New Roman" w:eastAsia="宋体"/>
      <w:sz w:val="24"/>
      <w:szCs w:val="24"/>
    </w:rPr>
  </w:style>
  <w:style w:type="character" w:customStyle="1" w:styleId="169">
    <w:name w:val="批注主题 字符1"/>
    <w:basedOn w:val="168"/>
    <w:autoRedefine/>
    <w:semiHidden/>
    <w:qFormat/>
    <w:uiPriority w:val="99"/>
    <w:rPr>
      <w:rFonts w:ascii="Times New Roman" w:hAnsi="Times New Roman" w:eastAsia="宋体"/>
      <w:b/>
      <w:bCs/>
      <w:sz w:val="24"/>
      <w:szCs w:val="24"/>
    </w:rPr>
  </w:style>
  <w:style w:type="paragraph" w:customStyle="1" w:styleId="170">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71">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72">
    <w:name w:val="网格型3"/>
    <w:basedOn w:val="44"/>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3">
    <w:name w:val="LBY样式"/>
    <w:basedOn w:val="44"/>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4">
    <w:name w:val="标准样式1"/>
    <w:basedOn w:val="44"/>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5">
    <w:name w:val="1111"/>
    <w:basedOn w:val="44"/>
    <w:autoRedefine/>
    <w:qFormat/>
    <w:uiPriority w:val="99"/>
    <w:pPr>
      <w:jc w:val="center"/>
    </w:pPr>
    <w:rPr>
      <w:rFonts w:cstheme="minorBidi"/>
      <w:sz w:val="21"/>
      <w:szCs w:val="24"/>
    </w:rPr>
    <w:tcPr>
      <w:shd w:val="clear" w:color="auto" w:fill="auto"/>
    </w:tcPr>
  </w:style>
  <w:style w:type="table" w:customStyle="1" w:styleId="176">
    <w:name w:val="LB样式"/>
    <w:basedOn w:val="44"/>
    <w:autoRedefine/>
    <w:qFormat/>
    <w:uiPriority w:val="99"/>
    <w:rPr>
      <w:rFonts w:cstheme="minorBidi"/>
      <w:sz w:val="21"/>
      <w:szCs w:val="24"/>
    </w:rPr>
  </w:style>
  <w:style w:type="character" w:customStyle="1" w:styleId="177">
    <w:name w:val="font11"/>
    <w:basedOn w:val="46"/>
    <w:autoRedefine/>
    <w:qFormat/>
    <w:uiPriority w:val="0"/>
    <w:rPr>
      <w:rFonts w:hint="eastAsia" w:ascii="宋体" w:hAnsi="宋体" w:eastAsia="宋体"/>
      <w:color w:val="000000"/>
      <w:sz w:val="18"/>
      <w:szCs w:val="18"/>
      <w:u w:val="none"/>
    </w:rPr>
  </w:style>
  <w:style w:type="character" w:customStyle="1" w:styleId="178">
    <w:name w:val="font51"/>
    <w:basedOn w:val="46"/>
    <w:autoRedefine/>
    <w:qFormat/>
    <w:uiPriority w:val="0"/>
    <w:rPr>
      <w:rFonts w:hint="eastAsia" w:ascii="宋体" w:hAnsi="宋体" w:eastAsia="宋体"/>
      <w:color w:val="000000"/>
      <w:sz w:val="9"/>
      <w:szCs w:val="9"/>
      <w:u w:val="none"/>
      <w:vertAlign w:val="subscript"/>
    </w:rPr>
  </w:style>
  <w:style w:type="character" w:customStyle="1" w:styleId="179">
    <w:name w:val="font41"/>
    <w:basedOn w:val="46"/>
    <w:autoRedefine/>
    <w:qFormat/>
    <w:uiPriority w:val="0"/>
    <w:rPr>
      <w:rFonts w:hint="eastAsia" w:ascii="宋体" w:hAnsi="宋体" w:eastAsia="宋体"/>
      <w:color w:val="000000"/>
      <w:sz w:val="9"/>
      <w:szCs w:val="9"/>
      <w:u w:val="none"/>
    </w:rPr>
  </w:style>
  <w:style w:type="character" w:customStyle="1" w:styleId="180">
    <w:name w:val="font31"/>
    <w:basedOn w:val="46"/>
    <w:autoRedefine/>
    <w:qFormat/>
    <w:uiPriority w:val="0"/>
    <w:rPr>
      <w:rFonts w:hint="eastAsia" w:ascii="宋体" w:hAnsi="宋体" w:eastAsia="宋体"/>
      <w:color w:val="000000"/>
      <w:sz w:val="18"/>
      <w:szCs w:val="18"/>
      <w:u w:val="none"/>
      <w:vertAlign w:val="subscript"/>
    </w:rPr>
  </w:style>
  <w:style w:type="paragraph" w:customStyle="1" w:styleId="181">
    <w:name w:val="Char Char Char Char Char Char Char"/>
    <w:basedOn w:val="18"/>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82">
    <w:name w:val="k 正文 Char"/>
    <w:link w:val="183"/>
    <w:autoRedefine/>
    <w:qFormat/>
    <w:uiPriority w:val="0"/>
    <w:rPr>
      <w:kern w:val="2"/>
      <w:sz w:val="24"/>
      <w:szCs w:val="24"/>
    </w:rPr>
  </w:style>
  <w:style w:type="paragraph" w:customStyle="1" w:styleId="183">
    <w:name w:val="k 正文"/>
    <w:basedOn w:val="1"/>
    <w:link w:val="182"/>
    <w:autoRedefine/>
    <w:qFormat/>
    <w:uiPriority w:val="0"/>
    <w:rPr>
      <w:szCs w:val="24"/>
    </w:rPr>
  </w:style>
  <w:style w:type="character" w:customStyle="1" w:styleId="184">
    <w:name w:val="图表名称 Char"/>
    <w:link w:val="17"/>
    <w:autoRedefine/>
    <w:qFormat/>
    <w:uiPriority w:val="0"/>
    <w:rPr>
      <w:b/>
      <w:bCs/>
      <w:color w:val="000000" w:themeColor="text1"/>
      <w:kern w:val="2"/>
      <w:sz w:val="21"/>
      <w:szCs w:val="21"/>
      <w14:textFill>
        <w14:solidFill>
          <w14:schemeClr w14:val="tx1"/>
        </w14:solidFill>
      </w14:textFill>
    </w:rPr>
  </w:style>
  <w:style w:type="paragraph" w:customStyle="1" w:styleId="185">
    <w:name w:val="图居中、图表标题"/>
    <w:basedOn w:val="1"/>
    <w:next w:val="1"/>
    <w:link w:val="186"/>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6">
    <w:name w:val="图居中、图表标题 Char"/>
    <w:basedOn w:val="46"/>
    <w:link w:val="185"/>
    <w:autoRedefine/>
    <w:qFormat/>
    <w:uiPriority w:val="0"/>
    <w:rPr>
      <w:rFonts w:cs="宋体" w:asciiTheme="minorHAnsi" w:hAnsiTheme="minorHAnsi"/>
      <w:b/>
      <w:color w:val="0000C8"/>
    </w:rPr>
  </w:style>
  <w:style w:type="paragraph" w:customStyle="1" w:styleId="187">
    <w:name w:val="WFS正文"/>
    <w:basedOn w:val="1"/>
    <w:link w:val="188"/>
    <w:autoRedefine/>
    <w:qFormat/>
    <w:uiPriority w:val="0"/>
    <w:pPr>
      <w:adjustRightInd w:val="0"/>
      <w:ind w:firstLine="480"/>
    </w:pPr>
    <w:rPr>
      <w:rFonts w:cs="宋体"/>
      <w:szCs w:val="24"/>
    </w:rPr>
  </w:style>
  <w:style w:type="character" w:customStyle="1" w:styleId="188">
    <w:name w:val="WFS正文 Char"/>
    <w:link w:val="187"/>
    <w:autoRedefine/>
    <w:qFormat/>
    <w:uiPriority w:val="0"/>
    <w:rPr>
      <w:rFonts w:cs="宋体"/>
      <w:kern w:val="2"/>
      <w:sz w:val="24"/>
      <w:szCs w:val="24"/>
    </w:rPr>
  </w:style>
  <w:style w:type="character" w:customStyle="1" w:styleId="189">
    <w:name w:val="k 正文 Char Char"/>
    <w:autoRedefine/>
    <w:qFormat/>
    <w:uiPriority w:val="0"/>
    <w:rPr>
      <w:kern w:val="2"/>
      <w:sz w:val="24"/>
      <w:szCs w:val="22"/>
    </w:rPr>
  </w:style>
  <w:style w:type="paragraph" w:customStyle="1" w:styleId="190">
    <w:name w:val="k 图表标题"/>
    <w:basedOn w:val="1"/>
    <w:next w:val="1"/>
    <w:link w:val="191"/>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91">
    <w:name w:val="k 图表标题 Char"/>
    <w:link w:val="190"/>
    <w:autoRedefine/>
    <w:qFormat/>
    <w:uiPriority w:val="0"/>
    <w:rPr>
      <w:b/>
      <w:color w:val="0000FF"/>
      <w:kern w:val="2"/>
      <w:sz w:val="28"/>
      <w:szCs w:val="22"/>
      <w:lang w:val="zh-CN" w:eastAsia="zh-CN"/>
    </w:rPr>
  </w:style>
  <w:style w:type="paragraph" w:customStyle="1" w:styleId="192">
    <w:name w:val="WFS图表字-居中"/>
    <w:basedOn w:val="1"/>
    <w:link w:val="193"/>
    <w:autoRedefine/>
    <w:qFormat/>
    <w:uiPriority w:val="0"/>
    <w:pPr>
      <w:adjustRightInd w:val="0"/>
      <w:spacing w:line="240" w:lineRule="auto"/>
      <w:ind w:firstLine="0" w:firstLineChars="0"/>
      <w:jc w:val="center"/>
    </w:pPr>
    <w:rPr>
      <w:sz w:val="21"/>
      <w:szCs w:val="24"/>
    </w:rPr>
  </w:style>
  <w:style w:type="character" w:customStyle="1" w:styleId="193">
    <w:name w:val="WFS图表字-居中 Char"/>
    <w:link w:val="192"/>
    <w:autoRedefine/>
    <w:qFormat/>
    <w:uiPriority w:val="0"/>
    <w:rPr>
      <w:kern w:val="2"/>
      <w:sz w:val="21"/>
      <w:szCs w:val="24"/>
    </w:rPr>
  </w:style>
  <w:style w:type="table" w:customStyle="1" w:styleId="194">
    <w:name w:val="网格型2"/>
    <w:basedOn w:val="44"/>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5">
    <w:name w:val="图表标题"/>
    <w:link w:val="196"/>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6">
    <w:name w:val="图表标题 Char"/>
    <w:link w:val="195"/>
    <w:autoRedefine/>
    <w:qFormat/>
    <w:uiPriority w:val="0"/>
    <w:rPr>
      <w:rFonts w:ascii="仿宋" w:hAnsi="仿宋" w:eastAsia="仿宋" w:cs="仿宋"/>
      <w:b/>
      <w:kern w:val="3"/>
      <w:sz w:val="24"/>
      <w:szCs w:val="24"/>
    </w:rPr>
  </w:style>
  <w:style w:type="paragraph" w:customStyle="1" w:styleId="197">
    <w:name w:val="40正文(1)"/>
    <w:basedOn w:val="1"/>
    <w:link w:val="203"/>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8">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9">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200">
    <w:name w:val="70标题表格"/>
    <w:basedOn w:val="1"/>
    <w:next w:val="1"/>
    <w:link w:val="205"/>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201">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202">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3">
    <w:name w:val="正文（1） Char"/>
    <w:link w:val="197"/>
    <w:autoRedefine/>
    <w:qFormat/>
    <w:uiPriority w:val="0"/>
    <w:rPr>
      <w:rFonts w:ascii="宋体" w:hAnsi="宋体" w:cs="宋体"/>
      <w:snapToGrid w:val="0"/>
      <w:sz w:val="24"/>
      <w:szCs w:val="24"/>
    </w:rPr>
  </w:style>
  <w:style w:type="paragraph" w:customStyle="1" w:styleId="204">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5">
    <w:name w:val="70标题表格 Char"/>
    <w:link w:val="200"/>
    <w:autoRedefine/>
    <w:qFormat/>
    <w:uiPriority w:val="0"/>
    <w:rPr>
      <w:rFonts w:ascii="宋体" w:hAnsi="宋体" w:cs="宋体"/>
      <w:b/>
      <w:bCs/>
      <w:snapToGrid w:val="0"/>
      <w:color w:val="0766D4"/>
      <w:sz w:val="21"/>
      <w:szCs w:val="21"/>
    </w:rPr>
  </w:style>
  <w:style w:type="character" w:customStyle="1" w:styleId="206">
    <w:name w:val="正文文本 3 字符"/>
    <w:basedOn w:val="46"/>
    <w:link w:val="20"/>
    <w:autoRedefine/>
    <w:qFormat/>
    <w:uiPriority w:val="0"/>
    <w:rPr>
      <w:kern w:val="2"/>
      <w:sz w:val="24"/>
      <w:szCs w:val="24"/>
    </w:rPr>
  </w:style>
  <w:style w:type="character" w:customStyle="1" w:styleId="207">
    <w:name w:val="纯文本 字符"/>
    <w:basedOn w:val="46"/>
    <w:link w:val="25"/>
    <w:autoRedefine/>
    <w:qFormat/>
    <w:uiPriority w:val="0"/>
    <w:rPr>
      <w:rFonts w:ascii="宋体" w:hAnsi="宋体" w:eastAsia="仿宋" w:cstheme="minorBidi"/>
      <w:kern w:val="2"/>
      <w:sz w:val="24"/>
      <w:szCs w:val="24"/>
    </w:rPr>
  </w:style>
  <w:style w:type="character" w:customStyle="1" w:styleId="208">
    <w:name w:val="正文文本缩进 2 字符"/>
    <w:basedOn w:val="46"/>
    <w:link w:val="28"/>
    <w:autoRedefine/>
    <w:qFormat/>
    <w:uiPriority w:val="99"/>
    <w:rPr>
      <w:rFonts w:ascii="仿宋_GB2312" w:hAnsi="宋体" w:eastAsia="仿宋_GB2312" w:cstheme="minorBidi"/>
      <w:kern w:val="2"/>
      <w:sz w:val="28"/>
      <w:szCs w:val="24"/>
    </w:rPr>
  </w:style>
  <w:style w:type="character" w:customStyle="1" w:styleId="209">
    <w:name w:val="正文文本缩进 3 字符"/>
    <w:basedOn w:val="46"/>
    <w:link w:val="36"/>
    <w:autoRedefine/>
    <w:qFormat/>
    <w:uiPriority w:val="0"/>
    <w:rPr>
      <w:kern w:val="2"/>
      <w:sz w:val="16"/>
      <w:szCs w:val="16"/>
    </w:rPr>
  </w:style>
  <w:style w:type="character" w:customStyle="1" w:styleId="210">
    <w:name w:val="标题 字符"/>
    <w:basedOn w:val="46"/>
    <w:link w:val="41"/>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11">
    <w:name w:val="表格内容"/>
    <w:link w:val="376"/>
    <w:autoRedefine/>
    <w:qFormat/>
    <w:uiPriority w:val="0"/>
    <w:pPr>
      <w:jc w:val="center"/>
    </w:pPr>
    <w:rPr>
      <w:rFonts w:ascii="楷体_GB2312" w:hAnsi="Times New Roman" w:eastAsia="楷体_GB2312" w:cs="Times New Roman"/>
      <w:sz w:val="24"/>
      <w:lang w:val="en-US" w:eastAsia="zh-CN" w:bidi="ar-SA"/>
    </w:rPr>
  </w:style>
  <w:style w:type="character" w:customStyle="1" w:styleId="212">
    <w:name w:val="font01"/>
    <w:basedOn w:val="46"/>
    <w:autoRedefine/>
    <w:qFormat/>
    <w:uiPriority w:val="0"/>
    <w:rPr>
      <w:rFonts w:hint="eastAsia" w:ascii="宋体" w:hAnsi="宋体" w:eastAsia="宋体" w:cs="宋体"/>
      <w:b/>
      <w:color w:val="000000"/>
      <w:sz w:val="20"/>
      <w:szCs w:val="20"/>
      <w:u w:val="none"/>
    </w:rPr>
  </w:style>
  <w:style w:type="paragraph" w:customStyle="1" w:styleId="213">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4">
    <w:name w:val="网格型1"/>
    <w:basedOn w:val="44"/>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
    <w:name w:val="fontstyle01"/>
    <w:autoRedefine/>
    <w:qFormat/>
    <w:uiPriority w:val="0"/>
    <w:rPr>
      <w:rFonts w:hint="eastAsia" w:ascii="仿宋_GB2312" w:eastAsia="仿宋_GB2312"/>
      <w:color w:val="000000"/>
      <w:sz w:val="24"/>
      <w:szCs w:val="24"/>
    </w:rPr>
  </w:style>
  <w:style w:type="paragraph" w:customStyle="1" w:styleId="216">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7">
    <w:name w:val="表格内文字"/>
    <w:autoRedefine/>
    <w:qFormat/>
    <w:uiPriority w:val="0"/>
    <w:rPr>
      <w:rFonts w:ascii="Times New Roman" w:hAnsi="Times New Roman" w:eastAsia="宋体"/>
      <w:color w:val="auto"/>
      <w:sz w:val="21"/>
    </w:rPr>
  </w:style>
  <w:style w:type="paragraph" w:customStyle="1" w:styleId="218">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9">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20">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21">
    <w:name w:val="图表文字"/>
    <w:next w:val="1"/>
    <w:link w:val="336"/>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2">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3">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4">
    <w:name w:val="图名"/>
    <w:next w:val="1"/>
    <w:link w:val="295"/>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5">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6">
    <w:name w:val="表格字体"/>
    <w:next w:val="219"/>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7">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8">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9">
    <w:name w:val="font21"/>
    <w:basedOn w:val="46"/>
    <w:autoRedefine/>
    <w:qFormat/>
    <w:uiPriority w:val="0"/>
    <w:rPr>
      <w:rFonts w:hint="eastAsia" w:ascii="宋体" w:hAnsi="宋体" w:eastAsia="宋体" w:cs="宋体"/>
      <w:color w:val="000000"/>
      <w:sz w:val="20"/>
      <w:szCs w:val="20"/>
      <w:u w:val="none"/>
    </w:rPr>
  </w:style>
  <w:style w:type="character" w:customStyle="1" w:styleId="230">
    <w:name w:val="封面标题 Char"/>
    <w:basedOn w:val="46"/>
    <w:link w:val="69"/>
    <w:autoRedefine/>
    <w:qFormat/>
    <w:uiPriority w:val="0"/>
    <w:rPr>
      <w:rFonts w:eastAsia="黑体"/>
      <w:b/>
      <w:kern w:val="2"/>
      <w:sz w:val="52"/>
      <w:szCs w:val="21"/>
    </w:rPr>
  </w:style>
  <w:style w:type="paragraph" w:customStyle="1" w:styleId="231">
    <w:name w:val="单位及日期"/>
    <w:basedOn w:val="69"/>
    <w:link w:val="232"/>
    <w:autoRedefine/>
    <w:qFormat/>
    <w:uiPriority w:val="0"/>
    <w:rPr>
      <w:sz w:val="28"/>
    </w:rPr>
  </w:style>
  <w:style w:type="character" w:customStyle="1" w:styleId="232">
    <w:name w:val="单位及日期 Char"/>
    <w:basedOn w:val="230"/>
    <w:link w:val="231"/>
    <w:autoRedefine/>
    <w:qFormat/>
    <w:uiPriority w:val="0"/>
    <w:rPr>
      <w:rFonts w:eastAsia="黑体"/>
      <w:kern w:val="2"/>
      <w:sz w:val="28"/>
      <w:szCs w:val="21"/>
    </w:rPr>
  </w:style>
  <w:style w:type="paragraph" w:customStyle="1" w:styleId="233">
    <w:name w:val="校审"/>
    <w:basedOn w:val="1"/>
    <w:link w:val="234"/>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4">
    <w:name w:val="校审 Char"/>
    <w:basedOn w:val="46"/>
    <w:link w:val="233"/>
    <w:autoRedefine/>
    <w:qFormat/>
    <w:uiPriority w:val="0"/>
    <w:rPr>
      <w:bCs/>
      <w:color w:val="000000" w:themeColor="text1"/>
      <w:kern w:val="2"/>
      <w:sz w:val="28"/>
      <w:szCs w:val="28"/>
      <w14:textFill>
        <w14:solidFill>
          <w14:schemeClr w14:val="tx1"/>
        </w14:solidFill>
      </w14:textFill>
    </w:rPr>
  </w:style>
  <w:style w:type="character" w:customStyle="1" w:styleId="235">
    <w:name w:val="TOC 1 字符"/>
    <w:link w:val="32"/>
    <w:autoRedefine/>
    <w:qFormat/>
    <w:uiPriority w:val="39"/>
    <w:rPr>
      <w:rFonts w:cstheme="minorHAnsi"/>
      <w:bCs/>
      <w:caps/>
      <w:kern w:val="2"/>
      <w:sz w:val="24"/>
    </w:rPr>
  </w:style>
  <w:style w:type="paragraph" w:customStyle="1" w:styleId="236">
    <w:name w:val="燕矶图片样式"/>
    <w:basedOn w:val="1"/>
    <w:link w:val="237"/>
    <w:autoRedefine/>
    <w:qFormat/>
    <w:uiPriority w:val="0"/>
    <w:pPr>
      <w:adjustRightInd w:val="0"/>
      <w:snapToGrid w:val="0"/>
      <w:spacing w:line="240" w:lineRule="auto"/>
      <w:ind w:firstLine="0" w:firstLineChars="0"/>
      <w:jc w:val="center"/>
    </w:pPr>
    <w:rPr>
      <w:sz w:val="21"/>
    </w:rPr>
  </w:style>
  <w:style w:type="character" w:customStyle="1" w:styleId="237">
    <w:name w:val="燕矶图片样式 字符"/>
    <w:basedOn w:val="46"/>
    <w:link w:val="236"/>
    <w:autoRedefine/>
    <w:qFormat/>
    <w:uiPriority w:val="0"/>
    <w:rPr>
      <w:kern w:val="2"/>
      <w:sz w:val="21"/>
      <w:szCs w:val="21"/>
    </w:rPr>
  </w:style>
  <w:style w:type="paragraph" w:customStyle="1" w:styleId="238">
    <w:name w:val="燕矶图名"/>
    <w:basedOn w:val="1"/>
    <w:next w:val="1"/>
    <w:qFormat/>
    <w:uiPriority w:val="0"/>
    <w:pPr>
      <w:spacing w:line="240" w:lineRule="auto"/>
      <w:ind w:firstLine="0" w:firstLineChars="0"/>
      <w:jc w:val="center"/>
    </w:pPr>
    <w:rPr>
      <w:rFonts w:hint="eastAsia"/>
      <w:b/>
      <w:bCs/>
      <w:sz w:val="21"/>
    </w:rPr>
  </w:style>
  <w:style w:type="paragraph" w:customStyle="1" w:styleId="239">
    <w:name w:val="插图"/>
    <w:basedOn w:val="15"/>
    <w:next w:val="224"/>
    <w:autoRedefine/>
    <w:qFormat/>
    <w:uiPriority w:val="0"/>
    <w:pPr>
      <w:spacing w:line="360" w:lineRule="auto"/>
    </w:pPr>
  </w:style>
  <w:style w:type="paragraph" w:customStyle="1" w:styleId="240">
    <w:name w:val="表名"/>
    <w:basedOn w:val="1"/>
    <w:link w:val="292"/>
    <w:autoRedefine/>
    <w:qFormat/>
    <w:uiPriority w:val="0"/>
    <w:pPr>
      <w:tabs>
        <w:tab w:val="left" w:pos="0"/>
      </w:tabs>
      <w:spacing w:before="50" w:beforeLines="50" w:line="240" w:lineRule="auto"/>
      <w:ind w:firstLine="0" w:firstLineChars="0"/>
      <w:jc w:val="center"/>
    </w:pPr>
    <w:rPr>
      <w:b/>
      <w:sz w:val="21"/>
    </w:rPr>
  </w:style>
  <w:style w:type="character" w:customStyle="1" w:styleId="241">
    <w:name w:val="图表标题 字符"/>
    <w:autoRedefine/>
    <w:qFormat/>
    <w:uiPriority w:val="0"/>
    <w:rPr>
      <w:rFonts w:ascii="Times New Roman" w:hAnsi="Times New Roman" w:cstheme="minorBidi"/>
      <w:b/>
      <w:sz w:val="24"/>
      <w:szCs w:val="21"/>
    </w:rPr>
  </w:style>
  <w:style w:type="table" w:customStyle="1" w:styleId="242">
    <w:name w:val="网格表 4 - 着色 11"/>
    <w:basedOn w:val="44"/>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3">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4">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5">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6">
    <w:name w:val="font7"/>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7">
    <w:name w:val="font8"/>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8">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9">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50">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51">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2">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3">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4">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8">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6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5">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6">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7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8">
    <w:name w:val="xl7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9">
    <w:name w:val="xl8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0">
    <w:name w:val="xl8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71">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2">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3">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4">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5">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6">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7">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8">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80">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2">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3">
    <w:name w:val="xl9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4">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5">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6">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7">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8">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9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91">
    <w:name w:val="网格型4"/>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2">
    <w:name w:val="表名 Char"/>
    <w:link w:val="240"/>
    <w:autoRedefine/>
    <w:qFormat/>
    <w:uiPriority w:val="0"/>
    <w:rPr>
      <w:b/>
      <w:kern w:val="2"/>
      <w:sz w:val="21"/>
      <w:szCs w:val="21"/>
    </w:rPr>
  </w:style>
  <w:style w:type="paragraph" w:customStyle="1" w:styleId="293">
    <w:name w:val="正文文本1"/>
    <w:basedOn w:val="1"/>
    <w:autoRedefine/>
    <w:qFormat/>
    <w:uiPriority w:val="0"/>
    <w:rPr>
      <w:rFonts w:ascii="宋体" w:hAnsi="Calibri"/>
      <w:kern w:val="0"/>
      <w:szCs w:val="32"/>
    </w:rPr>
  </w:style>
  <w:style w:type="table" w:customStyle="1" w:styleId="294">
    <w:name w:val="样式31"/>
    <w:basedOn w:val="44"/>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5">
    <w:name w:val="图名 Char"/>
    <w:link w:val="224"/>
    <w:qFormat/>
    <w:uiPriority w:val="0"/>
    <w:rPr>
      <w:rFonts w:ascii="宋体" w:hAnsi="宋体"/>
      <w:b/>
      <w:kern w:val="2"/>
      <w:sz w:val="21"/>
      <w:szCs w:val="24"/>
    </w:rPr>
  </w:style>
  <w:style w:type="paragraph" w:customStyle="1" w:styleId="296">
    <w:name w:val="表格后首段正文"/>
    <w:basedOn w:val="1"/>
    <w:link w:val="297"/>
    <w:qFormat/>
    <w:uiPriority w:val="0"/>
    <w:pPr>
      <w:adjustRightInd w:val="0"/>
      <w:snapToGrid w:val="0"/>
      <w:spacing w:before="70" w:beforeLines="70"/>
    </w:pPr>
    <w:rPr>
      <w:rFonts w:cstheme="minorBidi"/>
    </w:rPr>
  </w:style>
  <w:style w:type="character" w:customStyle="1" w:styleId="297">
    <w:name w:val="表格后首段正文 字符"/>
    <w:basedOn w:val="46"/>
    <w:link w:val="296"/>
    <w:autoRedefine/>
    <w:qFormat/>
    <w:uiPriority w:val="0"/>
    <w:rPr>
      <w:rFonts w:cstheme="minorBidi"/>
      <w:kern w:val="2"/>
      <w:sz w:val="24"/>
      <w:szCs w:val="21"/>
    </w:rPr>
  </w:style>
  <w:style w:type="table" w:customStyle="1" w:styleId="298">
    <w:name w:val="方案模板样式"/>
    <w:basedOn w:val="44"/>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9">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300">
    <w:name w:val="xl102"/>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01">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3">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4">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6">
    <w:name w:val="xl108"/>
    <w:basedOn w:val="1"/>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7">
    <w:name w:val="xl10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0"/>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9">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10">
    <w:name w:val="xl112"/>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xl113"/>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2">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3">
    <w:name w:val="列出段落1"/>
    <w:basedOn w:val="1"/>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4">
    <w:name w:val="仙新表格"/>
    <w:basedOn w:val="1"/>
    <w:next w:val="1"/>
    <w:link w:val="315"/>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5">
    <w:name w:val="仙新表格 字符"/>
    <w:basedOn w:val="46"/>
    <w:link w:val="314"/>
    <w:qFormat/>
    <w:uiPriority w:val="0"/>
    <w:rPr>
      <w:rFonts w:cstheme="minorBidi"/>
      <w:color w:val="000000" w:themeColor="text1"/>
      <w:kern w:val="2"/>
      <w:sz w:val="21"/>
      <w:szCs w:val="21"/>
      <w14:textFill>
        <w14:solidFill>
          <w14:schemeClr w14:val="tx1"/>
        </w14:solidFill>
      </w14:textFill>
    </w:rPr>
  </w:style>
  <w:style w:type="table" w:customStyle="1" w:styleId="316">
    <w:name w:val="网格表 1 浅色 - 着色 11"/>
    <w:basedOn w:val="44"/>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7">
    <w:name w:val="正文缩进 字符"/>
    <w:link w:val="12"/>
    <w:qFormat/>
    <w:uiPriority w:val="0"/>
    <w:rPr>
      <w:rFonts w:ascii="Calibri" w:hAnsi="Calibri"/>
      <w:kern w:val="2"/>
      <w:sz w:val="24"/>
      <w:szCs w:val="22"/>
    </w:rPr>
  </w:style>
  <w:style w:type="paragraph" w:customStyle="1" w:styleId="318">
    <w:name w:val="Char Char Char Char Char Char Char1"/>
    <w:basedOn w:val="18"/>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9">
    <w:name w:val="k网格型1"/>
    <w:basedOn w:val="44"/>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20">
    <w:name w:val="列出段落2"/>
    <w:basedOn w:val="1"/>
    <w:qFormat/>
    <w:uiPriority w:val="34"/>
    <w:pPr>
      <w:ind w:firstLine="420"/>
    </w:pPr>
    <w:rPr>
      <w:rFonts w:ascii="宋体" w:hAnsi="Calibri"/>
      <w:szCs w:val="22"/>
    </w:rPr>
  </w:style>
  <w:style w:type="paragraph" w:customStyle="1" w:styleId="321">
    <w:name w:val="Char Char Char Char Char Char Char2"/>
    <w:basedOn w:val="18"/>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2">
    <w:name w:val="网格表 4 - 着色 111"/>
    <w:basedOn w:val="44"/>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3">
    <w:name w:val="方案模板样式1"/>
    <w:basedOn w:val="44"/>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4">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5">
    <w:name w:val="新生正文"/>
    <w:basedOn w:val="1"/>
    <w:link w:val="326"/>
    <w:qFormat/>
    <w:uiPriority w:val="0"/>
    <w:pPr>
      <w:adjustRightInd w:val="0"/>
      <w:jc w:val="left"/>
    </w:pPr>
    <w:rPr>
      <w:szCs w:val="28"/>
      <w:lang w:bidi="en-US"/>
    </w:rPr>
  </w:style>
  <w:style w:type="character" w:customStyle="1" w:styleId="326">
    <w:name w:val="新生正文 Char"/>
    <w:link w:val="325"/>
    <w:qFormat/>
    <w:locked/>
    <w:uiPriority w:val="0"/>
    <w:rPr>
      <w:kern w:val="2"/>
      <w:sz w:val="24"/>
      <w:szCs w:val="28"/>
      <w:lang w:bidi="en-US"/>
    </w:rPr>
  </w:style>
  <w:style w:type="paragraph" w:customStyle="1" w:styleId="327">
    <w:name w:val="Table Paragraph"/>
    <w:basedOn w:val="1"/>
    <w:qFormat/>
    <w:uiPriority w:val="1"/>
    <w:pPr>
      <w:jc w:val="center"/>
    </w:pPr>
    <w:rPr>
      <w:rFonts w:ascii="宋体" w:hAnsi="宋体" w:cs="宋体"/>
    </w:rPr>
  </w:style>
  <w:style w:type="paragraph" w:customStyle="1" w:styleId="328">
    <w:name w:val="燕矶表格文字"/>
    <w:basedOn w:val="1"/>
    <w:link w:val="329"/>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9">
    <w:name w:val="燕矶表格文字 字符"/>
    <w:basedOn w:val="46"/>
    <w:link w:val="328"/>
    <w:qFormat/>
    <w:uiPriority w:val="0"/>
    <w:rPr>
      <w:rFonts w:cstheme="minorBidi"/>
      <w:color w:val="000000" w:themeColor="text1"/>
      <w:kern w:val="2"/>
      <w:sz w:val="21"/>
      <w:szCs w:val="21"/>
      <w14:textFill>
        <w14:solidFill>
          <w14:schemeClr w14:val="tx1"/>
        </w14:solidFill>
      </w14:textFill>
    </w:rPr>
  </w:style>
  <w:style w:type="character" w:customStyle="1" w:styleId="330">
    <w:name w:val="正文文本缩进 字符"/>
    <w:basedOn w:val="46"/>
    <w:link w:val="21"/>
    <w:qFormat/>
    <w:uiPriority w:val="0"/>
    <w:rPr>
      <w:color w:val="000000"/>
      <w:kern w:val="2"/>
      <w:sz w:val="28"/>
      <w:szCs w:val="24"/>
    </w:rPr>
  </w:style>
  <w:style w:type="character" w:customStyle="1" w:styleId="331">
    <w:name w:val="正文文本首行缩进 2 字符"/>
    <w:basedOn w:val="330"/>
    <w:link w:val="43"/>
    <w:qFormat/>
    <w:uiPriority w:val="0"/>
    <w:rPr>
      <w:color w:val="000000"/>
      <w:kern w:val="2"/>
      <w:sz w:val="24"/>
      <w:szCs w:val="24"/>
    </w:rPr>
  </w:style>
  <w:style w:type="paragraph" w:customStyle="1" w:styleId="332">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3">
    <w:name w:val="正文文本缩进3"/>
    <w:basedOn w:val="1"/>
    <w:qFormat/>
    <w:uiPriority w:val="99"/>
    <w:pPr>
      <w:adjustRightInd w:val="0"/>
      <w:snapToGrid w:val="0"/>
      <w:spacing w:after="120"/>
      <w:ind w:left="420" w:leftChars="200"/>
      <w:jc w:val="left"/>
    </w:pPr>
    <w:rPr>
      <w:rFonts w:ascii="Calibri" w:hAnsi="Calibri"/>
      <w:sz w:val="21"/>
      <w:szCs w:val="24"/>
    </w:rPr>
  </w:style>
  <w:style w:type="paragraph" w:customStyle="1" w:styleId="334">
    <w:name w:val="Char Char Char Char Char Char Char4"/>
    <w:basedOn w:val="18"/>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5">
    <w:name w:val="Char Char Char Char Char Char Char3"/>
    <w:basedOn w:val="18"/>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6">
    <w:name w:val="图表文字 字符"/>
    <w:link w:val="221"/>
    <w:qFormat/>
    <w:uiPriority w:val="0"/>
    <w:rPr>
      <w:rFonts w:ascii="宋体" w:hAnsi="宋体"/>
      <w:kern w:val="2"/>
      <w:sz w:val="22"/>
      <w:szCs w:val="21"/>
      <w:lang w:val="zh-CN"/>
    </w:rPr>
  </w:style>
  <w:style w:type="paragraph" w:customStyle="1" w:styleId="337">
    <w:name w:val="标正文"/>
    <w:basedOn w:val="1"/>
    <w:link w:val="338"/>
    <w:qFormat/>
    <w:uiPriority w:val="0"/>
    <w:rPr>
      <w:rFonts w:cstheme="minorBidi"/>
      <w:szCs w:val="22"/>
    </w:rPr>
  </w:style>
  <w:style w:type="character" w:customStyle="1" w:styleId="338">
    <w:name w:val="标正文 Char"/>
    <w:basedOn w:val="46"/>
    <w:link w:val="337"/>
    <w:qFormat/>
    <w:uiPriority w:val="0"/>
    <w:rPr>
      <w:rFonts w:cstheme="minorBidi"/>
      <w:kern w:val="2"/>
      <w:sz w:val="24"/>
      <w:szCs w:val="22"/>
    </w:rPr>
  </w:style>
  <w:style w:type="paragraph" w:customStyle="1" w:styleId="339">
    <w:name w:val="正文文本C"/>
    <w:basedOn w:val="1"/>
    <w:qFormat/>
    <w:uiPriority w:val="0"/>
    <w:pPr>
      <w:widowControl/>
      <w:adjustRightInd w:val="0"/>
      <w:snapToGrid w:val="0"/>
      <w:jc w:val="left"/>
    </w:pPr>
    <w:rPr>
      <w:rFonts w:ascii="宋体" w:hAnsi="宋体" w:cs="宋体"/>
      <w:kern w:val="0"/>
      <w:szCs w:val="24"/>
    </w:rPr>
  </w:style>
  <w:style w:type="paragraph" w:customStyle="1" w:styleId="340">
    <w:name w:val="msolistparagraph"/>
    <w:basedOn w:val="1"/>
    <w:qFormat/>
    <w:uiPriority w:val="0"/>
    <w:pPr>
      <w:adjustRightInd w:val="0"/>
      <w:snapToGrid w:val="0"/>
      <w:ind w:firstLine="420"/>
    </w:pPr>
    <w:rPr>
      <w:rFonts w:hint="eastAsia" w:ascii="等线" w:hAnsi="等线" w:eastAsia="仿宋"/>
      <w:sz w:val="21"/>
      <w:szCs w:val="22"/>
    </w:rPr>
  </w:style>
  <w:style w:type="character" w:customStyle="1" w:styleId="341">
    <w:name w:val="Char Char1"/>
    <w:qFormat/>
    <w:uiPriority w:val="0"/>
    <w:rPr>
      <w:rFonts w:eastAsia="宋体"/>
      <w:kern w:val="2"/>
      <w:sz w:val="18"/>
      <w:szCs w:val="18"/>
      <w:lang w:val="en-US" w:eastAsia="zh-CN" w:bidi="ar-SA"/>
    </w:rPr>
  </w:style>
  <w:style w:type="character" w:customStyle="1" w:styleId="342">
    <w:name w:val="fontstyle21"/>
    <w:basedOn w:val="46"/>
    <w:qFormat/>
    <w:uiPriority w:val="0"/>
    <w:rPr>
      <w:rFonts w:hint="eastAsia" w:ascii="宋体" w:hAnsi="宋体" w:eastAsia="宋体"/>
      <w:color w:val="000000"/>
      <w:sz w:val="24"/>
      <w:szCs w:val="24"/>
    </w:rPr>
  </w:style>
  <w:style w:type="character" w:customStyle="1" w:styleId="343">
    <w:name w:val="Char Char2"/>
    <w:qFormat/>
    <w:uiPriority w:val="0"/>
    <w:rPr>
      <w:rFonts w:ascii="仿宋_GB2312" w:eastAsia="仿宋_GB2312"/>
      <w:kern w:val="2"/>
      <w:sz w:val="21"/>
      <w:szCs w:val="21"/>
    </w:rPr>
  </w:style>
  <w:style w:type="paragraph" w:customStyle="1" w:styleId="344">
    <w:name w:val="表格、图名"/>
    <w:basedOn w:val="1"/>
    <w:link w:val="345"/>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5">
    <w:name w:val="表格、图名 Char"/>
    <w:link w:val="344"/>
    <w:qFormat/>
    <w:uiPriority w:val="0"/>
    <w:rPr>
      <w:rFonts w:ascii="宋体" w:hAnsi="宋体" w:eastAsia="仿宋_GB2312" w:cs="宋体"/>
      <w:b/>
      <w:color w:val="0000FF"/>
      <w:sz w:val="24"/>
      <w:szCs w:val="24"/>
    </w:rPr>
  </w:style>
  <w:style w:type="character" w:customStyle="1" w:styleId="346">
    <w:name w:val="正文 Char"/>
    <w:qFormat/>
    <w:uiPriority w:val="0"/>
    <w:rPr>
      <w:rFonts w:cs="Times New Roman"/>
      <w:sz w:val="24"/>
      <w:lang w:val="en-US" w:eastAsia="zh-CN" w:bidi="ar-SA"/>
    </w:rPr>
  </w:style>
  <w:style w:type="character" w:customStyle="1" w:styleId="347">
    <w:name w:val="HT正文 Char"/>
    <w:link w:val="348"/>
    <w:qFormat/>
    <w:uiPriority w:val="99"/>
    <w:rPr>
      <w:rFonts w:ascii="仿宋_GB2312" w:hAnsi="仿宋_GB2312" w:eastAsia="仿宋_GB2312"/>
      <w:kern w:val="28"/>
      <w:sz w:val="28"/>
      <w:szCs w:val="28"/>
    </w:rPr>
  </w:style>
  <w:style w:type="paragraph" w:customStyle="1" w:styleId="348">
    <w:name w:val="HT正文"/>
    <w:basedOn w:val="1"/>
    <w:link w:val="347"/>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9">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50">
    <w:name w:val="71表格五号"/>
    <w:basedOn w:val="1"/>
    <w:qFormat/>
    <w:uiPriority w:val="0"/>
    <w:pPr>
      <w:adjustRightInd w:val="0"/>
      <w:snapToGrid w:val="0"/>
      <w:ind w:firstLine="883"/>
      <w:jc w:val="center"/>
    </w:pPr>
    <w:rPr>
      <w:rFonts w:ascii="宋体" w:hAnsi="宋体" w:cs="宋体"/>
      <w:snapToGrid w:val="0"/>
      <w:kern w:val="0"/>
    </w:rPr>
  </w:style>
  <w:style w:type="paragraph" w:customStyle="1" w:styleId="351">
    <w:name w:val="正文缩进0.88"/>
    <w:basedOn w:val="1"/>
    <w:qFormat/>
    <w:uiPriority w:val="0"/>
    <w:pPr>
      <w:widowControl/>
      <w:adjustRightInd w:val="0"/>
      <w:snapToGrid w:val="0"/>
      <w:spacing w:line="440" w:lineRule="exact"/>
      <w:ind w:firstLine="499"/>
      <w:jc w:val="left"/>
    </w:pPr>
    <w:rPr>
      <w:rFonts w:ascii="宋体" w:hAnsi="宋体"/>
      <w:bCs/>
      <w:szCs w:val="22"/>
    </w:rPr>
  </w:style>
  <w:style w:type="paragraph" w:customStyle="1" w:styleId="352">
    <w:name w:val="样式 目录 1 + 行距: 固定值 20 磅"/>
    <w:basedOn w:val="32"/>
    <w:qFormat/>
    <w:uiPriority w:val="0"/>
    <w:pPr>
      <w:tabs>
        <w:tab w:val="right" w:leader="dot" w:pos="8778"/>
      </w:tabs>
      <w:adjustRightInd w:val="0"/>
      <w:snapToGrid w:val="0"/>
      <w:spacing w:before="100" w:after="100"/>
      <w:jc w:val="both"/>
    </w:pPr>
    <w:rPr>
      <w:rFonts w:cs="宋体"/>
      <w:b/>
      <w:caps w:val="0"/>
      <w:sz w:val="21"/>
    </w:rPr>
  </w:style>
  <w:style w:type="paragraph" w:customStyle="1" w:styleId="353">
    <w:name w:val="正文C"/>
    <w:basedOn w:val="1"/>
    <w:link w:val="379"/>
    <w:qFormat/>
    <w:uiPriority w:val="0"/>
    <w:pPr>
      <w:widowControl/>
      <w:adjustRightInd w:val="0"/>
      <w:snapToGrid w:val="0"/>
      <w:jc w:val="left"/>
    </w:pPr>
    <w:rPr>
      <w:rFonts w:ascii="宋体" w:hAnsi="宋体" w:cs="宋体"/>
      <w:color w:val="4F6228"/>
      <w:kern w:val="0"/>
      <w:szCs w:val="24"/>
    </w:rPr>
  </w:style>
  <w:style w:type="paragraph" w:customStyle="1" w:styleId="354">
    <w:name w:val="图表名1"/>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5">
    <w:name w:val="k 表格文字"/>
    <w:basedOn w:val="1"/>
    <w:next w:val="1"/>
    <w:qFormat/>
    <w:uiPriority w:val="0"/>
    <w:pPr>
      <w:adjustRightInd w:val="0"/>
      <w:snapToGrid w:val="0"/>
      <w:ind w:firstLine="883"/>
      <w:jc w:val="center"/>
    </w:pPr>
    <w:rPr>
      <w:rFonts w:ascii="仿宋_GB2312" w:eastAsia="仿宋_GB2312"/>
      <w:szCs w:val="22"/>
    </w:rPr>
  </w:style>
  <w:style w:type="paragraph" w:customStyle="1" w:styleId="356">
    <w:name w:val="表格小五"/>
    <w:basedOn w:val="1"/>
    <w:qFormat/>
    <w:uiPriority w:val="0"/>
    <w:pPr>
      <w:adjustRightInd w:val="0"/>
      <w:snapToGrid w:val="0"/>
      <w:ind w:firstLine="883"/>
      <w:jc w:val="center"/>
    </w:pPr>
    <w:rPr>
      <w:rFonts w:ascii="宋体" w:hAnsi="宋体" w:cs="宋体"/>
      <w:snapToGrid w:val="0"/>
      <w:kern w:val="0"/>
      <w:sz w:val="18"/>
      <w:szCs w:val="18"/>
    </w:rPr>
  </w:style>
  <w:style w:type="paragraph" w:customStyle="1" w:styleId="357">
    <w:name w:val="样式 标题 3 + 加粗"/>
    <w:basedOn w:val="4"/>
    <w:next w:val="1"/>
    <w:qFormat/>
    <w:uiPriority w:val="0"/>
    <w:pPr>
      <w:keepNext/>
      <w:numPr>
        <w:ilvl w:val="0"/>
        <w:numId w:val="0"/>
      </w:numPr>
      <w:adjustRightInd w:val="0"/>
      <w:snapToGrid w:val="0"/>
      <w:spacing w:before="60" w:after="60" w:line="240" w:lineRule="auto"/>
    </w:pPr>
    <w:rPr>
      <w:color w:val="000000"/>
    </w:rPr>
  </w:style>
  <w:style w:type="paragraph" w:customStyle="1" w:styleId="358">
    <w:name w:val="!表内仿宋"/>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9">
    <w:name w:val="aa"/>
    <w:basedOn w:val="1"/>
    <w:qFormat/>
    <w:uiPriority w:val="0"/>
    <w:pPr>
      <w:adjustRightInd w:val="0"/>
      <w:snapToGrid w:val="0"/>
      <w:ind w:firstLine="883"/>
    </w:pPr>
    <w:rPr>
      <w:szCs w:val="24"/>
    </w:rPr>
  </w:style>
  <w:style w:type="paragraph" w:customStyle="1" w:styleId="360">
    <w:name w:val="三级标题"/>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1">
    <w:name w:val="澳氹图及题注"/>
    <w:basedOn w:val="1"/>
    <w:next w:val="1"/>
    <w:qFormat/>
    <w:uiPriority w:val="0"/>
    <w:pPr>
      <w:adjustRightInd w:val="0"/>
      <w:snapToGrid w:val="0"/>
      <w:spacing w:line="300" w:lineRule="auto"/>
      <w:ind w:firstLine="883"/>
      <w:jc w:val="center"/>
    </w:pPr>
    <w:rPr>
      <w:b/>
      <w:szCs w:val="22"/>
    </w:rPr>
  </w:style>
  <w:style w:type="paragraph" w:customStyle="1" w:styleId="362">
    <w:name w:val="!正文仿小四"/>
    <w:basedOn w:val="1"/>
    <w:qFormat/>
    <w:uiPriority w:val="0"/>
    <w:pPr>
      <w:adjustRightInd w:val="0"/>
      <w:snapToGrid w:val="0"/>
      <w:jc w:val="left"/>
    </w:pPr>
    <w:rPr>
      <w:rFonts w:ascii="Courier New" w:hAnsi="Courier New" w:eastAsia="Tahoma" w:cs="Courier New"/>
      <w:szCs w:val="24"/>
    </w:rPr>
  </w:style>
  <w:style w:type="paragraph" w:customStyle="1" w:styleId="363">
    <w:name w:val="i正文"/>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4">
    <w:name w:val="正文部分"/>
    <w:basedOn w:val="1"/>
    <w:qFormat/>
    <w:uiPriority w:val="0"/>
    <w:pPr>
      <w:adjustRightInd w:val="0"/>
      <w:snapToGrid w:val="0"/>
    </w:pPr>
    <w:rPr>
      <w:rFonts w:eastAsia="仿宋_GB2312"/>
      <w:szCs w:val="24"/>
    </w:rPr>
  </w:style>
  <w:style w:type="paragraph" w:customStyle="1" w:styleId="365">
    <w:name w:val="样式 目录 1 + 行距: 固定值 20 磅1"/>
    <w:basedOn w:val="32"/>
    <w:qFormat/>
    <w:uiPriority w:val="0"/>
    <w:pPr>
      <w:tabs>
        <w:tab w:val="right" w:leader="dot" w:pos="8778"/>
      </w:tabs>
      <w:adjustRightInd w:val="0"/>
      <w:snapToGrid w:val="0"/>
      <w:spacing w:before="100" w:after="100"/>
      <w:jc w:val="both"/>
    </w:pPr>
    <w:rPr>
      <w:rFonts w:cs="宋体"/>
      <w:b/>
      <w:caps w:val="0"/>
      <w:sz w:val="21"/>
    </w:rPr>
  </w:style>
  <w:style w:type="paragraph" w:customStyle="1" w:styleId="366">
    <w:name w:val="正文样式"/>
    <w:basedOn w:val="1"/>
    <w:qFormat/>
    <w:uiPriority w:val="0"/>
    <w:pPr>
      <w:widowControl/>
      <w:adjustRightInd w:val="0"/>
      <w:snapToGrid w:val="0"/>
      <w:ind w:firstLine="883"/>
    </w:pPr>
    <w:rPr>
      <w:rFonts w:cs="宋体"/>
      <w:szCs w:val="24"/>
    </w:rPr>
  </w:style>
  <w:style w:type="paragraph" w:customStyle="1" w:styleId="367">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8">
    <w:name w:val="k正文"/>
    <w:basedOn w:val="1"/>
    <w:qFormat/>
    <w:uiPriority w:val="0"/>
    <w:pPr>
      <w:adjustRightInd w:val="0"/>
      <w:snapToGrid w:val="0"/>
    </w:pPr>
    <w:rPr>
      <w:szCs w:val="24"/>
    </w:rPr>
  </w:style>
  <w:style w:type="table" w:customStyle="1" w:styleId="369">
    <w:name w:val="标准样式27"/>
    <w:basedOn w:val="44"/>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70">
    <w:name w:val="6正文"/>
    <w:basedOn w:val="1"/>
    <w:qFormat/>
    <w:uiPriority w:val="0"/>
    <w:pPr>
      <w:widowControl/>
      <w:adjustRightInd w:val="0"/>
      <w:snapToGrid w:val="0"/>
      <w:ind w:firstLine="480"/>
    </w:pPr>
    <w:rPr>
      <w:rFonts w:ascii="宋体" w:hAnsi="宋体" w:cs="宋体"/>
      <w:kern w:val="0"/>
      <w:szCs w:val="24"/>
    </w:rPr>
  </w:style>
  <w:style w:type="character" w:customStyle="1" w:styleId="371">
    <w:name w:val="图表文字 Char"/>
    <w:qFormat/>
    <w:uiPriority w:val="0"/>
    <w:rPr>
      <w:rFonts w:ascii="Times New Roman" w:hAnsi="Times New Roman" w:cs="宋体"/>
      <w:color w:val="000000"/>
      <w:sz w:val="21"/>
      <w:szCs w:val="24"/>
    </w:rPr>
  </w:style>
  <w:style w:type="character" w:customStyle="1" w:styleId="372">
    <w:name w:val="图名 字符"/>
    <w:basedOn w:val="46"/>
    <w:qFormat/>
    <w:uiPriority w:val="0"/>
    <w:rPr>
      <w:rFonts w:ascii="Times New Roman" w:hAnsi="Times New Roman"/>
      <w:b/>
      <w:kern w:val="2"/>
      <w:sz w:val="21"/>
      <w:szCs w:val="22"/>
    </w:rPr>
  </w:style>
  <w:style w:type="paragraph" w:customStyle="1" w:styleId="373">
    <w:name w:val="列表段落1"/>
    <w:basedOn w:val="1"/>
    <w:qFormat/>
    <w:uiPriority w:val="34"/>
    <w:pPr>
      <w:spacing w:line="320" w:lineRule="atLeast"/>
      <w:ind w:firstLine="420"/>
    </w:pPr>
    <w:rPr>
      <w:sz w:val="28"/>
    </w:rPr>
  </w:style>
  <w:style w:type="paragraph" w:customStyle="1" w:styleId="374">
    <w:name w:val="正文①"/>
    <w:basedOn w:val="10"/>
    <w:next w:val="1"/>
    <w:link w:val="375"/>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5">
    <w:name w:val="正文① 字符"/>
    <w:link w:val="374"/>
    <w:qFormat/>
    <w:uiPriority w:val="0"/>
    <w:rPr>
      <w:kern w:val="2"/>
      <w:sz w:val="24"/>
      <w:szCs w:val="21"/>
    </w:rPr>
  </w:style>
  <w:style w:type="character" w:customStyle="1" w:styleId="376">
    <w:name w:val="表格内容 字符"/>
    <w:link w:val="211"/>
    <w:qFormat/>
    <w:uiPriority w:val="0"/>
    <w:rPr>
      <w:rFonts w:ascii="楷体_GB2312" w:eastAsia="楷体_GB2312"/>
      <w:sz w:val="24"/>
    </w:rPr>
  </w:style>
  <w:style w:type="character" w:customStyle="1" w:styleId="377">
    <w:name w:val="列表段落 字符1"/>
    <w:qFormat/>
    <w:uiPriority w:val="0"/>
    <w:rPr>
      <w:rFonts w:ascii="Times New Roman" w:hAnsi="Times New Roman"/>
      <w:kern w:val="2"/>
      <w:sz w:val="24"/>
      <w:szCs w:val="21"/>
    </w:rPr>
  </w:style>
  <w:style w:type="character" w:customStyle="1" w:styleId="378">
    <w:name w:val="明显引用 字符3"/>
    <w:semiHidden/>
    <w:qFormat/>
    <w:uiPriority w:val="0"/>
    <w:rPr>
      <w:rFonts w:ascii="Tahoma" w:eastAsia="Tahoma"/>
      <w:b/>
      <w:bCs/>
      <w:i/>
      <w:iCs/>
      <w:color w:val="4F81BD"/>
      <w:kern w:val="2"/>
      <w:sz w:val="21"/>
      <w:szCs w:val="24"/>
    </w:rPr>
  </w:style>
  <w:style w:type="character" w:customStyle="1" w:styleId="379">
    <w:name w:val="正文C Char"/>
    <w:link w:val="353"/>
    <w:qFormat/>
    <w:uiPriority w:val="0"/>
    <w:rPr>
      <w:rFonts w:ascii="宋体" w:hAnsi="宋体" w:cs="宋体"/>
      <w:color w:val="4F6228"/>
      <w:sz w:val="24"/>
      <w:szCs w:val="24"/>
    </w:rPr>
  </w:style>
  <w:style w:type="paragraph" w:customStyle="1" w:styleId="380">
    <w:name w:val="方案样式：图片、表格居中"/>
    <w:next w:val="1"/>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1">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2">
    <w:name w:val="方案样式：图片名称"/>
    <w:next w:val="1"/>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3">
    <w:name w:val="双柳正文文本"/>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4">
    <w:name w:val="双柳表格"/>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385">
    <w:name w:val="方案样式：表格名称（ALT+E）"/>
    <w:next w:val="1"/>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6">
    <w:name w:val="网格型5"/>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388">
    <w:name w:val="Table Text"/>
    <w:basedOn w:val="1"/>
    <w:semiHidden/>
    <w:qFormat/>
    <w:uiPriority w:val="0"/>
    <w:rPr>
      <w:rFonts w:ascii="Times New Roman" w:hAnsi="Times New Roman" w:eastAsia="Times New Roman" w:cs="Times New Roman"/>
      <w:sz w:val="24"/>
      <w:szCs w:val="24"/>
      <w:lang w:val="en-US" w:eastAsia="en-US" w:bidi="ar-SA"/>
    </w:rPr>
  </w:style>
  <w:style w:type="table" w:customStyle="1" w:styleId="389">
    <w:name w:val="表格标准13"/>
    <w:basedOn w:val="44"/>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0">
    <w:name w:val="A图片居中"/>
    <w:basedOn w:val="1"/>
    <w:qFormat/>
    <w:uiPriority w:val="0"/>
    <w:pPr>
      <w:spacing w:line="240" w:lineRule="auto"/>
      <w:ind w:firstLine="0" w:firstLineChars="0"/>
      <w:jc w:val="center"/>
    </w:pPr>
  </w:style>
  <w:style w:type="paragraph" w:customStyle="1" w:styleId="391">
    <w:name w:val="A图表标题"/>
    <w:basedOn w:val="1"/>
    <w:link w:val="393"/>
    <w:qFormat/>
    <w:uiPriority w:val="0"/>
    <w:pPr>
      <w:ind w:firstLine="0" w:firstLineChars="0"/>
      <w:jc w:val="center"/>
    </w:pPr>
    <w:rPr>
      <w:b/>
      <w:sz w:val="21"/>
      <w:szCs w:val="22"/>
    </w:rPr>
  </w:style>
  <w:style w:type="table" w:customStyle="1" w:styleId="392">
    <w:name w:val="网格型15"/>
    <w:basedOn w:val="44"/>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3">
    <w:name w:val="A图表标题 字符"/>
    <w:link w:val="391"/>
    <w:qFormat/>
    <w:uiPriority w:val="0"/>
    <w:rPr>
      <w:b/>
      <w:sz w:val="21"/>
      <w:szCs w:val="22"/>
    </w:rPr>
  </w:style>
  <w:style w:type="paragraph" w:customStyle="1" w:styleId="394">
    <w:name w:val="A表内加粗"/>
    <w:basedOn w:val="1"/>
    <w:qFormat/>
    <w:uiPriority w:val="0"/>
    <w:pPr>
      <w:spacing w:line="240" w:lineRule="auto"/>
      <w:ind w:firstLine="0" w:firstLineChars="0"/>
      <w:jc w:val="center"/>
    </w:pPr>
    <w:rPr>
      <w:rFonts w:cs="宋体"/>
      <w:b/>
      <w:bCs/>
      <w:kern w:val="0"/>
      <w:sz w:val="21"/>
    </w:rPr>
  </w:style>
  <w:style w:type="table" w:customStyle="1" w:styleId="395">
    <w:name w:val="表格标准"/>
    <w:basedOn w:val="44"/>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6">
    <w:name w:val="A表内不加粗"/>
    <w:basedOn w:val="1"/>
    <w:qFormat/>
    <w:uiPriority w:val="0"/>
    <w:pPr>
      <w:spacing w:line="240" w:lineRule="auto"/>
      <w:ind w:firstLine="0" w:firstLineChars="0"/>
      <w:jc w:val="center"/>
    </w:pPr>
    <w:rPr>
      <w:sz w:val="21"/>
      <w:szCs w:val="36"/>
    </w:rPr>
  </w:style>
  <w:style w:type="table" w:customStyle="1" w:styleId="397">
    <w:name w:val="样式15"/>
    <w:basedOn w:val="4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8">
    <w:name w:val="样式151"/>
    <w:basedOn w:val="4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9">
    <w:name w:val="表格标准1"/>
    <w:basedOn w:val="44"/>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400">
    <w:name w:val="样式19"/>
    <w:basedOn w:val="44"/>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1.emf"/><Relationship Id="rId56" Type="http://schemas.openxmlformats.org/officeDocument/2006/relationships/oleObject" Target="embeddings/Microsoft_Visio_2003-2010___1.vsd"/><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emf"/><Relationship Id="rId52" Type="http://schemas.openxmlformats.org/officeDocument/2006/relationships/image" Target="media/image37.emf"/><Relationship Id="rId51" Type="http://schemas.openxmlformats.org/officeDocument/2006/relationships/oleObject" Target="embeddings/oleObject1.bin"/><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88</Pages>
  <Words>37993</Words>
  <Characters>41608</Characters>
  <Lines>594</Lines>
  <Paragraphs>167</Paragraphs>
  <TotalTime>87</TotalTime>
  <ScaleCrop>false</ScaleCrop>
  <LinksUpToDate>false</LinksUpToDate>
  <CharactersWithSpaces>41949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2025-09-16T01:55:00Z</cp:lastPrinted>
  <dcterms:modified xsi:type="dcterms:W3CDTF">2025-09-16T03:44:37Z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F8EC83BCC723477EBECDEEFD6E2480E6_13</vt:lpwstr>
  </property>
  <property fmtid="{D5CDD505-2E9C-101B-9397-08002B2CF9AE}" pid="4" name="KSOTemplateDocerSaveRecord">
    <vt:lpwstr>eyJoZGlkIjoiMWI3ZThlZmY4YTQzYzRjYjU2ZWViNzMzYTk3MWVkZTUiLCJ1c2VySWQiOiIyMDEyMTQ5OSJ9</vt:lpwstr>
  </property>
</Properties>
</file>