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728A74">
      <w:pPr>
        <w:numPr>
          <w:ilvl w:val="0"/>
          <w:numId w:val="0"/>
        </w:numPr>
        <w:rPr>
          <w:color w:val="0000FF"/>
        </w:rPr>
      </w:pPr>
    </w:p>
    <w:p w14:paraId="02CAE9FC">
      <w:pPr>
        <w:ind w:firstLine="560"/>
        <w:jc w:val="right"/>
        <w:rPr>
          <w:bCs/>
          <w:color w:val="0000FF"/>
          <w:sz w:val="28"/>
          <w:szCs w:val="28"/>
        </w:rPr>
      </w:pPr>
      <w:r>
        <w:rPr>
          <w:rFonts w:ascii="黑体" w:hAnsi="黑体" w:eastAsia="黑体"/>
          <w:color w:val="0000FF"/>
          <w:sz w:val="28"/>
          <w:szCs w:val="28"/>
        </w:rPr>
        <w:t>方案编号</w:t>
      </w:r>
    </w:p>
    <w:p w14:paraId="004E32F5">
      <w:pPr>
        <w:ind w:firstLine="562" w:firstLineChars="201"/>
        <w:jc w:val="left"/>
        <w:rPr>
          <w:bCs/>
          <w:color w:val="auto"/>
          <w:sz w:val="28"/>
          <w:szCs w:val="28"/>
        </w:rPr>
      </w:pPr>
    </w:p>
    <w:p w14:paraId="270387E4">
      <w:pPr>
        <w:ind w:firstLine="0" w:firstLineChars="0"/>
        <w:jc w:val="center"/>
        <w:outlineLvl w:val="9"/>
        <w:rPr>
          <w:rFonts w:hint="eastAsia" w:ascii="宋体" w:hAnsi="宋体" w:eastAsia="宋体" w:cs="宋体"/>
          <w:b/>
          <w:bCs/>
          <w:color w:val="auto"/>
          <w:sz w:val="44"/>
          <w:szCs w:val="44"/>
          <w:lang w:val="en-US" w:eastAsia="zh-CN"/>
        </w:rPr>
      </w:pPr>
      <w:bookmarkStart w:id="0" w:name="_Toc13281"/>
      <w:bookmarkStart w:id="1" w:name="_Toc40273440"/>
      <w:bookmarkStart w:id="2" w:name="_Toc40445698"/>
      <w:bookmarkStart w:id="3" w:name="_Toc40778419"/>
      <w:bookmarkStart w:id="4" w:name="_Toc40446029"/>
      <w:r>
        <w:rPr>
          <w:rFonts w:hint="eastAsia" w:ascii="宋体" w:hAnsi="宋体" w:eastAsia="宋体" w:cs="宋体"/>
          <w:b/>
          <w:bCs/>
          <w:color w:val="auto"/>
          <w:sz w:val="44"/>
          <w:szCs w:val="44"/>
          <w:lang w:val="en-US" w:eastAsia="zh-CN"/>
        </w:rPr>
        <w:t>　彭州市龙兴寺片区PZ2024-16地块商住建设项目</w:t>
      </w:r>
    </w:p>
    <w:p w14:paraId="38F2A638">
      <w:pPr>
        <w:ind w:firstLine="0" w:firstLineChars="0"/>
        <w:jc w:val="center"/>
        <w:outlineLvl w:val="9"/>
        <w:rPr>
          <w:rFonts w:ascii="宋体" w:hAnsi="宋体"/>
          <w:b/>
          <w:color w:val="auto"/>
          <w:sz w:val="44"/>
          <w:szCs w:val="44"/>
        </w:rPr>
      </w:pPr>
      <w:r>
        <w:rPr>
          <w:rFonts w:hint="eastAsia" w:ascii="宋体" w:hAnsi="宋体"/>
          <w:b/>
          <w:color w:val="auto"/>
          <w:sz w:val="40"/>
          <w:szCs w:val="40"/>
          <w:lang w:eastAsia="zh-CN"/>
        </w:rPr>
        <w:t>　</w:t>
      </w:r>
      <w:bookmarkStart w:id="5" w:name="_Toc13858"/>
      <w:r>
        <w:rPr>
          <w:rFonts w:hint="eastAsia" w:ascii="宋体" w:hAnsi="宋体"/>
          <w:b/>
          <w:color w:val="auto"/>
          <w:sz w:val="40"/>
          <w:szCs w:val="40"/>
          <w:lang w:val="en-US" w:eastAsia="zh-CN"/>
        </w:rPr>
        <w:t>施工升降机安装</w:t>
      </w:r>
      <w:r>
        <w:rPr>
          <w:rFonts w:hint="eastAsia" w:ascii="宋体" w:hAnsi="宋体"/>
          <w:b/>
          <w:color w:val="auto"/>
          <w:sz w:val="40"/>
          <w:szCs w:val="40"/>
        </w:rPr>
        <w:t>专项施工方案</w:t>
      </w:r>
      <w:bookmarkEnd w:id="5"/>
    </w:p>
    <w:bookmarkEnd w:id="0"/>
    <w:bookmarkEnd w:id="1"/>
    <w:bookmarkEnd w:id="2"/>
    <w:bookmarkEnd w:id="3"/>
    <w:bookmarkEnd w:id="4"/>
    <w:p w14:paraId="4CB90CD0">
      <w:pPr>
        <w:ind w:firstLine="562" w:firstLineChars="201"/>
        <w:jc w:val="left"/>
        <w:rPr>
          <w:bCs/>
          <w:color w:val="auto"/>
          <w:sz w:val="28"/>
          <w:szCs w:val="28"/>
        </w:rPr>
      </w:pPr>
    </w:p>
    <w:p w14:paraId="751944FE">
      <w:pPr>
        <w:ind w:firstLine="562" w:firstLineChars="201"/>
        <w:jc w:val="left"/>
        <w:rPr>
          <w:bCs/>
          <w:color w:val="auto"/>
          <w:sz w:val="28"/>
          <w:szCs w:val="28"/>
        </w:rPr>
      </w:pPr>
    </w:p>
    <w:p w14:paraId="57C56830">
      <w:pPr>
        <w:ind w:firstLine="0" w:firstLineChars="0"/>
        <w:jc w:val="center"/>
        <w:rPr>
          <w:color w:val="auto"/>
          <w:sz w:val="28"/>
          <w:szCs w:val="28"/>
        </w:rPr>
      </w:pPr>
      <w:r>
        <w:rPr>
          <w:color w:val="auto"/>
          <w:sz w:val="28"/>
          <w:szCs w:val="28"/>
        </w:rPr>
        <w:drawing>
          <wp:inline distT="0" distB="0" distL="0" distR="0">
            <wp:extent cx="2247900" cy="2647950"/>
            <wp:effectExtent l="19050" t="0" r="0" b="0"/>
            <wp:docPr id="9"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2"/>
                    <pic:cNvPicPr>
                      <a:picLocks noChangeAspect="1" noChangeArrowheads="1"/>
                    </pic:cNvPicPr>
                  </pic:nvPicPr>
                  <pic:blipFill>
                    <a:blip r:embed="rId20" cstate="print"/>
                    <a:srcRect/>
                    <a:stretch>
                      <a:fillRect/>
                    </a:stretch>
                  </pic:blipFill>
                  <pic:spPr>
                    <a:xfrm>
                      <a:off x="0" y="0"/>
                      <a:ext cx="2247900" cy="2647950"/>
                    </a:xfrm>
                    <a:prstGeom prst="rect">
                      <a:avLst/>
                    </a:prstGeom>
                    <a:noFill/>
                    <a:ln w="9525">
                      <a:noFill/>
                      <a:miter lim="800000"/>
                      <a:headEnd/>
                      <a:tailEnd/>
                    </a:ln>
                  </pic:spPr>
                </pic:pic>
              </a:graphicData>
            </a:graphic>
          </wp:inline>
        </w:drawing>
      </w:r>
    </w:p>
    <w:p w14:paraId="38949DD4">
      <w:pPr>
        <w:ind w:firstLine="565" w:firstLineChars="201"/>
        <w:jc w:val="left"/>
        <w:rPr>
          <w:b/>
          <w:color w:val="auto"/>
          <w:sz w:val="28"/>
          <w:szCs w:val="28"/>
        </w:rPr>
      </w:pPr>
      <w:r>
        <w:rPr>
          <w:rFonts w:hint="eastAsia"/>
          <w:b/>
          <w:color w:val="auto"/>
          <w:sz w:val="28"/>
          <w:szCs w:val="28"/>
        </w:rPr>
        <w:t xml:space="preserve">                                </w:t>
      </w:r>
    </w:p>
    <w:p w14:paraId="4250733A">
      <w:pPr>
        <w:ind w:firstLine="562" w:firstLineChars="201"/>
        <w:jc w:val="left"/>
        <w:rPr>
          <w:bCs/>
          <w:color w:val="auto"/>
          <w:sz w:val="28"/>
          <w:szCs w:val="28"/>
        </w:rPr>
      </w:pPr>
    </w:p>
    <w:p w14:paraId="1088683C">
      <w:pPr>
        <w:ind w:firstLine="562" w:firstLineChars="201"/>
        <w:jc w:val="left"/>
        <w:rPr>
          <w:bCs/>
          <w:color w:val="auto"/>
          <w:sz w:val="28"/>
          <w:szCs w:val="28"/>
        </w:rPr>
      </w:pPr>
    </w:p>
    <w:p w14:paraId="0D9E7F8C">
      <w:pPr>
        <w:ind w:left="0" w:leftChars="0" w:firstLine="0" w:firstLineChars="0"/>
        <w:jc w:val="left"/>
        <w:rPr>
          <w:bCs/>
          <w:color w:val="auto"/>
          <w:sz w:val="28"/>
          <w:szCs w:val="28"/>
        </w:rPr>
      </w:pPr>
    </w:p>
    <w:p w14:paraId="6607BE15">
      <w:pPr>
        <w:ind w:firstLine="562" w:firstLineChars="201"/>
        <w:jc w:val="left"/>
        <w:rPr>
          <w:bCs/>
          <w:color w:val="auto"/>
          <w:sz w:val="28"/>
          <w:szCs w:val="28"/>
        </w:rPr>
      </w:pPr>
    </w:p>
    <w:p w14:paraId="0E6B585D">
      <w:pPr>
        <w:ind w:firstLine="646" w:firstLineChars="201"/>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中交第二航务工程局有限公司</w:t>
      </w:r>
    </w:p>
    <w:p w14:paraId="5D616B4F">
      <w:pPr>
        <w:ind w:firstLine="646" w:firstLineChars="201"/>
        <w:jc w:val="center"/>
        <w:rPr>
          <w:rFonts w:hint="eastAsia" w:ascii="宋体" w:hAnsi="宋体" w:cs="宋体"/>
          <w:b/>
          <w:color w:val="auto"/>
          <w:sz w:val="32"/>
          <w:szCs w:val="32"/>
          <w:highlight w:val="none"/>
          <w:lang w:val="en-US" w:eastAsia="zh-CN"/>
        </w:rPr>
      </w:pPr>
      <w:r>
        <w:rPr>
          <w:rFonts w:hint="eastAsia" w:ascii="宋体" w:hAnsi="宋体" w:cs="宋体"/>
          <w:b/>
          <w:color w:val="auto"/>
          <w:sz w:val="32"/>
          <w:szCs w:val="32"/>
          <w:highlight w:val="none"/>
          <w:lang w:val="en-US" w:eastAsia="zh-CN"/>
        </w:rPr>
        <w:t>彭州市龙兴寺片区PZ2024-16地块商住建设项目</w:t>
      </w:r>
    </w:p>
    <w:p w14:paraId="1CE99564">
      <w:pPr>
        <w:ind w:firstLine="646" w:firstLineChars="201"/>
        <w:jc w:val="center"/>
        <w:rPr>
          <w:rFonts w:hint="eastAsia" w:ascii="宋体" w:hAnsi="宋体" w:eastAsia="宋体" w:cs="宋体"/>
          <w:b/>
          <w:color w:val="auto"/>
          <w:sz w:val="32"/>
          <w:szCs w:val="32"/>
          <w:highlight w:val="none"/>
        </w:rPr>
      </w:pPr>
      <w:r>
        <w:rPr>
          <w:rFonts w:hint="eastAsia" w:ascii="宋体" w:hAnsi="宋体" w:cs="宋体"/>
          <w:b/>
          <w:color w:val="auto"/>
          <w:sz w:val="32"/>
          <w:szCs w:val="32"/>
          <w:highlight w:val="none"/>
          <w:lang w:val="en-US" w:eastAsia="zh-CN"/>
        </w:rPr>
        <w:t>2025</w:t>
      </w:r>
      <w:r>
        <w:rPr>
          <w:rFonts w:hint="eastAsia" w:ascii="宋体" w:hAnsi="宋体" w:eastAsia="宋体" w:cs="宋体"/>
          <w:b/>
          <w:color w:val="auto"/>
          <w:sz w:val="32"/>
          <w:szCs w:val="32"/>
          <w:highlight w:val="none"/>
        </w:rPr>
        <w:t>年</w:t>
      </w:r>
      <w:r>
        <w:rPr>
          <w:rFonts w:hint="eastAsia" w:ascii="宋体" w:hAnsi="宋体" w:cs="宋体"/>
          <w:b/>
          <w:color w:val="auto"/>
          <w:sz w:val="32"/>
          <w:szCs w:val="32"/>
          <w:highlight w:val="none"/>
          <w:lang w:val="en-US" w:eastAsia="zh-CN"/>
        </w:rPr>
        <w:t>11</w:t>
      </w:r>
      <w:r>
        <w:rPr>
          <w:rFonts w:hint="eastAsia" w:ascii="宋体" w:hAnsi="宋体" w:eastAsia="宋体" w:cs="宋体"/>
          <w:b/>
          <w:color w:val="auto"/>
          <w:sz w:val="32"/>
          <w:szCs w:val="32"/>
          <w:highlight w:val="none"/>
        </w:rPr>
        <w:t>月</w:t>
      </w:r>
      <w:bookmarkStart w:id="6" w:name="_Toc277275498"/>
      <w:bookmarkEnd w:id="6"/>
      <w:bookmarkStart w:id="7" w:name="_Toc271909489"/>
      <w:bookmarkEnd w:id="7"/>
      <w:bookmarkStart w:id="8" w:name="_Toc276521510"/>
      <w:bookmarkEnd w:id="8"/>
    </w:p>
    <w:p w14:paraId="72F01838">
      <w:pPr>
        <w:ind w:firstLine="562" w:firstLineChars="201"/>
        <w:jc w:val="left"/>
        <w:rPr>
          <w:bCs/>
          <w:color w:val="auto"/>
          <w:sz w:val="28"/>
          <w:szCs w:val="28"/>
        </w:rPr>
      </w:pPr>
      <w:r>
        <w:rPr>
          <w:bCs/>
          <w:color w:val="auto"/>
          <w:sz w:val="28"/>
          <w:szCs w:val="28"/>
        </w:rPr>
        <w:br w:type="page"/>
      </w:r>
    </w:p>
    <w:p w14:paraId="7AE29C24">
      <w:pPr>
        <w:ind w:firstLine="562" w:firstLineChars="201"/>
        <w:jc w:val="left"/>
        <w:rPr>
          <w:bCs/>
          <w:color w:val="auto"/>
          <w:sz w:val="28"/>
          <w:szCs w:val="28"/>
        </w:rPr>
      </w:pPr>
    </w:p>
    <w:p w14:paraId="4075E45A">
      <w:pPr>
        <w:ind w:firstLine="562" w:firstLineChars="201"/>
        <w:jc w:val="left"/>
        <w:rPr>
          <w:bCs/>
          <w:color w:val="auto"/>
          <w:sz w:val="28"/>
          <w:szCs w:val="28"/>
        </w:rPr>
      </w:pPr>
    </w:p>
    <w:p w14:paraId="5E0AAE12">
      <w:pPr>
        <w:pStyle w:val="43"/>
        <w:rPr>
          <w:rFonts w:hint="default" w:ascii="宋体" w:hAnsi="宋体" w:eastAsia="宋体" w:cs="宋体"/>
          <w:b/>
          <w:bCs/>
          <w:color w:val="auto"/>
          <w:sz w:val="48"/>
          <w:szCs w:val="48"/>
          <w:lang w:val="en-US" w:eastAsia="zh-CN"/>
        </w:rPr>
      </w:pPr>
      <w:r>
        <w:rPr>
          <w:rFonts w:hint="eastAsia" w:ascii="宋体" w:hAnsi="宋体" w:eastAsia="宋体" w:cs="宋体"/>
          <w:b/>
          <w:bCs/>
          <w:color w:val="auto"/>
          <w:sz w:val="40"/>
          <w:szCs w:val="40"/>
          <w:lang w:val="en-US" w:eastAsia="zh-CN"/>
        </w:rPr>
        <w:t>彭州市龙兴寺片区PZ2024-16地块商住建设项目</w:t>
      </w:r>
    </w:p>
    <w:p w14:paraId="59DD8BC1">
      <w:pPr>
        <w:ind w:firstLine="0" w:firstLineChars="0"/>
        <w:jc w:val="center"/>
        <w:outlineLvl w:val="9"/>
        <w:rPr>
          <w:rFonts w:hint="eastAsia" w:ascii="宋体" w:hAnsi="宋体"/>
          <w:b/>
          <w:color w:val="auto"/>
          <w:sz w:val="36"/>
          <w:szCs w:val="36"/>
        </w:rPr>
      </w:pPr>
      <w:r>
        <w:rPr>
          <w:rFonts w:hint="eastAsia" w:ascii="宋体" w:hAnsi="宋体" w:cs="Times New Roman"/>
          <w:b/>
          <w:color w:val="auto"/>
          <w:sz w:val="36"/>
          <w:szCs w:val="36"/>
          <w:lang w:val="en-US" w:eastAsia="zh-CN"/>
        </w:rPr>
        <w:t>　施工升降机安装</w:t>
      </w:r>
      <w:r>
        <w:rPr>
          <w:rFonts w:hint="eastAsia" w:ascii="宋体" w:hAnsi="宋体"/>
          <w:b/>
          <w:color w:val="auto"/>
          <w:sz w:val="36"/>
          <w:szCs w:val="36"/>
        </w:rPr>
        <w:t>专项施工方案</w:t>
      </w:r>
    </w:p>
    <w:p w14:paraId="159B7E0B">
      <w:pPr>
        <w:pStyle w:val="32"/>
        <w:rPr>
          <w:rFonts w:hint="eastAsia" w:ascii="宋体" w:hAnsi="宋体"/>
          <w:b/>
          <w:color w:val="auto"/>
          <w:sz w:val="40"/>
          <w:szCs w:val="40"/>
        </w:rPr>
      </w:pPr>
    </w:p>
    <w:p w14:paraId="2F6ECAFE">
      <w:pPr>
        <w:pStyle w:val="32"/>
        <w:rPr>
          <w:rFonts w:hint="eastAsia" w:ascii="宋体" w:hAnsi="宋体"/>
          <w:b/>
          <w:color w:val="auto"/>
          <w:sz w:val="10"/>
          <w:szCs w:val="10"/>
        </w:rPr>
      </w:pPr>
    </w:p>
    <w:p w14:paraId="06C6C6DA">
      <w:pPr>
        <w:ind w:firstLine="482" w:firstLineChars="201"/>
        <w:jc w:val="center"/>
        <w:rPr>
          <w:bCs/>
          <w:color w:val="auto"/>
          <w:sz w:val="28"/>
          <w:szCs w:val="28"/>
        </w:rPr>
      </w:pPr>
      <w:r>
        <w:rPr>
          <w:color w:val="auto"/>
        </w:rPr>
        <w:drawing>
          <wp:inline distT="0" distB="0" distL="0" distR="0">
            <wp:extent cx="4093210" cy="2509520"/>
            <wp:effectExtent l="0" t="0" r="2540" b="508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21"/>
                    <a:stretch>
                      <a:fillRect/>
                    </a:stretch>
                  </pic:blipFill>
                  <pic:spPr>
                    <a:xfrm>
                      <a:off x="0" y="0"/>
                      <a:ext cx="4093210" cy="2509520"/>
                    </a:xfrm>
                    <a:prstGeom prst="rect">
                      <a:avLst/>
                    </a:prstGeom>
                  </pic:spPr>
                </pic:pic>
              </a:graphicData>
            </a:graphic>
          </wp:inline>
        </w:drawing>
      </w:r>
    </w:p>
    <w:p w14:paraId="5755931D">
      <w:pPr>
        <w:ind w:firstLine="562" w:firstLineChars="201"/>
        <w:jc w:val="left"/>
        <w:rPr>
          <w:bCs/>
          <w:color w:val="auto"/>
          <w:sz w:val="28"/>
          <w:szCs w:val="28"/>
        </w:rPr>
      </w:pPr>
    </w:p>
    <w:p w14:paraId="4C966ABD">
      <w:pPr>
        <w:ind w:left="0" w:leftChars="0" w:firstLine="0" w:firstLineChars="0"/>
        <w:jc w:val="left"/>
        <w:rPr>
          <w:bCs/>
          <w:color w:val="auto"/>
          <w:sz w:val="28"/>
          <w:szCs w:val="28"/>
        </w:rPr>
      </w:pPr>
    </w:p>
    <w:p w14:paraId="788603B6">
      <w:pPr>
        <w:pStyle w:val="32"/>
        <w:rPr>
          <w:color w:val="auto"/>
        </w:rPr>
      </w:pPr>
    </w:p>
    <w:p w14:paraId="77F529D6">
      <w:pPr>
        <w:keepNext w:val="0"/>
        <w:keepLines w:val="0"/>
        <w:pageBreakBefore w:val="0"/>
        <w:widowControl w:val="0"/>
        <w:kinsoku/>
        <w:wordWrap/>
        <w:overflowPunct/>
        <w:topLinePunct w:val="0"/>
        <w:autoSpaceDE/>
        <w:autoSpaceDN/>
        <w:bidi w:val="0"/>
        <w:adjustRightInd/>
        <w:snapToGrid/>
        <w:spacing w:line="480" w:lineRule="auto"/>
        <w:ind w:firstLine="2800" w:firstLineChars="1000"/>
        <w:jc w:val="left"/>
        <w:textAlignment w:val="auto"/>
        <w:rPr>
          <w:bCs/>
          <w:color w:val="auto"/>
          <w:sz w:val="28"/>
          <w:szCs w:val="28"/>
        </w:rPr>
      </w:pPr>
      <w:r>
        <w:rPr>
          <w:rFonts w:hint="eastAsia"/>
          <w:bCs/>
          <w:color w:val="auto"/>
          <w:sz w:val="28"/>
          <w:szCs w:val="28"/>
        </w:rPr>
        <w:t xml:space="preserve">编 制：  </w:t>
      </w:r>
      <w:r>
        <w:rPr>
          <w:rFonts w:hint="eastAsia"/>
          <w:bCs/>
          <w:color w:val="auto"/>
          <w:sz w:val="28"/>
          <w:szCs w:val="28"/>
          <w:u w:val="single"/>
        </w:rPr>
        <w:t xml:space="preserve">                    </w:t>
      </w:r>
    </w:p>
    <w:p w14:paraId="17BEA363">
      <w:pPr>
        <w:keepNext w:val="0"/>
        <w:keepLines w:val="0"/>
        <w:pageBreakBefore w:val="0"/>
        <w:widowControl w:val="0"/>
        <w:kinsoku/>
        <w:wordWrap/>
        <w:overflowPunct/>
        <w:topLinePunct w:val="0"/>
        <w:autoSpaceDE/>
        <w:autoSpaceDN/>
        <w:bidi w:val="0"/>
        <w:adjustRightInd/>
        <w:snapToGrid/>
        <w:spacing w:line="480" w:lineRule="auto"/>
        <w:ind w:firstLine="562" w:firstLineChars="201"/>
        <w:jc w:val="left"/>
        <w:textAlignment w:val="auto"/>
        <w:rPr>
          <w:bCs/>
          <w:color w:val="auto"/>
          <w:sz w:val="28"/>
          <w:szCs w:val="28"/>
        </w:rPr>
      </w:pPr>
      <w:r>
        <w:rPr>
          <w:rFonts w:hint="eastAsia"/>
          <w:bCs/>
          <w:color w:val="auto"/>
          <w:sz w:val="28"/>
          <w:szCs w:val="28"/>
        </w:rPr>
        <w:t xml:space="preserve">          </w:t>
      </w:r>
      <w:r>
        <w:rPr>
          <w:rFonts w:hint="eastAsia"/>
          <w:bCs/>
          <w:color w:val="auto"/>
          <w:sz w:val="28"/>
          <w:szCs w:val="28"/>
          <w:lang w:val="en-US" w:eastAsia="zh-CN"/>
        </w:rPr>
        <w:t xml:space="preserve">      </w:t>
      </w:r>
      <w:r>
        <w:rPr>
          <w:rFonts w:hint="eastAsia"/>
          <w:bCs/>
          <w:color w:val="auto"/>
          <w:sz w:val="28"/>
          <w:szCs w:val="28"/>
        </w:rPr>
        <w:t xml:space="preserve">审 核：  </w:t>
      </w:r>
      <w:r>
        <w:rPr>
          <w:rFonts w:hint="eastAsia"/>
          <w:bCs/>
          <w:color w:val="auto"/>
          <w:sz w:val="28"/>
          <w:szCs w:val="28"/>
          <w:u w:val="single"/>
        </w:rPr>
        <w:t xml:space="preserve">    </w:t>
      </w:r>
      <w:r>
        <w:rPr>
          <w:rFonts w:hint="eastAsia"/>
          <w:bCs/>
          <w:color w:val="auto"/>
          <w:sz w:val="28"/>
          <w:szCs w:val="28"/>
          <w:u w:val="single"/>
          <w:lang w:val="en-US" w:eastAsia="zh-CN"/>
        </w:rPr>
        <w:t xml:space="preserve">            </w:t>
      </w:r>
      <w:r>
        <w:rPr>
          <w:rFonts w:hint="eastAsia"/>
          <w:bCs/>
          <w:color w:val="auto"/>
          <w:sz w:val="28"/>
          <w:szCs w:val="28"/>
          <w:u w:val="single"/>
        </w:rPr>
        <w:t xml:space="preserve">    </w:t>
      </w:r>
    </w:p>
    <w:p w14:paraId="6A19F6C3">
      <w:pPr>
        <w:keepNext w:val="0"/>
        <w:keepLines w:val="0"/>
        <w:pageBreakBefore w:val="0"/>
        <w:widowControl w:val="0"/>
        <w:kinsoku/>
        <w:wordWrap/>
        <w:overflowPunct/>
        <w:topLinePunct w:val="0"/>
        <w:autoSpaceDE/>
        <w:autoSpaceDN/>
        <w:bidi w:val="0"/>
        <w:adjustRightInd/>
        <w:snapToGrid/>
        <w:spacing w:line="480" w:lineRule="auto"/>
        <w:ind w:firstLine="562" w:firstLineChars="201"/>
        <w:jc w:val="left"/>
        <w:textAlignment w:val="auto"/>
        <w:rPr>
          <w:bCs/>
          <w:color w:val="auto"/>
          <w:sz w:val="28"/>
          <w:szCs w:val="28"/>
        </w:rPr>
      </w:pPr>
      <w:r>
        <w:rPr>
          <w:rFonts w:hint="eastAsia"/>
          <w:bCs/>
          <w:color w:val="auto"/>
          <w:sz w:val="28"/>
          <w:szCs w:val="28"/>
        </w:rPr>
        <w:t xml:space="preserve">          </w:t>
      </w:r>
      <w:r>
        <w:rPr>
          <w:rFonts w:hint="eastAsia"/>
          <w:bCs/>
          <w:color w:val="auto"/>
          <w:sz w:val="28"/>
          <w:szCs w:val="28"/>
          <w:lang w:val="en-US" w:eastAsia="zh-CN"/>
        </w:rPr>
        <w:t xml:space="preserve">      审 批</w:t>
      </w:r>
      <w:r>
        <w:rPr>
          <w:rFonts w:hint="eastAsia"/>
          <w:bCs/>
          <w:color w:val="auto"/>
          <w:sz w:val="28"/>
          <w:szCs w:val="28"/>
        </w:rPr>
        <w:t xml:space="preserve">：  </w:t>
      </w:r>
      <w:r>
        <w:rPr>
          <w:rFonts w:hint="eastAsia"/>
          <w:bCs/>
          <w:color w:val="auto"/>
          <w:sz w:val="28"/>
          <w:szCs w:val="28"/>
          <w:u w:val="single"/>
        </w:rPr>
        <w:t xml:space="preserve">      </w:t>
      </w:r>
      <w:r>
        <w:rPr>
          <w:rFonts w:hint="eastAsia"/>
          <w:bCs/>
          <w:color w:val="auto"/>
          <w:sz w:val="28"/>
          <w:szCs w:val="28"/>
          <w:u w:val="single"/>
          <w:lang w:val="en-US" w:eastAsia="zh-CN"/>
        </w:rPr>
        <w:t xml:space="preserve">        </w:t>
      </w:r>
      <w:r>
        <w:rPr>
          <w:rFonts w:hint="eastAsia"/>
          <w:bCs/>
          <w:color w:val="auto"/>
          <w:sz w:val="28"/>
          <w:szCs w:val="28"/>
          <w:u w:val="single"/>
        </w:rPr>
        <w:t xml:space="preserve">      </w:t>
      </w:r>
    </w:p>
    <w:p w14:paraId="54A737DC">
      <w:pPr>
        <w:ind w:firstLine="0" w:firstLineChars="0"/>
        <w:jc w:val="both"/>
        <w:rPr>
          <w:b/>
          <w:color w:val="auto"/>
          <w:sz w:val="48"/>
          <w:szCs w:val="32"/>
        </w:rPr>
      </w:pPr>
    </w:p>
    <w:p w14:paraId="7E6E0EA2">
      <w:pPr>
        <w:pStyle w:val="32"/>
        <w:rPr>
          <w:b/>
          <w:color w:val="auto"/>
          <w:sz w:val="48"/>
          <w:szCs w:val="32"/>
        </w:rPr>
      </w:pPr>
    </w:p>
    <w:p w14:paraId="29867964">
      <w:pPr>
        <w:pStyle w:val="32"/>
        <w:keepNext w:val="0"/>
        <w:keepLines w:val="0"/>
        <w:pageBreakBefore w:val="0"/>
        <w:widowControl w:val="0"/>
        <w:kinsoku/>
        <w:wordWrap/>
        <w:overflowPunct/>
        <w:topLinePunct w:val="0"/>
        <w:bidi w:val="0"/>
        <w:snapToGrid/>
        <w:spacing w:line="360" w:lineRule="auto"/>
        <w:jc w:val="center"/>
        <w:textAlignment w:val="auto"/>
        <w:rPr>
          <w:rFonts w:hint="eastAsia"/>
          <w:b/>
          <w:color w:val="auto"/>
          <w:sz w:val="36"/>
          <w:szCs w:val="36"/>
          <w:lang w:eastAsia="zh-CN"/>
        </w:rPr>
      </w:pPr>
      <w:r>
        <w:rPr>
          <w:rFonts w:hint="eastAsia"/>
          <w:b/>
          <w:color w:val="auto"/>
          <w:sz w:val="32"/>
          <w:szCs w:val="32"/>
          <w:lang w:val="en-US" w:eastAsia="zh-CN"/>
        </w:rPr>
        <w:t xml:space="preserve">     </w:t>
      </w:r>
      <w:r>
        <w:rPr>
          <w:rFonts w:hint="eastAsia"/>
          <w:b/>
          <w:color w:val="auto"/>
          <w:sz w:val="28"/>
          <w:szCs w:val="28"/>
          <w:lang w:val="en-US" w:eastAsia="zh-CN"/>
        </w:rPr>
        <w:t xml:space="preserve"> </w:t>
      </w:r>
      <w:r>
        <w:rPr>
          <w:rFonts w:hint="eastAsia"/>
          <w:b/>
          <w:color w:val="auto"/>
          <w:sz w:val="36"/>
          <w:szCs w:val="36"/>
          <w:lang w:val="en-US" w:eastAsia="zh-CN"/>
        </w:rPr>
        <w:t>四川科斗文智能装备有限公司</w:t>
      </w:r>
    </w:p>
    <w:p w14:paraId="6533E860">
      <w:pPr>
        <w:pStyle w:val="32"/>
        <w:keepNext w:val="0"/>
        <w:keepLines w:val="0"/>
        <w:pageBreakBefore w:val="0"/>
        <w:widowControl w:val="0"/>
        <w:kinsoku/>
        <w:wordWrap/>
        <w:overflowPunct/>
        <w:topLinePunct w:val="0"/>
        <w:bidi w:val="0"/>
        <w:snapToGrid/>
        <w:spacing w:line="360" w:lineRule="auto"/>
        <w:jc w:val="center"/>
        <w:textAlignment w:val="auto"/>
        <w:rPr>
          <w:rFonts w:hint="default"/>
          <w:b/>
          <w:color w:val="auto"/>
          <w:sz w:val="36"/>
          <w:szCs w:val="36"/>
          <w:lang w:val="en-US" w:eastAsia="zh-CN"/>
        </w:rPr>
      </w:pPr>
      <w:r>
        <w:rPr>
          <w:rFonts w:hint="eastAsia"/>
          <w:b/>
          <w:color w:val="auto"/>
          <w:sz w:val="36"/>
          <w:szCs w:val="36"/>
          <w:lang w:val="en-US" w:eastAsia="zh-CN"/>
        </w:rPr>
        <w:t xml:space="preserve">      </w:t>
      </w:r>
      <w:r>
        <w:rPr>
          <w:rFonts w:hint="default"/>
          <w:b/>
          <w:color w:val="auto"/>
          <w:sz w:val="36"/>
          <w:szCs w:val="36"/>
          <w:lang w:val="en-US" w:eastAsia="zh-CN"/>
        </w:rPr>
        <w:t>202</w:t>
      </w:r>
      <w:r>
        <w:rPr>
          <w:rFonts w:hint="eastAsia"/>
          <w:b/>
          <w:color w:val="auto"/>
          <w:sz w:val="36"/>
          <w:szCs w:val="36"/>
          <w:lang w:val="en-US" w:eastAsia="zh-CN"/>
        </w:rPr>
        <w:t>5年11月</w:t>
      </w:r>
    </w:p>
    <w:p w14:paraId="6016FF9D">
      <w:pPr>
        <w:keepNext w:val="0"/>
        <w:keepLines w:val="0"/>
        <w:pageBreakBefore w:val="0"/>
        <w:widowControl w:val="0"/>
        <w:kinsoku/>
        <w:wordWrap/>
        <w:overflowPunct/>
        <w:topLinePunct w:val="0"/>
        <w:bidi w:val="0"/>
        <w:snapToGrid/>
        <w:spacing w:line="360" w:lineRule="auto"/>
        <w:ind w:firstLine="964"/>
        <w:jc w:val="center"/>
        <w:textAlignment w:val="auto"/>
        <w:rPr>
          <w:b/>
          <w:color w:val="auto"/>
          <w:sz w:val="52"/>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pgNumType w:fmt="decimal"/>
          <w:cols w:space="425" w:num="1"/>
          <w:docGrid w:linePitch="498" w:charSpace="17788"/>
        </w:sectPr>
      </w:pPr>
    </w:p>
    <w:sdt>
      <w:sdtPr>
        <w:rPr>
          <w:rFonts w:ascii="宋体" w:hAnsi="宋体" w:eastAsia="宋体" w:cs="Times New Roman"/>
          <w:color w:val="auto"/>
          <w:kern w:val="2"/>
          <w:sz w:val="32"/>
          <w:szCs w:val="32"/>
          <w:lang w:val="en-US" w:eastAsia="zh-CN" w:bidi="ar-SA"/>
        </w:rPr>
        <w:id w:val="147462089"/>
        <w15:color w:val="DBDBDB"/>
        <w:docPartObj>
          <w:docPartGallery w:val="Table of Contents"/>
          <w:docPartUnique/>
        </w:docPartObj>
      </w:sdtPr>
      <w:sdtEndPr>
        <w:rPr>
          <w:rFonts w:ascii="Times New Roman" w:hAnsi="Times New Roman" w:eastAsia="宋体" w:cs="Times New Roman"/>
          <w:b/>
          <w:color w:val="auto"/>
          <w:kern w:val="2"/>
          <w:sz w:val="28"/>
          <w:szCs w:val="32"/>
          <w:lang w:val="en-US" w:eastAsia="zh-CN" w:bidi="ar-SA"/>
        </w:rPr>
      </w:sdtEndPr>
      <w:sdtContent>
        <w:p w14:paraId="744EEAE0">
          <w:pPr>
            <w:spacing w:before="0" w:beforeLines="0" w:after="0" w:afterLines="0" w:line="240" w:lineRule="auto"/>
            <w:ind w:left="0" w:leftChars="0" w:right="0" w:rightChars="0" w:firstLine="0" w:firstLineChars="0"/>
            <w:jc w:val="center"/>
            <w:rPr>
              <w:rFonts w:hint="eastAsia" w:ascii="宋体" w:hAnsi="宋体" w:eastAsia="宋体" w:cs="宋体"/>
              <w:color w:val="auto"/>
              <w:sz w:val="32"/>
              <w:szCs w:val="32"/>
            </w:rPr>
          </w:pPr>
          <w:r>
            <w:rPr>
              <w:rFonts w:hint="eastAsia" w:ascii="宋体" w:hAnsi="宋体" w:eastAsia="宋体" w:cs="宋体"/>
              <w:color w:val="auto"/>
              <w:sz w:val="32"/>
              <w:szCs w:val="32"/>
            </w:rPr>
            <w:t>目</w:t>
          </w:r>
          <w:r>
            <w:rPr>
              <w:rFonts w:hint="eastAsia" w:ascii="宋体" w:hAnsi="宋体" w:eastAsia="宋体" w:cs="宋体"/>
              <w:color w:val="auto"/>
              <w:sz w:val="32"/>
              <w:szCs w:val="32"/>
              <w:lang w:val="en-US" w:eastAsia="zh-CN"/>
            </w:rPr>
            <w:t xml:space="preserve">    </w:t>
          </w:r>
          <w:r>
            <w:rPr>
              <w:rFonts w:hint="eastAsia" w:ascii="宋体" w:hAnsi="宋体" w:eastAsia="宋体" w:cs="宋体"/>
              <w:color w:val="auto"/>
              <w:sz w:val="32"/>
              <w:szCs w:val="32"/>
            </w:rPr>
            <w:t>录</w:t>
          </w:r>
        </w:p>
        <w:p w14:paraId="7FE2C440">
          <w:pPr>
            <w:pStyle w:val="21"/>
            <w:tabs>
              <w:tab w:val="right" w:leader="dot" w:pos="9070"/>
              <w:tab w:val="clear" w:pos="9060"/>
            </w:tabs>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TOC \o "1-2" \h \u </w:instrText>
          </w:r>
          <w:r>
            <w:rPr>
              <w:rFonts w:hint="eastAsia" w:ascii="宋体" w:hAnsi="宋体" w:eastAsia="宋体" w:cs="宋体"/>
              <w:color w:val="auto"/>
              <w:sz w:val="24"/>
              <w:szCs w:val="24"/>
            </w:rPr>
            <w:fldChar w:fldCharType="separate"/>
          </w: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_Toc7380 </w:instrText>
          </w:r>
          <w:r>
            <w:rPr>
              <w:rFonts w:hint="eastAsia" w:ascii="宋体" w:hAnsi="宋体" w:eastAsia="宋体" w:cs="宋体"/>
              <w:szCs w:val="24"/>
            </w:rPr>
            <w:fldChar w:fldCharType="separate"/>
          </w:r>
          <w:r>
            <w:rPr>
              <w:rFonts w:hint="default" w:ascii="宋体" w:hAnsi="宋体" w:eastAsia="宋体" w:cs="宋体"/>
              <w:szCs w:val="32"/>
            </w:rPr>
            <w:t xml:space="preserve">1 </w:t>
          </w:r>
          <w:r>
            <w:rPr>
              <w:rFonts w:hint="eastAsia"/>
            </w:rPr>
            <w:t>编制说明、依据及适用范围</w:t>
          </w:r>
          <w:r>
            <w:tab/>
          </w:r>
          <w:r>
            <w:fldChar w:fldCharType="begin"/>
          </w:r>
          <w:r>
            <w:instrText xml:space="preserve"> PAGEREF _Toc7380 \h </w:instrText>
          </w:r>
          <w:r>
            <w:fldChar w:fldCharType="separate"/>
          </w:r>
          <w:r>
            <w:t>1</w:t>
          </w:r>
          <w:r>
            <w:fldChar w:fldCharType="end"/>
          </w:r>
          <w:r>
            <w:rPr>
              <w:rFonts w:hint="eastAsia" w:ascii="宋体" w:hAnsi="宋体" w:eastAsia="宋体" w:cs="宋体"/>
              <w:color w:val="auto"/>
              <w:szCs w:val="24"/>
            </w:rPr>
            <w:fldChar w:fldCharType="end"/>
          </w:r>
        </w:p>
        <w:p w14:paraId="7CD1B015">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_Toc8291 </w:instrText>
          </w:r>
          <w:r>
            <w:rPr>
              <w:rFonts w:hint="eastAsia" w:ascii="宋体" w:hAnsi="宋体" w:eastAsia="宋体" w:cs="宋体"/>
              <w:szCs w:val="24"/>
            </w:rPr>
            <w:fldChar w:fldCharType="separate"/>
          </w:r>
          <w:r>
            <w:rPr>
              <w:rFonts w:hint="default" w:ascii="宋体" w:hAnsi="宋体" w:eastAsia="宋体" w:cs="宋体"/>
            </w:rPr>
            <w:t xml:space="preserve">1.1 </w:t>
          </w:r>
          <w:r>
            <w:rPr>
              <w:rFonts w:hint="eastAsia"/>
            </w:rPr>
            <w:t>编制说明</w:t>
          </w:r>
          <w:r>
            <w:tab/>
          </w:r>
          <w:r>
            <w:fldChar w:fldCharType="begin"/>
          </w:r>
          <w:r>
            <w:instrText xml:space="preserve"> PAGEREF _Toc8291 \h </w:instrText>
          </w:r>
          <w:r>
            <w:fldChar w:fldCharType="separate"/>
          </w:r>
          <w:r>
            <w:t>1</w:t>
          </w:r>
          <w:r>
            <w:fldChar w:fldCharType="end"/>
          </w:r>
          <w:r>
            <w:rPr>
              <w:rFonts w:hint="eastAsia" w:ascii="宋体" w:hAnsi="宋体" w:eastAsia="宋体" w:cs="宋体"/>
              <w:color w:val="auto"/>
              <w:szCs w:val="24"/>
            </w:rPr>
            <w:fldChar w:fldCharType="end"/>
          </w:r>
        </w:p>
        <w:p w14:paraId="6BD369BA">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_Toc30096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1.2 </w:t>
          </w:r>
          <w:r>
            <w:rPr>
              <w:rFonts w:hint="eastAsia"/>
              <w:lang w:val="en-US" w:eastAsia="zh-CN"/>
            </w:rPr>
            <w:t>编制依据</w:t>
          </w:r>
          <w:r>
            <w:tab/>
          </w:r>
          <w:r>
            <w:fldChar w:fldCharType="begin"/>
          </w:r>
          <w:r>
            <w:instrText xml:space="preserve"> PAGEREF _Toc30096 \h </w:instrText>
          </w:r>
          <w:r>
            <w:fldChar w:fldCharType="separate"/>
          </w:r>
          <w:r>
            <w:t>1</w:t>
          </w:r>
          <w:r>
            <w:fldChar w:fldCharType="end"/>
          </w:r>
          <w:r>
            <w:rPr>
              <w:rFonts w:hint="eastAsia" w:ascii="宋体" w:hAnsi="宋体" w:eastAsia="宋体" w:cs="宋体"/>
              <w:color w:val="auto"/>
              <w:szCs w:val="24"/>
            </w:rPr>
            <w:fldChar w:fldCharType="end"/>
          </w:r>
        </w:p>
        <w:p w14:paraId="277F8FD4">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_Toc3948 </w:instrText>
          </w:r>
          <w:r>
            <w:rPr>
              <w:rFonts w:hint="eastAsia" w:ascii="宋体" w:hAnsi="宋体" w:eastAsia="宋体" w:cs="宋体"/>
              <w:szCs w:val="24"/>
            </w:rPr>
            <w:fldChar w:fldCharType="separate"/>
          </w:r>
          <w:r>
            <w:rPr>
              <w:rFonts w:hint="default" w:ascii="宋体" w:hAnsi="宋体" w:eastAsia="宋体" w:cs="宋体"/>
            </w:rPr>
            <w:t xml:space="preserve">1.3 </w:t>
          </w:r>
          <w:r>
            <w:rPr>
              <w:rFonts w:hint="eastAsia"/>
            </w:rPr>
            <w:t>编制原则</w:t>
          </w:r>
          <w:r>
            <w:tab/>
          </w:r>
          <w:r>
            <w:fldChar w:fldCharType="begin"/>
          </w:r>
          <w:r>
            <w:instrText xml:space="preserve"> PAGEREF _Toc3948 \h </w:instrText>
          </w:r>
          <w:r>
            <w:fldChar w:fldCharType="separate"/>
          </w:r>
          <w:r>
            <w:t>2</w:t>
          </w:r>
          <w:r>
            <w:fldChar w:fldCharType="end"/>
          </w:r>
          <w:r>
            <w:rPr>
              <w:rFonts w:hint="eastAsia" w:ascii="宋体" w:hAnsi="宋体" w:eastAsia="宋体" w:cs="宋体"/>
              <w:color w:val="auto"/>
              <w:szCs w:val="24"/>
            </w:rPr>
            <w:fldChar w:fldCharType="end"/>
          </w:r>
        </w:p>
        <w:p w14:paraId="2C409D2B">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_Toc2781 </w:instrText>
          </w:r>
          <w:r>
            <w:rPr>
              <w:rFonts w:hint="eastAsia" w:ascii="宋体" w:hAnsi="宋体" w:eastAsia="宋体" w:cs="宋体"/>
              <w:szCs w:val="24"/>
            </w:rPr>
            <w:fldChar w:fldCharType="separate"/>
          </w:r>
          <w:r>
            <w:rPr>
              <w:rFonts w:hint="default" w:ascii="宋体" w:hAnsi="宋体" w:eastAsia="宋体" w:cs="宋体"/>
            </w:rPr>
            <w:t xml:space="preserve">1.4 </w:t>
          </w:r>
          <w:r>
            <w:rPr>
              <w:rFonts w:hint="eastAsia"/>
            </w:rPr>
            <w:t>适用范围</w:t>
          </w:r>
          <w:r>
            <w:tab/>
          </w:r>
          <w:r>
            <w:fldChar w:fldCharType="begin"/>
          </w:r>
          <w:r>
            <w:instrText xml:space="preserve"> PAGEREF _Toc2781 \h </w:instrText>
          </w:r>
          <w:r>
            <w:fldChar w:fldCharType="separate"/>
          </w:r>
          <w:r>
            <w:t>2</w:t>
          </w:r>
          <w:r>
            <w:fldChar w:fldCharType="end"/>
          </w:r>
          <w:r>
            <w:rPr>
              <w:rFonts w:hint="eastAsia" w:ascii="宋体" w:hAnsi="宋体" w:eastAsia="宋体" w:cs="宋体"/>
              <w:color w:val="auto"/>
              <w:szCs w:val="24"/>
            </w:rPr>
            <w:fldChar w:fldCharType="end"/>
          </w:r>
        </w:p>
        <w:p w14:paraId="4DFBBFCF">
          <w:pPr>
            <w:pStyle w:val="21"/>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_Toc15852 </w:instrText>
          </w:r>
          <w:r>
            <w:rPr>
              <w:rFonts w:hint="eastAsia" w:ascii="宋体" w:hAnsi="宋体" w:eastAsia="宋体" w:cs="宋体"/>
              <w:szCs w:val="24"/>
            </w:rPr>
            <w:fldChar w:fldCharType="separate"/>
          </w:r>
          <w:r>
            <w:rPr>
              <w:rFonts w:hint="default" w:ascii="宋体" w:hAnsi="宋体" w:eastAsia="宋体" w:cs="宋体"/>
              <w:szCs w:val="32"/>
            </w:rPr>
            <w:t xml:space="preserve">2 </w:t>
          </w:r>
          <w:r>
            <w:rPr>
              <w:rFonts w:hint="eastAsia"/>
            </w:rPr>
            <w:t>工程概况</w:t>
          </w:r>
          <w:r>
            <w:tab/>
          </w:r>
          <w:r>
            <w:fldChar w:fldCharType="begin"/>
          </w:r>
          <w:r>
            <w:instrText xml:space="preserve"> PAGEREF _Toc15852 \h </w:instrText>
          </w:r>
          <w:r>
            <w:fldChar w:fldCharType="separate"/>
          </w:r>
          <w:r>
            <w:t>3</w:t>
          </w:r>
          <w:r>
            <w:fldChar w:fldCharType="end"/>
          </w:r>
          <w:r>
            <w:rPr>
              <w:rFonts w:hint="eastAsia" w:ascii="宋体" w:hAnsi="宋体" w:eastAsia="宋体" w:cs="宋体"/>
              <w:color w:val="auto"/>
              <w:szCs w:val="24"/>
            </w:rPr>
            <w:fldChar w:fldCharType="end"/>
          </w:r>
        </w:p>
        <w:p w14:paraId="6FF4E5BE">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_Toc29518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2.1 </w:t>
          </w:r>
          <w:r>
            <w:rPr>
              <w:rFonts w:hint="eastAsia" w:eastAsia="宋体"/>
              <w:lang w:eastAsia="zh-CN"/>
            </w:rPr>
            <w:t>项目概况</w:t>
          </w:r>
          <w:r>
            <w:tab/>
          </w:r>
          <w:r>
            <w:fldChar w:fldCharType="begin"/>
          </w:r>
          <w:r>
            <w:instrText xml:space="preserve"> PAGEREF _Toc29518 \h </w:instrText>
          </w:r>
          <w:r>
            <w:fldChar w:fldCharType="separate"/>
          </w:r>
          <w:r>
            <w:t>3</w:t>
          </w:r>
          <w:r>
            <w:fldChar w:fldCharType="end"/>
          </w:r>
          <w:r>
            <w:rPr>
              <w:rFonts w:hint="eastAsia" w:ascii="宋体" w:hAnsi="宋体" w:eastAsia="宋体" w:cs="宋体"/>
              <w:color w:val="auto"/>
              <w:szCs w:val="24"/>
            </w:rPr>
            <w:fldChar w:fldCharType="end"/>
          </w:r>
        </w:p>
        <w:p w14:paraId="3F6D927C">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_Toc27496 </w:instrText>
          </w:r>
          <w:r>
            <w:rPr>
              <w:rFonts w:hint="eastAsia" w:ascii="宋体" w:hAnsi="宋体" w:eastAsia="宋体" w:cs="宋体"/>
              <w:szCs w:val="24"/>
            </w:rPr>
            <w:fldChar w:fldCharType="separate"/>
          </w:r>
          <w:r>
            <w:rPr>
              <w:rFonts w:hint="default" w:ascii="宋体" w:hAnsi="宋体" w:eastAsia="宋体" w:cs="宋体"/>
              <w:lang w:eastAsia="zh-CN"/>
            </w:rPr>
            <w:t xml:space="preserve">2.2 </w:t>
          </w:r>
          <w:r>
            <w:rPr>
              <w:rFonts w:hint="eastAsia"/>
              <w:lang w:eastAsia="zh-CN"/>
            </w:rPr>
            <w:t>工程特点</w:t>
          </w:r>
          <w:r>
            <w:tab/>
          </w:r>
          <w:r>
            <w:fldChar w:fldCharType="begin"/>
          </w:r>
          <w:r>
            <w:instrText xml:space="preserve"> PAGEREF _Toc27496 \h </w:instrText>
          </w:r>
          <w:r>
            <w:fldChar w:fldCharType="separate"/>
          </w:r>
          <w:r>
            <w:t>3</w:t>
          </w:r>
          <w:r>
            <w:fldChar w:fldCharType="end"/>
          </w:r>
          <w:r>
            <w:rPr>
              <w:rFonts w:hint="eastAsia" w:ascii="宋体" w:hAnsi="宋体" w:eastAsia="宋体" w:cs="宋体"/>
              <w:color w:val="auto"/>
              <w:szCs w:val="24"/>
            </w:rPr>
            <w:fldChar w:fldCharType="end"/>
          </w:r>
        </w:p>
        <w:p w14:paraId="04A500E6">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_Toc28299 </w:instrText>
          </w:r>
          <w:r>
            <w:rPr>
              <w:rFonts w:hint="eastAsia" w:ascii="宋体" w:hAnsi="宋体" w:eastAsia="宋体" w:cs="宋体"/>
              <w:szCs w:val="24"/>
            </w:rPr>
            <w:fldChar w:fldCharType="separate"/>
          </w:r>
          <w:r>
            <w:rPr>
              <w:rFonts w:hint="default" w:ascii="宋体" w:hAnsi="宋体" w:eastAsia="宋体" w:cs="宋体"/>
            </w:rPr>
            <w:t xml:space="preserve">2.3 </w:t>
          </w:r>
          <w:r>
            <w:rPr>
              <w:rFonts w:hint="eastAsia"/>
            </w:rPr>
            <w:t>施工平面布置</w:t>
          </w:r>
          <w:r>
            <w:tab/>
          </w:r>
          <w:r>
            <w:fldChar w:fldCharType="begin"/>
          </w:r>
          <w:r>
            <w:instrText xml:space="preserve"> PAGEREF _Toc28299 \h </w:instrText>
          </w:r>
          <w:r>
            <w:fldChar w:fldCharType="separate"/>
          </w:r>
          <w:r>
            <w:t>3</w:t>
          </w:r>
          <w:r>
            <w:fldChar w:fldCharType="end"/>
          </w:r>
          <w:r>
            <w:rPr>
              <w:rFonts w:hint="eastAsia" w:ascii="宋体" w:hAnsi="宋体" w:eastAsia="宋体" w:cs="宋体"/>
              <w:color w:val="auto"/>
              <w:szCs w:val="24"/>
            </w:rPr>
            <w:fldChar w:fldCharType="end"/>
          </w:r>
        </w:p>
        <w:p w14:paraId="4C718FA0">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_Toc17981 </w:instrText>
          </w:r>
          <w:r>
            <w:rPr>
              <w:rFonts w:hint="eastAsia" w:ascii="宋体" w:hAnsi="宋体" w:eastAsia="宋体" w:cs="宋体"/>
              <w:szCs w:val="24"/>
            </w:rPr>
            <w:fldChar w:fldCharType="separate"/>
          </w:r>
          <w:r>
            <w:rPr>
              <w:rFonts w:hint="default" w:ascii="宋体" w:hAnsi="宋体" w:eastAsia="宋体" w:cs="宋体"/>
            </w:rPr>
            <w:t xml:space="preserve">2.4 </w:t>
          </w:r>
          <w:r>
            <w:rPr>
              <w:rFonts w:hint="eastAsia"/>
            </w:rPr>
            <w:t>施工要求</w:t>
          </w:r>
          <w:r>
            <w:tab/>
          </w:r>
          <w:r>
            <w:fldChar w:fldCharType="begin"/>
          </w:r>
          <w:r>
            <w:instrText xml:space="preserve"> PAGEREF _Toc17981 \h </w:instrText>
          </w:r>
          <w:r>
            <w:fldChar w:fldCharType="separate"/>
          </w:r>
          <w:r>
            <w:t>5</w:t>
          </w:r>
          <w:r>
            <w:fldChar w:fldCharType="end"/>
          </w:r>
          <w:r>
            <w:rPr>
              <w:rFonts w:hint="eastAsia" w:ascii="宋体" w:hAnsi="宋体" w:eastAsia="宋体" w:cs="宋体"/>
              <w:color w:val="auto"/>
              <w:szCs w:val="24"/>
            </w:rPr>
            <w:fldChar w:fldCharType="end"/>
          </w:r>
        </w:p>
        <w:p w14:paraId="14942BB5">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_Toc29064 </w:instrText>
          </w:r>
          <w:r>
            <w:rPr>
              <w:rFonts w:hint="eastAsia" w:ascii="宋体" w:hAnsi="宋体" w:eastAsia="宋体" w:cs="宋体"/>
              <w:szCs w:val="24"/>
            </w:rPr>
            <w:fldChar w:fldCharType="separate"/>
          </w:r>
          <w:r>
            <w:rPr>
              <w:rFonts w:hint="default" w:ascii="宋体" w:hAnsi="宋体" w:eastAsia="宋体" w:cs="宋体"/>
            </w:rPr>
            <w:t xml:space="preserve">2.5 </w:t>
          </w:r>
          <w:r>
            <w:rPr>
              <w:rFonts w:hint="eastAsia"/>
            </w:rPr>
            <w:t>技术保证条件</w:t>
          </w:r>
          <w:r>
            <w:tab/>
          </w:r>
          <w:r>
            <w:fldChar w:fldCharType="begin"/>
          </w:r>
          <w:r>
            <w:instrText xml:space="preserve"> PAGEREF _Toc29064 \h </w:instrText>
          </w:r>
          <w:r>
            <w:fldChar w:fldCharType="separate"/>
          </w:r>
          <w:r>
            <w:t>5</w:t>
          </w:r>
          <w:r>
            <w:fldChar w:fldCharType="end"/>
          </w:r>
          <w:r>
            <w:rPr>
              <w:rFonts w:hint="eastAsia" w:ascii="宋体" w:hAnsi="宋体" w:eastAsia="宋体" w:cs="宋体"/>
              <w:color w:val="auto"/>
              <w:szCs w:val="24"/>
            </w:rPr>
            <w:fldChar w:fldCharType="end"/>
          </w:r>
        </w:p>
        <w:p w14:paraId="5042C670">
          <w:pPr>
            <w:pStyle w:val="21"/>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_Toc6000 </w:instrText>
          </w:r>
          <w:r>
            <w:rPr>
              <w:rFonts w:hint="eastAsia" w:ascii="宋体" w:hAnsi="宋体" w:eastAsia="宋体" w:cs="宋体"/>
              <w:szCs w:val="24"/>
            </w:rPr>
            <w:fldChar w:fldCharType="separate"/>
          </w:r>
          <w:r>
            <w:rPr>
              <w:rFonts w:hint="default" w:ascii="宋体" w:hAnsi="宋体" w:eastAsia="宋体" w:cs="宋体"/>
              <w:szCs w:val="32"/>
            </w:rPr>
            <w:t xml:space="preserve">3 </w:t>
          </w:r>
          <w:r>
            <w:rPr>
              <w:rFonts w:hint="eastAsia"/>
            </w:rPr>
            <w:t>施工计划</w:t>
          </w:r>
          <w:r>
            <w:tab/>
          </w:r>
          <w:r>
            <w:fldChar w:fldCharType="begin"/>
          </w:r>
          <w:r>
            <w:instrText xml:space="preserve"> PAGEREF _Toc6000 \h </w:instrText>
          </w:r>
          <w:r>
            <w:fldChar w:fldCharType="separate"/>
          </w:r>
          <w:r>
            <w:t>6</w:t>
          </w:r>
          <w:r>
            <w:fldChar w:fldCharType="end"/>
          </w:r>
          <w:r>
            <w:rPr>
              <w:rFonts w:hint="eastAsia" w:ascii="宋体" w:hAnsi="宋体" w:eastAsia="宋体" w:cs="宋体"/>
              <w:color w:val="auto"/>
              <w:szCs w:val="24"/>
            </w:rPr>
            <w:fldChar w:fldCharType="end"/>
          </w:r>
        </w:p>
        <w:p w14:paraId="11C2DF8F">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_Toc12690 </w:instrText>
          </w:r>
          <w:r>
            <w:rPr>
              <w:rFonts w:hint="eastAsia" w:ascii="宋体" w:hAnsi="宋体" w:eastAsia="宋体" w:cs="宋体"/>
              <w:szCs w:val="24"/>
            </w:rPr>
            <w:fldChar w:fldCharType="separate"/>
          </w:r>
          <w:r>
            <w:rPr>
              <w:rFonts w:hint="default" w:ascii="宋体" w:hAnsi="宋体" w:eastAsia="宋体" w:cs="宋体"/>
            </w:rPr>
            <w:t xml:space="preserve">3.1 </w:t>
          </w:r>
          <w:r>
            <w:rPr>
              <w:rFonts w:hint="eastAsia"/>
            </w:rPr>
            <w:t>总体施工部署</w:t>
          </w:r>
          <w:r>
            <w:tab/>
          </w:r>
          <w:r>
            <w:fldChar w:fldCharType="begin"/>
          </w:r>
          <w:r>
            <w:instrText xml:space="preserve"> PAGEREF _Toc12690 \h </w:instrText>
          </w:r>
          <w:r>
            <w:fldChar w:fldCharType="separate"/>
          </w:r>
          <w:r>
            <w:t>6</w:t>
          </w:r>
          <w:r>
            <w:fldChar w:fldCharType="end"/>
          </w:r>
          <w:r>
            <w:rPr>
              <w:rFonts w:hint="eastAsia" w:ascii="宋体" w:hAnsi="宋体" w:eastAsia="宋体" w:cs="宋体"/>
              <w:color w:val="auto"/>
              <w:szCs w:val="24"/>
            </w:rPr>
            <w:fldChar w:fldCharType="end"/>
          </w:r>
        </w:p>
        <w:p w14:paraId="049972F6">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_Toc30218 </w:instrText>
          </w:r>
          <w:r>
            <w:rPr>
              <w:rFonts w:hint="eastAsia" w:ascii="宋体" w:hAnsi="宋体" w:eastAsia="宋体" w:cs="宋体"/>
              <w:szCs w:val="24"/>
            </w:rPr>
            <w:fldChar w:fldCharType="separate"/>
          </w:r>
          <w:r>
            <w:rPr>
              <w:rFonts w:hint="default" w:ascii="宋体" w:hAnsi="宋体" w:eastAsia="宋体" w:cs="宋体"/>
            </w:rPr>
            <w:t xml:space="preserve">3.2 </w:t>
          </w:r>
          <w:r>
            <w:rPr>
              <w:rFonts w:hint="eastAsia"/>
            </w:rPr>
            <w:t>施工进度计划</w:t>
          </w:r>
          <w:r>
            <w:tab/>
          </w:r>
          <w:r>
            <w:fldChar w:fldCharType="begin"/>
          </w:r>
          <w:r>
            <w:instrText xml:space="preserve"> PAGEREF _Toc30218 \h </w:instrText>
          </w:r>
          <w:r>
            <w:fldChar w:fldCharType="separate"/>
          </w:r>
          <w:r>
            <w:t>6</w:t>
          </w:r>
          <w:r>
            <w:fldChar w:fldCharType="end"/>
          </w:r>
          <w:r>
            <w:rPr>
              <w:rFonts w:hint="eastAsia" w:ascii="宋体" w:hAnsi="宋体" w:eastAsia="宋体" w:cs="宋体"/>
              <w:color w:val="auto"/>
              <w:szCs w:val="24"/>
            </w:rPr>
            <w:fldChar w:fldCharType="end"/>
          </w:r>
        </w:p>
        <w:p w14:paraId="6B77C61B">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_Toc3252 </w:instrText>
          </w:r>
          <w:r>
            <w:rPr>
              <w:rFonts w:hint="eastAsia" w:ascii="宋体" w:hAnsi="宋体" w:eastAsia="宋体" w:cs="宋体"/>
              <w:szCs w:val="24"/>
            </w:rPr>
            <w:fldChar w:fldCharType="separate"/>
          </w:r>
          <w:r>
            <w:rPr>
              <w:rFonts w:hint="default" w:ascii="宋体" w:hAnsi="宋体" w:eastAsia="宋体" w:cs="宋体"/>
            </w:rPr>
            <w:t xml:space="preserve">3.3 </w:t>
          </w:r>
          <w:r>
            <w:rPr>
              <w:rFonts w:hint="eastAsia"/>
            </w:rPr>
            <w:t>材料计划</w:t>
          </w:r>
          <w:r>
            <w:tab/>
          </w:r>
          <w:r>
            <w:fldChar w:fldCharType="begin"/>
          </w:r>
          <w:r>
            <w:instrText xml:space="preserve"> PAGEREF _Toc3252 \h </w:instrText>
          </w:r>
          <w:r>
            <w:fldChar w:fldCharType="separate"/>
          </w:r>
          <w:r>
            <w:t>6</w:t>
          </w:r>
          <w:r>
            <w:fldChar w:fldCharType="end"/>
          </w:r>
          <w:r>
            <w:rPr>
              <w:rFonts w:hint="eastAsia" w:ascii="宋体" w:hAnsi="宋体" w:eastAsia="宋体" w:cs="宋体"/>
              <w:color w:val="auto"/>
              <w:szCs w:val="24"/>
            </w:rPr>
            <w:fldChar w:fldCharType="end"/>
          </w:r>
        </w:p>
        <w:p w14:paraId="099849A2">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_Toc1650 </w:instrText>
          </w:r>
          <w:r>
            <w:rPr>
              <w:rFonts w:hint="eastAsia" w:ascii="宋体" w:hAnsi="宋体" w:eastAsia="宋体" w:cs="宋体"/>
              <w:szCs w:val="24"/>
            </w:rPr>
            <w:fldChar w:fldCharType="separate"/>
          </w:r>
          <w:r>
            <w:rPr>
              <w:rFonts w:hint="default" w:ascii="宋体" w:hAnsi="宋体" w:eastAsia="宋体" w:cs="宋体"/>
            </w:rPr>
            <w:t xml:space="preserve">3.4 </w:t>
          </w:r>
          <w:r>
            <w:rPr>
              <w:rFonts w:hint="eastAsia"/>
            </w:rPr>
            <w:t>设备计划</w:t>
          </w:r>
          <w:r>
            <w:tab/>
          </w:r>
          <w:r>
            <w:fldChar w:fldCharType="begin"/>
          </w:r>
          <w:r>
            <w:instrText xml:space="preserve"> PAGEREF _Toc1650 \h </w:instrText>
          </w:r>
          <w:r>
            <w:fldChar w:fldCharType="separate"/>
          </w:r>
          <w:r>
            <w:t>7</w:t>
          </w:r>
          <w:r>
            <w:fldChar w:fldCharType="end"/>
          </w:r>
          <w:r>
            <w:rPr>
              <w:rFonts w:hint="eastAsia" w:ascii="宋体" w:hAnsi="宋体" w:eastAsia="宋体" w:cs="宋体"/>
              <w:color w:val="auto"/>
              <w:szCs w:val="24"/>
            </w:rPr>
            <w:fldChar w:fldCharType="end"/>
          </w:r>
        </w:p>
        <w:p w14:paraId="4F4BEC3E">
          <w:pPr>
            <w:pStyle w:val="21"/>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_Toc25144 </w:instrText>
          </w:r>
          <w:r>
            <w:rPr>
              <w:rFonts w:hint="eastAsia" w:ascii="宋体" w:hAnsi="宋体" w:eastAsia="宋体" w:cs="宋体"/>
              <w:szCs w:val="24"/>
            </w:rPr>
            <w:fldChar w:fldCharType="separate"/>
          </w:r>
          <w:r>
            <w:rPr>
              <w:rFonts w:hint="default" w:ascii="宋体" w:hAnsi="宋体" w:eastAsia="宋体" w:cs="宋体"/>
              <w:szCs w:val="32"/>
            </w:rPr>
            <w:t xml:space="preserve">4 </w:t>
          </w:r>
          <w:r>
            <w:rPr>
              <w:rFonts w:hint="eastAsia"/>
            </w:rPr>
            <w:t>施工工艺技术</w:t>
          </w:r>
          <w:r>
            <w:tab/>
          </w:r>
          <w:r>
            <w:fldChar w:fldCharType="begin"/>
          </w:r>
          <w:r>
            <w:instrText xml:space="preserve"> PAGEREF _Toc25144 \h </w:instrText>
          </w:r>
          <w:r>
            <w:fldChar w:fldCharType="separate"/>
          </w:r>
          <w:r>
            <w:t>8</w:t>
          </w:r>
          <w:r>
            <w:fldChar w:fldCharType="end"/>
          </w:r>
          <w:r>
            <w:rPr>
              <w:rFonts w:hint="eastAsia" w:ascii="宋体" w:hAnsi="宋体" w:eastAsia="宋体" w:cs="宋体"/>
              <w:color w:val="auto"/>
              <w:szCs w:val="24"/>
            </w:rPr>
            <w:fldChar w:fldCharType="end"/>
          </w:r>
        </w:p>
        <w:p w14:paraId="7D1521E8">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_Toc11605 </w:instrText>
          </w:r>
          <w:r>
            <w:rPr>
              <w:rFonts w:hint="eastAsia" w:ascii="宋体" w:hAnsi="宋体" w:eastAsia="宋体" w:cs="宋体"/>
              <w:szCs w:val="24"/>
            </w:rPr>
            <w:fldChar w:fldCharType="separate"/>
          </w:r>
          <w:r>
            <w:rPr>
              <w:rFonts w:hint="default" w:ascii="宋体" w:hAnsi="宋体" w:eastAsia="宋体" w:cs="宋体"/>
            </w:rPr>
            <w:t xml:space="preserve">4.1 </w:t>
          </w:r>
          <w:r>
            <w:rPr>
              <w:rFonts w:hint="eastAsia"/>
            </w:rPr>
            <w:t>总体施工方案</w:t>
          </w:r>
          <w:r>
            <w:tab/>
          </w:r>
          <w:r>
            <w:fldChar w:fldCharType="begin"/>
          </w:r>
          <w:r>
            <w:instrText xml:space="preserve"> PAGEREF _Toc11605 \h </w:instrText>
          </w:r>
          <w:r>
            <w:fldChar w:fldCharType="separate"/>
          </w:r>
          <w:r>
            <w:t>8</w:t>
          </w:r>
          <w:r>
            <w:fldChar w:fldCharType="end"/>
          </w:r>
          <w:r>
            <w:rPr>
              <w:rFonts w:hint="eastAsia" w:ascii="宋体" w:hAnsi="宋体" w:eastAsia="宋体" w:cs="宋体"/>
              <w:color w:val="auto"/>
              <w:szCs w:val="24"/>
            </w:rPr>
            <w:fldChar w:fldCharType="end"/>
          </w:r>
        </w:p>
        <w:p w14:paraId="544D18D5">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_Toc17499 </w:instrText>
          </w:r>
          <w:r>
            <w:rPr>
              <w:rFonts w:hint="eastAsia" w:ascii="宋体" w:hAnsi="宋体" w:eastAsia="宋体" w:cs="宋体"/>
              <w:szCs w:val="24"/>
            </w:rPr>
            <w:fldChar w:fldCharType="separate"/>
          </w:r>
          <w:r>
            <w:rPr>
              <w:rFonts w:hint="default" w:ascii="宋体" w:hAnsi="宋体" w:eastAsia="宋体" w:cs="宋体"/>
            </w:rPr>
            <w:t xml:space="preserve">4.2 </w:t>
          </w:r>
          <w:r>
            <w:rPr>
              <w:rFonts w:hint="eastAsia" w:eastAsia="宋体"/>
            </w:rPr>
            <w:t>主要设备选型</w:t>
          </w:r>
          <w:r>
            <w:tab/>
          </w:r>
          <w:r>
            <w:fldChar w:fldCharType="begin"/>
          </w:r>
          <w:r>
            <w:instrText xml:space="preserve"> PAGEREF _Toc17499 \h </w:instrText>
          </w:r>
          <w:r>
            <w:fldChar w:fldCharType="separate"/>
          </w:r>
          <w:r>
            <w:t>8</w:t>
          </w:r>
          <w:r>
            <w:fldChar w:fldCharType="end"/>
          </w:r>
          <w:r>
            <w:rPr>
              <w:rFonts w:hint="eastAsia" w:ascii="宋体" w:hAnsi="宋体" w:eastAsia="宋体" w:cs="宋体"/>
              <w:color w:val="auto"/>
              <w:szCs w:val="24"/>
            </w:rPr>
            <w:fldChar w:fldCharType="end"/>
          </w:r>
        </w:p>
        <w:p w14:paraId="6CE80F09">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_Toc6950 </w:instrText>
          </w:r>
          <w:r>
            <w:rPr>
              <w:rFonts w:hint="eastAsia" w:ascii="宋体" w:hAnsi="宋体" w:eastAsia="宋体" w:cs="宋体"/>
              <w:szCs w:val="24"/>
            </w:rPr>
            <w:fldChar w:fldCharType="separate"/>
          </w:r>
          <w:r>
            <w:rPr>
              <w:rFonts w:hint="default" w:ascii="宋体" w:hAnsi="宋体" w:eastAsia="宋体" w:cs="宋体"/>
            </w:rPr>
            <w:t xml:space="preserve">4.3 </w:t>
          </w:r>
          <w:r>
            <w:rPr>
              <w:rFonts w:hint="eastAsia" w:eastAsia="宋体"/>
            </w:rPr>
            <w:t>施工准备</w:t>
          </w:r>
          <w:r>
            <w:tab/>
          </w:r>
          <w:r>
            <w:fldChar w:fldCharType="begin"/>
          </w:r>
          <w:r>
            <w:instrText xml:space="preserve"> PAGEREF _Toc6950 \h </w:instrText>
          </w:r>
          <w:r>
            <w:fldChar w:fldCharType="separate"/>
          </w:r>
          <w:r>
            <w:t>10</w:t>
          </w:r>
          <w:r>
            <w:fldChar w:fldCharType="end"/>
          </w:r>
          <w:r>
            <w:rPr>
              <w:rFonts w:hint="eastAsia" w:ascii="宋体" w:hAnsi="宋体" w:eastAsia="宋体" w:cs="宋体"/>
              <w:color w:val="auto"/>
              <w:szCs w:val="24"/>
            </w:rPr>
            <w:fldChar w:fldCharType="end"/>
          </w:r>
        </w:p>
        <w:p w14:paraId="65BCDEAE">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_Toc29797 </w:instrText>
          </w:r>
          <w:r>
            <w:rPr>
              <w:rFonts w:hint="eastAsia" w:ascii="宋体" w:hAnsi="宋体" w:eastAsia="宋体" w:cs="宋体"/>
              <w:szCs w:val="24"/>
            </w:rPr>
            <w:fldChar w:fldCharType="separate"/>
          </w:r>
          <w:r>
            <w:rPr>
              <w:rFonts w:hint="default" w:ascii="宋体" w:hAnsi="宋体" w:eastAsia="宋体" w:cs="宋体"/>
            </w:rPr>
            <w:t xml:space="preserve">4.4 </w:t>
          </w:r>
          <w:r>
            <w:rPr>
              <w:rFonts w:hint="eastAsia"/>
            </w:rPr>
            <w:t>施工工艺流程图</w:t>
          </w:r>
          <w:r>
            <w:tab/>
          </w:r>
          <w:r>
            <w:fldChar w:fldCharType="begin"/>
          </w:r>
          <w:r>
            <w:instrText xml:space="preserve"> PAGEREF _Toc29797 \h </w:instrText>
          </w:r>
          <w:r>
            <w:fldChar w:fldCharType="separate"/>
          </w:r>
          <w:r>
            <w:t>11</w:t>
          </w:r>
          <w:r>
            <w:fldChar w:fldCharType="end"/>
          </w:r>
          <w:r>
            <w:rPr>
              <w:rFonts w:hint="eastAsia" w:ascii="宋体" w:hAnsi="宋体" w:eastAsia="宋体" w:cs="宋体"/>
              <w:color w:val="auto"/>
              <w:szCs w:val="24"/>
            </w:rPr>
            <w:fldChar w:fldCharType="end"/>
          </w:r>
        </w:p>
        <w:p w14:paraId="23138687">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_Toc31797 </w:instrText>
          </w:r>
          <w:r>
            <w:rPr>
              <w:rFonts w:hint="eastAsia" w:ascii="宋体" w:hAnsi="宋体" w:eastAsia="宋体" w:cs="宋体"/>
              <w:szCs w:val="24"/>
            </w:rPr>
            <w:fldChar w:fldCharType="separate"/>
          </w:r>
          <w:r>
            <w:rPr>
              <w:rFonts w:hint="default" w:ascii="宋体" w:hAnsi="宋体" w:eastAsia="宋体" w:cs="宋体"/>
            </w:rPr>
            <w:t xml:space="preserve">4.5 </w:t>
          </w:r>
          <w:r>
            <w:rPr>
              <w:rFonts w:hint="eastAsia"/>
            </w:rPr>
            <w:t>施工方法</w:t>
          </w:r>
          <w:r>
            <w:tab/>
          </w:r>
          <w:r>
            <w:fldChar w:fldCharType="begin"/>
          </w:r>
          <w:r>
            <w:instrText xml:space="preserve"> PAGEREF _Toc31797 \h </w:instrText>
          </w:r>
          <w:r>
            <w:fldChar w:fldCharType="separate"/>
          </w:r>
          <w:r>
            <w:t>12</w:t>
          </w:r>
          <w:r>
            <w:fldChar w:fldCharType="end"/>
          </w:r>
          <w:r>
            <w:rPr>
              <w:rFonts w:hint="eastAsia" w:ascii="宋体" w:hAnsi="宋体" w:eastAsia="宋体" w:cs="宋体"/>
              <w:color w:val="auto"/>
              <w:szCs w:val="24"/>
            </w:rPr>
            <w:fldChar w:fldCharType="end"/>
          </w:r>
        </w:p>
        <w:p w14:paraId="022F7E71">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_Toc25802 </w:instrText>
          </w:r>
          <w:r>
            <w:rPr>
              <w:rFonts w:hint="eastAsia" w:ascii="宋体" w:hAnsi="宋体" w:eastAsia="宋体" w:cs="宋体"/>
              <w:szCs w:val="24"/>
            </w:rPr>
            <w:fldChar w:fldCharType="separate"/>
          </w:r>
          <w:r>
            <w:rPr>
              <w:rFonts w:hint="default" w:ascii="宋体" w:hAnsi="宋体" w:eastAsia="宋体" w:cs="宋体"/>
            </w:rPr>
            <w:t xml:space="preserve">4.6 </w:t>
          </w:r>
          <w:r>
            <w:rPr>
              <w:rFonts w:hint="eastAsia"/>
            </w:rPr>
            <w:t>检查要求</w:t>
          </w:r>
          <w:r>
            <w:tab/>
          </w:r>
          <w:r>
            <w:fldChar w:fldCharType="begin"/>
          </w:r>
          <w:r>
            <w:instrText xml:space="preserve"> PAGEREF _Toc25802 \h </w:instrText>
          </w:r>
          <w:r>
            <w:fldChar w:fldCharType="separate"/>
          </w:r>
          <w:r>
            <w:t>30</w:t>
          </w:r>
          <w:r>
            <w:fldChar w:fldCharType="end"/>
          </w:r>
          <w:r>
            <w:rPr>
              <w:rFonts w:hint="eastAsia" w:ascii="宋体" w:hAnsi="宋体" w:eastAsia="宋体" w:cs="宋体"/>
              <w:color w:val="auto"/>
              <w:szCs w:val="24"/>
            </w:rPr>
            <w:fldChar w:fldCharType="end"/>
          </w:r>
        </w:p>
        <w:p w14:paraId="50F5421D">
          <w:pPr>
            <w:pStyle w:val="21"/>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_Toc15088 </w:instrText>
          </w:r>
          <w:r>
            <w:rPr>
              <w:rFonts w:hint="eastAsia" w:ascii="宋体" w:hAnsi="宋体" w:eastAsia="宋体" w:cs="宋体"/>
              <w:szCs w:val="24"/>
            </w:rPr>
            <w:fldChar w:fldCharType="separate"/>
          </w:r>
          <w:r>
            <w:rPr>
              <w:rFonts w:hint="default" w:ascii="宋体" w:hAnsi="宋体" w:eastAsia="宋体" w:cs="宋体"/>
              <w:szCs w:val="32"/>
            </w:rPr>
            <w:t xml:space="preserve">5 </w:t>
          </w:r>
          <w:r>
            <w:rPr>
              <w:rFonts w:hint="eastAsia"/>
            </w:rPr>
            <w:t>质量管理</w:t>
          </w:r>
          <w:r>
            <w:t>措施</w:t>
          </w:r>
          <w:r>
            <w:tab/>
          </w:r>
          <w:r>
            <w:fldChar w:fldCharType="begin"/>
          </w:r>
          <w:r>
            <w:instrText xml:space="preserve"> PAGEREF _Toc15088 \h </w:instrText>
          </w:r>
          <w:r>
            <w:fldChar w:fldCharType="separate"/>
          </w:r>
          <w:r>
            <w:t>32</w:t>
          </w:r>
          <w:r>
            <w:fldChar w:fldCharType="end"/>
          </w:r>
          <w:r>
            <w:rPr>
              <w:rFonts w:hint="eastAsia" w:ascii="宋体" w:hAnsi="宋体" w:eastAsia="宋体" w:cs="宋体"/>
              <w:color w:val="auto"/>
              <w:szCs w:val="24"/>
            </w:rPr>
            <w:fldChar w:fldCharType="end"/>
          </w:r>
        </w:p>
        <w:p w14:paraId="2C4ADAAA">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_Toc6394 </w:instrText>
          </w:r>
          <w:r>
            <w:rPr>
              <w:rFonts w:hint="eastAsia" w:ascii="宋体" w:hAnsi="宋体" w:eastAsia="宋体" w:cs="宋体"/>
              <w:szCs w:val="24"/>
            </w:rPr>
            <w:fldChar w:fldCharType="separate"/>
          </w:r>
          <w:r>
            <w:rPr>
              <w:rFonts w:hint="default" w:ascii="宋体" w:hAnsi="宋体" w:eastAsia="宋体" w:cs="宋体"/>
            </w:rPr>
            <w:t xml:space="preserve">5.1 </w:t>
          </w:r>
          <w:r>
            <w:rPr>
              <w:rFonts w:hint="eastAsia"/>
            </w:rPr>
            <w:t>质量管理组织机构</w:t>
          </w:r>
          <w:r>
            <w:tab/>
          </w:r>
          <w:r>
            <w:fldChar w:fldCharType="begin"/>
          </w:r>
          <w:r>
            <w:instrText xml:space="preserve"> PAGEREF _Toc6394 \h </w:instrText>
          </w:r>
          <w:r>
            <w:fldChar w:fldCharType="separate"/>
          </w:r>
          <w:r>
            <w:t>32</w:t>
          </w:r>
          <w:r>
            <w:fldChar w:fldCharType="end"/>
          </w:r>
          <w:r>
            <w:rPr>
              <w:rFonts w:hint="eastAsia" w:ascii="宋体" w:hAnsi="宋体" w:eastAsia="宋体" w:cs="宋体"/>
              <w:color w:val="auto"/>
              <w:szCs w:val="24"/>
            </w:rPr>
            <w:fldChar w:fldCharType="end"/>
          </w:r>
        </w:p>
        <w:p w14:paraId="715AA3DA">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_Toc27861 </w:instrText>
          </w:r>
          <w:r>
            <w:rPr>
              <w:rFonts w:hint="eastAsia" w:ascii="宋体" w:hAnsi="宋体" w:eastAsia="宋体" w:cs="宋体"/>
              <w:szCs w:val="24"/>
            </w:rPr>
            <w:fldChar w:fldCharType="separate"/>
          </w:r>
          <w:r>
            <w:rPr>
              <w:rFonts w:hint="default" w:ascii="宋体" w:hAnsi="宋体" w:eastAsia="宋体" w:cs="宋体"/>
              <w:bCs/>
              <w:shd w:val="clear" w:fill="auto"/>
            </w:rPr>
            <w:t xml:space="preserve">5.2 </w:t>
          </w:r>
          <w:r>
            <w:rPr>
              <w:rFonts w:hint="default" w:asciiTheme="majorAscii" w:hAnsiTheme="majorAscii"/>
              <w:bCs/>
              <w:highlight w:val="none"/>
              <w:shd w:val="clear" w:color="auto" w:fill="auto"/>
            </w:rPr>
            <w:t>质量通病及质量通病预防</w:t>
          </w:r>
          <w:r>
            <w:tab/>
          </w:r>
          <w:r>
            <w:fldChar w:fldCharType="begin"/>
          </w:r>
          <w:r>
            <w:instrText xml:space="preserve"> PAGEREF _Toc27861 \h </w:instrText>
          </w:r>
          <w:r>
            <w:fldChar w:fldCharType="separate"/>
          </w:r>
          <w:r>
            <w:t>32</w:t>
          </w:r>
          <w:r>
            <w:fldChar w:fldCharType="end"/>
          </w:r>
          <w:r>
            <w:rPr>
              <w:rFonts w:hint="eastAsia" w:ascii="宋体" w:hAnsi="宋体" w:eastAsia="宋体" w:cs="宋体"/>
              <w:color w:val="auto"/>
              <w:szCs w:val="24"/>
            </w:rPr>
            <w:fldChar w:fldCharType="end"/>
          </w:r>
        </w:p>
        <w:p w14:paraId="4E5A172D">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_Toc14603 </w:instrText>
          </w:r>
          <w:r>
            <w:rPr>
              <w:rFonts w:hint="eastAsia" w:ascii="宋体" w:hAnsi="宋体" w:eastAsia="宋体" w:cs="宋体"/>
              <w:szCs w:val="24"/>
            </w:rPr>
            <w:fldChar w:fldCharType="separate"/>
          </w:r>
          <w:r>
            <w:rPr>
              <w:rFonts w:hint="default" w:ascii="宋体" w:hAnsi="宋体" w:eastAsia="宋体" w:cs="宋体"/>
            </w:rPr>
            <w:t xml:space="preserve">5.3 </w:t>
          </w:r>
          <w:r>
            <w:rPr>
              <w:rFonts w:hint="eastAsia"/>
              <w:highlight w:val="none"/>
            </w:rPr>
            <w:t>质量保证措施</w:t>
          </w:r>
          <w:r>
            <w:tab/>
          </w:r>
          <w:r>
            <w:fldChar w:fldCharType="begin"/>
          </w:r>
          <w:r>
            <w:instrText xml:space="preserve"> PAGEREF _Toc14603 \h </w:instrText>
          </w:r>
          <w:r>
            <w:fldChar w:fldCharType="separate"/>
          </w:r>
          <w:r>
            <w:t>33</w:t>
          </w:r>
          <w:r>
            <w:fldChar w:fldCharType="end"/>
          </w:r>
          <w:r>
            <w:rPr>
              <w:rFonts w:hint="eastAsia" w:ascii="宋体" w:hAnsi="宋体" w:eastAsia="宋体" w:cs="宋体"/>
              <w:color w:val="auto"/>
              <w:szCs w:val="24"/>
            </w:rPr>
            <w:fldChar w:fldCharType="end"/>
          </w:r>
        </w:p>
        <w:p w14:paraId="025B2B76">
          <w:pPr>
            <w:pStyle w:val="21"/>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_Toc2057 </w:instrText>
          </w:r>
          <w:r>
            <w:rPr>
              <w:rFonts w:hint="eastAsia" w:ascii="宋体" w:hAnsi="宋体" w:eastAsia="宋体" w:cs="宋体"/>
              <w:szCs w:val="24"/>
            </w:rPr>
            <w:fldChar w:fldCharType="separate"/>
          </w:r>
          <w:r>
            <w:rPr>
              <w:rFonts w:hint="default" w:ascii="宋体" w:hAnsi="宋体" w:eastAsia="宋体" w:cs="宋体"/>
              <w:szCs w:val="32"/>
            </w:rPr>
            <w:t xml:space="preserve">6 </w:t>
          </w:r>
          <w:r>
            <w:rPr>
              <w:rFonts w:hint="eastAsia"/>
            </w:rPr>
            <w:t>施工危险源辨识及安全保证措施</w:t>
          </w:r>
          <w:r>
            <w:tab/>
          </w:r>
          <w:r>
            <w:fldChar w:fldCharType="begin"/>
          </w:r>
          <w:r>
            <w:instrText xml:space="preserve"> PAGEREF _Toc2057 \h </w:instrText>
          </w:r>
          <w:r>
            <w:fldChar w:fldCharType="separate"/>
          </w:r>
          <w:r>
            <w:t>34</w:t>
          </w:r>
          <w:r>
            <w:fldChar w:fldCharType="end"/>
          </w:r>
          <w:r>
            <w:rPr>
              <w:rFonts w:hint="eastAsia" w:ascii="宋体" w:hAnsi="宋体" w:eastAsia="宋体" w:cs="宋体"/>
              <w:color w:val="auto"/>
              <w:szCs w:val="24"/>
            </w:rPr>
            <w:fldChar w:fldCharType="end"/>
          </w:r>
        </w:p>
        <w:p w14:paraId="09FE0820">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_Toc8036 </w:instrText>
          </w:r>
          <w:r>
            <w:rPr>
              <w:rFonts w:hint="eastAsia" w:ascii="宋体" w:hAnsi="宋体" w:eastAsia="宋体" w:cs="宋体"/>
              <w:szCs w:val="24"/>
            </w:rPr>
            <w:fldChar w:fldCharType="separate"/>
          </w:r>
          <w:r>
            <w:rPr>
              <w:rFonts w:hint="default" w:ascii="宋体" w:hAnsi="宋体" w:eastAsia="宋体" w:cs="宋体"/>
            </w:rPr>
            <w:t xml:space="preserve">6.1 </w:t>
          </w:r>
          <w:r>
            <w:rPr>
              <w:rFonts w:hint="eastAsia"/>
            </w:rPr>
            <w:t>危险源辨识及分析</w:t>
          </w:r>
          <w:r>
            <w:tab/>
          </w:r>
          <w:r>
            <w:fldChar w:fldCharType="begin"/>
          </w:r>
          <w:r>
            <w:instrText xml:space="preserve"> PAGEREF _Toc8036 \h </w:instrText>
          </w:r>
          <w:r>
            <w:fldChar w:fldCharType="separate"/>
          </w:r>
          <w:r>
            <w:t>34</w:t>
          </w:r>
          <w:r>
            <w:fldChar w:fldCharType="end"/>
          </w:r>
          <w:r>
            <w:rPr>
              <w:rFonts w:hint="eastAsia" w:ascii="宋体" w:hAnsi="宋体" w:eastAsia="宋体" w:cs="宋体"/>
              <w:color w:val="auto"/>
              <w:szCs w:val="24"/>
            </w:rPr>
            <w:fldChar w:fldCharType="end"/>
          </w:r>
        </w:p>
        <w:p w14:paraId="541F9046">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_Toc11967 </w:instrText>
          </w:r>
          <w:r>
            <w:rPr>
              <w:rFonts w:hint="eastAsia" w:ascii="宋体" w:hAnsi="宋体" w:eastAsia="宋体" w:cs="宋体"/>
              <w:szCs w:val="24"/>
            </w:rPr>
            <w:fldChar w:fldCharType="separate"/>
          </w:r>
          <w:r>
            <w:rPr>
              <w:rFonts w:hint="default" w:ascii="宋体" w:hAnsi="宋体" w:eastAsia="宋体" w:cs="宋体"/>
            </w:rPr>
            <w:t xml:space="preserve">6.2 </w:t>
          </w:r>
          <w:r>
            <w:rPr>
              <w:rFonts w:hint="eastAsia"/>
            </w:rPr>
            <w:t>组织保障措施</w:t>
          </w:r>
          <w:r>
            <w:tab/>
          </w:r>
          <w:r>
            <w:fldChar w:fldCharType="begin"/>
          </w:r>
          <w:r>
            <w:instrText xml:space="preserve"> PAGEREF _Toc11967 \h </w:instrText>
          </w:r>
          <w:r>
            <w:fldChar w:fldCharType="separate"/>
          </w:r>
          <w:r>
            <w:t>37</w:t>
          </w:r>
          <w:r>
            <w:fldChar w:fldCharType="end"/>
          </w:r>
          <w:r>
            <w:rPr>
              <w:rFonts w:hint="eastAsia" w:ascii="宋体" w:hAnsi="宋体" w:eastAsia="宋体" w:cs="宋体"/>
              <w:color w:val="auto"/>
              <w:szCs w:val="24"/>
            </w:rPr>
            <w:fldChar w:fldCharType="end"/>
          </w:r>
        </w:p>
        <w:p w14:paraId="2E50B5D9">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_Toc6419 </w:instrText>
          </w:r>
          <w:r>
            <w:rPr>
              <w:rFonts w:hint="eastAsia" w:ascii="宋体" w:hAnsi="宋体" w:eastAsia="宋体" w:cs="宋体"/>
              <w:szCs w:val="24"/>
            </w:rPr>
            <w:fldChar w:fldCharType="separate"/>
          </w:r>
          <w:r>
            <w:rPr>
              <w:rFonts w:hint="default" w:ascii="宋体" w:hAnsi="宋体" w:eastAsia="宋体" w:cs="宋体"/>
            </w:rPr>
            <w:t xml:space="preserve">6.3 </w:t>
          </w:r>
          <w:r>
            <w:rPr>
              <w:rFonts w:hint="eastAsia"/>
            </w:rPr>
            <w:t>施工安全技术控制措施</w:t>
          </w:r>
          <w:r>
            <w:tab/>
          </w:r>
          <w:r>
            <w:fldChar w:fldCharType="begin"/>
          </w:r>
          <w:r>
            <w:instrText xml:space="preserve"> PAGEREF _Toc6419 \h </w:instrText>
          </w:r>
          <w:r>
            <w:fldChar w:fldCharType="separate"/>
          </w:r>
          <w:r>
            <w:t>38</w:t>
          </w:r>
          <w:r>
            <w:fldChar w:fldCharType="end"/>
          </w:r>
          <w:r>
            <w:rPr>
              <w:rFonts w:hint="eastAsia" w:ascii="宋体" w:hAnsi="宋体" w:eastAsia="宋体" w:cs="宋体"/>
              <w:color w:val="auto"/>
              <w:szCs w:val="24"/>
            </w:rPr>
            <w:fldChar w:fldCharType="end"/>
          </w:r>
        </w:p>
        <w:p w14:paraId="4B08F15B">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_Toc1754 </w:instrText>
          </w:r>
          <w:r>
            <w:rPr>
              <w:rFonts w:hint="eastAsia" w:ascii="宋体" w:hAnsi="宋体" w:eastAsia="宋体" w:cs="宋体"/>
              <w:szCs w:val="24"/>
            </w:rPr>
            <w:fldChar w:fldCharType="separate"/>
          </w:r>
          <w:r>
            <w:rPr>
              <w:rFonts w:hint="default" w:ascii="宋体" w:hAnsi="宋体" w:eastAsia="宋体" w:cs="宋体"/>
            </w:rPr>
            <w:t xml:space="preserve">6.4 </w:t>
          </w:r>
          <w:r>
            <w:rPr>
              <w:rFonts w:hint="eastAsia"/>
            </w:rPr>
            <w:t>监测监控措施</w:t>
          </w:r>
          <w:r>
            <w:tab/>
          </w:r>
          <w:r>
            <w:fldChar w:fldCharType="begin"/>
          </w:r>
          <w:r>
            <w:instrText xml:space="preserve"> PAGEREF _Toc1754 \h </w:instrText>
          </w:r>
          <w:r>
            <w:fldChar w:fldCharType="separate"/>
          </w:r>
          <w:r>
            <w:t>47</w:t>
          </w:r>
          <w:r>
            <w:fldChar w:fldCharType="end"/>
          </w:r>
          <w:r>
            <w:rPr>
              <w:rFonts w:hint="eastAsia" w:ascii="宋体" w:hAnsi="宋体" w:eastAsia="宋体" w:cs="宋体"/>
              <w:color w:val="auto"/>
              <w:szCs w:val="24"/>
            </w:rPr>
            <w:fldChar w:fldCharType="end"/>
          </w:r>
        </w:p>
        <w:p w14:paraId="7750CA0E">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_Toc5489 </w:instrText>
          </w:r>
          <w:r>
            <w:rPr>
              <w:rFonts w:hint="eastAsia" w:ascii="宋体" w:hAnsi="宋体" w:eastAsia="宋体" w:cs="宋体"/>
              <w:szCs w:val="24"/>
            </w:rPr>
            <w:fldChar w:fldCharType="separate"/>
          </w:r>
          <w:r>
            <w:rPr>
              <w:rFonts w:hint="default" w:ascii="宋体" w:hAnsi="宋体" w:eastAsia="宋体" w:cs="宋体"/>
            </w:rPr>
            <w:t xml:space="preserve">6.5 </w:t>
          </w:r>
          <w:r>
            <w:rPr>
              <w:rFonts w:hint="eastAsia"/>
            </w:rPr>
            <w:t>特殊季节保证措施</w:t>
          </w:r>
          <w:r>
            <w:tab/>
          </w:r>
          <w:r>
            <w:fldChar w:fldCharType="begin"/>
          </w:r>
          <w:r>
            <w:instrText xml:space="preserve"> PAGEREF _Toc5489 \h </w:instrText>
          </w:r>
          <w:r>
            <w:fldChar w:fldCharType="separate"/>
          </w:r>
          <w:r>
            <w:t>49</w:t>
          </w:r>
          <w:r>
            <w:fldChar w:fldCharType="end"/>
          </w:r>
          <w:r>
            <w:rPr>
              <w:rFonts w:hint="eastAsia" w:ascii="宋体" w:hAnsi="宋体" w:eastAsia="宋体" w:cs="宋体"/>
              <w:color w:val="auto"/>
              <w:szCs w:val="24"/>
            </w:rPr>
            <w:fldChar w:fldCharType="end"/>
          </w:r>
        </w:p>
        <w:p w14:paraId="7B0D42C4">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_Toc1883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6.6 </w:t>
          </w:r>
          <w:r>
            <w:rPr>
              <w:rFonts w:hint="eastAsia" w:eastAsia="宋体"/>
              <w:lang w:val="en-US" w:eastAsia="zh-CN"/>
            </w:rPr>
            <w:t>监测监控措施</w:t>
          </w:r>
          <w:r>
            <w:tab/>
          </w:r>
          <w:r>
            <w:fldChar w:fldCharType="begin"/>
          </w:r>
          <w:r>
            <w:instrText xml:space="preserve"> PAGEREF _Toc1883 \h </w:instrText>
          </w:r>
          <w:r>
            <w:fldChar w:fldCharType="separate"/>
          </w:r>
          <w:r>
            <w:t>51</w:t>
          </w:r>
          <w:r>
            <w:fldChar w:fldCharType="end"/>
          </w:r>
          <w:r>
            <w:rPr>
              <w:rFonts w:hint="eastAsia" w:ascii="宋体" w:hAnsi="宋体" w:eastAsia="宋体" w:cs="宋体"/>
              <w:color w:val="auto"/>
              <w:szCs w:val="24"/>
            </w:rPr>
            <w:fldChar w:fldCharType="end"/>
          </w:r>
        </w:p>
        <w:p w14:paraId="04DCCB76">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_Toc10301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6.7 </w:t>
          </w:r>
          <w:r>
            <w:rPr>
              <w:rFonts w:hint="eastAsia" w:eastAsia="宋体"/>
              <w:lang w:val="en-US" w:eastAsia="zh-CN"/>
            </w:rPr>
            <w:t>电气设备</w:t>
          </w:r>
          <w:r>
            <w:tab/>
          </w:r>
          <w:r>
            <w:fldChar w:fldCharType="begin"/>
          </w:r>
          <w:r>
            <w:instrText xml:space="preserve"> PAGEREF _Toc10301 \h </w:instrText>
          </w:r>
          <w:r>
            <w:fldChar w:fldCharType="separate"/>
          </w:r>
          <w:r>
            <w:t>51</w:t>
          </w:r>
          <w:r>
            <w:fldChar w:fldCharType="end"/>
          </w:r>
          <w:r>
            <w:rPr>
              <w:rFonts w:hint="eastAsia" w:ascii="宋体" w:hAnsi="宋体" w:eastAsia="宋体" w:cs="宋体"/>
              <w:color w:val="auto"/>
              <w:szCs w:val="24"/>
            </w:rPr>
            <w:fldChar w:fldCharType="end"/>
          </w:r>
        </w:p>
        <w:p w14:paraId="01B57BC7">
          <w:pPr>
            <w:pStyle w:val="21"/>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_Toc12968 </w:instrText>
          </w:r>
          <w:r>
            <w:rPr>
              <w:rFonts w:hint="eastAsia" w:ascii="宋体" w:hAnsi="宋体" w:eastAsia="宋体" w:cs="宋体"/>
              <w:szCs w:val="24"/>
            </w:rPr>
            <w:fldChar w:fldCharType="separate"/>
          </w:r>
          <w:r>
            <w:rPr>
              <w:rFonts w:hint="default" w:ascii="宋体" w:hAnsi="宋体" w:eastAsia="宋体" w:cs="宋体"/>
              <w:szCs w:val="32"/>
            </w:rPr>
            <w:t xml:space="preserve">7 </w:t>
          </w:r>
          <w:r>
            <w:rPr>
              <w:rFonts w:hint="eastAsia"/>
            </w:rPr>
            <w:t>施工管理及作业人员配备和分工</w:t>
          </w:r>
          <w:r>
            <w:tab/>
          </w:r>
          <w:r>
            <w:fldChar w:fldCharType="begin"/>
          </w:r>
          <w:r>
            <w:instrText xml:space="preserve"> PAGEREF _Toc12968 \h </w:instrText>
          </w:r>
          <w:r>
            <w:fldChar w:fldCharType="separate"/>
          </w:r>
          <w:r>
            <w:t>54</w:t>
          </w:r>
          <w:r>
            <w:fldChar w:fldCharType="end"/>
          </w:r>
          <w:r>
            <w:rPr>
              <w:rFonts w:hint="eastAsia" w:ascii="宋体" w:hAnsi="宋体" w:eastAsia="宋体" w:cs="宋体"/>
              <w:color w:val="auto"/>
              <w:szCs w:val="24"/>
            </w:rPr>
            <w:fldChar w:fldCharType="end"/>
          </w:r>
        </w:p>
        <w:p w14:paraId="7038C212">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_Toc6498 </w:instrText>
          </w:r>
          <w:r>
            <w:rPr>
              <w:rFonts w:hint="eastAsia" w:ascii="宋体" w:hAnsi="宋体" w:eastAsia="宋体" w:cs="宋体"/>
              <w:szCs w:val="24"/>
            </w:rPr>
            <w:fldChar w:fldCharType="separate"/>
          </w:r>
          <w:r>
            <w:rPr>
              <w:rFonts w:hint="eastAsia"/>
              <w:lang w:val="en-US" w:eastAsia="zh-CN"/>
            </w:rPr>
            <w:t>7.1施工管理人员配备和分工</w:t>
          </w:r>
          <w:r>
            <w:tab/>
          </w:r>
          <w:r>
            <w:fldChar w:fldCharType="begin"/>
          </w:r>
          <w:r>
            <w:instrText xml:space="preserve"> PAGEREF _Toc6498 \h </w:instrText>
          </w:r>
          <w:r>
            <w:fldChar w:fldCharType="separate"/>
          </w:r>
          <w:r>
            <w:t>54</w:t>
          </w:r>
          <w:r>
            <w:fldChar w:fldCharType="end"/>
          </w:r>
          <w:r>
            <w:rPr>
              <w:rFonts w:hint="eastAsia" w:ascii="宋体" w:hAnsi="宋体" w:eastAsia="宋体" w:cs="宋体"/>
              <w:color w:val="auto"/>
              <w:szCs w:val="24"/>
            </w:rPr>
            <w:fldChar w:fldCharType="end"/>
          </w:r>
        </w:p>
        <w:p w14:paraId="0E3FBC34">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_Toc11186 </w:instrText>
          </w:r>
          <w:r>
            <w:rPr>
              <w:rFonts w:hint="eastAsia" w:ascii="宋体" w:hAnsi="宋体" w:eastAsia="宋体" w:cs="宋体"/>
              <w:szCs w:val="24"/>
            </w:rPr>
            <w:fldChar w:fldCharType="separate"/>
          </w:r>
          <w:r>
            <w:rPr>
              <w:rFonts w:hint="eastAsia"/>
              <w:lang w:val="en-US" w:eastAsia="zh-CN"/>
            </w:rPr>
            <w:t>7.2作业</w:t>
          </w:r>
          <w:r>
            <w:rPr>
              <w:rFonts w:hint="eastAsia"/>
            </w:rPr>
            <w:t>人员配置</w:t>
          </w:r>
          <w:r>
            <w:tab/>
          </w:r>
          <w:r>
            <w:fldChar w:fldCharType="begin"/>
          </w:r>
          <w:r>
            <w:instrText xml:space="preserve"> PAGEREF _Toc11186 \h </w:instrText>
          </w:r>
          <w:r>
            <w:fldChar w:fldCharType="separate"/>
          </w:r>
          <w:r>
            <w:t>54</w:t>
          </w:r>
          <w:r>
            <w:fldChar w:fldCharType="end"/>
          </w:r>
          <w:r>
            <w:rPr>
              <w:rFonts w:hint="eastAsia" w:ascii="宋体" w:hAnsi="宋体" w:eastAsia="宋体" w:cs="宋体"/>
              <w:color w:val="auto"/>
              <w:szCs w:val="24"/>
            </w:rPr>
            <w:fldChar w:fldCharType="end"/>
          </w:r>
        </w:p>
        <w:p w14:paraId="3CEB95EF">
          <w:pPr>
            <w:pStyle w:val="21"/>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_Toc22519 </w:instrText>
          </w:r>
          <w:r>
            <w:rPr>
              <w:rFonts w:hint="eastAsia" w:ascii="宋体" w:hAnsi="宋体" w:eastAsia="宋体" w:cs="宋体"/>
              <w:szCs w:val="24"/>
            </w:rPr>
            <w:fldChar w:fldCharType="separate"/>
          </w:r>
          <w:r>
            <w:rPr>
              <w:rFonts w:hint="default" w:ascii="宋体" w:hAnsi="宋体" w:eastAsia="宋体" w:cs="宋体"/>
              <w:szCs w:val="32"/>
            </w:rPr>
            <w:t xml:space="preserve">8 </w:t>
          </w:r>
          <w:r>
            <w:rPr>
              <w:rFonts w:hint="eastAsia"/>
            </w:rPr>
            <w:t>验收要求</w:t>
          </w:r>
          <w:r>
            <w:tab/>
          </w:r>
          <w:r>
            <w:fldChar w:fldCharType="begin"/>
          </w:r>
          <w:r>
            <w:instrText xml:space="preserve"> PAGEREF _Toc22519 \h </w:instrText>
          </w:r>
          <w:r>
            <w:fldChar w:fldCharType="separate"/>
          </w:r>
          <w:r>
            <w:t>56</w:t>
          </w:r>
          <w:r>
            <w:fldChar w:fldCharType="end"/>
          </w:r>
          <w:r>
            <w:rPr>
              <w:rFonts w:hint="eastAsia" w:ascii="宋体" w:hAnsi="宋体" w:eastAsia="宋体" w:cs="宋体"/>
              <w:color w:val="auto"/>
              <w:szCs w:val="24"/>
            </w:rPr>
            <w:fldChar w:fldCharType="end"/>
          </w:r>
        </w:p>
        <w:p w14:paraId="101AB77E">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_Toc17782 </w:instrText>
          </w:r>
          <w:r>
            <w:rPr>
              <w:rFonts w:hint="eastAsia" w:ascii="宋体" w:hAnsi="宋体" w:eastAsia="宋体" w:cs="宋体"/>
              <w:szCs w:val="24"/>
            </w:rPr>
            <w:fldChar w:fldCharType="separate"/>
          </w:r>
          <w:r>
            <w:rPr>
              <w:rFonts w:hint="default" w:ascii="宋体" w:hAnsi="宋体" w:eastAsia="宋体" w:cs="宋体"/>
            </w:rPr>
            <w:t xml:space="preserve">8.1 </w:t>
          </w:r>
          <w:r>
            <w:rPr>
              <w:rFonts w:hint="eastAsia"/>
            </w:rPr>
            <w:t>验收要求</w:t>
          </w:r>
          <w:r>
            <w:tab/>
          </w:r>
          <w:r>
            <w:fldChar w:fldCharType="begin"/>
          </w:r>
          <w:r>
            <w:instrText xml:space="preserve"> PAGEREF _Toc17782 \h </w:instrText>
          </w:r>
          <w:r>
            <w:fldChar w:fldCharType="separate"/>
          </w:r>
          <w:r>
            <w:t>56</w:t>
          </w:r>
          <w:r>
            <w:fldChar w:fldCharType="end"/>
          </w:r>
          <w:r>
            <w:rPr>
              <w:rFonts w:hint="eastAsia" w:ascii="宋体" w:hAnsi="宋体" w:eastAsia="宋体" w:cs="宋体"/>
              <w:color w:val="auto"/>
              <w:szCs w:val="24"/>
            </w:rPr>
            <w:fldChar w:fldCharType="end"/>
          </w:r>
        </w:p>
        <w:p w14:paraId="6BAA07EB">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_Toc4673 </w:instrText>
          </w:r>
          <w:r>
            <w:rPr>
              <w:rFonts w:hint="eastAsia" w:ascii="宋体" w:hAnsi="宋体" w:eastAsia="宋体" w:cs="宋体"/>
              <w:szCs w:val="24"/>
            </w:rPr>
            <w:fldChar w:fldCharType="separate"/>
          </w:r>
          <w:r>
            <w:rPr>
              <w:rFonts w:hint="default" w:ascii="宋体" w:hAnsi="宋体" w:eastAsia="宋体" w:cs="宋体"/>
            </w:rPr>
            <w:t xml:space="preserve">8.2 </w:t>
          </w:r>
          <w:r>
            <w:t>验收程序</w:t>
          </w:r>
          <w:r>
            <w:tab/>
          </w:r>
          <w:r>
            <w:fldChar w:fldCharType="begin"/>
          </w:r>
          <w:r>
            <w:instrText xml:space="preserve"> PAGEREF _Toc4673 \h </w:instrText>
          </w:r>
          <w:r>
            <w:fldChar w:fldCharType="separate"/>
          </w:r>
          <w:r>
            <w:t>56</w:t>
          </w:r>
          <w:r>
            <w:fldChar w:fldCharType="end"/>
          </w:r>
          <w:r>
            <w:rPr>
              <w:rFonts w:hint="eastAsia" w:ascii="宋体" w:hAnsi="宋体" w:eastAsia="宋体" w:cs="宋体"/>
              <w:color w:val="auto"/>
              <w:szCs w:val="24"/>
            </w:rPr>
            <w:fldChar w:fldCharType="end"/>
          </w:r>
        </w:p>
        <w:p w14:paraId="70E6DD32">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_Toc26488 </w:instrText>
          </w:r>
          <w:r>
            <w:rPr>
              <w:rFonts w:hint="eastAsia" w:ascii="宋体" w:hAnsi="宋体" w:eastAsia="宋体" w:cs="宋体"/>
              <w:szCs w:val="24"/>
            </w:rPr>
            <w:fldChar w:fldCharType="separate"/>
          </w:r>
          <w:r>
            <w:rPr>
              <w:rFonts w:hint="default" w:ascii="宋体" w:hAnsi="宋体" w:eastAsia="宋体" w:cs="宋体"/>
            </w:rPr>
            <w:t xml:space="preserve">8.3 </w:t>
          </w:r>
          <w:r>
            <w:rPr>
              <w:rFonts w:hint="eastAsia"/>
            </w:rPr>
            <w:t>验收内容</w:t>
          </w:r>
          <w:r>
            <w:tab/>
          </w:r>
          <w:r>
            <w:fldChar w:fldCharType="begin"/>
          </w:r>
          <w:r>
            <w:instrText xml:space="preserve"> PAGEREF _Toc26488 \h </w:instrText>
          </w:r>
          <w:r>
            <w:fldChar w:fldCharType="separate"/>
          </w:r>
          <w:r>
            <w:t>56</w:t>
          </w:r>
          <w:r>
            <w:fldChar w:fldCharType="end"/>
          </w:r>
          <w:r>
            <w:rPr>
              <w:rFonts w:hint="eastAsia" w:ascii="宋体" w:hAnsi="宋体" w:eastAsia="宋体" w:cs="宋体"/>
              <w:color w:val="auto"/>
              <w:szCs w:val="24"/>
            </w:rPr>
            <w:fldChar w:fldCharType="end"/>
          </w:r>
        </w:p>
        <w:p w14:paraId="507077C7">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_Toc699 </w:instrText>
          </w:r>
          <w:r>
            <w:rPr>
              <w:rFonts w:hint="eastAsia" w:ascii="宋体" w:hAnsi="宋体" w:eastAsia="宋体" w:cs="宋体"/>
              <w:szCs w:val="24"/>
            </w:rPr>
            <w:fldChar w:fldCharType="separate"/>
          </w:r>
          <w:r>
            <w:rPr>
              <w:rFonts w:hint="default" w:ascii="宋体" w:hAnsi="宋体" w:eastAsia="宋体" w:cs="宋体"/>
            </w:rPr>
            <w:t xml:space="preserve">8.4 </w:t>
          </w:r>
          <w:r>
            <w:rPr>
              <w:rFonts w:hint="eastAsia"/>
            </w:rPr>
            <w:t>验收人员</w:t>
          </w:r>
          <w:r>
            <w:tab/>
          </w:r>
          <w:r>
            <w:fldChar w:fldCharType="begin"/>
          </w:r>
          <w:r>
            <w:instrText xml:space="preserve"> PAGEREF _Toc699 \h </w:instrText>
          </w:r>
          <w:r>
            <w:fldChar w:fldCharType="separate"/>
          </w:r>
          <w:r>
            <w:t>57</w:t>
          </w:r>
          <w:r>
            <w:fldChar w:fldCharType="end"/>
          </w:r>
          <w:r>
            <w:rPr>
              <w:rFonts w:hint="eastAsia" w:ascii="宋体" w:hAnsi="宋体" w:eastAsia="宋体" w:cs="宋体"/>
              <w:color w:val="auto"/>
              <w:szCs w:val="24"/>
            </w:rPr>
            <w:fldChar w:fldCharType="end"/>
          </w:r>
        </w:p>
        <w:p w14:paraId="740F0402">
          <w:pPr>
            <w:pStyle w:val="21"/>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_Toc14119 </w:instrText>
          </w:r>
          <w:r>
            <w:rPr>
              <w:rFonts w:hint="eastAsia" w:ascii="宋体" w:hAnsi="宋体" w:eastAsia="宋体" w:cs="宋体"/>
              <w:szCs w:val="24"/>
            </w:rPr>
            <w:fldChar w:fldCharType="separate"/>
          </w:r>
          <w:r>
            <w:rPr>
              <w:rFonts w:hint="eastAsia"/>
              <w:lang w:val="en-US" w:eastAsia="zh-CN"/>
            </w:rPr>
            <w:t>9</w:t>
          </w:r>
          <w:r>
            <w:rPr>
              <w:rFonts w:hint="eastAsia"/>
            </w:rPr>
            <w:t>应急处置</w:t>
          </w:r>
          <w:r>
            <w:rPr>
              <w:rFonts w:hint="eastAsia"/>
              <w:lang w:eastAsia="zh-CN"/>
            </w:rPr>
            <w:t>措施</w:t>
          </w:r>
          <w:r>
            <w:tab/>
          </w:r>
          <w:r>
            <w:fldChar w:fldCharType="begin"/>
          </w:r>
          <w:r>
            <w:instrText xml:space="preserve"> PAGEREF _Toc14119 \h </w:instrText>
          </w:r>
          <w:r>
            <w:fldChar w:fldCharType="separate"/>
          </w:r>
          <w:r>
            <w:t>58</w:t>
          </w:r>
          <w:r>
            <w:fldChar w:fldCharType="end"/>
          </w:r>
          <w:r>
            <w:rPr>
              <w:rFonts w:hint="eastAsia" w:ascii="宋体" w:hAnsi="宋体" w:eastAsia="宋体" w:cs="宋体"/>
              <w:color w:val="auto"/>
              <w:szCs w:val="24"/>
            </w:rPr>
            <w:fldChar w:fldCharType="end"/>
          </w:r>
        </w:p>
        <w:p w14:paraId="26ED1A74">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_Toc17013 </w:instrText>
          </w:r>
          <w:r>
            <w:rPr>
              <w:rFonts w:hint="eastAsia" w:ascii="宋体" w:hAnsi="宋体" w:eastAsia="宋体" w:cs="宋体"/>
              <w:szCs w:val="24"/>
            </w:rPr>
            <w:fldChar w:fldCharType="separate"/>
          </w:r>
          <w:r>
            <w:rPr>
              <w:rFonts w:hint="eastAsia"/>
              <w:lang w:val="en-US" w:eastAsia="zh-CN"/>
            </w:rPr>
            <w:t>9.1</w:t>
          </w:r>
          <w:r>
            <w:rPr>
              <w:rFonts w:hint="eastAsia"/>
            </w:rPr>
            <w:t>组织</w:t>
          </w:r>
          <w:r>
            <w:rPr>
              <w:rFonts w:hint="eastAsia"/>
              <w:lang w:val="en-US" w:eastAsia="zh-CN"/>
            </w:rPr>
            <w:t>机</w:t>
          </w:r>
          <w:r>
            <w:rPr>
              <w:rFonts w:hint="eastAsia"/>
            </w:rPr>
            <w:t>构及职责</w:t>
          </w:r>
          <w:r>
            <w:tab/>
          </w:r>
          <w:r>
            <w:fldChar w:fldCharType="begin"/>
          </w:r>
          <w:r>
            <w:instrText xml:space="preserve"> PAGEREF _Toc17013 \h </w:instrText>
          </w:r>
          <w:r>
            <w:fldChar w:fldCharType="separate"/>
          </w:r>
          <w:r>
            <w:t>58</w:t>
          </w:r>
          <w:r>
            <w:fldChar w:fldCharType="end"/>
          </w:r>
          <w:r>
            <w:rPr>
              <w:rFonts w:hint="eastAsia" w:ascii="宋体" w:hAnsi="宋体" w:eastAsia="宋体" w:cs="宋体"/>
              <w:color w:val="auto"/>
              <w:szCs w:val="24"/>
            </w:rPr>
            <w:fldChar w:fldCharType="end"/>
          </w:r>
        </w:p>
        <w:p w14:paraId="78A297F0">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_Toc13642 </w:instrText>
          </w:r>
          <w:r>
            <w:rPr>
              <w:rFonts w:hint="eastAsia" w:ascii="宋体" w:hAnsi="宋体" w:eastAsia="宋体" w:cs="宋体"/>
              <w:szCs w:val="24"/>
            </w:rPr>
            <w:fldChar w:fldCharType="separate"/>
          </w:r>
          <w:r>
            <w:rPr>
              <w:rFonts w:hint="eastAsia"/>
              <w:lang w:val="en-US" w:eastAsia="zh-CN"/>
            </w:rPr>
            <w:t>9.2</w:t>
          </w:r>
          <w:r>
            <w:rPr>
              <w:rFonts w:hint="eastAsia"/>
            </w:rPr>
            <w:t>预防与预警</w:t>
          </w:r>
          <w:r>
            <w:tab/>
          </w:r>
          <w:r>
            <w:fldChar w:fldCharType="begin"/>
          </w:r>
          <w:r>
            <w:instrText xml:space="preserve"> PAGEREF _Toc13642 \h </w:instrText>
          </w:r>
          <w:r>
            <w:fldChar w:fldCharType="separate"/>
          </w:r>
          <w:r>
            <w:t>59</w:t>
          </w:r>
          <w:r>
            <w:fldChar w:fldCharType="end"/>
          </w:r>
          <w:r>
            <w:rPr>
              <w:rFonts w:hint="eastAsia" w:ascii="宋体" w:hAnsi="宋体" w:eastAsia="宋体" w:cs="宋体"/>
              <w:color w:val="auto"/>
              <w:szCs w:val="24"/>
            </w:rPr>
            <w:fldChar w:fldCharType="end"/>
          </w:r>
        </w:p>
        <w:p w14:paraId="3CFB33D4">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_Toc13122 </w:instrText>
          </w:r>
          <w:r>
            <w:rPr>
              <w:rFonts w:hint="eastAsia" w:ascii="宋体" w:hAnsi="宋体" w:eastAsia="宋体" w:cs="宋体"/>
              <w:szCs w:val="24"/>
            </w:rPr>
            <w:fldChar w:fldCharType="separate"/>
          </w:r>
          <w:r>
            <w:rPr>
              <w:rFonts w:hint="eastAsia" w:eastAsia="宋体"/>
              <w:lang w:val="en-US" w:eastAsia="zh-CN"/>
            </w:rPr>
            <w:t>9.</w:t>
          </w:r>
          <w:r>
            <w:rPr>
              <w:rFonts w:hint="eastAsia"/>
              <w:lang w:val="en-US" w:eastAsia="zh-CN"/>
            </w:rPr>
            <w:t>3</w:t>
          </w:r>
          <w:r>
            <w:rPr>
              <w:rFonts w:hint="eastAsia" w:eastAsia="宋体"/>
              <w:lang w:val="en-US" w:eastAsia="zh-CN"/>
            </w:rPr>
            <w:t>应急响应程序</w:t>
          </w:r>
          <w:r>
            <w:tab/>
          </w:r>
          <w:r>
            <w:fldChar w:fldCharType="begin"/>
          </w:r>
          <w:r>
            <w:instrText xml:space="preserve"> PAGEREF _Toc13122 \h </w:instrText>
          </w:r>
          <w:r>
            <w:fldChar w:fldCharType="separate"/>
          </w:r>
          <w:r>
            <w:t>59</w:t>
          </w:r>
          <w:r>
            <w:fldChar w:fldCharType="end"/>
          </w:r>
          <w:r>
            <w:rPr>
              <w:rFonts w:hint="eastAsia" w:ascii="宋体" w:hAnsi="宋体" w:eastAsia="宋体" w:cs="宋体"/>
              <w:color w:val="auto"/>
              <w:szCs w:val="24"/>
            </w:rPr>
            <w:fldChar w:fldCharType="end"/>
          </w:r>
        </w:p>
        <w:p w14:paraId="77D5EAB8">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_Toc14308 </w:instrText>
          </w:r>
          <w:r>
            <w:rPr>
              <w:rFonts w:hint="eastAsia" w:ascii="宋体" w:hAnsi="宋体" w:eastAsia="宋体" w:cs="宋体"/>
              <w:szCs w:val="24"/>
            </w:rPr>
            <w:fldChar w:fldCharType="separate"/>
          </w:r>
          <w:r>
            <w:rPr>
              <w:rFonts w:hint="eastAsia" w:ascii="等线" w:hAnsi="等线" w:eastAsia="等线" w:cs="等线"/>
              <w:szCs w:val="28"/>
              <w:lang w:val="en-US" w:eastAsia="zh-CN"/>
            </w:rPr>
            <w:t xml:space="preserve">9.4 </w:t>
          </w:r>
          <w:r>
            <w:rPr>
              <w:rFonts w:hint="eastAsia" w:ascii="宋体" w:hAnsi="宋体" w:eastAsia="宋体" w:cs="宋体"/>
              <w:szCs w:val="28"/>
            </w:rPr>
            <w:t>突发事件应急</w:t>
          </w:r>
          <w:r>
            <w:rPr>
              <w:rFonts w:hint="eastAsia" w:ascii="宋体" w:hAnsi="宋体" w:cs="宋体"/>
              <w:szCs w:val="28"/>
              <w:lang w:val="en-US" w:eastAsia="zh-CN"/>
            </w:rPr>
            <w:t>处置措施和</w:t>
          </w:r>
          <w:r>
            <w:rPr>
              <w:rFonts w:hint="eastAsia" w:ascii="宋体" w:hAnsi="宋体" w:eastAsia="宋体" w:cs="宋体"/>
              <w:szCs w:val="28"/>
            </w:rPr>
            <w:t>预案</w:t>
          </w:r>
          <w:r>
            <w:tab/>
          </w:r>
          <w:r>
            <w:fldChar w:fldCharType="begin"/>
          </w:r>
          <w:r>
            <w:instrText xml:space="preserve"> PAGEREF _Toc14308 \h </w:instrText>
          </w:r>
          <w:r>
            <w:fldChar w:fldCharType="separate"/>
          </w:r>
          <w:r>
            <w:t>61</w:t>
          </w:r>
          <w:r>
            <w:fldChar w:fldCharType="end"/>
          </w:r>
          <w:r>
            <w:rPr>
              <w:rFonts w:hint="eastAsia" w:ascii="宋体" w:hAnsi="宋体" w:eastAsia="宋体" w:cs="宋体"/>
              <w:color w:val="auto"/>
              <w:szCs w:val="24"/>
            </w:rPr>
            <w:fldChar w:fldCharType="end"/>
          </w:r>
        </w:p>
        <w:p w14:paraId="64BB55CF">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_Toc26771 </w:instrText>
          </w:r>
          <w:r>
            <w:rPr>
              <w:rFonts w:hint="eastAsia" w:ascii="宋体" w:hAnsi="宋体" w:eastAsia="宋体" w:cs="宋体"/>
              <w:szCs w:val="24"/>
            </w:rPr>
            <w:fldChar w:fldCharType="separate"/>
          </w:r>
          <w:r>
            <w:rPr>
              <w:rFonts w:hint="eastAsia" w:ascii="等线" w:hAnsi="等线" w:eastAsia="等线" w:cs="等线"/>
              <w:szCs w:val="28"/>
              <w:lang w:val="en-US" w:eastAsia="zh-CN"/>
            </w:rPr>
            <w:t xml:space="preserve">9.5 </w:t>
          </w:r>
          <w:r>
            <w:rPr>
              <w:rFonts w:hint="eastAsia"/>
            </w:rPr>
            <w:t>施工现场的急救步骤</w:t>
          </w:r>
          <w:r>
            <w:tab/>
          </w:r>
          <w:r>
            <w:fldChar w:fldCharType="begin"/>
          </w:r>
          <w:r>
            <w:instrText xml:space="preserve"> PAGEREF _Toc26771 \h </w:instrText>
          </w:r>
          <w:r>
            <w:fldChar w:fldCharType="separate"/>
          </w:r>
          <w:r>
            <w:t>66</w:t>
          </w:r>
          <w:r>
            <w:fldChar w:fldCharType="end"/>
          </w:r>
          <w:r>
            <w:rPr>
              <w:rFonts w:hint="eastAsia" w:ascii="宋体" w:hAnsi="宋体" w:eastAsia="宋体" w:cs="宋体"/>
              <w:color w:val="auto"/>
              <w:szCs w:val="24"/>
            </w:rPr>
            <w:fldChar w:fldCharType="end"/>
          </w:r>
        </w:p>
        <w:p w14:paraId="4AD44FB1">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_Toc11316 </w:instrText>
          </w:r>
          <w:r>
            <w:rPr>
              <w:rFonts w:hint="eastAsia" w:ascii="宋体" w:hAnsi="宋体" w:eastAsia="宋体" w:cs="宋体"/>
              <w:szCs w:val="24"/>
            </w:rPr>
            <w:fldChar w:fldCharType="separate"/>
          </w:r>
          <w:r>
            <w:rPr>
              <w:rFonts w:hint="eastAsia"/>
              <w:lang w:val="en-US" w:eastAsia="zh-CN"/>
            </w:rPr>
            <w:t xml:space="preserve">9.6 </w:t>
          </w:r>
          <w:r>
            <w:rPr>
              <w:rFonts w:hint="eastAsia"/>
            </w:rPr>
            <w:t>应急保障</w:t>
          </w:r>
          <w:r>
            <w:tab/>
          </w:r>
          <w:r>
            <w:fldChar w:fldCharType="begin"/>
          </w:r>
          <w:r>
            <w:instrText xml:space="preserve"> PAGEREF _Toc11316 \h </w:instrText>
          </w:r>
          <w:r>
            <w:fldChar w:fldCharType="separate"/>
          </w:r>
          <w:r>
            <w:t>67</w:t>
          </w:r>
          <w:r>
            <w:fldChar w:fldCharType="end"/>
          </w:r>
          <w:r>
            <w:rPr>
              <w:rFonts w:hint="eastAsia" w:ascii="宋体" w:hAnsi="宋体" w:eastAsia="宋体" w:cs="宋体"/>
              <w:color w:val="auto"/>
              <w:szCs w:val="24"/>
            </w:rPr>
            <w:fldChar w:fldCharType="end"/>
          </w:r>
        </w:p>
        <w:p w14:paraId="3F403740">
          <w:pPr>
            <w:pStyle w:val="21"/>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_Toc27636 </w:instrText>
          </w:r>
          <w:r>
            <w:rPr>
              <w:rFonts w:hint="eastAsia" w:ascii="宋体" w:hAnsi="宋体" w:eastAsia="宋体" w:cs="宋体"/>
              <w:szCs w:val="24"/>
            </w:rPr>
            <w:fldChar w:fldCharType="separate"/>
          </w:r>
          <w:r>
            <w:rPr>
              <w:rFonts w:hint="eastAsia"/>
              <w:lang w:val="en-US" w:eastAsia="zh-CN"/>
            </w:rPr>
            <w:t>10</w:t>
          </w:r>
          <w:r>
            <w:rPr>
              <w:rFonts w:hint="eastAsia"/>
            </w:rPr>
            <w:t>绿色及文明施工</w:t>
          </w:r>
          <w:r>
            <w:tab/>
          </w:r>
          <w:r>
            <w:fldChar w:fldCharType="begin"/>
          </w:r>
          <w:r>
            <w:instrText xml:space="preserve"> PAGEREF _Toc27636 \h </w:instrText>
          </w:r>
          <w:r>
            <w:fldChar w:fldCharType="separate"/>
          </w:r>
          <w:r>
            <w:t>70</w:t>
          </w:r>
          <w:r>
            <w:fldChar w:fldCharType="end"/>
          </w:r>
          <w:r>
            <w:rPr>
              <w:rFonts w:hint="eastAsia" w:ascii="宋体" w:hAnsi="宋体" w:eastAsia="宋体" w:cs="宋体"/>
              <w:color w:val="auto"/>
              <w:szCs w:val="24"/>
            </w:rPr>
            <w:fldChar w:fldCharType="end"/>
          </w:r>
        </w:p>
        <w:p w14:paraId="2E8D634D">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_Toc10685 </w:instrText>
          </w:r>
          <w:r>
            <w:rPr>
              <w:rFonts w:hint="eastAsia" w:ascii="宋体" w:hAnsi="宋体" w:eastAsia="宋体" w:cs="宋体"/>
              <w:szCs w:val="24"/>
            </w:rPr>
            <w:fldChar w:fldCharType="separate"/>
          </w:r>
          <w:r>
            <w:rPr>
              <w:rFonts w:hint="eastAsia"/>
            </w:rPr>
            <w:t>10.1</w:t>
          </w:r>
          <w:r>
            <w:t>绿色及文明施工组织机构</w:t>
          </w:r>
          <w:r>
            <w:tab/>
          </w:r>
          <w:r>
            <w:fldChar w:fldCharType="begin"/>
          </w:r>
          <w:r>
            <w:instrText xml:space="preserve"> PAGEREF _Toc10685 \h </w:instrText>
          </w:r>
          <w:r>
            <w:fldChar w:fldCharType="separate"/>
          </w:r>
          <w:r>
            <w:t>70</w:t>
          </w:r>
          <w:r>
            <w:fldChar w:fldCharType="end"/>
          </w:r>
          <w:r>
            <w:rPr>
              <w:rFonts w:hint="eastAsia" w:ascii="宋体" w:hAnsi="宋体" w:eastAsia="宋体" w:cs="宋体"/>
              <w:color w:val="auto"/>
              <w:szCs w:val="24"/>
            </w:rPr>
            <w:fldChar w:fldCharType="end"/>
          </w:r>
        </w:p>
        <w:p w14:paraId="68197AAE">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_Toc25207 </w:instrText>
          </w:r>
          <w:r>
            <w:rPr>
              <w:rFonts w:hint="eastAsia" w:ascii="宋体" w:hAnsi="宋体" w:eastAsia="宋体" w:cs="宋体"/>
              <w:szCs w:val="24"/>
            </w:rPr>
            <w:fldChar w:fldCharType="separate"/>
          </w:r>
          <w:r>
            <w:rPr>
              <w:rFonts w:hint="eastAsia"/>
            </w:rPr>
            <w:t>10.2</w:t>
          </w:r>
          <w:r>
            <w:t>绿色及文明施工保证体系</w:t>
          </w:r>
          <w:r>
            <w:tab/>
          </w:r>
          <w:r>
            <w:fldChar w:fldCharType="begin"/>
          </w:r>
          <w:r>
            <w:instrText xml:space="preserve"> PAGEREF _Toc25207 \h </w:instrText>
          </w:r>
          <w:r>
            <w:fldChar w:fldCharType="separate"/>
          </w:r>
          <w:r>
            <w:t>70</w:t>
          </w:r>
          <w:r>
            <w:fldChar w:fldCharType="end"/>
          </w:r>
          <w:r>
            <w:rPr>
              <w:rFonts w:hint="eastAsia" w:ascii="宋体" w:hAnsi="宋体" w:eastAsia="宋体" w:cs="宋体"/>
              <w:color w:val="auto"/>
              <w:szCs w:val="24"/>
            </w:rPr>
            <w:fldChar w:fldCharType="end"/>
          </w:r>
        </w:p>
        <w:p w14:paraId="2151FDD4">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_Toc26230 </w:instrText>
          </w:r>
          <w:r>
            <w:rPr>
              <w:rFonts w:hint="eastAsia" w:ascii="宋体" w:hAnsi="宋体" w:eastAsia="宋体" w:cs="宋体"/>
              <w:szCs w:val="24"/>
            </w:rPr>
            <w:fldChar w:fldCharType="separate"/>
          </w:r>
          <w:r>
            <w:rPr>
              <w:rFonts w:hint="eastAsia"/>
            </w:rPr>
            <w:t>10.3</w:t>
          </w:r>
          <w:r>
            <w:t>绿色施工保证措施</w:t>
          </w:r>
          <w:r>
            <w:tab/>
          </w:r>
          <w:r>
            <w:fldChar w:fldCharType="begin"/>
          </w:r>
          <w:r>
            <w:instrText xml:space="preserve"> PAGEREF _Toc26230 \h </w:instrText>
          </w:r>
          <w:r>
            <w:fldChar w:fldCharType="separate"/>
          </w:r>
          <w:r>
            <w:t>71</w:t>
          </w:r>
          <w:r>
            <w:fldChar w:fldCharType="end"/>
          </w:r>
          <w:r>
            <w:rPr>
              <w:rFonts w:hint="eastAsia" w:ascii="宋体" w:hAnsi="宋体" w:eastAsia="宋体" w:cs="宋体"/>
              <w:color w:val="auto"/>
              <w:szCs w:val="24"/>
            </w:rPr>
            <w:fldChar w:fldCharType="end"/>
          </w:r>
        </w:p>
        <w:p w14:paraId="2AB09555">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_Toc674 </w:instrText>
          </w:r>
          <w:r>
            <w:rPr>
              <w:rFonts w:hint="eastAsia" w:ascii="宋体" w:hAnsi="宋体" w:eastAsia="宋体" w:cs="宋体"/>
              <w:szCs w:val="24"/>
            </w:rPr>
            <w:fldChar w:fldCharType="separate"/>
          </w:r>
          <w:r>
            <w:rPr>
              <w:rFonts w:hint="eastAsia"/>
            </w:rPr>
            <w:t>10.4</w:t>
          </w:r>
          <w:r>
            <w:t>文明施工保证措施</w:t>
          </w:r>
          <w:r>
            <w:tab/>
          </w:r>
          <w:r>
            <w:fldChar w:fldCharType="begin"/>
          </w:r>
          <w:r>
            <w:instrText xml:space="preserve"> PAGEREF _Toc674 \h </w:instrText>
          </w:r>
          <w:r>
            <w:fldChar w:fldCharType="separate"/>
          </w:r>
          <w:r>
            <w:t>72</w:t>
          </w:r>
          <w:r>
            <w:fldChar w:fldCharType="end"/>
          </w:r>
          <w:r>
            <w:rPr>
              <w:rFonts w:hint="eastAsia" w:ascii="宋体" w:hAnsi="宋体" w:eastAsia="宋体" w:cs="宋体"/>
              <w:color w:val="auto"/>
              <w:szCs w:val="24"/>
            </w:rPr>
            <w:fldChar w:fldCharType="end"/>
          </w:r>
        </w:p>
        <w:p w14:paraId="63B70ED9">
          <w:pPr>
            <w:pStyle w:val="21"/>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_Toc23955 </w:instrText>
          </w:r>
          <w:r>
            <w:rPr>
              <w:rFonts w:hint="eastAsia" w:ascii="宋体" w:hAnsi="宋体" w:eastAsia="宋体" w:cs="宋体"/>
              <w:szCs w:val="24"/>
            </w:rPr>
            <w:fldChar w:fldCharType="separate"/>
          </w:r>
          <w:r>
            <w:rPr>
              <w:rFonts w:hint="eastAsia"/>
              <w:lang w:val="en-US" w:eastAsia="zh-CN"/>
            </w:rPr>
            <w:t>11</w:t>
          </w:r>
          <w:r>
            <w:rPr>
              <w:rFonts w:hint="eastAsia"/>
            </w:rPr>
            <w:t>计算书及相关施工图纸</w:t>
          </w:r>
          <w:r>
            <w:tab/>
          </w:r>
          <w:r>
            <w:fldChar w:fldCharType="begin"/>
          </w:r>
          <w:r>
            <w:instrText xml:space="preserve"> PAGEREF _Toc23955 \h </w:instrText>
          </w:r>
          <w:r>
            <w:fldChar w:fldCharType="separate"/>
          </w:r>
          <w:r>
            <w:t>74</w:t>
          </w:r>
          <w:r>
            <w:fldChar w:fldCharType="end"/>
          </w:r>
          <w:r>
            <w:rPr>
              <w:rFonts w:hint="eastAsia" w:ascii="宋体" w:hAnsi="宋体" w:eastAsia="宋体" w:cs="宋体"/>
              <w:color w:val="auto"/>
              <w:szCs w:val="24"/>
            </w:rPr>
            <w:fldChar w:fldCharType="end"/>
          </w:r>
        </w:p>
        <w:p w14:paraId="4B73D0D8">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_Toc1684 </w:instrText>
          </w:r>
          <w:r>
            <w:rPr>
              <w:rFonts w:hint="eastAsia" w:ascii="宋体" w:hAnsi="宋体" w:eastAsia="宋体" w:cs="宋体"/>
              <w:szCs w:val="24"/>
            </w:rPr>
            <w:fldChar w:fldCharType="separate"/>
          </w:r>
          <w:r>
            <w:rPr>
              <w:rFonts w:hint="eastAsia"/>
              <w:szCs w:val="24"/>
              <w:lang w:val="en-US" w:eastAsia="zh-CN"/>
            </w:rPr>
            <w:t>11.1吊装分析</w:t>
          </w:r>
          <w:r>
            <w:tab/>
          </w:r>
          <w:r>
            <w:fldChar w:fldCharType="begin"/>
          </w:r>
          <w:r>
            <w:instrText xml:space="preserve"> PAGEREF _Toc1684 \h </w:instrText>
          </w:r>
          <w:r>
            <w:fldChar w:fldCharType="separate"/>
          </w:r>
          <w:r>
            <w:t>74</w:t>
          </w:r>
          <w:r>
            <w:fldChar w:fldCharType="end"/>
          </w:r>
          <w:r>
            <w:rPr>
              <w:rFonts w:hint="eastAsia" w:ascii="宋体" w:hAnsi="宋体" w:eastAsia="宋体" w:cs="宋体"/>
              <w:color w:val="auto"/>
              <w:szCs w:val="24"/>
            </w:rPr>
            <w:fldChar w:fldCharType="end"/>
          </w:r>
        </w:p>
        <w:p w14:paraId="63F731E3">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_Toc17800 </w:instrText>
          </w:r>
          <w:r>
            <w:rPr>
              <w:rFonts w:hint="eastAsia" w:ascii="宋体" w:hAnsi="宋体" w:eastAsia="宋体" w:cs="宋体"/>
              <w:szCs w:val="24"/>
            </w:rPr>
            <w:fldChar w:fldCharType="separate"/>
          </w:r>
          <w:r>
            <w:rPr>
              <w:rFonts w:hint="default"/>
              <w:szCs w:val="24"/>
              <w:lang w:val="en-US" w:eastAsia="zh-CN"/>
            </w:rPr>
            <w:t>11.</w:t>
          </w:r>
          <w:r>
            <w:rPr>
              <w:rFonts w:hint="eastAsia"/>
              <w:szCs w:val="24"/>
              <w:lang w:val="en-US" w:eastAsia="zh-CN"/>
            </w:rPr>
            <w:t>2</w:t>
          </w:r>
          <w:r>
            <w:rPr>
              <w:rFonts w:hint="eastAsia" w:ascii="Times New Roman" w:hAnsi="Times New Roman"/>
              <w:szCs w:val="24"/>
            </w:rPr>
            <w:t>吊索具选型计算</w:t>
          </w:r>
          <w:r>
            <w:tab/>
          </w:r>
          <w:r>
            <w:fldChar w:fldCharType="begin"/>
          </w:r>
          <w:r>
            <w:instrText xml:space="preserve"> PAGEREF _Toc17800 \h </w:instrText>
          </w:r>
          <w:r>
            <w:fldChar w:fldCharType="separate"/>
          </w:r>
          <w:r>
            <w:t>76</w:t>
          </w:r>
          <w:r>
            <w:fldChar w:fldCharType="end"/>
          </w:r>
          <w:r>
            <w:rPr>
              <w:rFonts w:hint="eastAsia" w:ascii="宋体" w:hAnsi="宋体" w:eastAsia="宋体" w:cs="宋体"/>
              <w:color w:val="auto"/>
              <w:szCs w:val="24"/>
            </w:rPr>
            <w:fldChar w:fldCharType="end"/>
          </w:r>
        </w:p>
        <w:p w14:paraId="22C0C08F">
          <w:pPr>
            <w:pStyle w:val="23"/>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_Toc25719 </w:instrText>
          </w:r>
          <w:r>
            <w:rPr>
              <w:rFonts w:hint="eastAsia" w:ascii="宋体" w:hAnsi="宋体" w:eastAsia="宋体" w:cs="宋体"/>
              <w:szCs w:val="24"/>
            </w:rPr>
            <w:fldChar w:fldCharType="separate"/>
          </w:r>
          <w:r>
            <w:rPr>
              <w:rFonts w:hint="eastAsia" w:ascii="Times New Roman" w:hAnsi="Times New Roman" w:eastAsia="宋体" w:cs="Times New Roman"/>
              <w:szCs w:val="24"/>
              <w:lang w:val="en-US" w:eastAsia="zh-CN"/>
            </w:rPr>
            <w:t>11.3 施工平面布置示意图</w:t>
          </w:r>
          <w:r>
            <w:tab/>
          </w:r>
          <w:r>
            <w:fldChar w:fldCharType="begin"/>
          </w:r>
          <w:r>
            <w:instrText xml:space="preserve"> PAGEREF _Toc25719 \h </w:instrText>
          </w:r>
          <w:r>
            <w:fldChar w:fldCharType="separate"/>
          </w:r>
          <w:r>
            <w:t>78</w:t>
          </w:r>
          <w:r>
            <w:fldChar w:fldCharType="end"/>
          </w:r>
          <w:r>
            <w:rPr>
              <w:rFonts w:hint="eastAsia" w:ascii="宋体" w:hAnsi="宋体" w:eastAsia="宋体" w:cs="宋体"/>
              <w:color w:val="auto"/>
              <w:szCs w:val="24"/>
            </w:rPr>
            <w:fldChar w:fldCharType="end"/>
          </w:r>
        </w:p>
        <w:p w14:paraId="3B58D37C">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eastAsia="宋体"/>
              <w:b w:val="0"/>
              <w:bCs/>
              <w:color w:val="auto"/>
              <w:sz w:val="24"/>
              <w:szCs w:val="24"/>
              <w:lang w:val="en-US" w:eastAsia="zh-CN"/>
            </w:rPr>
            <w:sectPr>
              <w:headerReference r:id="rId11" w:type="default"/>
              <w:footerReference r:id="rId12" w:type="default"/>
              <w:pgSz w:w="11906" w:h="16838"/>
              <w:pgMar w:top="1418" w:right="1418" w:bottom="1418" w:left="1418" w:header="851" w:footer="992" w:gutter="0"/>
              <w:pgNumType w:fmt="decimal" w:start="1"/>
              <w:cols w:space="425" w:num="1"/>
              <w:docGrid w:linePitch="498" w:charSpace="17788"/>
            </w:sectPr>
          </w:pPr>
          <w:r>
            <w:rPr>
              <w:rFonts w:hint="eastAsia" w:ascii="宋体" w:hAnsi="宋体" w:eastAsia="宋体" w:cs="宋体"/>
              <w:color w:val="auto"/>
              <w:szCs w:val="24"/>
            </w:rPr>
            <w:fldChar w:fldCharType="end"/>
          </w:r>
        </w:p>
      </w:sdtContent>
    </w:sdt>
    <w:p w14:paraId="2388F2B0">
      <w:pPr>
        <w:pStyle w:val="3"/>
        <w:spacing w:before="156" w:after="156"/>
        <w:rPr>
          <w:color w:val="auto"/>
        </w:rPr>
      </w:pPr>
      <w:bookmarkStart w:id="9" w:name="_Toc40778426"/>
      <w:bookmarkStart w:id="10" w:name="_Toc26437"/>
      <w:bookmarkStart w:id="11" w:name="_Toc7380"/>
      <w:bookmarkStart w:id="12" w:name="_Toc10938"/>
      <w:r>
        <w:rPr>
          <w:rFonts w:hint="eastAsia"/>
          <w:color w:val="auto"/>
        </w:rPr>
        <w:t>编制</w:t>
      </w:r>
      <w:bookmarkEnd w:id="9"/>
      <w:bookmarkEnd w:id="10"/>
      <w:r>
        <w:rPr>
          <w:rFonts w:hint="eastAsia"/>
          <w:color w:val="auto"/>
        </w:rPr>
        <w:t>说明、依据及适用范围</w:t>
      </w:r>
      <w:bookmarkEnd w:id="11"/>
      <w:bookmarkEnd w:id="12"/>
    </w:p>
    <w:p w14:paraId="23F6088F">
      <w:pPr>
        <w:pStyle w:val="4"/>
        <w:spacing w:before="156" w:after="156"/>
        <w:ind w:left="480" w:leftChars="0" w:firstLineChars="0"/>
        <w:rPr>
          <w:color w:val="auto"/>
        </w:rPr>
      </w:pPr>
      <w:bookmarkStart w:id="13" w:name="_Toc2002"/>
      <w:bookmarkStart w:id="14" w:name="_Toc21803"/>
      <w:bookmarkStart w:id="15" w:name="_Toc40778430"/>
      <w:bookmarkStart w:id="16" w:name="_Toc15521"/>
      <w:bookmarkStart w:id="17" w:name="_Toc9657"/>
      <w:bookmarkStart w:id="18" w:name="_Toc8291"/>
      <w:r>
        <w:rPr>
          <w:rFonts w:hint="eastAsia"/>
          <w:color w:val="auto"/>
        </w:rPr>
        <w:t>编制</w:t>
      </w:r>
      <w:bookmarkEnd w:id="13"/>
      <w:bookmarkEnd w:id="14"/>
      <w:bookmarkEnd w:id="15"/>
      <w:bookmarkEnd w:id="16"/>
      <w:r>
        <w:rPr>
          <w:rFonts w:hint="eastAsia"/>
          <w:color w:val="auto"/>
        </w:rPr>
        <w:t>说明</w:t>
      </w:r>
      <w:bookmarkEnd w:id="17"/>
      <w:bookmarkEnd w:id="18"/>
    </w:p>
    <w:p w14:paraId="337E1DD2">
      <w:pPr>
        <w:pStyle w:val="48"/>
        <w:ind w:firstLine="480"/>
        <w:rPr>
          <w:rFonts w:hint="eastAsia" w:ascii="Times New Roman" w:hAnsi="Times New Roman" w:cs="Times New Roman"/>
          <w:color w:val="auto"/>
          <w:kern w:val="2"/>
        </w:rPr>
      </w:pPr>
      <w:bookmarkStart w:id="19" w:name="_Toc20553"/>
      <w:bookmarkStart w:id="20" w:name="_Toc40778428"/>
      <w:bookmarkStart w:id="21" w:name="_Toc18637"/>
      <w:bookmarkStart w:id="22" w:name="_Hlk109141016"/>
      <w:bookmarkStart w:id="23" w:name="_Toc10843"/>
      <w:bookmarkStart w:id="24" w:name="_Toc31747"/>
      <w:r>
        <w:rPr>
          <w:rFonts w:hint="eastAsia" w:ascii="Times New Roman" w:hAnsi="Times New Roman" w:cs="Times New Roman"/>
          <w:color w:val="auto"/>
          <w:kern w:val="2"/>
        </w:rPr>
        <w:t>为指导本</w:t>
      </w:r>
      <w:r>
        <w:rPr>
          <w:rFonts w:hint="eastAsia" w:ascii="Times New Roman" w:hAnsi="Times New Roman" w:cs="Times New Roman"/>
          <w:color w:val="auto"/>
          <w:kern w:val="2"/>
          <w:sz w:val="24"/>
          <w:szCs w:val="24"/>
        </w:rPr>
        <w:t>项目</w:t>
      </w:r>
      <w:r>
        <w:rPr>
          <w:rFonts w:hint="eastAsia" w:ascii="Times New Roman" w:hAnsi="Times New Roman" w:cs="Times New Roman"/>
          <w:color w:val="auto"/>
          <w:kern w:val="2"/>
          <w:sz w:val="24"/>
          <w:szCs w:val="24"/>
          <w:lang w:val="en-US" w:eastAsia="zh-CN"/>
        </w:rPr>
        <w:t>1台</w:t>
      </w:r>
      <w:r>
        <w:rPr>
          <w:rFonts w:hint="eastAsia"/>
        </w:rPr>
        <w:t>SC200施工升降机</w:t>
      </w:r>
      <w:r>
        <w:rPr>
          <w:rFonts w:hint="eastAsia" w:ascii="Times New Roman" w:hAnsi="Times New Roman" w:cs="Times New Roman"/>
          <w:color w:val="auto"/>
          <w:kern w:val="2"/>
          <w:sz w:val="24"/>
          <w:szCs w:val="24"/>
        </w:rPr>
        <w:t>安</w:t>
      </w:r>
      <w:r>
        <w:rPr>
          <w:rFonts w:hint="eastAsia" w:ascii="Times New Roman" w:hAnsi="Times New Roman" w:cs="Times New Roman"/>
          <w:color w:val="auto"/>
          <w:kern w:val="2"/>
        </w:rPr>
        <w:t>装作业的安全技术管理，对关键工序制定先进的施工工艺和方法，制定合理的施工工期计划，保证质量管理体系的有效运行，防止因施工工艺和方法不明确而发生安全事故，确保施工人员的人身安全和国家财产安全，确保过程质量和安全，合理安排施工工期，特编制本安全专项方案。</w:t>
      </w:r>
      <w:bookmarkEnd w:id="19"/>
    </w:p>
    <w:bookmarkEnd w:id="20"/>
    <w:bookmarkEnd w:id="21"/>
    <w:bookmarkEnd w:id="22"/>
    <w:bookmarkEnd w:id="23"/>
    <w:bookmarkEnd w:id="24"/>
    <w:p w14:paraId="1B0BE573">
      <w:pPr>
        <w:pStyle w:val="4"/>
        <w:outlineLvl w:val="1"/>
        <w:rPr>
          <w:rFonts w:hint="default" w:eastAsia="宋体"/>
          <w:color w:val="auto"/>
          <w:lang w:val="en-US" w:eastAsia="zh-CN"/>
        </w:rPr>
      </w:pPr>
      <w:bookmarkStart w:id="25" w:name="_Toc30096"/>
      <w:bookmarkStart w:id="26" w:name="_Toc1215"/>
      <w:r>
        <w:rPr>
          <w:rFonts w:hint="eastAsia"/>
          <w:color w:val="auto"/>
          <w:lang w:val="en-US" w:eastAsia="zh-CN"/>
        </w:rPr>
        <w:t>编制依据</w:t>
      </w:r>
      <w:bookmarkEnd w:id="25"/>
    </w:p>
    <w:p w14:paraId="2F84CB06">
      <w:pPr>
        <w:pStyle w:val="67"/>
        <w:ind w:firstLine="241"/>
        <w:outlineLvl w:val="2"/>
        <w:rPr>
          <w:color w:val="auto"/>
        </w:rPr>
      </w:pPr>
      <w:bookmarkStart w:id="27" w:name="_Toc6806"/>
      <w:bookmarkStart w:id="28" w:name="_Hlk42526096"/>
      <w:r>
        <w:rPr>
          <w:rFonts w:hint="eastAsia"/>
          <w:color w:val="auto"/>
          <w:lang w:val="en-US" w:eastAsia="zh-CN"/>
        </w:rPr>
        <w:t>1</w:t>
      </w:r>
      <w:r>
        <w:rPr>
          <w:color w:val="auto"/>
        </w:rPr>
        <w:t>.2.1</w:t>
      </w:r>
      <w:r>
        <w:rPr>
          <w:rFonts w:hint="eastAsia"/>
          <w:color w:val="auto"/>
        </w:rPr>
        <w:t>主要法律法规</w:t>
      </w:r>
    </w:p>
    <w:p w14:paraId="5127F2CB">
      <w:pPr>
        <w:pStyle w:val="48"/>
        <w:numPr>
          <w:ilvl w:val="0"/>
          <w:numId w:val="4"/>
        </w:numPr>
        <w:ind w:firstLineChars="0"/>
        <w:rPr>
          <w:rFonts w:hint="eastAsia" w:ascii="宋体" w:hAnsi="宋体" w:eastAsia="宋体" w:cs="宋体"/>
          <w:color w:val="auto"/>
        </w:rPr>
      </w:pPr>
      <w:r>
        <w:rPr>
          <w:rFonts w:hint="eastAsia"/>
          <w:color w:val="auto"/>
        </w:rPr>
        <w:t>《中</w:t>
      </w:r>
      <w:r>
        <w:rPr>
          <w:rFonts w:hint="eastAsia" w:ascii="宋体" w:hAnsi="宋体" w:eastAsia="宋体" w:cs="宋体"/>
          <w:color w:val="auto"/>
        </w:rPr>
        <w:t>华人民共和国特种设备安全法》（主席令第4号）</w:t>
      </w:r>
    </w:p>
    <w:p w14:paraId="76510B92">
      <w:pPr>
        <w:pStyle w:val="48"/>
        <w:numPr>
          <w:ilvl w:val="0"/>
          <w:numId w:val="4"/>
        </w:numPr>
        <w:ind w:firstLineChars="0"/>
        <w:rPr>
          <w:rFonts w:hint="eastAsia" w:ascii="宋体" w:hAnsi="宋体" w:eastAsia="宋体" w:cs="宋体"/>
          <w:color w:val="auto"/>
        </w:rPr>
      </w:pPr>
      <w:r>
        <w:rPr>
          <w:rFonts w:hint="eastAsia" w:ascii="宋体" w:hAnsi="宋体" w:eastAsia="宋体" w:cs="宋体"/>
          <w:color w:val="auto"/>
        </w:rPr>
        <w:t>《中华人民共和国环境保护法》（主席令第9号）</w:t>
      </w:r>
    </w:p>
    <w:p w14:paraId="6DCB3F24">
      <w:pPr>
        <w:pStyle w:val="48"/>
        <w:numPr>
          <w:ilvl w:val="0"/>
          <w:numId w:val="4"/>
        </w:numPr>
        <w:ind w:firstLineChars="0"/>
        <w:rPr>
          <w:rFonts w:hint="eastAsia" w:ascii="宋体" w:hAnsi="宋体" w:eastAsia="宋体" w:cs="宋体"/>
          <w:color w:val="auto"/>
        </w:rPr>
      </w:pPr>
      <w:r>
        <w:rPr>
          <w:rFonts w:hint="eastAsia" w:ascii="宋体" w:hAnsi="宋体" w:eastAsia="宋体" w:cs="宋体"/>
          <w:color w:val="auto"/>
        </w:rPr>
        <w:t>《中华人民共和国建筑法》（主席令第29号）</w:t>
      </w:r>
    </w:p>
    <w:p w14:paraId="7FAAFBCF">
      <w:pPr>
        <w:pStyle w:val="48"/>
        <w:numPr>
          <w:ilvl w:val="0"/>
          <w:numId w:val="4"/>
        </w:numPr>
        <w:ind w:firstLineChars="0"/>
        <w:rPr>
          <w:rFonts w:hint="eastAsia" w:ascii="宋体" w:hAnsi="宋体" w:eastAsia="宋体" w:cs="宋体"/>
          <w:color w:val="auto"/>
        </w:rPr>
      </w:pPr>
      <w:r>
        <w:rPr>
          <w:rFonts w:hint="eastAsia" w:ascii="宋体" w:hAnsi="宋体" w:eastAsia="宋体" w:cs="宋体"/>
          <w:color w:val="auto"/>
        </w:rPr>
        <w:t>《中华人民共和国突发事件应对法》（主席令第</w:t>
      </w:r>
      <w:r>
        <w:rPr>
          <w:rFonts w:hint="eastAsia" w:ascii="宋体" w:hAnsi="宋体" w:eastAsia="宋体" w:cs="宋体"/>
          <w:color w:val="auto"/>
          <w:lang w:val="en-US" w:eastAsia="zh-CN"/>
        </w:rPr>
        <w:t>6</w:t>
      </w:r>
      <w:r>
        <w:rPr>
          <w:rFonts w:hint="eastAsia" w:ascii="宋体" w:hAnsi="宋体" w:eastAsia="宋体" w:cs="宋体"/>
          <w:color w:val="auto"/>
        </w:rPr>
        <w:t>9号）</w:t>
      </w:r>
    </w:p>
    <w:p w14:paraId="7471921C">
      <w:pPr>
        <w:pStyle w:val="48"/>
        <w:numPr>
          <w:ilvl w:val="0"/>
          <w:numId w:val="4"/>
        </w:numPr>
        <w:ind w:firstLineChars="0"/>
        <w:rPr>
          <w:rFonts w:hint="eastAsia" w:ascii="宋体" w:hAnsi="宋体" w:eastAsia="宋体" w:cs="宋体"/>
          <w:color w:val="auto"/>
        </w:rPr>
      </w:pPr>
      <w:r>
        <w:rPr>
          <w:rFonts w:hint="eastAsia" w:ascii="宋体" w:hAnsi="宋体" w:eastAsia="宋体" w:cs="宋体"/>
          <w:color w:val="auto"/>
        </w:rPr>
        <w:t>《中华人民共和国安全生产法》（主席令第88号）</w:t>
      </w:r>
    </w:p>
    <w:p w14:paraId="1FD07DF5">
      <w:pPr>
        <w:pStyle w:val="48"/>
        <w:numPr>
          <w:ilvl w:val="0"/>
          <w:numId w:val="4"/>
        </w:numPr>
        <w:ind w:firstLineChars="0"/>
        <w:rPr>
          <w:rFonts w:hint="eastAsia" w:ascii="宋体" w:hAnsi="宋体" w:eastAsia="宋体" w:cs="宋体"/>
          <w:color w:val="auto"/>
        </w:rPr>
      </w:pPr>
      <w:r>
        <w:rPr>
          <w:rFonts w:hint="eastAsia" w:ascii="宋体" w:hAnsi="宋体" w:eastAsia="宋体" w:cs="宋体"/>
          <w:color w:val="auto"/>
        </w:rPr>
        <w:t>《建设工程质量管理条例》（国务院第</w:t>
      </w:r>
      <w:r>
        <w:rPr>
          <w:rFonts w:hint="eastAsia" w:ascii="宋体" w:hAnsi="宋体" w:eastAsia="宋体" w:cs="宋体"/>
          <w:color w:val="auto"/>
          <w:lang w:val="en-US" w:eastAsia="zh-CN"/>
        </w:rPr>
        <w:t>279</w:t>
      </w:r>
      <w:r>
        <w:rPr>
          <w:rFonts w:hint="eastAsia" w:ascii="宋体" w:hAnsi="宋体" w:eastAsia="宋体" w:cs="宋体"/>
          <w:color w:val="auto"/>
        </w:rPr>
        <w:t>号令）</w:t>
      </w:r>
    </w:p>
    <w:p w14:paraId="7D49140C">
      <w:pPr>
        <w:pStyle w:val="48"/>
        <w:numPr>
          <w:ilvl w:val="0"/>
          <w:numId w:val="4"/>
        </w:numPr>
        <w:ind w:firstLineChars="0"/>
        <w:rPr>
          <w:rFonts w:hint="eastAsia" w:ascii="宋体" w:hAnsi="宋体" w:eastAsia="宋体" w:cs="宋体"/>
          <w:color w:val="auto"/>
        </w:rPr>
      </w:pPr>
      <w:r>
        <w:rPr>
          <w:rFonts w:hint="eastAsia" w:ascii="宋体" w:hAnsi="宋体" w:eastAsia="宋体" w:cs="宋体"/>
          <w:color w:val="auto"/>
        </w:rPr>
        <w:t>《建设工程安全生产管理条例》（国务院第393号令）</w:t>
      </w:r>
    </w:p>
    <w:p w14:paraId="60E39AAD">
      <w:pPr>
        <w:pStyle w:val="48"/>
        <w:numPr>
          <w:ilvl w:val="0"/>
          <w:numId w:val="4"/>
        </w:numPr>
        <w:ind w:firstLineChars="0"/>
        <w:rPr>
          <w:rFonts w:hint="eastAsia" w:ascii="宋体" w:hAnsi="宋体" w:eastAsia="宋体" w:cs="宋体"/>
          <w:color w:val="auto"/>
        </w:rPr>
      </w:pPr>
      <w:r>
        <w:rPr>
          <w:rFonts w:hint="eastAsia" w:ascii="宋体" w:hAnsi="宋体" w:eastAsia="宋体" w:cs="宋体"/>
          <w:color w:val="auto"/>
        </w:rPr>
        <w:t>《安全生产许可证条例（2014年修订）》（国务院第39</w:t>
      </w:r>
      <w:r>
        <w:rPr>
          <w:rFonts w:hint="eastAsia" w:ascii="宋体" w:hAnsi="宋体" w:eastAsia="宋体" w:cs="宋体"/>
          <w:color w:val="auto"/>
          <w:lang w:val="en-US" w:eastAsia="zh-CN"/>
        </w:rPr>
        <w:t>7</w:t>
      </w:r>
      <w:r>
        <w:rPr>
          <w:rFonts w:hint="eastAsia" w:ascii="宋体" w:hAnsi="宋体" w:eastAsia="宋体" w:cs="宋体"/>
          <w:color w:val="auto"/>
        </w:rPr>
        <w:t>号令）</w:t>
      </w:r>
    </w:p>
    <w:p w14:paraId="5ABF98C4">
      <w:pPr>
        <w:pStyle w:val="48"/>
        <w:numPr>
          <w:ilvl w:val="0"/>
          <w:numId w:val="4"/>
        </w:numPr>
        <w:ind w:firstLineChars="0"/>
        <w:rPr>
          <w:rFonts w:hint="eastAsia" w:ascii="宋体" w:hAnsi="宋体" w:eastAsia="宋体" w:cs="宋体"/>
          <w:color w:val="auto"/>
        </w:rPr>
      </w:pPr>
      <w:r>
        <w:rPr>
          <w:rFonts w:hint="eastAsia" w:ascii="宋体" w:hAnsi="宋体" w:eastAsia="宋体" w:cs="宋体"/>
          <w:color w:val="auto"/>
        </w:rPr>
        <w:t>《建筑起重机械安全监督管理规定》（建设部第166号令）</w:t>
      </w:r>
    </w:p>
    <w:p w14:paraId="208C16CA">
      <w:pPr>
        <w:pStyle w:val="67"/>
        <w:ind w:firstLine="241"/>
        <w:outlineLvl w:val="2"/>
        <w:rPr>
          <w:color w:val="auto"/>
        </w:rPr>
      </w:pPr>
      <w:r>
        <w:rPr>
          <w:rFonts w:hint="eastAsia"/>
          <w:color w:val="auto"/>
          <w:lang w:val="en-US" w:eastAsia="zh-CN"/>
        </w:rPr>
        <w:t>1</w:t>
      </w:r>
      <w:r>
        <w:rPr>
          <w:color w:val="auto"/>
        </w:rPr>
        <w:t>.2.2</w:t>
      </w:r>
      <w:r>
        <w:rPr>
          <w:rFonts w:hint="eastAsia"/>
          <w:color w:val="auto"/>
        </w:rPr>
        <w:t>主要规范、规程</w:t>
      </w:r>
    </w:p>
    <w:p w14:paraId="5B2F8A02">
      <w:pPr>
        <w:pStyle w:val="48"/>
        <w:numPr>
          <w:ilvl w:val="0"/>
          <w:numId w:val="5"/>
        </w:numPr>
        <w:ind w:firstLineChars="0"/>
        <w:rPr>
          <w:rFonts w:hint="eastAsia"/>
          <w:color w:val="auto"/>
          <w:lang w:val="en-US" w:eastAsia="zh-CN"/>
        </w:rPr>
      </w:pPr>
      <w:r>
        <w:rPr>
          <w:rFonts w:hint="eastAsia"/>
          <w:color w:val="auto"/>
        </w:rPr>
        <w:t>《</w:t>
      </w:r>
      <w:r>
        <w:rPr>
          <w:rFonts w:hint="eastAsia"/>
          <w:color w:val="auto"/>
          <w:lang w:val="en-US" w:eastAsia="zh-CN"/>
        </w:rPr>
        <w:t>危险性较大的分部分项工程安全管理规定》（住建部〔2018〕37号令）；</w:t>
      </w:r>
    </w:p>
    <w:p w14:paraId="2DA7697B">
      <w:pPr>
        <w:pStyle w:val="48"/>
        <w:numPr>
          <w:ilvl w:val="0"/>
          <w:numId w:val="5"/>
        </w:numPr>
        <w:ind w:firstLineChars="0"/>
        <w:rPr>
          <w:rFonts w:hint="eastAsia"/>
          <w:color w:val="auto"/>
          <w:lang w:eastAsia="zh-CN"/>
        </w:rPr>
      </w:pPr>
      <w:r>
        <w:rPr>
          <w:rFonts w:hint="eastAsia"/>
          <w:color w:val="auto"/>
          <w:lang w:eastAsia="zh-CN"/>
        </w:rPr>
        <w:t>《住房城乡建设部办公厅关于实施《危险性较大的分部分项工程安全管理规定》有关问题的通知》（建办质〔2018〕31号文）；</w:t>
      </w:r>
    </w:p>
    <w:p w14:paraId="4FA1BFAC">
      <w:pPr>
        <w:pStyle w:val="48"/>
        <w:numPr>
          <w:ilvl w:val="0"/>
          <w:numId w:val="5"/>
        </w:numPr>
        <w:ind w:firstLineChars="0"/>
        <w:rPr>
          <w:rFonts w:hint="eastAsia"/>
          <w:color w:val="auto"/>
        </w:rPr>
      </w:pPr>
      <w:r>
        <w:rPr>
          <w:rFonts w:hint="eastAsia"/>
          <w:color w:val="auto"/>
        </w:rPr>
        <w:t>《建筑施工高处作业安全技术规范》（JGJ80-2016）</w:t>
      </w:r>
    </w:p>
    <w:p w14:paraId="550B9BF2">
      <w:pPr>
        <w:pStyle w:val="48"/>
        <w:numPr>
          <w:ilvl w:val="0"/>
          <w:numId w:val="5"/>
        </w:numPr>
        <w:ind w:firstLineChars="0"/>
        <w:rPr>
          <w:rFonts w:hint="eastAsia"/>
          <w:color w:val="auto"/>
        </w:rPr>
      </w:pPr>
      <w:r>
        <w:rPr>
          <w:rFonts w:hint="eastAsia"/>
          <w:color w:val="auto"/>
        </w:rPr>
        <w:t>《建筑机械使用安全技术规程》（JGJ33-2012）</w:t>
      </w:r>
      <w:bookmarkStart w:id="29" w:name="_Toc233787438"/>
    </w:p>
    <w:p w14:paraId="6C7510B3">
      <w:pPr>
        <w:pStyle w:val="48"/>
        <w:numPr>
          <w:ilvl w:val="0"/>
          <w:numId w:val="5"/>
        </w:numPr>
        <w:ind w:firstLineChars="0"/>
        <w:rPr>
          <w:rFonts w:hint="eastAsia" w:ascii="宋体" w:hAnsi="宋体" w:eastAsia="宋体" w:cs="宋体"/>
          <w:color w:val="auto"/>
        </w:rPr>
      </w:pPr>
      <w:r>
        <w:rPr>
          <w:rFonts w:hint="eastAsia" w:ascii="宋体" w:hAnsi="宋体" w:eastAsia="宋体" w:cs="宋体"/>
          <w:color w:val="auto"/>
        </w:rPr>
        <w:t>《建筑与市政工程施工现场临时用电安全技术标准》（JGJ46-20</w:t>
      </w:r>
      <w:r>
        <w:rPr>
          <w:rFonts w:hint="eastAsia" w:cs="宋体"/>
          <w:color w:val="auto"/>
          <w:lang w:val="en-US" w:eastAsia="zh-CN"/>
        </w:rPr>
        <w:t>24</w:t>
      </w:r>
      <w:r>
        <w:rPr>
          <w:rFonts w:hint="eastAsia" w:ascii="宋体" w:hAnsi="宋体" w:eastAsia="宋体" w:cs="宋体"/>
          <w:color w:val="auto"/>
        </w:rPr>
        <w:t>）</w:t>
      </w:r>
      <w:bookmarkEnd w:id="29"/>
    </w:p>
    <w:p w14:paraId="3E476351">
      <w:pPr>
        <w:pStyle w:val="48"/>
        <w:numPr>
          <w:ilvl w:val="0"/>
          <w:numId w:val="5"/>
        </w:numPr>
        <w:ind w:firstLineChars="0"/>
        <w:rPr>
          <w:rFonts w:hint="eastAsia" w:ascii="宋体" w:hAnsi="宋体" w:eastAsia="宋体" w:cs="宋体"/>
          <w:color w:val="auto"/>
        </w:rPr>
      </w:pPr>
      <w:r>
        <w:rPr>
          <w:rFonts w:hint="eastAsia" w:ascii="宋体" w:hAnsi="宋体" w:eastAsia="宋体" w:cs="宋体"/>
          <w:color w:val="auto"/>
        </w:rPr>
        <w:t>《吊笼有垂直导向的人货两用施工升降机》</w:t>
      </w:r>
      <w:r>
        <w:rPr>
          <w:rFonts w:hint="eastAsia" w:ascii="宋体" w:hAnsi="宋体" w:eastAsia="宋体" w:cs="宋体"/>
          <w:color w:val="auto"/>
          <w:lang w:eastAsia="zh-CN"/>
        </w:rPr>
        <w:t>（</w:t>
      </w:r>
      <w:r>
        <w:rPr>
          <w:rFonts w:hint="eastAsia" w:ascii="宋体" w:hAnsi="宋体" w:eastAsia="宋体" w:cs="宋体"/>
          <w:color w:val="auto"/>
        </w:rPr>
        <w:t>GB/T 26557-2021</w:t>
      </w:r>
      <w:r>
        <w:rPr>
          <w:rFonts w:hint="eastAsia" w:ascii="宋体" w:hAnsi="宋体" w:eastAsia="宋体" w:cs="宋体"/>
          <w:color w:val="auto"/>
          <w:lang w:eastAsia="zh-CN"/>
        </w:rPr>
        <w:t>）</w:t>
      </w:r>
    </w:p>
    <w:p w14:paraId="44E9F145">
      <w:pPr>
        <w:pStyle w:val="48"/>
        <w:numPr>
          <w:ilvl w:val="0"/>
          <w:numId w:val="5"/>
        </w:numPr>
        <w:ind w:firstLineChars="0"/>
        <w:rPr>
          <w:rFonts w:hint="eastAsia" w:ascii="宋体" w:hAnsi="宋体" w:eastAsia="宋体" w:cs="宋体"/>
          <w:color w:val="auto"/>
        </w:rPr>
      </w:pPr>
      <w:r>
        <w:rPr>
          <w:rFonts w:hint="eastAsia" w:ascii="宋体" w:hAnsi="宋体" w:eastAsia="宋体" w:cs="宋体"/>
          <w:color w:val="auto"/>
        </w:rPr>
        <w:t>《建筑施工升降设备设施检验标准》</w:t>
      </w:r>
      <w:r>
        <w:rPr>
          <w:rFonts w:hint="eastAsia" w:ascii="宋体" w:hAnsi="宋体" w:eastAsia="宋体" w:cs="宋体"/>
          <w:color w:val="auto"/>
          <w:lang w:eastAsia="zh-CN"/>
        </w:rPr>
        <w:t>（</w:t>
      </w:r>
      <w:r>
        <w:rPr>
          <w:rFonts w:hint="eastAsia" w:ascii="宋体" w:hAnsi="宋体" w:eastAsia="宋体" w:cs="宋体"/>
          <w:color w:val="auto"/>
        </w:rPr>
        <w:t>JGJ305－2013</w:t>
      </w:r>
      <w:r>
        <w:rPr>
          <w:rFonts w:hint="eastAsia" w:ascii="宋体" w:hAnsi="宋体" w:eastAsia="宋体" w:cs="宋体"/>
          <w:color w:val="auto"/>
          <w:lang w:eastAsia="zh-CN"/>
        </w:rPr>
        <w:t>）</w:t>
      </w:r>
    </w:p>
    <w:p w14:paraId="6B5615A8">
      <w:pPr>
        <w:pStyle w:val="48"/>
        <w:numPr>
          <w:ilvl w:val="0"/>
          <w:numId w:val="5"/>
        </w:numPr>
        <w:ind w:firstLineChars="0"/>
        <w:rPr>
          <w:rFonts w:hint="eastAsia" w:ascii="宋体" w:hAnsi="宋体" w:eastAsia="宋体" w:cs="宋体"/>
          <w:color w:val="auto"/>
        </w:rPr>
      </w:pPr>
      <w:r>
        <w:rPr>
          <w:rFonts w:hint="eastAsia" w:ascii="宋体" w:hAnsi="宋体" w:eastAsia="宋体" w:cs="宋体"/>
          <w:color w:val="auto"/>
        </w:rPr>
        <w:t>《建筑施工升降机安装、使用、</w:t>
      </w:r>
      <w:r>
        <w:rPr>
          <w:rFonts w:hint="eastAsia" w:ascii="宋体" w:hAnsi="宋体" w:eastAsia="宋体" w:cs="宋体"/>
          <w:color w:val="auto"/>
          <w:lang w:eastAsia="zh-CN"/>
        </w:rPr>
        <w:t>拆除</w:t>
      </w:r>
      <w:r>
        <w:rPr>
          <w:rFonts w:hint="eastAsia" w:ascii="宋体" w:hAnsi="宋体" w:eastAsia="宋体" w:cs="宋体"/>
          <w:color w:val="auto"/>
        </w:rPr>
        <w:t>安全技术规程》</w:t>
      </w:r>
      <w:r>
        <w:rPr>
          <w:rFonts w:hint="eastAsia" w:ascii="宋体" w:hAnsi="宋体" w:eastAsia="宋体" w:cs="宋体"/>
          <w:color w:val="auto"/>
          <w:lang w:eastAsia="zh-CN"/>
        </w:rPr>
        <w:t>（</w:t>
      </w:r>
      <w:r>
        <w:rPr>
          <w:rFonts w:hint="eastAsia" w:ascii="宋体" w:hAnsi="宋体" w:eastAsia="宋体" w:cs="宋体"/>
          <w:color w:val="auto"/>
        </w:rPr>
        <w:t>JGJ215－2010</w:t>
      </w:r>
      <w:r>
        <w:rPr>
          <w:rFonts w:hint="eastAsia" w:ascii="宋体" w:hAnsi="宋体" w:eastAsia="宋体" w:cs="宋体"/>
          <w:color w:val="auto"/>
          <w:lang w:eastAsia="zh-CN"/>
        </w:rPr>
        <w:t>）</w:t>
      </w:r>
    </w:p>
    <w:p w14:paraId="09A29153">
      <w:pPr>
        <w:pStyle w:val="48"/>
        <w:numPr>
          <w:ilvl w:val="0"/>
          <w:numId w:val="5"/>
        </w:numPr>
        <w:ind w:firstLineChars="0"/>
        <w:rPr>
          <w:rFonts w:hint="eastAsia" w:ascii="宋体" w:hAnsi="宋体" w:eastAsia="宋体" w:cs="宋体"/>
          <w:color w:val="auto"/>
        </w:rPr>
      </w:pPr>
      <w:r>
        <w:rPr>
          <w:rFonts w:hint="eastAsia" w:ascii="宋体" w:hAnsi="宋体" w:eastAsia="宋体" w:cs="宋体"/>
          <w:color w:val="auto"/>
        </w:rPr>
        <w:t>《建筑施工高处作业安全技术规范》</w:t>
      </w:r>
      <w:r>
        <w:rPr>
          <w:rFonts w:hint="eastAsia" w:ascii="宋体" w:hAnsi="宋体" w:eastAsia="宋体" w:cs="宋体"/>
          <w:color w:val="auto"/>
          <w:lang w:eastAsia="zh-CN"/>
        </w:rPr>
        <w:t>（</w:t>
      </w:r>
      <w:r>
        <w:rPr>
          <w:rFonts w:hint="eastAsia" w:ascii="宋体" w:hAnsi="宋体" w:eastAsia="宋体" w:cs="宋体"/>
          <w:color w:val="auto"/>
        </w:rPr>
        <w:t>JGJ 80-2016</w:t>
      </w:r>
      <w:r>
        <w:rPr>
          <w:rFonts w:hint="eastAsia" w:ascii="宋体" w:hAnsi="宋体" w:eastAsia="宋体" w:cs="宋体"/>
          <w:color w:val="auto"/>
          <w:lang w:eastAsia="zh-CN"/>
        </w:rPr>
        <w:t>）</w:t>
      </w:r>
    </w:p>
    <w:p w14:paraId="2BCBC100">
      <w:pPr>
        <w:pStyle w:val="48"/>
        <w:numPr>
          <w:ilvl w:val="0"/>
          <w:numId w:val="5"/>
        </w:numPr>
        <w:ind w:firstLineChars="0"/>
        <w:rPr>
          <w:rFonts w:hint="eastAsia" w:ascii="宋体" w:hAnsi="宋体" w:eastAsia="宋体" w:cs="宋体"/>
          <w:color w:val="auto"/>
        </w:rPr>
      </w:pPr>
      <w:r>
        <w:rPr>
          <w:rFonts w:hint="eastAsia" w:ascii="宋体" w:hAnsi="宋体" w:eastAsia="宋体" w:cs="宋体"/>
          <w:color w:val="auto"/>
        </w:rPr>
        <w:t>《施工升降机》（GB/T 10054-2005）</w:t>
      </w:r>
    </w:p>
    <w:p w14:paraId="41347842">
      <w:pPr>
        <w:pStyle w:val="48"/>
        <w:numPr>
          <w:ilvl w:val="0"/>
          <w:numId w:val="5"/>
        </w:numPr>
        <w:ind w:firstLineChars="0"/>
        <w:rPr>
          <w:rFonts w:hint="eastAsia" w:ascii="宋体" w:hAnsi="宋体" w:eastAsia="宋体" w:cs="宋体"/>
          <w:color w:val="auto"/>
        </w:rPr>
      </w:pPr>
      <w:r>
        <w:rPr>
          <w:rFonts w:hint="eastAsia" w:ascii="宋体" w:hAnsi="宋体" w:eastAsia="宋体" w:cs="宋体"/>
          <w:color w:val="auto"/>
        </w:rPr>
        <w:t>《施工现场机械设备检查技术规范》（JGJ160—2016）</w:t>
      </w:r>
    </w:p>
    <w:p w14:paraId="4486012E">
      <w:pPr>
        <w:pStyle w:val="67"/>
        <w:ind w:firstLine="241"/>
        <w:outlineLvl w:val="2"/>
        <w:rPr>
          <w:color w:val="auto"/>
        </w:rPr>
      </w:pPr>
      <w:r>
        <w:rPr>
          <w:rFonts w:hint="eastAsia" w:ascii="宋体" w:hAnsi="宋体" w:eastAsia="宋体" w:cs="Times New Roman"/>
          <w:color w:val="auto"/>
          <w:lang w:val="en-US" w:eastAsia="zh-CN"/>
        </w:rPr>
        <w:t>1.2.</w:t>
      </w:r>
      <w:r>
        <w:rPr>
          <w:rFonts w:hint="default" w:cs="Times New Roman"/>
          <w:color w:val="auto"/>
          <w:lang w:val="en-US" w:eastAsia="zh-CN"/>
        </w:rPr>
        <w:t>3</w:t>
      </w:r>
      <w:r>
        <w:rPr>
          <w:rFonts w:hint="eastAsia" w:ascii="宋体" w:hAnsi="宋体" w:eastAsia="宋体" w:cs="Times New Roman"/>
          <w:color w:val="auto"/>
          <w:lang w:val="en-US" w:eastAsia="zh-CN"/>
        </w:rPr>
        <w:t>其他</w:t>
      </w:r>
    </w:p>
    <w:p w14:paraId="76FE8BA5">
      <w:pPr>
        <w:pStyle w:val="82"/>
        <w:numPr>
          <w:ilvl w:val="0"/>
          <w:numId w:val="6"/>
        </w:numPr>
        <w:rPr>
          <w:rFonts w:hint="eastAsia"/>
          <w:color w:val="auto"/>
        </w:rPr>
      </w:pPr>
      <w:r>
        <w:rPr>
          <w:rFonts w:hint="eastAsia"/>
          <w:color w:val="auto"/>
          <w:lang w:eastAsia="zh-CN"/>
        </w:rPr>
        <w:t>《</w:t>
      </w:r>
      <w:r>
        <w:rPr>
          <w:rFonts w:hint="eastAsia"/>
          <w:color w:val="auto"/>
          <w:lang w:val="en-US" w:eastAsia="zh-CN"/>
        </w:rPr>
        <w:t>SC系列施工升降机操作手册</w:t>
      </w:r>
      <w:r>
        <w:rPr>
          <w:rFonts w:hint="eastAsia"/>
          <w:color w:val="auto"/>
          <w:lang w:eastAsia="zh-CN"/>
        </w:rPr>
        <w:t>》</w:t>
      </w:r>
    </w:p>
    <w:p w14:paraId="61B28324">
      <w:pPr>
        <w:spacing w:line="360" w:lineRule="auto"/>
        <w:ind w:firstLine="480"/>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（2）</w:t>
      </w:r>
      <w:r>
        <w:rPr>
          <w:rFonts w:hint="eastAsia" w:ascii="宋体" w:hAnsi="宋体" w:cs="宋体"/>
          <w:color w:val="auto"/>
          <w:sz w:val="24"/>
          <w:szCs w:val="24"/>
          <w:lang w:eastAsia="zh-CN"/>
        </w:rPr>
        <w:t>XGT6015-8S1</w:t>
      </w:r>
      <w:r>
        <w:rPr>
          <w:rFonts w:hint="eastAsia" w:ascii="宋体" w:hAnsi="宋体" w:eastAsia="宋体" w:cs="宋体"/>
          <w:color w:val="auto"/>
          <w:sz w:val="24"/>
          <w:szCs w:val="24"/>
          <w:lang w:eastAsia="zh-CN"/>
        </w:rPr>
        <w:t>型</w:t>
      </w:r>
      <w:r>
        <w:rPr>
          <w:rFonts w:hint="eastAsia" w:ascii="Times New Roman" w:hAnsi="Times New Roman" w:eastAsia="宋体" w:cs="Times New Roman"/>
          <w:color w:val="auto"/>
          <w:sz w:val="24"/>
          <w:lang w:val="en-US" w:eastAsia="zh-CN"/>
        </w:rPr>
        <w:t>塔式起重机使用说明书</w:t>
      </w:r>
    </w:p>
    <w:bookmarkEnd w:id="27"/>
    <w:bookmarkEnd w:id="28"/>
    <w:p w14:paraId="5196D09C">
      <w:pPr>
        <w:pStyle w:val="4"/>
        <w:outlineLvl w:val="1"/>
        <w:rPr>
          <w:color w:val="auto"/>
        </w:rPr>
      </w:pPr>
      <w:bookmarkStart w:id="30" w:name="_Toc26675"/>
      <w:bookmarkStart w:id="31" w:name="_Toc3948"/>
      <w:bookmarkStart w:id="32" w:name="_Toc17429"/>
      <w:bookmarkStart w:id="33" w:name="_Toc17061"/>
      <w:bookmarkStart w:id="34" w:name="_Toc10409766"/>
      <w:r>
        <w:rPr>
          <w:rFonts w:hint="eastAsia"/>
          <w:color w:val="auto"/>
        </w:rPr>
        <w:t>编制原则</w:t>
      </w:r>
      <w:bookmarkEnd w:id="30"/>
      <w:bookmarkEnd w:id="31"/>
      <w:bookmarkEnd w:id="32"/>
      <w:bookmarkEnd w:id="33"/>
      <w:bookmarkEnd w:id="34"/>
    </w:p>
    <w:p w14:paraId="41368381">
      <w:pPr>
        <w:pStyle w:val="48"/>
        <w:ind w:firstLine="480"/>
        <w:rPr>
          <w:color w:val="auto"/>
        </w:rPr>
      </w:pPr>
      <w:r>
        <w:rPr>
          <w:color w:val="auto"/>
        </w:rPr>
        <w:t>1）严格贯彻“安全第一”的原则，针对风险细化安全技术措施，预防和杜绝安全事故的发生；</w:t>
      </w:r>
    </w:p>
    <w:p w14:paraId="7C52613A">
      <w:pPr>
        <w:pStyle w:val="48"/>
        <w:ind w:firstLine="480"/>
        <w:rPr>
          <w:color w:val="auto"/>
        </w:rPr>
      </w:pPr>
      <w:r>
        <w:rPr>
          <w:color w:val="auto"/>
        </w:rPr>
        <w:t>2）严格按照ISO9001标准质量体系质量程序控制原则，实施安装过程动态管理；</w:t>
      </w:r>
    </w:p>
    <w:p w14:paraId="34CF86BC">
      <w:pPr>
        <w:pStyle w:val="48"/>
        <w:ind w:firstLine="480"/>
        <w:rPr>
          <w:color w:val="auto"/>
        </w:rPr>
      </w:pPr>
      <w:r>
        <w:rPr>
          <w:color w:val="auto"/>
        </w:rPr>
        <w:t>3）科学合理制定安装计划，提高安装功效；</w:t>
      </w:r>
    </w:p>
    <w:p w14:paraId="0E76F9E4">
      <w:pPr>
        <w:pStyle w:val="48"/>
        <w:ind w:firstLine="480"/>
        <w:rPr>
          <w:color w:val="auto"/>
        </w:rPr>
      </w:pPr>
      <w:r>
        <w:rPr>
          <w:color w:val="auto"/>
        </w:rPr>
        <w:t>4）加强过程管控，合理配置安装资源，合理降低安装成本。</w:t>
      </w:r>
    </w:p>
    <w:p w14:paraId="5924F048">
      <w:pPr>
        <w:pStyle w:val="4"/>
        <w:outlineLvl w:val="1"/>
        <w:rPr>
          <w:color w:val="auto"/>
        </w:rPr>
      </w:pPr>
      <w:bookmarkStart w:id="35" w:name="_Toc13684"/>
      <w:bookmarkStart w:id="36" w:name="_Toc10409768"/>
      <w:bookmarkStart w:id="37" w:name="_Toc24520"/>
      <w:bookmarkStart w:id="38" w:name="_Toc4818"/>
      <w:bookmarkStart w:id="39" w:name="_Toc2781"/>
      <w:r>
        <w:rPr>
          <w:rFonts w:hint="eastAsia"/>
          <w:color w:val="auto"/>
        </w:rPr>
        <w:t>适用范围</w:t>
      </w:r>
      <w:bookmarkEnd w:id="35"/>
      <w:bookmarkEnd w:id="36"/>
      <w:bookmarkEnd w:id="37"/>
      <w:bookmarkEnd w:id="38"/>
      <w:bookmarkEnd w:id="39"/>
    </w:p>
    <w:p w14:paraId="745B08E9">
      <w:pPr>
        <w:pStyle w:val="48"/>
        <w:ind w:firstLine="480"/>
        <w:rPr>
          <w:color w:val="auto"/>
        </w:rPr>
      </w:pPr>
      <w:r>
        <w:rPr>
          <w:rFonts w:hint="eastAsia"/>
          <w:color w:val="auto"/>
        </w:rPr>
        <w:t>本方案适用于</w:t>
      </w:r>
      <w:r>
        <w:rPr>
          <w:rFonts w:hint="eastAsia"/>
          <w:color w:val="auto"/>
          <w:lang w:val="en-US" w:eastAsia="zh-CN"/>
        </w:rPr>
        <w:t>该</w:t>
      </w:r>
      <w:r>
        <w:rPr>
          <w:color w:val="auto"/>
        </w:rPr>
        <w:t>项目</w:t>
      </w:r>
      <w:r>
        <w:rPr>
          <w:rFonts w:hint="eastAsia"/>
          <w:color w:val="auto"/>
          <w:lang w:val="en-US" w:eastAsia="zh-CN"/>
        </w:rPr>
        <w:t>1台</w:t>
      </w:r>
      <w:r>
        <w:rPr>
          <w:rFonts w:hint="eastAsia"/>
        </w:rPr>
        <w:t>SC200施工升降机</w:t>
      </w:r>
      <w:r>
        <w:rPr>
          <w:color w:val="auto"/>
        </w:rPr>
        <w:t>安装安全施工作业</w:t>
      </w:r>
      <w:r>
        <w:rPr>
          <w:rFonts w:hint="eastAsia" w:ascii="Times New Roman" w:hAnsi="Times New Roman"/>
          <w:color w:val="auto"/>
          <w:szCs w:val="24"/>
        </w:rPr>
        <w:t>指导</w:t>
      </w:r>
      <w:r>
        <w:rPr>
          <w:color w:val="auto"/>
        </w:rPr>
        <w:t>。</w:t>
      </w:r>
    </w:p>
    <w:bookmarkEnd w:id="26"/>
    <w:p w14:paraId="5C89ADA9">
      <w:pPr>
        <w:ind w:firstLine="480"/>
        <w:rPr>
          <w:color w:val="auto"/>
        </w:rPr>
      </w:pPr>
      <w:bookmarkStart w:id="40" w:name="_Toc12304"/>
    </w:p>
    <w:bookmarkEnd w:id="40"/>
    <w:p w14:paraId="01FE4193">
      <w:pPr>
        <w:pStyle w:val="3"/>
        <w:spacing w:before="156" w:after="156"/>
        <w:jc w:val="both"/>
        <w:rPr>
          <w:color w:val="auto"/>
        </w:rPr>
      </w:pPr>
      <w:bookmarkStart w:id="41" w:name="_Toc40778431"/>
      <w:bookmarkStart w:id="42" w:name="_Toc17866"/>
      <w:r>
        <w:rPr>
          <w:rFonts w:hint="eastAsia"/>
          <w:color w:val="auto"/>
        </w:rPr>
        <w:br w:type="page"/>
      </w:r>
      <w:bookmarkStart w:id="43" w:name="_Toc15852"/>
      <w:bookmarkStart w:id="44" w:name="_Toc20658"/>
      <w:bookmarkStart w:id="45" w:name="_Toc3812"/>
      <w:bookmarkStart w:id="46" w:name="_Toc40778420"/>
      <w:r>
        <w:rPr>
          <w:rFonts w:hint="eastAsia"/>
          <w:color w:val="auto"/>
        </w:rPr>
        <w:t>工程概况</w:t>
      </w:r>
      <w:bookmarkEnd w:id="43"/>
      <w:bookmarkEnd w:id="44"/>
      <w:bookmarkEnd w:id="45"/>
      <w:bookmarkEnd w:id="46"/>
    </w:p>
    <w:p w14:paraId="26D78CD5">
      <w:pPr>
        <w:pStyle w:val="4"/>
        <w:spacing w:before="156" w:after="156"/>
        <w:ind w:left="480" w:leftChars="0" w:firstLineChars="0"/>
        <w:rPr>
          <w:rFonts w:hint="default" w:eastAsia="宋体"/>
          <w:color w:val="auto"/>
          <w:lang w:val="en-US" w:eastAsia="zh-CN"/>
        </w:rPr>
      </w:pPr>
      <w:bookmarkStart w:id="47" w:name="_Toc29518"/>
      <w:r>
        <w:rPr>
          <w:rFonts w:hint="eastAsia" w:eastAsia="宋体"/>
          <w:color w:val="auto"/>
          <w:lang w:eastAsia="zh-CN"/>
        </w:rPr>
        <w:t>项目概况</w:t>
      </w:r>
      <w:bookmarkEnd w:id="47"/>
    </w:p>
    <w:p w14:paraId="586B7CB3">
      <w:pPr>
        <w:pStyle w:val="26"/>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本工程位于彭州市龙兴寺商圈龙锦大道、延秀路、民业路和滨河南路间。项目16号地块用地面积32485.82㎡，总建面56296.17㎡，该地块东侧为建成小区-龙锦小区。北临官渠郊野公园和人民渠(饮用水水源，贯穿彭州全境)。南临龙兴寺水街(彭州新名片，彭州版“太古里")。西侧为建成小区-水岸名都。中间为弹性道路和河道绿廊。16号地块为项目一期，17号地块为项目2期。</w:t>
      </w:r>
    </w:p>
    <w:p w14:paraId="0BE325B1">
      <w:pPr>
        <w:ind w:firstLine="422"/>
        <w:jc w:val="center"/>
        <w:rPr>
          <w:rFonts w:ascii="仿宋" w:hAnsi="仿宋" w:eastAsia="仿宋"/>
          <w:b/>
          <w:sz w:val="21"/>
        </w:rPr>
      </w:pPr>
      <w:bookmarkStart w:id="48" w:name="_Toc53563931"/>
      <w:r>
        <w:rPr>
          <w:rFonts w:hint="eastAsia" w:ascii="仿宋" w:hAnsi="仿宋" w:eastAsia="仿宋"/>
          <w:b/>
          <w:sz w:val="21"/>
        </w:rPr>
        <w:t>表</w:t>
      </w:r>
      <w:r>
        <w:rPr>
          <w:rFonts w:ascii="仿宋" w:hAnsi="仿宋" w:eastAsia="仿宋"/>
          <w:b/>
          <w:sz w:val="21"/>
        </w:rPr>
        <w:t>2.1-1</w:t>
      </w:r>
      <w:r>
        <w:rPr>
          <w:rFonts w:hint="eastAsia" w:ascii="仿宋" w:hAnsi="仿宋" w:eastAsia="仿宋"/>
          <w:b/>
          <w:sz w:val="21"/>
        </w:rPr>
        <w:t>建筑概况表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6095"/>
      </w:tblGrid>
      <w:tr w14:paraId="36A2C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60B1307B">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工程名称</w:t>
            </w:r>
          </w:p>
        </w:tc>
        <w:tc>
          <w:tcPr>
            <w:tcW w:w="6095" w:type="dxa"/>
            <w:noWrap w:val="0"/>
            <w:vAlign w:val="center"/>
          </w:tcPr>
          <w:p w14:paraId="0E16E886">
            <w:pPr>
              <w:tabs>
                <w:tab w:val="left" w:pos="2100"/>
              </w:tabs>
              <w:adjustRightInd w:val="0"/>
              <w:snapToGrid w:val="0"/>
              <w:spacing w:line="460" w:lineRule="exact"/>
              <w:ind w:firstLine="480" w:firstLineChars="200"/>
              <w:jc w:val="left"/>
              <w:rPr>
                <w:rFonts w:hint="default" w:eastAsia="仿宋"/>
                <w:b w:val="0"/>
                <w:bCs/>
                <w:sz w:val="24"/>
                <w:szCs w:val="24"/>
                <w:lang w:val="en-US" w:eastAsia="zh-CN"/>
              </w:rPr>
            </w:pPr>
            <w:r>
              <w:rPr>
                <w:rFonts w:hint="eastAsia" w:ascii="仿宋" w:hAnsi="仿宋" w:eastAsia="仿宋" w:cs="宋体"/>
                <w:lang w:val="en-US" w:eastAsia="zh-CN"/>
              </w:rPr>
              <w:t>彭州市龙兴寺片区 PZ2024-16 地块商住建设项目</w:t>
            </w:r>
          </w:p>
        </w:tc>
      </w:tr>
      <w:tr w14:paraId="6931E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11BF68D2">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工程地点</w:t>
            </w:r>
          </w:p>
        </w:tc>
        <w:tc>
          <w:tcPr>
            <w:tcW w:w="6095" w:type="dxa"/>
            <w:noWrap w:val="0"/>
            <w:vAlign w:val="center"/>
          </w:tcPr>
          <w:p w14:paraId="2B855319">
            <w:pPr>
              <w:tabs>
                <w:tab w:val="left" w:pos="2100"/>
              </w:tabs>
              <w:adjustRightInd w:val="0"/>
              <w:snapToGrid w:val="0"/>
              <w:spacing w:line="460" w:lineRule="exact"/>
              <w:ind w:firstLine="480" w:firstLineChars="200"/>
              <w:jc w:val="left"/>
              <w:rPr>
                <w:rFonts w:hint="eastAsia" w:eastAsia="仿宋"/>
                <w:b w:val="0"/>
                <w:bCs/>
                <w:sz w:val="24"/>
                <w:szCs w:val="24"/>
                <w:lang w:val="en-US" w:eastAsia="zh-CN"/>
              </w:rPr>
            </w:pPr>
            <w:r>
              <w:rPr>
                <w:rFonts w:hint="eastAsia" w:ascii="仿宋" w:hAnsi="仿宋" w:eastAsia="仿宋" w:cs="宋体"/>
                <w:lang w:val="en-US" w:eastAsia="zh-CN"/>
              </w:rPr>
              <w:t>成都市彭州区</w:t>
            </w:r>
          </w:p>
        </w:tc>
      </w:tr>
      <w:tr w14:paraId="3EBA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6C45BB4E">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建设单位</w:t>
            </w:r>
          </w:p>
        </w:tc>
        <w:tc>
          <w:tcPr>
            <w:tcW w:w="6095" w:type="dxa"/>
            <w:noWrap w:val="0"/>
            <w:vAlign w:val="center"/>
          </w:tcPr>
          <w:p w14:paraId="4454CE67">
            <w:pPr>
              <w:tabs>
                <w:tab w:val="left" w:pos="2100"/>
              </w:tabs>
              <w:adjustRightInd w:val="0"/>
              <w:snapToGrid w:val="0"/>
              <w:spacing w:line="460" w:lineRule="exact"/>
              <w:ind w:firstLine="480" w:firstLineChars="200"/>
              <w:jc w:val="left"/>
              <w:rPr>
                <w:rFonts w:hint="eastAsia" w:eastAsia="仿宋"/>
                <w:b w:val="0"/>
                <w:bCs/>
                <w:sz w:val="24"/>
                <w:szCs w:val="24"/>
                <w:lang w:val="en-US" w:eastAsia="zh-CN"/>
              </w:rPr>
            </w:pPr>
            <w:r>
              <w:rPr>
                <w:rFonts w:hint="eastAsia" w:ascii="仿宋" w:hAnsi="仿宋" w:eastAsia="仿宋" w:cs="宋体"/>
                <w:lang w:val="en-US" w:eastAsia="zh-CN"/>
              </w:rPr>
              <w:t>成都中宜蓉彭置业有限公司</w:t>
            </w:r>
          </w:p>
        </w:tc>
      </w:tr>
      <w:tr w14:paraId="550B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15C561BD">
            <w:pPr>
              <w:pStyle w:val="47"/>
              <w:spacing w:line="360" w:lineRule="auto"/>
              <w:ind w:firstLine="0" w:firstLineChars="0"/>
              <w:jc w:val="center"/>
              <w:rPr>
                <w:rFonts w:hint="default" w:eastAsia="仿宋"/>
                <w:b w:val="0"/>
                <w:bCs/>
                <w:sz w:val="24"/>
                <w:szCs w:val="24"/>
                <w:lang w:val="en-US" w:eastAsia="zh-CN"/>
              </w:rPr>
            </w:pPr>
            <w:r>
              <w:rPr>
                <w:rFonts w:hint="eastAsia" w:eastAsia="仿宋"/>
                <w:b w:val="0"/>
                <w:bCs/>
                <w:sz w:val="24"/>
                <w:szCs w:val="24"/>
                <w:lang w:val="en-US" w:eastAsia="zh-CN"/>
              </w:rPr>
              <w:t>监理单位</w:t>
            </w:r>
          </w:p>
        </w:tc>
        <w:tc>
          <w:tcPr>
            <w:tcW w:w="6095" w:type="dxa"/>
            <w:noWrap w:val="0"/>
            <w:vAlign w:val="center"/>
          </w:tcPr>
          <w:p w14:paraId="07F04F5E">
            <w:pPr>
              <w:tabs>
                <w:tab w:val="left" w:pos="2100"/>
              </w:tabs>
              <w:adjustRightInd w:val="0"/>
              <w:snapToGrid w:val="0"/>
              <w:spacing w:line="460" w:lineRule="exact"/>
              <w:ind w:firstLine="480" w:firstLineChars="200"/>
              <w:jc w:val="left"/>
              <w:rPr>
                <w:rFonts w:hint="eastAsia" w:eastAsia="仿宋"/>
                <w:b w:val="0"/>
                <w:bCs/>
                <w:sz w:val="24"/>
                <w:szCs w:val="24"/>
                <w:lang w:val="en-US" w:eastAsia="zh-CN"/>
              </w:rPr>
            </w:pPr>
            <w:r>
              <w:rPr>
                <w:rFonts w:hint="eastAsia" w:ascii="仿宋" w:hAnsi="仿宋" w:eastAsia="仿宋" w:cs="宋体"/>
                <w:lang w:val="en-US" w:eastAsia="zh-CN"/>
              </w:rPr>
              <w:t>四川省城市建设工程咨询集团有限公司</w:t>
            </w:r>
          </w:p>
        </w:tc>
      </w:tr>
      <w:tr w14:paraId="39CA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4A2ECA7F">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施工单位</w:t>
            </w:r>
          </w:p>
        </w:tc>
        <w:tc>
          <w:tcPr>
            <w:tcW w:w="6095" w:type="dxa"/>
            <w:noWrap w:val="0"/>
            <w:vAlign w:val="center"/>
          </w:tcPr>
          <w:p w14:paraId="60C7F2B8">
            <w:pPr>
              <w:tabs>
                <w:tab w:val="left" w:pos="2100"/>
              </w:tabs>
              <w:adjustRightInd w:val="0"/>
              <w:snapToGrid w:val="0"/>
              <w:spacing w:line="460" w:lineRule="exact"/>
              <w:ind w:firstLine="480" w:firstLineChars="200"/>
              <w:jc w:val="left"/>
              <w:rPr>
                <w:rFonts w:hint="eastAsia" w:eastAsia="仿宋"/>
                <w:b w:val="0"/>
                <w:bCs/>
                <w:sz w:val="24"/>
                <w:szCs w:val="24"/>
                <w:lang w:val="en-US" w:eastAsia="zh-CN"/>
              </w:rPr>
            </w:pPr>
            <w:r>
              <w:rPr>
                <w:rFonts w:hint="eastAsia" w:ascii="仿宋" w:hAnsi="仿宋" w:eastAsia="仿宋" w:cs="宋体"/>
                <w:lang w:val="en-US" w:eastAsia="zh-CN"/>
              </w:rPr>
              <w:t>中交第二航务工程局有限公司</w:t>
            </w:r>
          </w:p>
        </w:tc>
      </w:tr>
      <w:tr w14:paraId="318B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2E8C04E4">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质量要求</w:t>
            </w:r>
          </w:p>
        </w:tc>
        <w:tc>
          <w:tcPr>
            <w:tcW w:w="6095" w:type="dxa"/>
            <w:noWrap w:val="0"/>
            <w:vAlign w:val="center"/>
          </w:tcPr>
          <w:p w14:paraId="4069FF97">
            <w:pPr>
              <w:tabs>
                <w:tab w:val="left" w:pos="2100"/>
              </w:tabs>
              <w:adjustRightInd w:val="0"/>
              <w:snapToGrid w:val="0"/>
              <w:spacing w:line="460" w:lineRule="exact"/>
              <w:ind w:left="0" w:leftChars="0" w:firstLine="0" w:firstLineChars="0"/>
              <w:rPr>
                <w:rFonts w:hint="eastAsia" w:eastAsia="仿宋"/>
                <w:b w:val="0"/>
                <w:bCs/>
                <w:sz w:val="24"/>
                <w:szCs w:val="24"/>
                <w:lang w:val="en-US" w:eastAsia="zh-CN"/>
              </w:rPr>
            </w:pPr>
            <w:r>
              <w:rPr>
                <w:rFonts w:hint="eastAsia" w:ascii="仿宋" w:hAnsi="仿宋" w:eastAsia="仿宋" w:cs="宋体"/>
                <w:lang w:val="en-US" w:eastAsia="zh-CN"/>
              </w:rPr>
              <w:t>所有单体项目的分项分部工程合格率100%，一次性交验合格率100%，自评、监理、建设单位评定工程质量优良</w:t>
            </w:r>
          </w:p>
        </w:tc>
      </w:tr>
      <w:tr w14:paraId="282A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284554F9">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安全、环境要求</w:t>
            </w:r>
          </w:p>
        </w:tc>
        <w:tc>
          <w:tcPr>
            <w:tcW w:w="6095" w:type="dxa"/>
            <w:noWrap w:val="0"/>
            <w:vAlign w:val="center"/>
          </w:tcPr>
          <w:p w14:paraId="71F46365">
            <w:pPr>
              <w:tabs>
                <w:tab w:val="left" w:pos="2100"/>
              </w:tabs>
              <w:adjustRightInd w:val="0"/>
              <w:snapToGrid w:val="0"/>
              <w:spacing w:line="460" w:lineRule="exact"/>
              <w:ind w:left="0" w:leftChars="0" w:firstLine="0" w:firstLineChars="0"/>
              <w:rPr>
                <w:rFonts w:hint="eastAsia" w:eastAsia="仿宋"/>
                <w:b w:val="0"/>
                <w:bCs/>
                <w:sz w:val="24"/>
                <w:szCs w:val="24"/>
                <w:lang w:val="en-US" w:eastAsia="zh-CN"/>
              </w:rPr>
            </w:pPr>
            <w:r>
              <w:rPr>
                <w:rFonts w:hint="eastAsia" w:ascii="仿宋" w:hAnsi="仿宋" w:eastAsia="仿宋" w:cs="宋体"/>
                <w:lang w:val="en-US" w:eastAsia="zh-CN"/>
              </w:rPr>
              <w:t>死亡事故为零；重大设备、火灾、爆炸事故为零；重伤事故为零；做好环境保护，确保环保不扣分。</w:t>
            </w:r>
          </w:p>
        </w:tc>
      </w:tr>
      <w:bookmarkEnd w:id="48"/>
    </w:tbl>
    <w:p w14:paraId="29D01352">
      <w:pPr>
        <w:pStyle w:val="4"/>
        <w:spacing w:before="156" w:after="156"/>
        <w:ind w:left="480" w:leftChars="0" w:firstLineChars="0"/>
        <w:rPr>
          <w:rFonts w:hint="eastAsia"/>
          <w:color w:val="auto"/>
          <w:lang w:eastAsia="zh-CN"/>
        </w:rPr>
      </w:pPr>
      <w:bookmarkStart w:id="49" w:name="_Toc27496"/>
      <w:bookmarkStart w:id="50" w:name="_Toc18239"/>
      <w:bookmarkStart w:id="51" w:name="_Toc24090"/>
      <w:bookmarkStart w:id="52" w:name="_Toc40778423"/>
      <w:r>
        <w:rPr>
          <w:rFonts w:hint="eastAsia"/>
          <w:color w:val="auto"/>
          <w:lang w:eastAsia="zh-CN"/>
        </w:rPr>
        <w:t>工程特点</w:t>
      </w:r>
      <w:bookmarkEnd w:id="49"/>
    </w:p>
    <w:p w14:paraId="321626B6">
      <w:pPr>
        <w:numPr>
          <w:ilvl w:val="0"/>
          <w:numId w:val="7"/>
        </w:numPr>
        <w:ind w:left="240" w:leftChars="0" w:firstLine="480" w:firstLineChars="0"/>
        <w:rPr>
          <w:color w:val="auto"/>
        </w:rPr>
      </w:pPr>
      <w:r>
        <w:rPr>
          <w:rFonts w:hint="eastAsia"/>
          <w:color w:val="auto"/>
        </w:rPr>
        <w:t>施工周边环境影响：</w:t>
      </w:r>
      <w:r>
        <w:rPr>
          <w:rFonts w:hint="eastAsia"/>
          <w:color w:val="auto"/>
          <w:lang w:eastAsia="zh-CN"/>
        </w:rPr>
        <w:t>施工环境良好，可保证</w:t>
      </w:r>
      <w:r>
        <w:rPr>
          <w:rFonts w:hint="eastAsia"/>
          <w:color w:val="auto"/>
          <w:lang w:val="en-US" w:eastAsia="zh-CN"/>
        </w:rPr>
        <w:t>施工升降机</w:t>
      </w:r>
      <w:r>
        <w:rPr>
          <w:rFonts w:hint="eastAsia"/>
          <w:color w:val="auto"/>
          <w:lang w:eastAsia="zh-CN"/>
        </w:rPr>
        <w:t>安</w:t>
      </w:r>
      <w:r>
        <w:rPr>
          <w:rFonts w:hint="eastAsia"/>
          <w:color w:val="auto"/>
          <w:lang w:val="en-US" w:eastAsia="zh-CN"/>
        </w:rPr>
        <w:t>装</w:t>
      </w:r>
      <w:r>
        <w:rPr>
          <w:rFonts w:hint="eastAsia"/>
          <w:color w:val="auto"/>
          <w:lang w:eastAsia="zh-CN"/>
        </w:rPr>
        <w:t>顺利进行；</w:t>
      </w:r>
    </w:p>
    <w:p w14:paraId="24D3069B">
      <w:pPr>
        <w:numPr>
          <w:ilvl w:val="0"/>
          <w:numId w:val="7"/>
        </w:numPr>
        <w:ind w:left="240" w:leftChars="0" w:firstLine="480" w:firstLineChars="0"/>
        <w:rPr>
          <w:rFonts w:hint="eastAsia" w:ascii="Times New Roman" w:hAnsi="Times New Roman" w:eastAsia="宋体" w:cs="Times New Roman"/>
          <w:color w:val="auto"/>
        </w:rPr>
      </w:pPr>
      <w:r>
        <w:rPr>
          <w:rFonts w:hint="eastAsia"/>
        </w:rPr>
        <w:t>本施工过程包含高空作业，安全风险较大</w:t>
      </w:r>
      <w:r>
        <w:rPr>
          <w:rFonts w:hint="eastAsia" w:ascii="Times New Roman" w:hAnsi="Times New Roman" w:eastAsia="宋体" w:cs="Times New Roman"/>
          <w:color w:val="auto"/>
        </w:rPr>
        <w:t>。</w:t>
      </w:r>
    </w:p>
    <w:p w14:paraId="6F4BAB76">
      <w:pPr>
        <w:pStyle w:val="4"/>
        <w:spacing w:before="156" w:after="156"/>
        <w:ind w:left="480" w:leftChars="0" w:firstLineChars="0"/>
        <w:rPr>
          <w:color w:val="auto"/>
        </w:rPr>
      </w:pPr>
      <w:bookmarkStart w:id="53" w:name="_Toc28299"/>
      <w:r>
        <w:rPr>
          <w:rFonts w:hint="eastAsia"/>
          <w:color w:val="auto"/>
        </w:rPr>
        <w:t>施工平面布置</w:t>
      </w:r>
      <w:bookmarkEnd w:id="50"/>
      <w:bookmarkEnd w:id="51"/>
      <w:bookmarkEnd w:id="52"/>
      <w:bookmarkEnd w:id="53"/>
    </w:p>
    <w:p w14:paraId="6A4F1A9E">
      <w:pPr>
        <w:ind w:firstLine="480"/>
        <w:rPr>
          <w:rFonts w:hint="eastAsia"/>
          <w:color w:val="auto"/>
          <w:lang w:val="en-US" w:eastAsia="zh-CN"/>
        </w:rPr>
      </w:pPr>
      <w:r>
        <w:rPr>
          <w:rFonts w:hint="eastAsia"/>
          <w:color w:val="auto"/>
          <w:lang w:eastAsia="zh-CN"/>
        </w:rPr>
        <w:t>根据该工程施工组织设计要求，</w:t>
      </w:r>
      <w:r>
        <w:rPr>
          <w:rFonts w:hint="eastAsia"/>
          <w:color w:val="auto"/>
          <w:lang w:val="en-US" w:eastAsia="zh-CN"/>
        </w:rPr>
        <w:t>施工升降机</w:t>
      </w:r>
      <w:r>
        <w:rPr>
          <w:rFonts w:hint="eastAsia"/>
          <w:color w:val="auto"/>
          <w:lang w:eastAsia="zh-CN"/>
        </w:rPr>
        <w:t>布置</w:t>
      </w:r>
      <w:r>
        <w:rPr>
          <w:rFonts w:hint="eastAsia"/>
          <w:color w:val="auto"/>
          <w:lang w:val="en-US" w:eastAsia="zh-CN"/>
        </w:rPr>
        <w:t>如下图。</w:t>
      </w:r>
    </w:p>
    <w:p w14:paraId="14067896">
      <w:pPr>
        <w:pStyle w:val="32"/>
        <w:jc w:val="center"/>
        <w:rPr>
          <w:rFonts w:hint="eastAsia"/>
          <w:color w:val="auto"/>
          <w:lang w:val="en-US" w:eastAsia="zh-CN"/>
        </w:rPr>
      </w:pPr>
      <w:r>
        <w:drawing>
          <wp:inline distT="0" distB="0" distL="114300" distR="114300">
            <wp:extent cx="5697855" cy="3509010"/>
            <wp:effectExtent l="0" t="0" r="17145"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2"/>
                    <a:stretch>
                      <a:fillRect/>
                    </a:stretch>
                  </pic:blipFill>
                  <pic:spPr>
                    <a:xfrm>
                      <a:off x="0" y="0"/>
                      <a:ext cx="5697855" cy="3509010"/>
                    </a:xfrm>
                    <a:prstGeom prst="rect">
                      <a:avLst/>
                    </a:prstGeom>
                    <a:noFill/>
                    <a:ln>
                      <a:noFill/>
                    </a:ln>
                  </pic:spPr>
                </pic:pic>
              </a:graphicData>
            </a:graphic>
          </wp:inline>
        </w:drawing>
      </w:r>
    </w:p>
    <w:p w14:paraId="39DD789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s="宋体"/>
          <w:b/>
          <w:bCs/>
          <w:color w:val="auto"/>
          <w:sz w:val="21"/>
        </w:rPr>
      </w:pPr>
      <w:r>
        <w:rPr>
          <w:rFonts w:hint="eastAsia" w:ascii="宋体" w:hAnsi="宋体" w:cs="宋体"/>
          <w:b/>
          <w:bCs/>
          <w:color w:val="auto"/>
          <w:sz w:val="21"/>
        </w:rPr>
        <w:t>图2.3-1</w:t>
      </w:r>
      <w:r>
        <w:rPr>
          <w:rFonts w:hint="eastAsia" w:ascii="宋体" w:hAnsi="宋体" w:cs="宋体"/>
          <w:b/>
          <w:bCs/>
          <w:color w:val="auto"/>
          <w:sz w:val="21"/>
          <w:lang w:val="en-US" w:eastAsia="zh-CN"/>
        </w:rPr>
        <w:t>施工升降机</w:t>
      </w:r>
      <w:r>
        <w:rPr>
          <w:rFonts w:hint="eastAsia" w:ascii="宋体" w:hAnsi="宋体" w:cs="宋体"/>
          <w:b/>
          <w:bCs/>
          <w:color w:val="auto"/>
          <w:sz w:val="21"/>
        </w:rPr>
        <w:t>平面布置图</w:t>
      </w:r>
    </w:p>
    <w:p w14:paraId="6B3D85F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s="宋体"/>
          <w:b/>
          <w:bCs/>
          <w:color w:val="auto"/>
          <w:sz w:val="21"/>
          <w:lang w:eastAsia="zh-CN"/>
        </w:rPr>
      </w:pPr>
      <w:r>
        <w:rPr>
          <w:rFonts w:hint="eastAsia" w:ascii="宋体" w:hAnsi="宋体" w:cs="宋体"/>
          <w:b/>
          <w:bCs/>
          <w:color w:val="auto"/>
          <w:sz w:val="21"/>
          <w:lang w:eastAsia="zh-CN"/>
        </w:rPr>
        <w:drawing>
          <wp:inline distT="0" distB="0" distL="114300" distR="114300">
            <wp:extent cx="3568065" cy="4452620"/>
            <wp:effectExtent l="0" t="0" r="13335" b="5080"/>
            <wp:docPr id="6" name="图片 6" descr="PZ2024-16号地块二期施工电梯布置方案 Model (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Z2024-16号地块二期施工电梯布置方案 Model (1)_1"/>
                    <pic:cNvPicPr>
                      <a:picLocks noChangeAspect="1"/>
                    </pic:cNvPicPr>
                  </pic:nvPicPr>
                  <pic:blipFill>
                    <a:blip r:embed="rId23"/>
                    <a:srcRect t="5845" b="5971"/>
                    <a:stretch>
                      <a:fillRect/>
                    </a:stretch>
                  </pic:blipFill>
                  <pic:spPr>
                    <a:xfrm>
                      <a:off x="0" y="0"/>
                      <a:ext cx="3568065" cy="4452620"/>
                    </a:xfrm>
                    <a:prstGeom prst="rect">
                      <a:avLst/>
                    </a:prstGeom>
                  </pic:spPr>
                </pic:pic>
              </a:graphicData>
            </a:graphic>
          </wp:inline>
        </w:drawing>
      </w:r>
    </w:p>
    <w:p w14:paraId="063CC4C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r>
        <w:rPr>
          <w:rFonts w:hint="eastAsia" w:ascii="宋体" w:hAnsi="宋体" w:cs="宋体"/>
          <w:b/>
          <w:bCs/>
          <w:color w:val="auto"/>
          <w:sz w:val="21"/>
        </w:rPr>
        <w:t>图2.3-</w:t>
      </w:r>
      <w:r>
        <w:rPr>
          <w:rFonts w:hint="eastAsia" w:ascii="宋体" w:hAnsi="宋体" w:cs="宋体"/>
          <w:b/>
          <w:bCs/>
          <w:color w:val="auto"/>
          <w:sz w:val="21"/>
          <w:lang w:val="en-US" w:eastAsia="zh-CN"/>
        </w:rPr>
        <w:t>2施工升降机立</w:t>
      </w:r>
      <w:r>
        <w:rPr>
          <w:rFonts w:hint="eastAsia" w:ascii="宋体" w:hAnsi="宋体" w:cs="宋体"/>
          <w:b/>
          <w:bCs/>
          <w:color w:val="auto"/>
          <w:sz w:val="21"/>
        </w:rPr>
        <w:t>面布置图</w:t>
      </w:r>
    </w:p>
    <w:p w14:paraId="22CA54D1">
      <w:pPr>
        <w:pStyle w:val="4"/>
        <w:spacing w:before="156" w:after="156"/>
        <w:ind w:left="480" w:leftChars="0" w:firstLineChars="0"/>
        <w:rPr>
          <w:color w:val="auto"/>
        </w:rPr>
      </w:pPr>
      <w:bookmarkStart w:id="54" w:name="_Toc40778424"/>
      <w:bookmarkStart w:id="55" w:name="_Toc29202"/>
      <w:bookmarkStart w:id="56" w:name="_Toc17981"/>
      <w:bookmarkStart w:id="57" w:name="_Toc933"/>
      <w:r>
        <w:rPr>
          <w:rFonts w:hint="eastAsia"/>
          <w:color w:val="auto"/>
        </w:rPr>
        <w:t>施工要求</w:t>
      </w:r>
      <w:bookmarkEnd w:id="54"/>
      <w:bookmarkEnd w:id="55"/>
      <w:bookmarkEnd w:id="56"/>
      <w:bookmarkEnd w:id="57"/>
    </w:p>
    <w:p w14:paraId="124C2B0E">
      <w:pPr>
        <w:pStyle w:val="48"/>
        <w:ind w:firstLine="480"/>
        <w:rPr>
          <w:rFonts w:hint="eastAsia" w:ascii="Times New Roman" w:hAnsi="Times New Roman" w:eastAsia="宋体" w:cs="Times New Roman"/>
          <w:color w:val="auto"/>
          <w:kern w:val="2"/>
          <w:lang w:eastAsia="zh-CN"/>
        </w:rPr>
      </w:pPr>
      <w:bookmarkStart w:id="58" w:name="_Hlk109141060"/>
      <w:bookmarkStart w:id="59" w:name="_Toc40778425"/>
      <w:bookmarkStart w:id="60" w:name="_Toc3182"/>
      <w:r>
        <w:rPr>
          <w:rFonts w:hint="eastAsia" w:ascii="Times New Roman" w:hAnsi="Times New Roman" w:cs="Times New Roman"/>
          <w:color w:val="auto"/>
          <w:kern w:val="2"/>
        </w:rPr>
        <w:t>（1）严格贯彻“安全第一”的原则，针对风险细化安全技术措施，预防和杜绝安全事故的发生</w:t>
      </w:r>
      <w:r>
        <w:rPr>
          <w:rFonts w:hint="eastAsia" w:ascii="Times New Roman" w:hAnsi="Times New Roman" w:cs="Times New Roman"/>
          <w:color w:val="auto"/>
          <w:kern w:val="2"/>
          <w:lang w:eastAsia="zh-CN"/>
        </w:rPr>
        <w:t>。</w:t>
      </w:r>
    </w:p>
    <w:p w14:paraId="58F239B5">
      <w:pPr>
        <w:pStyle w:val="48"/>
        <w:ind w:firstLine="480"/>
        <w:rPr>
          <w:rFonts w:hint="eastAsia" w:ascii="Times New Roman" w:hAnsi="Times New Roman" w:eastAsia="宋体" w:cs="Times New Roman"/>
          <w:color w:val="auto"/>
          <w:kern w:val="2"/>
          <w:lang w:eastAsia="zh-CN"/>
        </w:rPr>
      </w:pPr>
      <w:r>
        <w:rPr>
          <w:rFonts w:hint="eastAsia" w:ascii="Times New Roman" w:hAnsi="Times New Roman" w:cs="Times New Roman"/>
          <w:color w:val="auto"/>
          <w:kern w:val="2"/>
        </w:rPr>
        <w:t>（2）严格按照ISO9001标准质量体系质量程序控制原则，实施</w:t>
      </w:r>
      <w:r>
        <w:rPr>
          <w:rFonts w:hint="eastAsia" w:ascii="Times New Roman" w:hAnsi="Times New Roman" w:cs="Times New Roman"/>
          <w:color w:val="auto"/>
          <w:kern w:val="2"/>
          <w:lang w:val="en-US" w:eastAsia="zh-CN"/>
        </w:rPr>
        <w:t>安装</w:t>
      </w:r>
      <w:r>
        <w:rPr>
          <w:rFonts w:hint="eastAsia" w:ascii="Times New Roman" w:hAnsi="Times New Roman" w:cs="Times New Roman"/>
          <w:color w:val="auto"/>
          <w:kern w:val="2"/>
        </w:rPr>
        <w:t>过程动态管理</w:t>
      </w:r>
      <w:r>
        <w:rPr>
          <w:rFonts w:hint="eastAsia" w:ascii="Times New Roman" w:hAnsi="Times New Roman" w:cs="Times New Roman"/>
          <w:color w:val="auto"/>
          <w:kern w:val="2"/>
          <w:lang w:eastAsia="zh-CN"/>
        </w:rPr>
        <w:t>。</w:t>
      </w:r>
    </w:p>
    <w:p w14:paraId="23DC84B4">
      <w:pPr>
        <w:pStyle w:val="48"/>
        <w:ind w:firstLine="480"/>
        <w:rPr>
          <w:rFonts w:hint="eastAsia" w:ascii="Times New Roman" w:hAnsi="Times New Roman" w:eastAsia="宋体" w:cs="Times New Roman"/>
          <w:color w:val="auto"/>
          <w:kern w:val="2"/>
          <w:lang w:eastAsia="zh-CN"/>
        </w:rPr>
      </w:pPr>
      <w:r>
        <w:rPr>
          <w:rFonts w:hint="eastAsia" w:ascii="Times New Roman" w:hAnsi="Times New Roman" w:cs="Times New Roman"/>
          <w:color w:val="auto"/>
          <w:kern w:val="2"/>
        </w:rPr>
        <w:t>（3）科学合理制定</w:t>
      </w:r>
      <w:r>
        <w:rPr>
          <w:rFonts w:hint="eastAsia" w:ascii="Times New Roman" w:hAnsi="Times New Roman" w:cs="Times New Roman"/>
          <w:color w:val="auto"/>
          <w:kern w:val="2"/>
          <w:lang w:val="en-US" w:eastAsia="zh-CN"/>
        </w:rPr>
        <w:t>安装</w:t>
      </w:r>
      <w:r>
        <w:rPr>
          <w:rFonts w:hint="eastAsia" w:ascii="Times New Roman" w:hAnsi="Times New Roman" w:cs="Times New Roman"/>
          <w:color w:val="auto"/>
          <w:kern w:val="2"/>
        </w:rPr>
        <w:t>计划，提高</w:t>
      </w:r>
      <w:r>
        <w:rPr>
          <w:rFonts w:hint="eastAsia" w:ascii="Times New Roman" w:hAnsi="Times New Roman" w:cs="Times New Roman"/>
          <w:color w:val="auto"/>
          <w:kern w:val="2"/>
          <w:lang w:val="en-US" w:eastAsia="zh-CN"/>
        </w:rPr>
        <w:t>安装</w:t>
      </w:r>
      <w:r>
        <w:rPr>
          <w:rFonts w:hint="eastAsia" w:ascii="Times New Roman" w:hAnsi="Times New Roman" w:cs="Times New Roman"/>
          <w:color w:val="auto"/>
          <w:kern w:val="2"/>
        </w:rPr>
        <w:t>功效</w:t>
      </w:r>
      <w:r>
        <w:rPr>
          <w:rFonts w:hint="eastAsia" w:ascii="Times New Roman" w:hAnsi="Times New Roman" w:cs="Times New Roman"/>
          <w:color w:val="auto"/>
          <w:kern w:val="2"/>
          <w:lang w:eastAsia="zh-CN"/>
        </w:rPr>
        <w:t>。</w:t>
      </w:r>
    </w:p>
    <w:p w14:paraId="243083AD">
      <w:pPr>
        <w:pStyle w:val="48"/>
        <w:ind w:firstLine="480"/>
        <w:rPr>
          <w:rFonts w:ascii="Times New Roman" w:hAnsi="Times New Roman" w:cs="Times New Roman"/>
          <w:color w:val="auto"/>
          <w:kern w:val="2"/>
        </w:rPr>
      </w:pPr>
      <w:r>
        <w:rPr>
          <w:rFonts w:hint="eastAsia" w:ascii="Times New Roman" w:hAnsi="Times New Roman" w:cs="Times New Roman"/>
          <w:color w:val="auto"/>
          <w:kern w:val="2"/>
        </w:rPr>
        <w:t>（4）加强过程管控，合理配置</w:t>
      </w:r>
      <w:r>
        <w:rPr>
          <w:rFonts w:hint="eastAsia" w:ascii="Times New Roman" w:hAnsi="Times New Roman" w:cs="Times New Roman"/>
          <w:color w:val="auto"/>
          <w:kern w:val="2"/>
          <w:lang w:eastAsia="zh-CN"/>
        </w:rPr>
        <w:t>安装</w:t>
      </w:r>
      <w:r>
        <w:rPr>
          <w:rFonts w:hint="eastAsia" w:ascii="Times New Roman" w:hAnsi="Times New Roman" w:cs="Times New Roman"/>
          <w:color w:val="auto"/>
          <w:kern w:val="2"/>
        </w:rPr>
        <w:t>资源，合理降低</w:t>
      </w:r>
      <w:r>
        <w:rPr>
          <w:rFonts w:hint="eastAsia" w:ascii="Times New Roman" w:hAnsi="Times New Roman" w:cs="Times New Roman"/>
          <w:color w:val="auto"/>
          <w:kern w:val="2"/>
          <w:lang w:val="en-US" w:eastAsia="zh-CN"/>
        </w:rPr>
        <w:t>安装</w:t>
      </w:r>
      <w:r>
        <w:rPr>
          <w:rFonts w:hint="eastAsia" w:ascii="Times New Roman" w:hAnsi="Times New Roman" w:cs="Times New Roman"/>
          <w:color w:val="auto"/>
          <w:kern w:val="2"/>
        </w:rPr>
        <w:t>成本。</w:t>
      </w:r>
    </w:p>
    <w:bookmarkEnd w:id="58"/>
    <w:p w14:paraId="2E38A780">
      <w:pPr>
        <w:pStyle w:val="4"/>
        <w:spacing w:before="156" w:after="156"/>
        <w:ind w:left="480" w:leftChars="0" w:firstLineChars="0"/>
        <w:rPr>
          <w:color w:val="auto"/>
        </w:rPr>
      </w:pPr>
      <w:bookmarkStart w:id="61" w:name="_Toc15863"/>
      <w:bookmarkStart w:id="62" w:name="_Toc29064"/>
      <w:r>
        <w:rPr>
          <w:rFonts w:hint="eastAsia"/>
          <w:color w:val="auto"/>
        </w:rPr>
        <w:t>技术保证条件</w:t>
      </w:r>
      <w:bookmarkEnd w:id="59"/>
      <w:bookmarkEnd w:id="60"/>
      <w:bookmarkEnd w:id="61"/>
      <w:bookmarkEnd w:id="62"/>
    </w:p>
    <w:p w14:paraId="361A7736">
      <w:pPr>
        <w:pStyle w:val="2"/>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（1）全体人员必须严格遵守施工现场各项安全规章制度。</w:t>
      </w:r>
    </w:p>
    <w:p w14:paraId="59BF847F">
      <w:pPr>
        <w:pStyle w:val="2"/>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cs="宋体"/>
          <w:color w:val="auto"/>
          <w:sz w:val="24"/>
          <w:szCs w:val="24"/>
          <w:lang w:val="en-US" w:eastAsia="zh-CN"/>
        </w:rPr>
        <w:t>安装</w:t>
      </w:r>
      <w:r>
        <w:rPr>
          <w:rFonts w:hint="eastAsia" w:ascii="宋体" w:hAnsi="宋体" w:eastAsia="宋体" w:cs="宋体"/>
          <w:color w:val="auto"/>
          <w:sz w:val="24"/>
          <w:szCs w:val="24"/>
        </w:rPr>
        <w:t>作业之前，组织学习</w:t>
      </w:r>
      <w:r>
        <w:rPr>
          <w:rFonts w:hint="eastAsia" w:ascii="宋体" w:hAnsi="宋体" w:cs="宋体"/>
          <w:color w:val="auto"/>
          <w:sz w:val="24"/>
          <w:szCs w:val="24"/>
          <w:lang w:eastAsia="zh-CN"/>
        </w:rPr>
        <w:t>施工升降机</w:t>
      </w:r>
      <w:r>
        <w:rPr>
          <w:rFonts w:hint="eastAsia" w:ascii="宋体" w:hAnsi="宋体" w:eastAsia="宋体" w:cs="宋体"/>
          <w:color w:val="auto"/>
          <w:sz w:val="24"/>
          <w:szCs w:val="24"/>
        </w:rPr>
        <w:t>安装安全专项施工方案，对班组作业人员进行技术方案交底，对分项工作内容、技术要求、安全措施以及注意事项等进行单独交底。</w:t>
      </w:r>
    </w:p>
    <w:p w14:paraId="292DC69A">
      <w:pPr>
        <w:pStyle w:val="2"/>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（3）作业前对施工区域内杂物进行清理，并设置警戒线，严禁无关人员进入。</w:t>
      </w:r>
    </w:p>
    <w:p w14:paraId="01C07D34">
      <w:pPr>
        <w:pStyle w:val="2"/>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（4）施工期天气</w:t>
      </w:r>
      <w:r>
        <w:rPr>
          <w:rFonts w:hint="eastAsia" w:ascii="宋体" w:hAnsi="宋体" w:eastAsia="宋体" w:cs="宋体"/>
          <w:color w:val="auto"/>
          <w:sz w:val="24"/>
          <w:szCs w:val="24"/>
          <w:lang w:eastAsia="zh-CN"/>
        </w:rPr>
        <w:t>较冷</w:t>
      </w:r>
      <w:r>
        <w:rPr>
          <w:rFonts w:hint="eastAsia" w:ascii="宋体" w:hAnsi="宋体" w:eastAsia="宋体" w:cs="宋体"/>
          <w:color w:val="auto"/>
          <w:sz w:val="24"/>
          <w:szCs w:val="24"/>
        </w:rPr>
        <w:t>、多风，因合理安排作业时间，作业人员应注意保暖防冻；安装时</w:t>
      </w:r>
      <w:r>
        <w:rPr>
          <w:rFonts w:hint="eastAsia" w:ascii="宋体" w:hAnsi="宋体" w:cs="宋体"/>
          <w:color w:val="auto"/>
          <w:sz w:val="24"/>
          <w:szCs w:val="24"/>
          <w:lang w:eastAsia="zh-CN"/>
        </w:rPr>
        <w:t>施工升降机</w:t>
      </w:r>
      <w:r>
        <w:rPr>
          <w:rFonts w:hint="eastAsia" w:ascii="宋体" w:hAnsi="宋体" w:eastAsia="宋体" w:cs="宋体"/>
          <w:color w:val="auto"/>
          <w:sz w:val="24"/>
          <w:szCs w:val="24"/>
        </w:rPr>
        <w:t>最大安装高度处的</w:t>
      </w:r>
      <w:r>
        <w:rPr>
          <w:rFonts w:hint="eastAsia" w:ascii="宋体" w:hAnsi="宋体" w:cs="宋体"/>
          <w:color w:val="auto"/>
          <w:sz w:val="24"/>
          <w:szCs w:val="24"/>
          <w:lang w:val="en-US" w:eastAsia="zh-CN"/>
        </w:rPr>
        <w:t>风速在4</w:t>
      </w:r>
      <w:r>
        <w:rPr>
          <w:rFonts w:hint="eastAsia" w:ascii="宋体" w:hAnsi="宋体" w:eastAsia="宋体" w:cs="宋体"/>
          <w:color w:val="auto"/>
          <w:sz w:val="24"/>
          <w:szCs w:val="24"/>
        </w:rPr>
        <w:t>级风内。</w:t>
      </w:r>
    </w:p>
    <w:p w14:paraId="1CB65C0D">
      <w:pPr>
        <w:pStyle w:val="2"/>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5）作业人员必须经过培训合格，司机、起重指挥、电工及安装人员持证上岗；进入作业现场必须戴安全帽，施工人员均穿戴好安全防护用品，高空作业时系好安全带，穿防滑鞋，安全带要系牢固构件上并高挂低用，应采取防滑措施。</w:t>
      </w:r>
    </w:p>
    <w:p w14:paraId="1519EB60">
      <w:pPr>
        <w:pStyle w:val="2"/>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（6）作业人员必须遵守高空作业安全操作规程。</w:t>
      </w:r>
    </w:p>
    <w:p w14:paraId="4E89618C">
      <w:pPr>
        <w:pStyle w:val="2"/>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）对长大物件吊点位置选择应准确，保证被吊物件平衡，起吊前应先用缆风绳把两端系牢，防止旋转、摆动和碰撞。施工人员应听从起重指挥，吊装构件应缓慢。</w:t>
      </w:r>
    </w:p>
    <w:p w14:paraId="5102B3B9">
      <w:pPr>
        <w:pStyle w:val="2"/>
        <w:pageBreakBefore w:val="0"/>
        <w:kinsoku/>
        <w:overflowPunct/>
        <w:bidi w:val="0"/>
        <w:spacing w:line="360" w:lineRule="auto"/>
        <w:ind w:firstLine="560"/>
        <w:rPr>
          <w:rFonts w:hint="eastAsia" w:ascii="宋体" w:hAnsi="宋体" w:eastAsia="宋体" w:cs="宋体"/>
          <w:color w:val="auto"/>
          <w:sz w:val="24"/>
          <w:szCs w:val="24"/>
          <w:lang w:val="en-US" w:eastAsia="zh-CN"/>
        </w:rPr>
        <w:sectPr>
          <w:headerReference r:id="rId13" w:type="default"/>
          <w:footerReference r:id="rId14" w:type="default"/>
          <w:pgSz w:w="11906" w:h="16838"/>
          <w:pgMar w:top="1440" w:right="1134" w:bottom="1440" w:left="1797" w:header="851" w:footer="992" w:gutter="0"/>
          <w:pgNumType w:fmt="decimal" w:start="1"/>
          <w:cols w:space="720" w:num="1"/>
          <w:docGrid w:type="linesAndChars" w:linePitch="326" w:charSpace="0"/>
        </w:sectPr>
      </w:pPr>
      <w:r>
        <w:rPr>
          <w:rFonts w:hint="eastAsia" w:ascii="宋体" w:hAnsi="宋体" w:eastAsia="宋体" w:cs="宋体"/>
          <w:color w:val="auto"/>
          <w:sz w:val="24"/>
          <w:szCs w:val="24"/>
        </w:rPr>
        <w:t>（</w:t>
      </w:r>
      <w:r>
        <w:rPr>
          <w:rFonts w:hint="eastAsia" w:ascii="宋体" w:hAnsi="宋体" w:cs="宋体"/>
          <w:color w:val="auto"/>
          <w:sz w:val="24"/>
          <w:szCs w:val="24"/>
          <w:lang w:val="en-US" w:eastAsia="zh-CN"/>
        </w:rPr>
        <w:t>8</w:t>
      </w:r>
      <w:r>
        <w:rPr>
          <w:rFonts w:hint="eastAsia" w:ascii="宋体" w:hAnsi="宋体" w:eastAsia="宋体" w:cs="宋体"/>
          <w:color w:val="auto"/>
          <w:sz w:val="24"/>
          <w:szCs w:val="24"/>
        </w:rPr>
        <w:t>）供电</w:t>
      </w:r>
      <w:r>
        <w:rPr>
          <w:rFonts w:hint="eastAsia" w:ascii="宋体" w:hAnsi="宋体" w:eastAsia="宋体" w:cs="宋体"/>
          <w:color w:val="auto"/>
          <w:sz w:val="24"/>
          <w:szCs w:val="24"/>
          <w:lang w:eastAsia="zh-CN"/>
        </w:rPr>
        <w:t>电源</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三相</w:t>
      </w:r>
      <w:r>
        <w:rPr>
          <w:rFonts w:hint="eastAsia" w:ascii="宋体" w:hAnsi="宋体" w:eastAsia="宋体" w:cs="宋体"/>
          <w:color w:val="auto"/>
          <w:sz w:val="24"/>
          <w:szCs w:val="24"/>
        </w:rPr>
        <w:t>380V±10%，频率50Hz。</w:t>
      </w:r>
      <w:r>
        <w:rPr>
          <w:rFonts w:hint="eastAsia" w:ascii="宋体" w:hAnsi="宋体" w:eastAsia="宋体" w:cs="宋体"/>
          <w:color w:val="auto"/>
          <w:sz w:val="24"/>
          <w:szCs w:val="24"/>
          <w:lang w:eastAsia="zh-CN"/>
        </w:rPr>
        <w:t>施工现场配电箱：遵循“一机一闸一漏一保“的原则，并采用专用</w:t>
      </w:r>
      <w:r>
        <w:rPr>
          <w:rFonts w:hint="eastAsia" w:ascii="宋体" w:hAnsi="宋体" w:eastAsia="宋体" w:cs="宋体"/>
          <w:color w:val="auto"/>
          <w:sz w:val="24"/>
          <w:szCs w:val="24"/>
          <w:lang w:val="en-US" w:eastAsia="zh-CN"/>
        </w:rPr>
        <w:t xml:space="preserve"> 配电箱进行供电。采用三相五线制供电电缆</w:t>
      </w:r>
      <w:r>
        <w:rPr>
          <w:rFonts w:hint="eastAsia" w:ascii="宋体" w:hAnsi="宋体" w:cs="宋体"/>
          <w:color w:val="auto"/>
          <w:sz w:val="24"/>
          <w:szCs w:val="24"/>
          <w:lang w:val="en-US" w:eastAsia="zh-CN"/>
        </w:rPr>
        <w:t>。</w:t>
      </w:r>
    </w:p>
    <w:p w14:paraId="0F428D15">
      <w:pPr>
        <w:pStyle w:val="3"/>
        <w:spacing w:before="156" w:after="156"/>
        <w:rPr>
          <w:color w:val="auto"/>
        </w:rPr>
      </w:pPr>
      <w:bookmarkStart w:id="63" w:name="_Toc6000"/>
      <w:bookmarkStart w:id="64" w:name="_Toc27935"/>
      <w:r>
        <w:rPr>
          <w:rFonts w:hint="eastAsia"/>
          <w:color w:val="auto"/>
        </w:rPr>
        <w:t>施工计划</w:t>
      </w:r>
      <w:bookmarkEnd w:id="41"/>
      <w:bookmarkEnd w:id="42"/>
      <w:bookmarkEnd w:id="63"/>
      <w:bookmarkEnd w:id="64"/>
    </w:p>
    <w:p w14:paraId="009DAD2A">
      <w:pPr>
        <w:pStyle w:val="4"/>
        <w:spacing w:before="156" w:after="156"/>
        <w:ind w:left="480" w:leftChars="0" w:firstLineChars="0"/>
        <w:rPr>
          <w:color w:val="auto"/>
        </w:rPr>
      </w:pPr>
      <w:bookmarkStart w:id="65" w:name="_Toc40778432"/>
      <w:bookmarkStart w:id="66" w:name="_Toc16967"/>
      <w:bookmarkStart w:id="67" w:name="_Toc12690"/>
      <w:bookmarkStart w:id="68" w:name="_Toc32590"/>
      <w:r>
        <w:rPr>
          <w:rFonts w:hint="eastAsia"/>
          <w:color w:val="auto"/>
        </w:rPr>
        <w:t>总体施工</w:t>
      </w:r>
      <w:bookmarkEnd w:id="65"/>
      <w:bookmarkEnd w:id="66"/>
      <w:r>
        <w:rPr>
          <w:rFonts w:hint="eastAsia"/>
          <w:color w:val="auto"/>
        </w:rPr>
        <w:t>部署</w:t>
      </w:r>
      <w:bookmarkEnd w:id="67"/>
      <w:bookmarkEnd w:id="68"/>
    </w:p>
    <w:p w14:paraId="5E5D5F71">
      <w:pPr>
        <w:numPr>
          <w:ilvl w:val="0"/>
          <w:numId w:val="0"/>
        </w:numPr>
        <w:ind w:firstLine="480" w:firstLineChars="20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）在安装前必须到当地安监站进行安装告知工作。</w:t>
      </w:r>
    </w:p>
    <w:p w14:paraId="79FD2EDB">
      <w:pPr>
        <w:ind w:firstLine="480"/>
        <w:rPr>
          <w:rFonts w:hint="eastAsia" w:eastAsia="宋体"/>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）首先在施工升降机基础施工完成后，安装单位组织安装班组提前一天到现场作好安装前的准备工作。</w:t>
      </w:r>
    </w:p>
    <w:p w14:paraId="18472007">
      <w:pPr>
        <w:ind w:firstLine="480"/>
        <w:rPr>
          <w:rFonts w:hint="eastAsia"/>
          <w:color w:val="auto"/>
        </w:rPr>
      </w:pPr>
      <w:r>
        <w:rPr>
          <w:rFonts w:hint="eastAsia"/>
          <w:color w:val="auto"/>
          <w:lang w:eastAsia="zh-CN"/>
        </w:rPr>
        <w:t>（</w:t>
      </w:r>
      <w:r>
        <w:rPr>
          <w:rFonts w:hint="eastAsia"/>
          <w:color w:val="auto"/>
          <w:lang w:val="en-US" w:eastAsia="zh-CN"/>
        </w:rPr>
        <w:t>3</w:t>
      </w:r>
      <w:r>
        <w:rPr>
          <w:rFonts w:hint="eastAsia"/>
          <w:color w:val="auto"/>
          <w:lang w:eastAsia="zh-CN"/>
        </w:rPr>
        <w:t>）在安装前进行安全交底：由项目部牵头组织</w:t>
      </w:r>
      <w:r>
        <w:rPr>
          <w:rFonts w:hint="eastAsia"/>
          <w:color w:val="auto"/>
          <w:lang w:val="en-US" w:eastAsia="zh-CN"/>
        </w:rPr>
        <w:t>安装</w:t>
      </w:r>
      <w:r>
        <w:rPr>
          <w:rFonts w:hint="eastAsia"/>
          <w:color w:val="auto"/>
          <w:lang w:eastAsia="zh-CN"/>
        </w:rPr>
        <w:t>班组及项目部的相关人员一起进行安装前的技术交底工作。</w:t>
      </w:r>
    </w:p>
    <w:p w14:paraId="6D015E72">
      <w:pPr>
        <w:ind w:firstLine="480"/>
        <w:rPr>
          <w:rFonts w:hint="eastAsia"/>
          <w:color w:val="auto"/>
        </w:rPr>
      </w:pPr>
      <w:r>
        <w:rPr>
          <w:rFonts w:hint="eastAsia"/>
          <w:color w:val="auto"/>
          <w:lang w:eastAsia="zh-CN"/>
        </w:rPr>
        <w:t>（</w:t>
      </w:r>
      <w:r>
        <w:rPr>
          <w:rFonts w:hint="eastAsia"/>
          <w:color w:val="auto"/>
          <w:lang w:val="en-US" w:eastAsia="zh-CN"/>
        </w:rPr>
        <w:t>4</w:t>
      </w:r>
      <w:r>
        <w:rPr>
          <w:rFonts w:hint="eastAsia"/>
          <w:color w:val="auto"/>
          <w:lang w:eastAsia="zh-CN"/>
        </w:rPr>
        <w:t>）施工升降机安装完成后，由项目部及安装单位及项目部安全员一起对施工升降机进行自检。合格后再向特检院申请对施工升降机进行检测工作。检测合格后，才可使用施工升降机。</w:t>
      </w:r>
    </w:p>
    <w:p w14:paraId="5F52860E">
      <w:pPr>
        <w:pStyle w:val="4"/>
        <w:spacing w:before="156" w:after="156"/>
        <w:ind w:left="480" w:leftChars="0" w:firstLineChars="0"/>
        <w:rPr>
          <w:color w:val="auto"/>
        </w:rPr>
      </w:pPr>
      <w:bookmarkStart w:id="69" w:name="_Toc40778433"/>
      <w:bookmarkStart w:id="70" w:name="_Toc14838"/>
      <w:bookmarkStart w:id="71" w:name="_Toc8508"/>
      <w:bookmarkStart w:id="72" w:name="_Toc30218"/>
      <w:r>
        <w:rPr>
          <w:rFonts w:hint="eastAsia"/>
          <w:color w:val="auto"/>
        </w:rPr>
        <w:t>施工进度计划</w:t>
      </w:r>
      <w:bookmarkEnd w:id="69"/>
      <w:bookmarkEnd w:id="70"/>
      <w:bookmarkEnd w:id="71"/>
      <w:bookmarkEnd w:id="72"/>
    </w:p>
    <w:p w14:paraId="2046FF25">
      <w:pPr>
        <w:ind w:firstLine="480"/>
      </w:pPr>
      <w:bookmarkStart w:id="73" w:name="_Toc17125"/>
      <w:bookmarkStart w:id="74" w:name="_Toc19376"/>
      <w:bookmarkStart w:id="75" w:name="_Toc40778434"/>
      <w:r>
        <w:rPr>
          <w:rFonts w:hint="eastAsia"/>
          <w:b w:val="0"/>
          <w:bCs/>
          <w:highlight w:val="none"/>
          <w:lang w:val="en-US" w:eastAsia="zh-CN"/>
        </w:rPr>
        <w:t>施工升降机</w:t>
      </w:r>
      <w:r>
        <w:t>安装</w:t>
      </w:r>
      <w:r>
        <w:rPr>
          <w:rFonts w:hint="eastAsia"/>
        </w:rPr>
        <w:t>施工进度计划见</w:t>
      </w:r>
      <w:r>
        <w:rPr>
          <w:rFonts w:hint="eastAsia"/>
          <w:lang w:val="en-US" w:eastAsia="zh-CN"/>
        </w:rPr>
        <w:t>下表</w:t>
      </w:r>
      <w:r>
        <w:rPr>
          <w:rFonts w:hint="eastAsia"/>
        </w:rPr>
        <w:t>所示。</w:t>
      </w:r>
    </w:p>
    <w:p w14:paraId="71722EFB">
      <w:pPr>
        <w:pStyle w:val="12"/>
        <w:bidi w:val="0"/>
        <w:jc w:val="center"/>
        <w:rPr>
          <w:rFonts w:hint="eastAsia" w:ascii="宋体" w:hAnsi="宋体" w:eastAsia="宋体" w:cs="黑体"/>
          <w:b/>
          <w:color w:val="auto"/>
          <w:kern w:val="2"/>
          <w:sz w:val="21"/>
          <w:szCs w:val="21"/>
          <w:lang w:val="en-US" w:eastAsia="zh-CN" w:bidi="ar-SA"/>
        </w:rPr>
      </w:pPr>
      <w:r>
        <w:rPr>
          <w:rFonts w:hint="eastAsia" w:ascii="宋体" w:hAnsi="宋体" w:eastAsia="宋体" w:cs="黑体"/>
          <w:b/>
          <w:color w:val="auto"/>
          <w:kern w:val="2"/>
          <w:sz w:val="21"/>
          <w:szCs w:val="21"/>
          <w:lang w:val="en-US" w:eastAsia="zh-CN" w:bidi="ar-SA"/>
        </w:rPr>
        <w:t>表</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STYLEREF 3 \s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3.1.2</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SEQ 表 \* ARABIC \s 3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1</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 xml:space="preserve"> </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REF 设备类型 \h  \* MERGEFORMAT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施工升降机</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安装施工进度计划表</w:t>
      </w:r>
    </w:p>
    <w:tbl>
      <w:tblPr>
        <w:tblStyle w:val="2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586"/>
        <w:gridCol w:w="1447"/>
        <w:gridCol w:w="1734"/>
        <w:gridCol w:w="1648"/>
        <w:gridCol w:w="1136"/>
        <w:gridCol w:w="697"/>
        <w:gridCol w:w="697"/>
        <w:gridCol w:w="697"/>
        <w:gridCol w:w="545"/>
      </w:tblGrid>
      <w:tr w14:paraId="6E3123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0" w:hRule="atLeast"/>
        </w:trPr>
        <w:tc>
          <w:tcPr>
            <w:tcW w:w="346" w:type="pct"/>
            <w:vMerge w:val="restart"/>
            <w:tcBorders>
              <w:tl2br w:val="nil"/>
              <w:tr2bl w:val="nil"/>
            </w:tcBorders>
            <w:shd w:val="clear" w:color="auto" w:fill="auto"/>
            <w:vAlign w:val="center"/>
          </w:tcPr>
          <w:p w14:paraId="434F2B4D">
            <w:pPr>
              <w:pStyle w:val="13"/>
              <w:bidi w:val="0"/>
              <w:rPr>
                <w:rFonts w:hint="eastAsia"/>
              </w:rPr>
            </w:pPr>
            <w:r>
              <w:rPr>
                <w:rFonts w:hint="eastAsia"/>
                <w:lang w:val="en-US" w:eastAsia="zh-CN"/>
              </w:rPr>
              <w:t>序号</w:t>
            </w:r>
          </w:p>
        </w:tc>
        <w:tc>
          <w:tcPr>
            <w:tcW w:w="814" w:type="pct"/>
            <w:vMerge w:val="restart"/>
            <w:tcBorders>
              <w:tl2br w:val="nil"/>
              <w:tr2bl w:val="nil"/>
            </w:tcBorders>
            <w:shd w:val="clear" w:color="auto" w:fill="auto"/>
            <w:vAlign w:val="center"/>
          </w:tcPr>
          <w:p w14:paraId="6DEC6BF5">
            <w:pPr>
              <w:pStyle w:val="13"/>
              <w:bidi w:val="0"/>
              <w:rPr>
                <w:rFonts w:hint="eastAsia"/>
              </w:rPr>
            </w:pPr>
            <w:r>
              <w:rPr>
                <w:rFonts w:hint="eastAsia"/>
                <w:lang w:val="en-US" w:eastAsia="zh-CN"/>
              </w:rPr>
              <w:t>施工内容</w:t>
            </w:r>
          </w:p>
        </w:tc>
        <w:tc>
          <w:tcPr>
            <w:tcW w:w="970" w:type="pct"/>
            <w:vMerge w:val="restart"/>
            <w:tcBorders>
              <w:tl2br w:val="nil"/>
              <w:tr2bl w:val="nil"/>
            </w:tcBorders>
            <w:shd w:val="clear" w:color="auto" w:fill="auto"/>
            <w:vAlign w:val="center"/>
          </w:tcPr>
          <w:p w14:paraId="31D63667">
            <w:pPr>
              <w:pStyle w:val="13"/>
              <w:bidi w:val="0"/>
              <w:rPr>
                <w:rFonts w:hint="eastAsia"/>
              </w:rPr>
            </w:pPr>
            <w:r>
              <w:rPr>
                <w:rFonts w:hint="eastAsia"/>
                <w:lang w:val="en-US" w:eastAsia="zh-CN"/>
              </w:rPr>
              <w:t>开始日期</w:t>
            </w:r>
          </w:p>
        </w:tc>
        <w:tc>
          <w:tcPr>
            <w:tcW w:w="923" w:type="pct"/>
            <w:vMerge w:val="restart"/>
            <w:tcBorders>
              <w:tl2br w:val="nil"/>
              <w:tr2bl w:val="nil"/>
            </w:tcBorders>
            <w:shd w:val="clear" w:color="auto" w:fill="auto"/>
            <w:vAlign w:val="center"/>
          </w:tcPr>
          <w:p w14:paraId="50B61628">
            <w:pPr>
              <w:pStyle w:val="13"/>
              <w:bidi w:val="0"/>
              <w:rPr>
                <w:rFonts w:hint="eastAsia"/>
              </w:rPr>
            </w:pPr>
            <w:r>
              <w:rPr>
                <w:rFonts w:hint="eastAsia"/>
                <w:lang w:val="en-US" w:eastAsia="zh-CN"/>
              </w:rPr>
              <w:t>完成日期</w:t>
            </w:r>
          </w:p>
        </w:tc>
        <w:tc>
          <w:tcPr>
            <w:tcW w:w="645" w:type="pct"/>
            <w:vMerge w:val="restart"/>
            <w:tcBorders>
              <w:tl2br w:val="nil"/>
              <w:tr2bl w:val="nil"/>
            </w:tcBorders>
            <w:shd w:val="clear" w:color="auto" w:fill="auto"/>
            <w:vAlign w:val="center"/>
          </w:tcPr>
          <w:p w14:paraId="436FFA6E">
            <w:pPr>
              <w:pStyle w:val="13"/>
              <w:bidi w:val="0"/>
              <w:rPr>
                <w:rFonts w:hint="eastAsia"/>
              </w:rPr>
            </w:pPr>
            <w:r>
              <w:rPr>
                <w:rFonts w:hint="eastAsia"/>
                <w:lang w:val="en-US" w:eastAsia="zh-CN"/>
              </w:rPr>
              <w:t>工期（天）</w:t>
            </w:r>
          </w:p>
        </w:tc>
        <w:tc>
          <w:tcPr>
            <w:tcW w:w="974" w:type="pct"/>
            <w:gridSpan w:val="3"/>
            <w:tcBorders>
              <w:tl2br w:val="nil"/>
              <w:tr2bl w:val="nil"/>
            </w:tcBorders>
            <w:shd w:val="clear" w:color="auto" w:fill="auto"/>
            <w:noWrap/>
            <w:vAlign w:val="center"/>
          </w:tcPr>
          <w:p w14:paraId="48C89960">
            <w:pPr>
              <w:pStyle w:val="13"/>
              <w:bidi w:val="0"/>
              <w:rPr>
                <w:rFonts w:hint="eastAsia"/>
              </w:rPr>
            </w:pPr>
            <w:r>
              <w:rPr>
                <w:rFonts w:hint="eastAsia"/>
                <w:lang w:val="en-US" w:eastAsia="zh-CN"/>
              </w:rPr>
              <w:t>2025年 月</w:t>
            </w:r>
          </w:p>
        </w:tc>
        <w:tc>
          <w:tcPr>
            <w:tcW w:w="323" w:type="pct"/>
            <w:vMerge w:val="restart"/>
            <w:tcBorders>
              <w:tl2br w:val="nil"/>
              <w:tr2bl w:val="nil"/>
            </w:tcBorders>
            <w:shd w:val="clear" w:color="auto" w:fill="auto"/>
            <w:vAlign w:val="center"/>
          </w:tcPr>
          <w:p w14:paraId="5174581F">
            <w:pPr>
              <w:pStyle w:val="13"/>
              <w:bidi w:val="0"/>
              <w:rPr>
                <w:rFonts w:hint="eastAsia"/>
              </w:rPr>
            </w:pPr>
            <w:r>
              <w:rPr>
                <w:rFonts w:hint="eastAsia"/>
                <w:lang w:val="en-US" w:eastAsia="zh-CN"/>
              </w:rPr>
              <w:t>备注</w:t>
            </w:r>
          </w:p>
        </w:tc>
      </w:tr>
      <w:tr w14:paraId="1C5D92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0" w:hRule="atLeast"/>
        </w:trPr>
        <w:tc>
          <w:tcPr>
            <w:tcW w:w="346" w:type="pct"/>
            <w:vMerge w:val="continue"/>
            <w:tcBorders>
              <w:tl2br w:val="nil"/>
              <w:tr2bl w:val="nil"/>
            </w:tcBorders>
            <w:shd w:val="clear" w:color="auto" w:fill="auto"/>
            <w:vAlign w:val="center"/>
          </w:tcPr>
          <w:p w14:paraId="4E9DCF1A">
            <w:pPr>
              <w:pStyle w:val="13"/>
              <w:bidi w:val="0"/>
              <w:rPr>
                <w:rFonts w:hint="eastAsia"/>
              </w:rPr>
            </w:pPr>
          </w:p>
        </w:tc>
        <w:tc>
          <w:tcPr>
            <w:tcW w:w="814" w:type="pct"/>
            <w:vMerge w:val="continue"/>
            <w:tcBorders>
              <w:tl2br w:val="nil"/>
              <w:tr2bl w:val="nil"/>
            </w:tcBorders>
            <w:shd w:val="clear" w:color="auto" w:fill="auto"/>
            <w:vAlign w:val="center"/>
          </w:tcPr>
          <w:p w14:paraId="5850A582">
            <w:pPr>
              <w:pStyle w:val="13"/>
              <w:bidi w:val="0"/>
              <w:rPr>
                <w:rFonts w:hint="eastAsia"/>
              </w:rPr>
            </w:pPr>
          </w:p>
        </w:tc>
        <w:tc>
          <w:tcPr>
            <w:tcW w:w="970" w:type="pct"/>
            <w:vMerge w:val="continue"/>
            <w:tcBorders>
              <w:tl2br w:val="nil"/>
              <w:tr2bl w:val="nil"/>
            </w:tcBorders>
            <w:shd w:val="clear" w:color="auto" w:fill="auto"/>
            <w:vAlign w:val="center"/>
          </w:tcPr>
          <w:p w14:paraId="5F14EDFF">
            <w:pPr>
              <w:pStyle w:val="13"/>
              <w:bidi w:val="0"/>
              <w:rPr>
                <w:rFonts w:hint="eastAsia"/>
              </w:rPr>
            </w:pPr>
          </w:p>
        </w:tc>
        <w:tc>
          <w:tcPr>
            <w:tcW w:w="923" w:type="pct"/>
            <w:vMerge w:val="continue"/>
            <w:tcBorders>
              <w:tl2br w:val="nil"/>
              <w:tr2bl w:val="nil"/>
            </w:tcBorders>
            <w:shd w:val="clear" w:color="auto" w:fill="auto"/>
            <w:vAlign w:val="center"/>
          </w:tcPr>
          <w:p w14:paraId="117409A8">
            <w:pPr>
              <w:pStyle w:val="13"/>
              <w:bidi w:val="0"/>
              <w:rPr>
                <w:rFonts w:hint="eastAsia"/>
              </w:rPr>
            </w:pPr>
          </w:p>
        </w:tc>
        <w:tc>
          <w:tcPr>
            <w:tcW w:w="645" w:type="pct"/>
            <w:vMerge w:val="continue"/>
            <w:tcBorders>
              <w:tl2br w:val="nil"/>
              <w:tr2bl w:val="nil"/>
            </w:tcBorders>
            <w:shd w:val="clear" w:color="auto" w:fill="auto"/>
            <w:vAlign w:val="center"/>
          </w:tcPr>
          <w:p w14:paraId="73AFE44E">
            <w:pPr>
              <w:pStyle w:val="13"/>
              <w:bidi w:val="0"/>
              <w:rPr>
                <w:rFonts w:hint="eastAsia"/>
              </w:rPr>
            </w:pPr>
          </w:p>
        </w:tc>
        <w:tc>
          <w:tcPr>
            <w:tcW w:w="323" w:type="pct"/>
            <w:tcBorders>
              <w:tl2br w:val="nil"/>
              <w:tr2bl w:val="nil"/>
            </w:tcBorders>
            <w:shd w:val="clear" w:color="auto" w:fill="auto"/>
            <w:noWrap/>
            <w:vAlign w:val="center"/>
          </w:tcPr>
          <w:p w14:paraId="47D64273">
            <w:pPr>
              <w:pStyle w:val="13"/>
              <w:bidi w:val="0"/>
              <w:rPr>
                <w:rFonts w:hint="default"/>
                <w:lang w:val="en-US"/>
              </w:rPr>
            </w:pPr>
          </w:p>
        </w:tc>
        <w:tc>
          <w:tcPr>
            <w:tcW w:w="323" w:type="pct"/>
            <w:tcBorders>
              <w:tl2br w:val="nil"/>
              <w:tr2bl w:val="nil"/>
            </w:tcBorders>
            <w:shd w:val="clear" w:color="auto" w:fill="auto"/>
            <w:noWrap/>
            <w:vAlign w:val="center"/>
          </w:tcPr>
          <w:p w14:paraId="2EA2F5BC">
            <w:pPr>
              <w:pStyle w:val="13"/>
              <w:bidi w:val="0"/>
              <w:rPr>
                <w:rFonts w:hint="default"/>
                <w:lang w:val="en-US"/>
              </w:rPr>
            </w:pPr>
          </w:p>
        </w:tc>
        <w:tc>
          <w:tcPr>
            <w:tcW w:w="326" w:type="pct"/>
            <w:tcBorders>
              <w:tl2br w:val="nil"/>
              <w:tr2bl w:val="nil"/>
            </w:tcBorders>
            <w:shd w:val="clear" w:color="auto" w:fill="auto"/>
            <w:noWrap/>
            <w:vAlign w:val="center"/>
          </w:tcPr>
          <w:p w14:paraId="59F69F11">
            <w:pPr>
              <w:pStyle w:val="13"/>
              <w:bidi w:val="0"/>
              <w:rPr>
                <w:rFonts w:hint="default"/>
                <w:lang w:val="en-US"/>
              </w:rPr>
            </w:pPr>
          </w:p>
        </w:tc>
        <w:tc>
          <w:tcPr>
            <w:tcW w:w="323" w:type="pct"/>
            <w:vMerge w:val="continue"/>
            <w:tcBorders>
              <w:tl2br w:val="nil"/>
              <w:tr2bl w:val="nil"/>
            </w:tcBorders>
            <w:shd w:val="clear" w:color="auto" w:fill="auto"/>
            <w:vAlign w:val="center"/>
          </w:tcPr>
          <w:p w14:paraId="23DC0202">
            <w:pPr>
              <w:pStyle w:val="13"/>
              <w:bidi w:val="0"/>
              <w:rPr>
                <w:rFonts w:hint="eastAsia"/>
              </w:rPr>
            </w:pPr>
          </w:p>
        </w:tc>
      </w:tr>
      <w:tr w14:paraId="061C7D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346" w:type="pct"/>
            <w:tcBorders>
              <w:tl2br w:val="nil"/>
              <w:tr2bl w:val="nil"/>
            </w:tcBorders>
            <w:shd w:val="clear" w:color="auto" w:fill="auto"/>
            <w:vAlign w:val="center"/>
          </w:tcPr>
          <w:p w14:paraId="6AE336DE">
            <w:pPr>
              <w:pStyle w:val="13"/>
              <w:bidi w:val="0"/>
              <w:rPr>
                <w:rFonts w:hint="eastAsia"/>
              </w:rPr>
            </w:pPr>
            <w:r>
              <w:rPr>
                <w:rFonts w:hint="eastAsia"/>
                <w:lang w:val="en-US" w:eastAsia="zh-CN"/>
              </w:rPr>
              <w:t>1</w:t>
            </w:r>
          </w:p>
        </w:tc>
        <w:tc>
          <w:tcPr>
            <w:tcW w:w="814" w:type="pct"/>
            <w:tcBorders>
              <w:tl2br w:val="nil"/>
              <w:tr2bl w:val="nil"/>
            </w:tcBorders>
            <w:shd w:val="clear" w:color="auto" w:fill="auto"/>
            <w:vAlign w:val="center"/>
          </w:tcPr>
          <w:p w14:paraId="305F9325">
            <w:pPr>
              <w:pStyle w:val="13"/>
              <w:bidi w:val="0"/>
              <w:rPr>
                <w:rFonts w:hint="eastAsia"/>
              </w:rPr>
            </w:pPr>
            <w:r>
              <w:rPr>
                <w:rFonts w:hint="eastAsia"/>
                <w:lang w:val="en-US" w:eastAsia="zh-CN"/>
              </w:rPr>
              <w:t>施工准备</w:t>
            </w:r>
          </w:p>
        </w:tc>
        <w:tc>
          <w:tcPr>
            <w:tcW w:w="970" w:type="pct"/>
            <w:tcBorders>
              <w:tl2br w:val="nil"/>
              <w:tr2bl w:val="nil"/>
            </w:tcBorders>
            <w:shd w:val="clear" w:color="auto" w:fill="auto"/>
            <w:vAlign w:val="center"/>
          </w:tcPr>
          <w:p w14:paraId="3A8B255B">
            <w:pPr>
              <w:pStyle w:val="13"/>
              <w:bidi w:val="0"/>
              <w:rPr>
                <w:rFonts w:hint="default"/>
                <w:lang w:val="en-US"/>
              </w:rPr>
            </w:pPr>
          </w:p>
        </w:tc>
        <w:tc>
          <w:tcPr>
            <w:tcW w:w="923" w:type="pct"/>
            <w:tcBorders>
              <w:tl2br w:val="nil"/>
              <w:tr2bl w:val="nil"/>
            </w:tcBorders>
            <w:shd w:val="clear" w:color="auto" w:fill="auto"/>
            <w:vAlign w:val="center"/>
          </w:tcPr>
          <w:p w14:paraId="3B943A0A">
            <w:pPr>
              <w:pStyle w:val="13"/>
              <w:bidi w:val="0"/>
              <w:rPr>
                <w:rFonts w:hint="default"/>
                <w:lang w:val="en-US"/>
              </w:rPr>
            </w:pPr>
          </w:p>
        </w:tc>
        <w:tc>
          <w:tcPr>
            <w:tcW w:w="645" w:type="pct"/>
            <w:tcBorders>
              <w:tl2br w:val="nil"/>
              <w:tr2bl w:val="nil"/>
            </w:tcBorders>
            <w:shd w:val="clear" w:color="auto" w:fill="auto"/>
            <w:vAlign w:val="center"/>
          </w:tcPr>
          <w:p w14:paraId="257BD54E">
            <w:pPr>
              <w:pStyle w:val="13"/>
              <w:bidi w:val="0"/>
              <w:rPr>
                <w:rFonts w:hint="eastAsia"/>
              </w:rPr>
            </w:pPr>
            <w:r>
              <w:rPr>
                <w:rFonts w:hint="eastAsia"/>
                <w:lang w:val="en-US" w:eastAsia="zh-CN"/>
              </w:rPr>
              <w:t>1</w:t>
            </w:r>
          </w:p>
        </w:tc>
        <w:tc>
          <w:tcPr>
            <w:tcW w:w="323" w:type="pct"/>
            <w:tcBorders>
              <w:tl2br w:val="nil"/>
              <w:tr2bl w:val="nil"/>
            </w:tcBorders>
            <w:shd w:val="clear" w:color="auto" w:fill="auto"/>
            <w:noWrap/>
            <w:vAlign w:val="center"/>
          </w:tcPr>
          <w:p w14:paraId="066D90A2">
            <w:pPr>
              <w:pStyle w:val="13"/>
              <w:bidi w:val="0"/>
              <w:rPr>
                <w:rFonts w:hint="eastAsia"/>
              </w:rPr>
            </w:pPr>
            <w:r>
              <w:rPr>
                <w:rFonts w:hint="eastAsia"/>
                <w:lang w:val="en-US" w:eastAsia="zh-CN"/>
              </w:rPr>
              <w:drawing>
                <wp:inline distT="0" distB="0" distL="114300" distR="114300">
                  <wp:extent cx="298450" cy="128905"/>
                  <wp:effectExtent l="0" t="0" r="6350" b="4445"/>
                  <wp:docPr id="22" name="矩形_6"/>
                  <wp:cNvGraphicFramePr/>
                  <a:graphic xmlns:a="http://schemas.openxmlformats.org/drawingml/2006/main">
                    <a:graphicData uri="http://schemas.openxmlformats.org/drawingml/2006/picture">
                      <pic:pic xmlns:pic="http://schemas.openxmlformats.org/drawingml/2006/picture">
                        <pic:nvPicPr>
                          <pic:cNvPr id="22" name="矩形_6"/>
                          <pic:cNvPicPr/>
                        </pic:nvPicPr>
                        <pic:blipFill>
                          <a:blip r:embed="rId24"/>
                          <a:stretch>
                            <a:fillRect/>
                          </a:stretch>
                        </pic:blipFill>
                        <pic:spPr>
                          <a:xfrm>
                            <a:off x="0" y="0"/>
                            <a:ext cx="298450" cy="128905"/>
                          </a:xfrm>
                          <a:prstGeom prst="rect">
                            <a:avLst/>
                          </a:prstGeom>
                          <a:noFill/>
                          <a:ln>
                            <a:noFill/>
                          </a:ln>
                        </pic:spPr>
                      </pic:pic>
                    </a:graphicData>
                  </a:graphic>
                </wp:inline>
              </w:drawing>
            </w:r>
          </w:p>
        </w:tc>
        <w:tc>
          <w:tcPr>
            <w:tcW w:w="323" w:type="pct"/>
            <w:tcBorders>
              <w:tl2br w:val="nil"/>
              <w:tr2bl w:val="nil"/>
            </w:tcBorders>
            <w:shd w:val="clear" w:color="auto" w:fill="auto"/>
            <w:noWrap/>
            <w:vAlign w:val="center"/>
          </w:tcPr>
          <w:p w14:paraId="70E34C9B">
            <w:pPr>
              <w:pStyle w:val="13"/>
              <w:bidi w:val="0"/>
              <w:rPr>
                <w:rFonts w:hint="eastAsia"/>
              </w:rPr>
            </w:pPr>
          </w:p>
        </w:tc>
        <w:tc>
          <w:tcPr>
            <w:tcW w:w="326" w:type="pct"/>
            <w:tcBorders>
              <w:tl2br w:val="nil"/>
              <w:tr2bl w:val="nil"/>
            </w:tcBorders>
            <w:shd w:val="clear" w:color="auto" w:fill="auto"/>
            <w:noWrap/>
            <w:vAlign w:val="center"/>
          </w:tcPr>
          <w:p w14:paraId="5D0FE95F">
            <w:pPr>
              <w:pStyle w:val="13"/>
              <w:bidi w:val="0"/>
              <w:rPr>
                <w:rFonts w:hint="eastAsia"/>
              </w:rPr>
            </w:pPr>
          </w:p>
        </w:tc>
        <w:tc>
          <w:tcPr>
            <w:tcW w:w="323" w:type="pct"/>
            <w:tcBorders>
              <w:tl2br w:val="nil"/>
              <w:tr2bl w:val="nil"/>
            </w:tcBorders>
            <w:shd w:val="clear" w:color="auto" w:fill="auto"/>
            <w:noWrap/>
            <w:vAlign w:val="center"/>
          </w:tcPr>
          <w:p w14:paraId="6BEB5C5D">
            <w:pPr>
              <w:pStyle w:val="13"/>
              <w:bidi w:val="0"/>
              <w:rPr>
                <w:rFonts w:hint="eastAsia"/>
              </w:rPr>
            </w:pPr>
          </w:p>
        </w:tc>
      </w:tr>
      <w:tr w14:paraId="13865A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560" w:hRule="atLeast"/>
        </w:trPr>
        <w:tc>
          <w:tcPr>
            <w:tcW w:w="346" w:type="pct"/>
            <w:tcBorders>
              <w:tl2br w:val="nil"/>
              <w:tr2bl w:val="nil"/>
            </w:tcBorders>
            <w:shd w:val="clear" w:color="auto" w:fill="auto"/>
            <w:vAlign w:val="center"/>
          </w:tcPr>
          <w:p w14:paraId="1D51AA2E">
            <w:pPr>
              <w:pStyle w:val="13"/>
              <w:bidi w:val="0"/>
              <w:rPr>
                <w:rFonts w:hint="eastAsia"/>
              </w:rPr>
            </w:pPr>
            <w:r>
              <w:rPr>
                <w:rFonts w:hint="eastAsia"/>
                <w:lang w:val="en-US" w:eastAsia="zh-CN"/>
              </w:rPr>
              <w:t>2</w:t>
            </w:r>
          </w:p>
        </w:tc>
        <w:tc>
          <w:tcPr>
            <w:tcW w:w="814" w:type="pct"/>
            <w:tcBorders>
              <w:tl2br w:val="nil"/>
              <w:tr2bl w:val="nil"/>
            </w:tcBorders>
            <w:shd w:val="clear" w:color="auto" w:fill="auto"/>
            <w:vAlign w:val="center"/>
          </w:tcPr>
          <w:p w14:paraId="6844EBF7">
            <w:pPr>
              <w:pStyle w:val="13"/>
              <w:bidi w:val="0"/>
              <w:rPr>
                <w:rFonts w:hint="eastAsia"/>
              </w:rPr>
            </w:pPr>
            <w:r>
              <w:rPr>
                <w:rFonts w:hint="eastAsia"/>
                <w:lang w:val="en-US" w:eastAsia="zh-CN"/>
              </w:rPr>
              <w:t>施工升降机部件吊装</w:t>
            </w:r>
          </w:p>
        </w:tc>
        <w:tc>
          <w:tcPr>
            <w:tcW w:w="1734" w:type="dxa"/>
            <w:tcBorders>
              <w:tl2br w:val="nil"/>
              <w:tr2bl w:val="nil"/>
            </w:tcBorders>
            <w:shd w:val="clear" w:color="auto" w:fill="auto"/>
            <w:vAlign w:val="center"/>
          </w:tcPr>
          <w:p w14:paraId="402E37DF">
            <w:pPr>
              <w:pStyle w:val="13"/>
              <w:bidi w:val="0"/>
              <w:ind w:firstLine="0" w:firstLineChars="0"/>
              <w:rPr>
                <w:rFonts w:hint="default"/>
                <w:lang w:val="en-US"/>
              </w:rPr>
            </w:pPr>
          </w:p>
        </w:tc>
        <w:tc>
          <w:tcPr>
            <w:tcW w:w="1648" w:type="dxa"/>
            <w:tcBorders>
              <w:tl2br w:val="nil"/>
              <w:tr2bl w:val="nil"/>
            </w:tcBorders>
            <w:shd w:val="clear" w:color="auto" w:fill="auto"/>
            <w:vAlign w:val="center"/>
          </w:tcPr>
          <w:p w14:paraId="2D0AC5BD">
            <w:pPr>
              <w:pStyle w:val="13"/>
              <w:bidi w:val="0"/>
              <w:ind w:firstLine="0" w:firstLineChars="0"/>
              <w:rPr>
                <w:rFonts w:hint="default"/>
                <w:lang w:val="en-US"/>
              </w:rPr>
            </w:pPr>
          </w:p>
        </w:tc>
        <w:tc>
          <w:tcPr>
            <w:tcW w:w="645" w:type="pct"/>
            <w:tcBorders>
              <w:tl2br w:val="nil"/>
              <w:tr2bl w:val="nil"/>
            </w:tcBorders>
            <w:shd w:val="clear" w:color="auto" w:fill="auto"/>
            <w:vAlign w:val="center"/>
          </w:tcPr>
          <w:p w14:paraId="32085676">
            <w:pPr>
              <w:pStyle w:val="13"/>
              <w:bidi w:val="0"/>
              <w:rPr>
                <w:rFonts w:hint="eastAsia"/>
              </w:rPr>
            </w:pPr>
            <w:r>
              <w:rPr>
                <w:rFonts w:hint="eastAsia"/>
                <w:lang w:val="en-US" w:eastAsia="zh-CN"/>
              </w:rPr>
              <w:t>1</w:t>
            </w:r>
          </w:p>
        </w:tc>
        <w:tc>
          <w:tcPr>
            <w:tcW w:w="323" w:type="pct"/>
            <w:tcBorders>
              <w:tl2br w:val="nil"/>
              <w:tr2bl w:val="nil"/>
            </w:tcBorders>
            <w:shd w:val="clear" w:color="auto" w:fill="auto"/>
            <w:noWrap/>
            <w:vAlign w:val="center"/>
          </w:tcPr>
          <w:p w14:paraId="1C42A353">
            <w:pPr>
              <w:pStyle w:val="13"/>
              <w:bidi w:val="0"/>
              <w:rPr>
                <w:rFonts w:hint="eastAsia"/>
              </w:rPr>
            </w:pPr>
          </w:p>
        </w:tc>
        <w:tc>
          <w:tcPr>
            <w:tcW w:w="323" w:type="pct"/>
            <w:tcBorders>
              <w:tl2br w:val="nil"/>
              <w:tr2bl w:val="nil"/>
            </w:tcBorders>
            <w:shd w:val="clear" w:color="auto" w:fill="auto"/>
            <w:noWrap/>
            <w:vAlign w:val="center"/>
          </w:tcPr>
          <w:p w14:paraId="339F3D94">
            <w:pPr>
              <w:pStyle w:val="13"/>
              <w:bidi w:val="0"/>
              <w:rPr>
                <w:rFonts w:hint="eastAsia"/>
              </w:rPr>
            </w:pPr>
            <w:r>
              <w:rPr>
                <w:rFonts w:hint="eastAsia"/>
                <w:lang w:val="en-US" w:eastAsia="zh-CN"/>
              </w:rPr>
              <w:drawing>
                <wp:inline distT="0" distB="0" distL="114300" distR="114300">
                  <wp:extent cx="298450" cy="128905"/>
                  <wp:effectExtent l="0" t="0" r="6350" b="4445"/>
                  <wp:docPr id="24" name="矩形_6"/>
                  <wp:cNvGraphicFramePr/>
                  <a:graphic xmlns:a="http://schemas.openxmlformats.org/drawingml/2006/main">
                    <a:graphicData uri="http://schemas.openxmlformats.org/drawingml/2006/picture">
                      <pic:pic xmlns:pic="http://schemas.openxmlformats.org/drawingml/2006/picture">
                        <pic:nvPicPr>
                          <pic:cNvPr id="24" name="矩形_6"/>
                          <pic:cNvPicPr/>
                        </pic:nvPicPr>
                        <pic:blipFill>
                          <a:blip r:embed="rId24"/>
                          <a:stretch>
                            <a:fillRect/>
                          </a:stretch>
                        </pic:blipFill>
                        <pic:spPr>
                          <a:xfrm>
                            <a:off x="0" y="0"/>
                            <a:ext cx="298450" cy="128905"/>
                          </a:xfrm>
                          <a:prstGeom prst="rect">
                            <a:avLst/>
                          </a:prstGeom>
                          <a:noFill/>
                          <a:ln>
                            <a:noFill/>
                          </a:ln>
                        </pic:spPr>
                      </pic:pic>
                    </a:graphicData>
                  </a:graphic>
                </wp:inline>
              </w:drawing>
            </w:r>
          </w:p>
        </w:tc>
        <w:tc>
          <w:tcPr>
            <w:tcW w:w="326" w:type="pct"/>
            <w:tcBorders>
              <w:tl2br w:val="nil"/>
              <w:tr2bl w:val="nil"/>
            </w:tcBorders>
            <w:shd w:val="clear" w:color="auto" w:fill="auto"/>
            <w:noWrap/>
            <w:vAlign w:val="center"/>
          </w:tcPr>
          <w:p w14:paraId="4FFD7D3D">
            <w:pPr>
              <w:pStyle w:val="13"/>
              <w:bidi w:val="0"/>
              <w:rPr>
                <w:rFonts w:hint="eastAsia"/>
              </w:rPr>
            </w:pPr>
          </w:p>
        </w:tc>
        <w:tc>
          <w:tcPr>
            <w:tcW w:w="323" w:type="pct"/>
            <w:tcBorders>
              <w:tl2br w:val="nil"/>
              <w:tr2bl w:val="nil"/>
            </w:tcBorders>
            <w:shd w:val="clear" w:color="auto" w:fill="auto"/>
            <w:noWrap/>
            <w:vAlign w:val="center"/>
          </w:tcPr>
          <w:p w14:paraId="091B566F">
            <w:pPr>
              <w:pStyle w:val="13"/>
              <w:bidi w:val="0"/>
              <w:rPr>
                <w:rFonts w:hint="eastAsia"/>
              </w:rPr>
            </w:pPr>
          </w:p>
        </w:tc>
      </w:tr>
      <w:tr w14:paraId="7695E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560" w:hRule="atLeast"/>
        </w:trPr>
        <w:tc>
          <w:tcPr>
            <w:tcW w:w="346" w:type="pct"/>
            <w:tcBorders>
              <w:tl2br w:val="nil"/>
              <w:tr2bl w:val="nil"/>
            </w:tcBorders>
            <w:shd w:val="clear" w:color="auto" w:fill="auto"/>
            <w:vAlign w:val="center"/>
          </w:tcPr>
          <w:p w14:paraId="2380EDEE">
            <w:pPr>
              <w:pStyle w:val="13"/>
              <w:bidi w:val="0"/>
              <w:rPr>
                <w:rFonts w:hint="eastAsia"/>
              </w:rPr>
            </w:pPr>
            <w:r>
              <w:rPr>
                <w:rFonts w:hint="eastAsia"/>
                <w:lang w:val="en-US" w:eastAsia="zh-CN"/>
              </w:rPr>
              <w:t>3</w:t>
            </w:r>
          </w:p>
        </w:tc>
        <w:tc>
          <w:tcPr>
            <w:tcW w:w="814" w:type="pct"/>
            <w:tcBorders>
              <w:tl2br w:val="nil"/>
              <w:tr2bl w:val="nil"/>
            </w:tcBorders>
            <w:shd w:val="clear" w:color="auto" w:fill="auto"/>
            <w:vAlign w:val="center"/>
          </w:tcPr>
          <w:p w14:paraId="693C4275">
            <w:pPr>
              <w:pStyle w:val="13"/>
              <w:bidi w:val="0"/>
              <w:rPr>
                <w:rFonts w:hint="eastAsia"/>
              </w:rPr>
            </w:pPr>
            <w:r>
              <w:rPr>
                <w:rFonts w:hint="eastAsia"/>
                <w:lang w:val="en-US" w:eastAsia="zh-CN"/>
              </w:rPr>
              <w:t>调试与试验</w:t>
            </w:r>
          </w:p>
        </w:tc>
        <w:tc>
          <w:tcPr>
            <w:tcW w:w="1734" w:type="dxa"/>
            <w:tcBorders>
              <w:tl2br w:val="nil"/>
              <w:tr2bl w:val="nil"/>
            </w:tcBorders>
            <w:shd w:val="clear" w:color="auto" w:fill="auto"/>
            <w:vAlign w:val="center"/>
          </w:tcPr>
          <w:p w14:paraId="3CD5F564">
            <w:pPr>
              <w:pStyle w:val="13"/>
              <w:bidi w:val="0"/>
              <w:ind w:firstLine="0" w:firstLineChars="0"/>
              <w:rPr>
                <w:rFonts w:hint="default"/>
                <w:lang w:val="en-US"/>
              </w:rPr>
            </w:pPr>
          </w:p>
        </w:tc>
        <w:tc>
          <w:tcPr>
            <w:tcW w:w="1648" w:type="dxa"/>
            <w:tcBorders>
              <w:tl2br w:val="nil"/>
              <w:tr2bl w:val="nil"/>
            </w:tcBorders>
            <w:shd w:val="clear" w:color="auto" w:fill="auto"/>
            <w:vAlign w:val="center"/>
          </w:tcPr>
          <w:p w14:paraId="2E8C1FC7">
            <w:pPr>
              <w:pStyle w:val="13"/>
              <w:bidi w:val="0"/>
              <w:ind w:firstLine="0" w:firstLineChars="0"/>
              <w:rPr>
                <w:rFonts w:hint="default"/>
                <w:lang w:val="en-US"/>
              </w:rPr>
            </w:pPr>
          </w:p>
        </w:tc>
        <w:tc>
          <w:tcPr>
            <w:tcW w:w="645" w:type="pct"/>
            <w:tcBorders>
              <w:tl2br w:val="nil"/>
              <w:tr2bl w:val="nil"/>
            </w:tcBorders>
            <w:shd w:val="clear" w:color="auto" w:fill="auto"/>
            <w:vAlign w:val="center"/>
          </w:tcPr>
          <w:p w14:paraId="3FCF5F24">
            <w:pPr>
              <w:pStyle w:val="13"/>
              <w:bidi w:val="0"/>
              <w:rPr>
                <w:rFonts w:hint="eastAsia"/>
              </w:rPr>
            </w:pPr>
            <w:r>
              <w:rPr>
                <w:rFonts w:hint="eastAsia"/>
                <w:lang w:val="en-US" w:eastAsia="zh-CN"/>
              </w:rPr>
              <w:t>1</w:t>
            </w:r>
          </w:p>
        </w:tc>
        <w:tc>
          <w:tcPr>
            <w:tcW w:w="323" w:type="pct"/>
            <w:tcBorders>
              <w:tl2br w:val="nil"/>
              <w:tr2bl w:val="nil"/>
            </w:tcBorders>
            <w:shd w:val="clear" w:color="auto" w:fill="auto"/>
            <w:noWrap/>
            <w:vAlign w:val="center"/>
          </w:tcPr>
          <w:p w14:paraId="4BC2A83B">
            <w:pPr>
              <w:pStyle w:val="13"/>
              <w:bidi w:val="0"/>
              <w:rPr>
                <w:rFonts w:hint="eastAsia"/>
              </w:rPr>
            </w:pPr>
          </w:p>
        </w:tc>
        <w:tc>
          <w:tcPr>
            <w:tcW w:w="323" w:type="pct"/>
            <w:tcBorders>
              <w:tl2br w:val="nil"/>
              <w:tr2bl w:val="nil"/>
            </w:tcBorders>
            <w:shd w:val="clear" w:color="auto" w:fill="auto"/>
            <w:noWrap/>
            <w:vAlign w:val="center"/>
          </w:tcPr>
          <w:p w14:paraId="4A7CBD63">
            <w:pPr>
              <w:pStyle w:val="13"/>
              <w:bidi w:val="0"/>
              <w:rPr>
                <w:rFonts w:hint="eastAsia"/>
              </w:rPr>
            </w:pPr>
          </w:p>
        </w:tc>
        <w:tc>
          <w:tcPr>
            <w:tcW w:w="326" w:type="pct"/>
            <w:tcBorders>
              <w:tl2br w:val="nil"/>
              <w:tr2bl w:val="nil"/>
            </w:tcBorders>
            <w:shd w:val="clear" w:color="auto" w:fill="auto"/>
            <w:noWrap/>
            <w:vAlign w:val="center"/>
          </w:tcPr>
          <w:p w14:paraId="4858439B">
            <w:pPr>
              <w:pStyle w:val="13"/>
              <w:bidi w:val="0"/>
              <w:rPr>
                <w:rFonts w:hint="eastAsia"/>
              </w:rPr>
            </w:pPr>
            <w:r>
              <w:rPr>
                <w:rFonts w:hint="eastAsia"/>
                <w:lang w:val="en-US" w:eastAsia="zh-CN"/>
              </w:rPr>
              <w:drawing>
                <wp:inline distT="0" distB="0" distL="114300" distR="114300">
                  <wp:extent cx="298450" cy="128905"/>
                  <wp:effectExtent l="0" t="0" r="6350" b="4445"/>
                  <wp:docPr id="29" name="矩形_6"/>
                  <wp:cNvGraphicFramePr/>
                  <a:graphic xmlns:a="http://schemas.openxmlformats.org/drawingml/2006/main">
                    <a:graphicData uri="http://schemas.openxmlformats.org/drawingml/2006/picture">
                      <pic:pic xmlns:pic="http://schemas.openxmlformats.org/drawingml/2006/picture">
                        <pic:nvPicPr>
                          <pic:cNvPr id="29" name="矩形_6"/>
                          <pic:cNvPicPr/>
                        </pic:nvPicPr>
                        <pic:blipFill>
                          <a:blip r:embed="rId24"/>
                          <a:stretch>
                            <a:fillRect/>
                          </a:stretch>
                        </pic:blipFill>
                        <pic:spPr>
                          <a:xfrm>
                            <a:off x="0" y="0"/>
                            <a:ext cx="298450" cy="128905"/>
                          </a:xfrm>
                          <a:prstGeom prst="rect">
                            <a:avLst/>
                          </a:prstGeom>
                          <a:noFill/>
                          <a:ln>
                            <a:noFill/>
                          </a:ln>
                        </pic:spPr>
                      </pic:pic>
                    </a:graphicData>
                  </a:graphic>
                </wp:inline>
              </w:drawing>
            </w:r>
          </w:p>
        </w:tc>
        <w:tc>
          <w:tcPr>
            <w:tcW w:w="323" w:type="pct"/>
            <w:tcBorders>
              <w:tl2br w:val="nil"/>
              <w:tr2bl w:val="nil"/>
            </w:tcBorders>
            <w:shd w:val="clear" w:color="auto" w:fill="auto"/>
            <w:noWrap/>
            <w:vAlign w:val="center"/>
          </w:tcPr>
          <w:p w14:paraId="0A8CB161">
            <w:pPr>
              <w:pStyle w:val="13"/>
              <w:bidi w:val="0"/>
              <w:rPr>
                <w:rFonts w:hint="eastAsia"/>
              </w:rPr>
            </w:pPr>
          </w:p>
        </w:tc>
      </w:tr>
    </w:tbl>
    <w:p w14:paraId="585EE0F9">
      <w:pPr>
        <w:pStyle w:val="4"/>
        <w:spacing w:before="156" w:after="156"/>
        <w:ind w:left="480" w:leftChars="0" w:firstLineChars="0"/>
        <w:rPr>
          <w:color w:val="auto"/>
        </w:rPr>
      </w:pPr>
      <w:bookmarkStart w:id="76" w:name="_Toc3252"/>
      <w:r>
        <w:rPr>
          <w:rFonts w:hint="eastAsia"/>
          <w:color w:val="auto"/>
        </w:rPr>
        <w:t>材料计划</w:t>
      </w:r>
      <w:bookmarkEnd w:id="73"/>
      <w:bookmarkEnd w:id="74"/>
      <w:bookmarkEnd w:id="75"/>
      <w:bookmarkEnd w:id="76"/>
    </w:p>
    <w:p w14:paraId="4EA0F7F5">
      <w:pPr>
        <w:pStyle w:val="48"/>
        <w:ind w:firstLine="480"/>
        <w:rPr>
          <w:rFonts w:hint="eastAsia" w:ascii="Times New Roman" w:hAnsi="Times New Roman" w:cs="Times New Roman"/>
          <w:color w:val="auto"/>
          <w:kern w:val="2"/>
        </w:rPr>
      </w:pPr>
      <w:r>
        <w:rPr>
          <w:rFonts w:hint="eastAsia" w:ascii="Times New Roman" w:hAnsi="Times New Roman" w:cs="Times New Roman"/>
          <w:color w:val="auto"/>
          <w:kern w:val="2"/>
        </w:rPr>
        <w:t>现场所使用</w:t>
      </w:r>
      <w:r>
        <w:rPr>
          <w:rFonts w:hint="eastAsia" w:ascii="Times New Roman" w:hAnsi="Times New Roman" w:cs="Times New Roman"/>
          <w:color w:val="auto"/>
          <w:kern w:val="2"/>
          <w:lang w:eastAsia="zh-CN"/>
        </w:rPr>
        <w:t>的</w:t>
      </w:r>
      <w:r>
        <w:rPr>
          <w:rFonts w:hint="eastAsia" w:ascii="Times New Roman" w:hAnsi="Times New Roman" w:cs="Times New Roman"/>
          <w:color w:val="auto"/>
          <w:kern w:val="2"/>
        </w:rPr>
        <w:t>各类检测仪器应处于有效的检定期内，以保持其检定和校准状态的可信度，达到仪器在使用过程中性能保证的目的。</w:t>
      </w:r>
    </w:p>
    <w:p w14:paraId="75A64DAE">
      <w:pPr>
        <w:pStyle w:val="48"/>
        <w:numPr>
          <w:ilvl w:val="0"/>
          <w:numId w:val="8"/>
        </w:numPr>
        <w:ind w:left="240" w:leftChars="0" w:firstLine="480" w:firstLineChars="0"/>
        <w:rPr>
          <w:rFonts w:hint="eastAsia" w:ascii="Times New Roman" w:hAnsi="Times New Roman" w:cs="Times New Roman"/>
          <w:color w:val="auto"/>
          <w:kern w:val="2"/>
        </w:rPr>
      </w:pPr>
      <w:r>
        <w:rPr>
          <w:rFonts w:hint="eastAsia" w:ascii="Times New Roman" w:hAnsi="Times New Roman" w:cs="Times New Roman"/>
          <w:color w:val="auto"/>
          <w:kern w:val="2"/>
        </w:rPr>
        <w:t>测量仪器、仪表：</w:t>
      </w:r>
    </w:p>
    <w:p w14:paraId="23F9BB07">
      <w:pPr>
        <w:ind w:firstLine="422"/>
        <w:jc w:val="center"/>
        <w:rPr>
          <w:rFonts w:ascii="宋体" w:hAnsi="宋体" w:cs="黑体"/>
          <w:b/>
          <w:color w:val="auto"/>
          <w:sz w:val="21"/>
          <w:szCs w:val="21"/>
        </w:rPr>
      </w:pPr>
      <w:r>
        <w:rPr>
          <w:rFonts w:hint="eastAsia" w:ascii="宋体" w:hAnsi="宋体" w:cs="黑体"/>
          <w:b/>
          <w:color w:val="auto"/>
          <w:sz w:val="21"/>
          <w:szCs w:val="21"/>
        </w:rPr>
        <w:t>表</w:t>
      </w:r>
      <w:r>
        <w:rPr>
          <w:rFonts w:ascii="宋体" w:hAnsi="宋体" w:cs="黑体"/>
          <w:b/>
          <w:color w:val="auto"/>
          <w:sz w:val="21"/>
          <w:szCs w:val="21"/>
        </w:rPr>
        <w:t>3.</w:t>
      </w:r>
      <w:r>
        <w:rPr>
          <w:rFonts w:hint="eastAsia" w:ascii="宋体" w:hAnsi="宋体" w:cs="黑体"/>
          <w:b/>
          <w:color w:val="auto"/>
          <w:sz w:val="21"/>
          <w:szCs w:val="21"/>
          <w:lang w:val="en-US" w:eastAsia="zh-CN"/>
        </w:rPr>
        <w:t>3</w:t>
      </w:r>
      <w:r>
        <w:rPr>
          <w:rFonts w:ascii="宋体" w:hAnsi="宋体" w:cs="黑体"/>
          <w:b/>
          <w:color w:val="auto"/>
          <w:sz w:val="21"/>
          <w:szCs w:val="21"/>
        </w:rPr>
        <w:t>-1</w:t>
      </w:r>
      <w:r>
        <w:rPr>
          <w:rFonts w:hint="eastAsia" w:ascii="宋体" w:hAnsi="宋体" w:cs="黑体"/>
          <w:b/>
          <w:color w:val="auto"/>
          <w:sz w:val="21"/>
          <w:szCs w:val="21"/>
        </w:rPr>
        <w:t xml:space="preserve"> 测量仪器、仪表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355"/>
        <w:gridCol w:w="992"/>
        <w:gridCol w:w="1276"/>
        <w:gridCol w:w="850"/>
        <w:gridCol w:w="709"/>
        <w:gridCol w:w="2693"/>
      </w:tblGrid>
      <w:tr w14:paraId="455B4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0" w:type="dxa"/>
            <w:noWrap w:val="0"/>
            <w:vAlign w:val="center"/>
          </w:tcPr>
          <w:p w14:paraId="1B691ABC">
            <w:pPr>
              <w:pStyle w:val="44"/>
              <w:spacing w:before="60"/>
              <w:rPr>
                <w:color w:val="auto"/>
                <w:sz w:val="21"/>
                <w:szCs w:val="21"/>
              </w:rPr>
            </w:pPr>
            <w:r>
              <w:rPr>
                <w:rFonts w:hint="eastAsia"/>
                <w:color w:val="auto"/>
                <w:sz w:val="21"/>
                <w:szCs w:val="21"/>
              </w:rPr>
              <w:t>序号</w:t>
            </w:r>
          </w:p>
        </w:tc>
        <w:tc>
          <w:tcPr>
            <w:tcW w:w="1355" w:type="dxa"/>
            <w:noWrap w:val="0"/>
            <w:vAlign w:val="center"/>
          </w:tcPr>
          <w:p w14:paraId="3A0F4446">
            <w:pPr>
              <w:pStyle w:val="44"/>
              <w:spacing w:before="60"/>
              <w:rPr>
                <w:color w:val="auto"/>
                <w:sz w:val="21"/>
                <w:szCs w:val="21"/>
              </w:rPr>
            </w:pPr>
            <w:r>
              <w:rPr>
                <w:rFonts w:hint="eastAsia"/>
                <w:color w:val="auto"/>
                <w:sz w:val="21"/>
                <w:szCs w:val="21"/>
              </w:rPr>
              <w:t>名称</w:t>
            </w:r>
          </w:p>
        </w:tc>
        <w:tc>
          <w:tcPr>
            <w:tcW w:w="992" w:type="dxa"/>
            <w:noWrap w:val="0"/>
            <w:vAlign w:val="center"/>
          </w:tcPr>
          <w:p w14:paraId="485210C6">
            <w:pPr>
              <w:pStyle w:val="44"/>
              <w:spacing w:before="60"/>
              <w:rPr>
                <w:color w:val="auto"/>
                <w:sz w:val="21"/>
                <w:szCs w:val="21"/>
              </w:rPr>
            </w:pPr>
            <w:r>
              <w:rPr>
                <w:rFonts w:hint="eastAsia"/>
                <w:color w:val="auto"/>
                <w:sz w:val="21"/>
                <w:szCs w:val="21"/>
              </w:rPr>
              <w:t>规格</w:t>
            </w:r>
          </w:p>
        </w:tc>
        <w:tc>
          <w:tcPr>
            <w:tcW w:w="1276" w:type="dxa"/>
            <w:noWrap w:val="0"/>
            <w:vAlign w:val="center"/>
          </w:tcPr>
          <w:p w14:paraId="2213DD28">
            <w:pPr>
              <w:pStyle w:val="44"/>
              <w:spacing w:before="60"/>
              <w:rPr>
                <w:color w:val="auto"/>
                <w:sz w:val="21"/>
                <w:szCs w:val="21"/>
              </w:rPr>
            </w:pPr>
            <w:r>
              <w:rPr>
                <w:rFonts w:hint="eastAsia"/>
                <w:color w:val="auto"/>
                <w:sz w:val="21"/>
                <w:szCs w:val="21"/>
              </w:rPr>
              <w:t>精度等级</w:t>
            </w:r>
          </w:p>
        </w:tc>
        <w:tc>
          <w:tcPr>
            <w:tcW w:w="850" w:type="dxa"/>
            <w:noWrap w:val="0"/>
            <w:vAlign w:val="center"/>
          </w:tcPr>
          <w:p w14:paraId="04D04A0C">
            <w:pPr>
              <w:pStyle w:val="44"/>
              <w:spacing w:before="60"/>
              <w:rPr>
                <w:color w:val="auto"/>
                <w:sz w:val="21"/>
                <w:szCs w:val="21"/>
              </w:rPr>
            </w:pPr>
            <w:r>
              <w:rPr>
                <w:rFonts w:hint="eastAsia"/>
                <w:color w:val="auto"/>
                <w:sz w:val="21"/>
                <w:szCs w:val="21"/>
              </w:rPr>
              <w:t>单位</w:t>
            </w:r>
          </w:p>
        </w:tc>
        <w:tc>
          <w:tcPr>
            <w:tcW w:w="709" w:type="dxa"/>
            <w:noWrap w:val="0"/>
            <w:vAlign w:val="center"/>
          </w:tcPr>
          <w:p w14:paraId="125D3611">
            <w:pPr>
              <w:pStyle w:val="44"/>
              <w:spacing w:before="60"/>
              <w:rPr>
                <w:color w:val="auto"/>
                <w:sz w:val="21"/>
                <w:szCs w:val="21"/>
              </w:rPr>
            </w:pPr>
            <w:r>
              <w:rPr>
                <w:rFonts w:hint="eastAsia"/>
                <w:color w:val="auto"/>
                <w:sz w:val="21"/>
                <w:szCs w:val="21"/>
              </w:rPr>
              <w:t>数量</w:t>
            </w:r>
          </w:p>
        </w:tc>
        <w:tc>
          <w:tcPr>
            <w:tcW w:w="2693" w:type="dxa"/>
            <w:noWrap w:val="0"/>
            <w:vAlign w:val="center"/>
          </w:tcPr>
          <w:p w14:paraId="3435F57D">
            <w:pPr>
              <w:pStyle w:val="44"/>
              <w:spacing w:before="60"/>
              <w:rPr>
                <w:color w:val="auto"/>
                <w:sz w:val="21"/>
                <w:szCs w:val="21"/>
              </w:rPr>
            </w:pPr>
            <w:r>
              <w:rPr>
                <w:rFonts w:hint="eastAsia"/>
                <w:color w:val="auto"/>
                <w:sz w:val="21"/>
                <w:szCs w:val="21"/>
              </w:rPr>
              <w:t>备注</w:t>
            </w:r>
          </w:p>
        </w:tc>
      </w:tr>
      <w:tr w14:paraId="69790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0" w:type="dxa"/>
            <w:noWrap w:val="0"/>
            <w:vAlign w:val="center"/>
          </w:tcPr>
          <w:p w14:paraId="3D4FA570">
            <w:pPr>
              <w:pStyle w:val="44"/>
              <w:spacing w:before="60"/>
              <w:rPr>
                <w:color w:val="auto"/>
                <w:sz w:val="21"/>
                <w:szCs w:val="21"/>
              </w:rPr>
            </w:pPr>
            <w:r>
              <w:rPr>
                <w:rFonts w:hint="eastAsia"/>
                <w:color w:val="auto"/>
                <w:sz w:val="21"/>
                <w:szCs w:val="21"/>
              </w:rPr>
              <w:t>1</w:t>
            </w:r>
          </w:p>
        </w:tc>
        <w:tc>
          <w:tcPr>
            <w:tcW w:w="1355" w:type="dxa"/>
            <w:noWrap w:val="0"/>
            <w:vAlign w:val="center"/>
          </w:tcPr>
          <w:p w14:paraId="0C59994C">
            <w:pPr>
              <w:pStyle w:val="44"/>
              <w:spacing w:before="60"/>
              <w:rPr>
                <w:color w:val="auto"/>
                <w:sz w:val="21"/>
                <w:szCs w:val="21"/>
              </w:rPr>
            </w:pPr>
            <w:r>
              <w:rPr>
                <w:rFonts w:hint="eastAsia"/>
                <w:color w:val="auto"/>
                <w:sz w:val="21"/>
                <w:szCs w:val="21"/>
              </w:rPr>
              <w:t>水准仪</w:t>
            </w:r>
          </w:p>
        </w:tc>
        <w:tc>
          <w:tcPr>
            <w:tcW w:w="992" w:type="dxa"/>
            <w:noWrap w:val="0"/>
            <w:vAlign w:val="center"/>
          </w:tcPr>
          <w:p w14:paraId="76DF34DB">
            <w:pPr>
              <w:pStyle w:val="44"/>
              <w:spacing w:before="60"/>
              <w:rPr>
                <w:color w:val="auto"/>
                <w:sz w:val="21"/>
                <w:szCs w:val="21"/>
              </w:rPr>
            </w:pPr>
            <w:r>
              <w:rPr>
                <w:rFonts w:hint="eastAsia"/>
                <w:color w:val="auto"/>
                <w:sz w:val="21"/>
                <w:szCs w:val="21"/>
              </w:rPr>
              <w:t>NA2</w:t>
            </w:r>
          </w:p>
        </w:tc>
        <w:tc>
          <w:tcPr>
            <w:tcW w:w="1276" w:type="dxa"/>
            <w:noWrap w:val="0"/>
            <w:vAlign w:val="center"/>
          </w:tcPr>
          <w:p w14:paraId="1407C204">
            <w:pPr>
              <w:pStyle w:val="44"/>
              <w:spacing w:before="60"/>
              <w:rPr>
                <w:color w:val="auto"/>
                <w:sz w:val="21"/>
                <w:szCs w:val="21"/>
              </w:rPr>
            </w:pPr>
            <w:r>
              <w:rPr>
                <w:rFonts w:hint="eastAsia"/>
                <w:color w:val="auto"/>
                <w:sz w:val="21"/>
                <w:szCs w:val="21"/>
              </w:rPr>
              <w:t>0.5mm</w:t>
            </w:r>
          </w:p>
        </w:tc>
        <w:tc>
          <w:tcPr>
            <w:tcW w:w="850" w:type="dxa"/>
            <w:noWrap w:val="0"/>
            <w:vAlign w:val="center"/>
          </w:tcPr>
          <w:p w14:paraId="5D793CD0">
            <w:pPr>
              <w:pStyle w:val="44"/>
              <w:spacing w:before="60"/>
              <w:rPr>
                <w:color w:val="auto"/>
                <w:sz w:val="21"/>
                <w:szCs w:val="21"/>
              </w:rPr>
            </w:pPr>
            <w:r>
              <w:rPr>
                <w:rFonts w:hint="eastAsia"/>
                <w:color w:val="auto"/>
                <w:sz w:val="21"/>
                <w:szCs w:val="21"/>
              </w:rPr>
              <w:t>台</w:t>
            </w:r>
          </w:p>
        </w:tc>
        <w:tc>
          <w:tcPr>
            <w:tcW w:w="709" w:type="dxa"/>
            <w:noWrap w:val="0"/>
            <w:vAlign w:val="center"/>
          </w:tcPr>
          <w:p w14:paraId="5CEE40EB">
            <w:pPr>
              <w:pStyle w:val="44"/>
              <w:spacing w:before="60"/>
              <w:rPr>
                <w:color w:val="auto"/>
                <w:sz w:val="21"/>
                <w:szCs w:val="21"/>
              </w:rPr>
            </w:pPr>
            <w:r>
              <w:rPr>
                <w:rFonts w:hint="eastAsia"/>
                <w:color w:val="auto"/>
                <w:sz w:val="21"/>
                <w:szCs w:val="21"/>
              </w:rPr>
              <w:t>1</w:t>
            </w:r>
          </w:p>
        </w:tc>
        <w:tc>
          <w:tcPr>
            <w:tcW w:w="2693" w:type="dxa"/>
            <w:noWrap w:val="0"/>
            <w:vAlign w:val="center"/>
          </w:tcPr>
          <w:p w14:paraId="115698AC">
            <w:pPr>
              <w:pStyle w:val="44"/>
              <w:spacing w:before="60"/>
              <w:rPr>
                <w:color w:val="auto"/>
                <w:sz w:val="21"/>
                <w:szCs w:val="21"/>
              </w:rPr>
            </w:pPr>
            <w:r>
              <w:rPr>
                <w:rFonts w:hint="eastAsia"/>
                <w:color w:val="auto"/>
                <w:sz w:val="21"/>
                <w:szCs w:val="21"/>
              </w:rPr>
              <w:t>检验合格并在有效期内</w:t>
            </w:r>
          </w:p>
        </w:tc>
      </w:tr>
      <w:tr w14:paraId="6FF0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0" w:type="dxa"/>
            <w:noWrap w:val="0"/>
            <w:vAlign w:val="center"/>
          </w:tcPr>
          <w:p w14:paraId="16ECBB6C">
            <w:pPr>
              <w:pStyle w:val="44"/>
              <w:spacing w:before="60"/>
              <w:rPr>
                <w:color w:val="auto"/>
                <w:sz w:val="21"/>
                <w:szCs w:val="21"/>
              </w:rPr>
            </w:pPr>
            <w:r>
              <w:rPr>
                <w:rFonts w:hint="eastAsia"/>
                <w:color w:val="auto"/>
                <w:sz w:val="21"/>
                <w:szCs w:val="21"/>
              </w:rPr>
              <w:t>2</w:t>
            </w:r>
          </w:p>
        </w:tc>
        <w:tc>
          <w:tcPr>
            <w:tcW w:w="1355" w:type="dxa"/>
            <w:noWrap w:val="0"/>
            <w:vAlign w:val="center"/>
          </w:tcPr>
          <w:p w14:paraId="3AF748D0">
            <w:pPr>
              <w:pStyle w:val="44"/>
              <w:spacing w:before="60"/>
              <w:rPr>
                <w:color w:val="auto"/>
                <w:sz w:val="21"/>
                <w:szCs w:val="21"/>
              </w:rPr>
            </w:pPr>
            <w:r>
              <w:rPr>
                <w:rFonts w:hint="eastAsia"/>
                <w:color w:val="auto"/>
                <w:sz w:val="21"/>
                <w:szCs w:val="21"/>
              </w:rPr>
              <w:t>经纬仪</w:t>
            </w:r>
          </w:p>
        </w:tc>
        <w:tc>
          <w:tcPr>
            <w:tcW w:w="992" w:type="dxa"/>
            <w:noWrap w:val="0"/>
            <w:vAlign w:val="center"/>
          </w:tcPr>
          <w:p w14:paraId="0DB8245F">
            <w:pPr>
              <w:pStyle w:val="44"/>
              <w:spacing w:before="60"/>
              <w:rPr>
                <w:color w:val="auto"/>
                <w:sz w:val="21"/>
                <w:szCs w:val="21"/>
              </w:rPr>
            </w:pPr>
            <w:r>
              <w:rPr>
                <w:rFonts w:hint="eastAsia"/>
                <w:color w:val="auto"/>
                <w:sz w:val="21"/>
                <w:szCs w:val="21"/>
              </w:rPr>
              <w:t>TDJ2E</w:t>
            </w:r>
          </w:p>
        </w:tc>
        <w:tc>
          <w:tcPr>
            <w:tcW w:w="1276" w:type="dxa"/>
            <w:noWrap w:val="0"/>
            <w:vAlign w:val="center"/>
          </w:tcPr>
          <w:p w14:paraId="4AC840BC">
            <w:pPr>
              <w:pStyle w:val="44"/>
              <w:spacing w:before="60"/>
              <w:rPr>
                <w:color w:val="auto"/>
                <w:sz w:val="21"/>
                <w:szCs w:val="21"/>
              </w:rPr>
            </w:pPr>
            <w:r>
              <w:rPr>
                <w:rFonts w:hint="eastAsia"/>
                <w:color w:val="auto"/>
                <w:sz w:val="21"/>
                <w:szCs w:val="21"/>
              </w:rPr>
              <w:t>6″</w:t>
            </w:r>
          </w:p>
        </w:tc>
        <w:tc>
          <w:tcPr>
            <w:tcW w:w="850" w:type="dxa"/>
            <w:noWrap w:val="0"/>
            <w:vAlign w:val="center"/>
          </w:tcPr>
          <w:p w14:paraId="69955BEF">
            <w:pPr>
              <w:pStyle w:val="44"/>
              <w:spacing w:before="60"/>
              <w:rPr>
                <w:color w:val="auto"/>
                <w:sz w:val="21"/>
                <w:szCs w:val="21"/>
              </w:rPr>
            </w:pPr>
            <w:r>
              <w:rPr>
                <w:rFonts w:hint="eastAsia"/>
                <w:color w:val="auto"/>
                <w:sz w:val="21"/>
                <w:szCs w:val="21"/>
              </w:rPr>
              <w:t>台</w:t>
            </w:r>
          </w:p>
        </w:tc>
        <w:tc>
          <w:tcPr>
            <w:tcW w:w="709" w:type="dxa"/>
            <w:noWrap w:val="0"/>
            <w:vAlign w:val="center"/>
          </w:tcPr>
          <w:p w14:paraId="209F505F">
            <w:pPr>
              <w:pStyle w:val="44"/>
              <w:spacing w:before="60"/>
              <w:rPr>
                <w:color w:val="auto"/>
                <w:sz w:val="21"/>
                <w:szCs w:val="21"/>
              </w:rPr>
            </w:pPr>
            <w:r>
              <w:rPr>
                <w:rFonts w:hint="eastAsia"/>
                <w:color w:val="auto"/>
                <w:sz w:val="21"/>
                <w:szCs w:val="21"/>
              </w:rPr>
              <w:t>1</w:t>
            </w:r>
          </w:p>
        </w:tc>
        <w:tc>
          <w:tcPr>
            <w:tcW w:w="2693" w:type="dxa"/>
            <w:noWrap w:val="0"/>
            <w:vAlign w:val="center"/>
          </w:tcPr>
          <w:p w14:paraId="71A10384">
            <w:pPr>
              <w:pStyle w:val="44"/>
              <w:spacing w:before="60"/>
              <w:rPr>
                <w:color w:val="auto"/>
                <w:sz w:val="21"/>
                <w:szCs w:val="21"/>
              </w:rPr>
            </w:pPr>
            <w:r>
              <w:rPr>
                <w:rFonts w:hint="eastAsia"/>
                <w:color w:val="auto"/>
                <w:sz w:val="21"/>
                <w:szCs w:val="21"/>
              </w:rPr>
              <w:t>检验合格并在有效期内</w:t>
            </w:r>
          </w:p>
        </w:tc>
      </w:tr>
    </w:tbl>
    <w:p w14:paraId="7215FD92">
      <w:pPr>
        <w:ind w:firstLine="480"/>
        <w:rPr>
          <w:color w:val="auto"/>
        </w:rPr>
      </w:pPr>
      <w:r>
        <w:rPr>
          <w:rFonts w:hint="eastAsia"/>
          <w:color w:val="auto"/>
        </w:rPr>
        <w:t>（2）作业工机具统计表：</w:t>
      </w:r>
    </w:p>
    <w:p w14:paraId="62884BEC">
      <w:pPr>
        <w:ind w:firstLine="422"/>
        <w:jc w:val="center"/>
        <w:rPr>
          <w:rFonts w:ascii="宋体" w:hAnsi="宋体" w:cs="黑体"/>
          <w:b/>
          <w:color w:val="auto"/>
          <w:sz w:val="21"/>
          <w:szCs w:val="21"/>
        </w:rPr>
      </w:pPr>
      <w:r>
        <w:rPr>
          <w:rFonts w:hint="eastAsia" w:ascii="宋体" w:hAnsi="宋体" w:cs="黑体"/>
          <w:b/>
          <w:color w:val="auto"/>
          <w:sz w:val="21"/>
          <w:szCs w:val="21"/>
        </w:rPr>
        <w:t>表</w:t>
      </w:r>
      <w:r>
        <w:rPr>
          <w:rFonts w:ascii="宋体" w:hAnsi="宋体" w:cs="黑体"/>
          <w:b/>
          <w:color w:val="auto"/>
          <w:sz w:val="21"/>
          <w:szCs w:val="21"/>
        </w:rPr>
        <w:t>3.</w:t>
      </w:r>
      <w:r>
        <w:rPr>
          <w:rFonts w:hint="eastAsia" w:ascii="宋体" w:hAnsi="宋体" w:cs="黑体"/>
          <w:b/>
          <w:color w:val="auto"/>
          <w:sz w:val="21"/>
          <w:szCs w:val="21"/>
          <w:lang w:val="en-US" w:eastAsia="zh-CN"/>
        </w:rPr>
        <w:t>3</w:t>
      </w:r>
      <w:r>
        <w:rPr>
          <w:rFonts w:ascii="宋体" w:hAnsi="宋体" w:cs="黑体"/>
          <w:b/>
          <w:color w:val="auto"/>
          <w:sz w:val="21"/>
          <w:szCs w:val="21"/>
        </w:rPr>
        <w:t>-2</w:t>
      </w:r>
      <w:r>
        <w:rPr>
          <w:rFonts w:hint="eastAsia" w:ascii="宋体" w:hAnsi="宋体" w:cs="黑体"/>
          <w:b/>
          <w:color w:val="auto"/>
          <w:sz w:val="21"/>
          <w:szCs w:val="21"/>
        </w:rPr>
        <w:t xml:space="preserve"> 作业工机具</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077"/>
        <w:gridCol w:w="2777"/>
        <w:gridCol w:w="770"/>
        <w:gridCol w:w="2863"/>
      </w:tblGrid>
      <w:tr w14:paraId="654C3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top w:val="double" w:color="auto" w:sz="4" w:space="0"/>
              <w:left w:val="double" w:color="auto" w:sz="4" w:space="0"/>
            </w:tcBorders>
            <w:shd w:val="clear" w:color="auto" w:fill="DEEBF6"/>
            <w:noWrap w:val="0"/>
            <w:vAlign w:val="center"/>
          </w:tcPr>
          <w:p w14:paraId="1698761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077" w:type="dxa"/>
            <w:tcBorders>
              <w:top w:val="double" w:color="auto" w:sz="4" w:space="0"/>
            </w:tcBorders>
            <w:shd w:val="clear" w:color="auto" w:fill="DEEBF6"/>
            <w:noWrap w:val="0"/>
            <w:vAlign w:val="center"/>
          </w:tcPr>
          <w:p w14:paraId="66AD8AC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名称</w:t>
            </w:r>
          </w:p>
        </w:tc>
        <w:tc>
          <w:tcPr>
            <w:tcW w:w="2777" w:type="dxa"/>
            <w:tcBorders>
              <w:top w:val="double" w:color="auto" w:sz="4" w:space="0"/>
            </w:tcBorders>
            <w:shd w:val="clear" w:color="auto" w:fill="DEEBF6"/>
            <w:noWrap w:val="0"/>
            <w:vAlign w:val="center"/>
          </w:tcPr>
          <w:p w14:paraId="0439C46B">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型号</w:t>
            </w:r>
          </w:p>
        </w:tc>
        <w:tc>
          <w:tcPr>
            <w:tcW w:w="770" w:type="dxa"/>
            <w:tcBorders>
              <w:top w:val="double" w:color="auto" w:sz="4" w:space="0"/>
            </w:tcBorders>
            <w:shd w:val="clear" w:color="auto" w:fill="DEEBF6"/>
            <w:noWrap w:val="0"/>
            <w:vAlign w:val="center"/>
          </w:tcPr>
          <w:p w14:paraId="45F7F95C">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2863" w:type="dxa"/>
            <w:tcBorders>
              <w:top w:val="double" w:color="auto" w:sz="4" w:space="0"/>
              <w:right w:val="double" w:color="auto" w:sz="4" w:space="0"/>
            </w:tcBorders>
            <w:shd w:val="clear" w:color="auto" w:fill="DEEBF6"/>
            <w:noWrap w:val="0"/>
            <w:vAlign w:val="center"/>
          </w:tcPr>
          <w:p w14:paraId="252FE989">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14:paraId="78FC7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220" w:type="dxa"/>
            <w:gridSpan w:val="5"/>
            <w:tcBorders>
              <w:left w:val="double" w:color="auto" w:sz="4" w:space="0"/>
              <w:right w:val="double" w:color="auto" w:sz="4" w:space="0"/>
            </w:tcBorders>
            <w:noWrap w:val="0"/>
            <w:vAlign w:val="center"/>
          </w:tcPr>
          <w:p w14:paraId="2D3CC6CC">
            <w:pPr>
              <w:keepNext w:val="0"/>
              <w:keepLines w:val="0"/>
              <w:pageBreakBefore w:val="0"/>
              <w:widowControl w:val="0"/>
              <w:kinsoku/>
              <w:wordWrap/>
              <w:overflowPunct/>
              <w:topLinePunct w:val="0"/>
              <w:autoSpaceDE/>
              <w:autoSpaceDN/>
              <w:bidi w:val="0"/>
              <w:spacing w:line="240" w:lineRule="auto"/>
              <w:ind w:firstLine="422"/>
              <w:jc w:val="center"/>
              <w:rPr>
                <w:rFonts w:hint="eastAsia" w:ascii="宋体" w:hAnsi="宋体" w:eastAsia="宋体" w:cs="宋体"/>
                <w:color w:val="auto"/>
                <w:kern w:val="0"/>
                <w:sz w:val="21"/>
                <w:szCs w:val="21"/>
              </w:rPr>
            </w:pPr>
            <w:r>
              <w:rPr>
                <w:rFonts w:hint="eastAsia" w:ascii="宋体" w:hAnsi="宋体" w:eastAsia="宋体" w:cs="宋体"/>
                <w:b/>
                <w:color w:val="auto"/>
                <w:sz w:val="21"/>
                <w:szCs w:val="21"/>
                <w:lang w:eastAsia="zh-CN"/>
              </w:rPr>
              <w:t>一</w:t>
            </w:r>
            <w:r>
              <w:rPr>
                <w:rFonts w:hint="eastAsia" w:ascii="宋体" w:hAnsi="宋体" w:eastAsia="宋体" w:cs="宋体"/>
                <w:b/>
                <w:color w:val="auto"/>
                <w:sz w:val="21"/>
                <w:szCs w:val="21"/>
              </w:rPr>
              <w:t>、主要吊索具表</w:t>
            </w:r>
          </w:p>
        </w:tc>
      </w:tr>
      <w:tr w14:paraId="09BB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369C55E7">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77" w:type="dxa"/>
            <w:noWrap w:val="0"/>
            <w:vAlign w:val="center"/>
          </w:tcPr>
          <w:p w14:paraId="1F15B7C2">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起重用钢丝绳</w:t>
            </w:r>
          </w:p>
        </w:tc>
        <w:tc>
          <w:tcPr>
            <w:tcW w:w="2777" w:type="dxa"/>
            <w:noWrap w:val="0"/>
            <w:vAlign w:val="center"/>
          </w:tcPr>
          <w:p w14:paraId="0216A587">
            <w:pPr>
              <w:pStyle w:val="44"/>
              <w:keepNext w:val="0"/>
              <w:keepLines w:val="0"/>
              <w:pageBreakBefore w:val="0"/>
              <w:widowControl w:val="0"/>
              <w:kinsoku/>
              <w:wordWrap/>
              <w:overflowPunct/>
              <w:topLinePunct w:val="0"/>
              <w:autoSpaceDE/>
              <w:autoSpaceDN/>
              <w:bidi w:val="0"/>
              <w:spacing w:before="60" w:line="240" w:lineRule="auto"/>
              <w:ind w:firstLine="0" w:firstLineChars="0"/>
              <w:rPr>
                <w:rFonts w:hint="default" w:ascii="宋体" w:hAnsi="宋体" w:eastAsia="宋体" w:cs="宋体"/>
                <w:color w:val="auto"/>
                <w:sz w:val="21"/>
                <w:szCs w:val="21"/>
                <w:highlight w:val="yellow"/>
                <w:lang w:val="en-US" w:eastAsia="zh-CN"/>
              </w:rPr>
            </w:pPr>
            <w:r>
              <w:rPr>
                <w:rFonts w:hint="eastAsia"/>
                <w:highlight w:val="none"/>
              </w:rPr>
              <w:t>12mm</w:t>
            </w:r>
            <w:r>
              <w:rPr>
                <w:rFonts w:hint="eastAsia"/>
                <w:highlight w:val="none"/>
                <w:lang w:eastAsia="zh-CN"/>
              </w:rPr>
              <w:t>6×19W+IWR</w:t>
            </w:r>
            <w:r>
              <w:rPr>
                <w:rFonts w:hint="eastAsia"/>
                <w:highlight w:val="none"/>
              </w:rPr>
              <w:t>1870Mpa</w:t>
            </w:r>
          </w:p>
        </w:tc>
        <w:tc>
          <w:tcPr>
            <w:tcW w:w="770" w:type="dxa"/>
            <w:noWrap w:val="0"/>
            <w:vAlign w:val="center"/>
          </w:tcPr>
          <w:p w14:paraId="26D5CFAE">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cs="宋体"/>
                <w:color w:val="auto"/>
                <w:sz w:val="21"/>
                <w:szCs w:val="21"/>
                <w:lang w:val="en-US" w:eastAsia="zh-CN"/>
              </w:rPr>
              <w:t>4</w:t>
            </w:r>
            <w:r>
              <w:rPr>
                <w:rFonts w:hint="eastAsia" w:ascii="宋体" w:hAnsi="宋体" w:eastAsia="宋体" w:cs="宋体"/>
                <w:color w:val="auto"/>
                <w:sz w:val="21"/>
                <w:szCs w:val="21"/>
              </w:rPr>
              <w:t>根</w:t>
            </w:r>
          </w:p>
        </w:tc>
        <w:tc>
          <w:tcPr>
            <w:tcW w:w="2863" w:type="dxa"/>
            <w:tcBorders>
              <w:right w:val="double" w:color="auto" w:sz="4" w:space="0"/>
            </w:tcBorders>
            <w:noWrap w:val="0"/>
            <w:vAlign w:val="center"/>
          </w:tcPr>
          <w:p w14:paraId="76B64E6C">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cs="宋体"/>
                <w:color w:val="auto"/>
                <w:sz w:val="21"/>
                <w:szCs w:val="21"/>
                <w:lang w:val="en-US" w:eastAsia="zh-CN"/>
              </w:rPr>
              <w:t>四点吊</w:t>
            </w:r>
            <w:r>
              <w:rPr>
                <w:rFonts w:hint="eastAsia" w:ascii="宋体" w:hAnsi="宋体" w:eastAsia="宋体" w:cs="宋体"/>
                <w:color w:val="auto"/>
                <w:sz w:val="21"/>
                <w:szCs w:val="21"/>
              </w:rPr>
              <w:t>吊装</w:t>
            </w:r>
            <w:r>
              <w:rPr>
                <w:rFonts w:hint="eastAsia" w:ascii="宋体" w:hAnsi="宋体" w:eastAsia="宋体" w:cs="宋体"/>
                <w:color w:val="auto"/>
                <w:sz w:val="21"/>
                <w:szCs w:val="21"/>
                <w:lang w:eastAsia="zh-CN"/>
              </w:rPr>
              <w:t>时</w:t>
            </w:r>
            <w:r>
              <w:rPr>
                <w:rFonts w:hint="eastAsia" w:ascii="宋体" w:hAnsi="宋体" w:eastAsia="宋体" w:cs="宋体"/>
                <w:color w:val="auto"/>
                <w:sz w:val="21"/>
                <w:szCs w:val="21"/>
              </w:rPr>
              <w:t>用</w:t>
            </w:r>
          </w:p>
        </w:tc>
      </w:tr>
      <w:tr w14:paraId="3F628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31C7B59E">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lang w:eastAsia="zh-CN"/>
              </w:rPr>
            </w:pPr>
            <w:r>
              <w:rPr>
                <w:rFonts w:hint="eastAsia" w:cs="宋体"/>
                <w:color w:val="auto"/>
                <w:sz w:val="21"/>
                <w:szCs w:val="21"/>
                <w:lang w:val="en-US" w:eastAsia="zh-CN"/>
              </w:rPr>
              <w:t>3</w:t>
            </w:r>
          </w:p>
        </w:tc>
        <w:tc>
          <w:tcPr>
            <w:tcW w:w="1077" w:type="dxa"/>
            <w:noWrap w:val="0"/>
            <w:vAlign w:val="center"/>
          </w:tcPr>
          <w:p w14:paraId="5740EDB2">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卸 扣</w:t>
            </w:r>
          </w:p>
        </w:tc>
        <w:tc>
          <w:tcPr>
            <w:tcW w:w="2777" w:type="dxa"/>
            <w:noWrap w:val="0"/>
            <w:vAlign w:val="center"/>
          </w:tcPr>
          <w:p w14:paraId="463CD3A5">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5吨 </w:t>
            </w:r>
          </w:p>
        </w:tc>
        <w:tc>
          <w:tcPr>
            <w:tcW w:w="770" w:type="dxa"/>
            <w:noWrap w:val="0"/>
            <w:vAlign w:val="center"/>
          </w:tcPr>
          <w:p w14:paraId="6C60D146">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4个</w:t>
            </w:r>
          </w:p>
        </w:tc>
        <w:tc>
          <w:tcPr>
            <w:tcW w:w="2863" w:type="dxa"/>
            <w:tcBorders>
              <w:right w:val="double" w:color="auto" w:sz="4" w:space="0"/>
            </w:tcBorders>
            <w:noWrap w:val="0"/>
            <w:vAlign w:val="center"/>
          </w:tcPr>
          <w:p w14:paraId="09859F03">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现场吊装用</w:t>
            </w:r>
          </w:p>
        </w:tc>
      </w:tr>
      <w:tr w14:paraId="6F5CB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0" w:type="dxa"/>
            <w:gridSpan w:val="5"/>
            <w:tcBorders>
              <w:left w:val="double" w:color="auto" w:sz="4" w:space="0"/>
              <w:right w:val="double" w:color="auto" w:sz="4" w:space="0"/>
            </w:tcBorders>
            <w:noWrap w:val="0"/>
            <w:vAlign w:val="center"/>
          </w:tcPr>
          <w:p w14:paraId="47081512">
            <w:pPr>
              <w:keepNext w:val="0"/>
              <w:keepLines w:val="0"/>
              <w:pageBreakBefore w:val="0"/>
              <w:widowControl w:val="0"/>
              <w:kinsoku/>
              <w:wordWrap/>
              <w:overflowPunct/>
              <w:topLinePunct w:val="0"/>
              <w:autoSpaceDE/>
              <w:autoSpaceDN/>
              <w:bidi w:val="0"/>
              <w:spacing w:line="240" w:lineRule="auto"/>
              <w:ind w:firstLine="422"/>
              <w:jc w:val="center"/>
              <w:rPr>
                <w:rFonts w:hint="eastAsia" w:ascii="宋体" w:hAnsi="宋体" w:eastAsia="宋体" w:cs="宋体"/>
                <w:color w:val="auto"/>
                <w:kern w:val="0"/>
                <w:sz w:val="21"/>
                <w:szCs w:val="21"/>
              </w:rPr>
            </w:pPr>
            <w:r>
              <w:rPr>
                <w:rFonts w:hint="eastAsia" w:ascii="宋体" w:hAnsi="宋体" w:eastAsia="宋体" w:cs="宋体"/>
                <w:b/>
                <w:color w:val="auto"/>
                <w:sz w:val="21"/>
                <w:szCs w:val="21"/>
                <w:lang w:eastAsia="zh-CN"/>
              </w:rPr>
              <w:t>一</w:t>
            </w:r>
            <w:r>
              <w:rPr>
                <w:rFonts w:hint="eastAsia" w:ascii="宋体" w:hAnsi="宋体" w:eastAsia="宋体" w:cs="宋体"/>
                <w:b/>
                <w:color w:val="auto"/>
                <w:sz w:val="21"/>
                <w:szCs w:val="21"/>
              </w:rPr>
              <w:t>、主要工具表</w:t>
            </w:r>
          </w:p>
        </w:tc>
      </w:tr>
      <w:tr w14:paraId="755C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6A32907C">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77" w:type="dxa"/>
            <w:noWrap w:val="0"/>
            <w:vAlign w:val="center"/>
          </w:tcPr>
          <w:p w14:paraId="05F49EA0">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力矩扳手</w:t>
            </w:r>
          </w:p>
        </w:tc>
        <w:tc>
          <w:tcPr>
            <w:tcW w:w="2777" w:type="dxa"/>
            <w:noWrap w:val="0"/>
            <w:vAlign w:val="center"/>
          </w:tcPr>
          <w:p w14:paraId="7EF7950A">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p>
        </w:tc>
        <w:tc>
          <w:tcPr>
            <w:tcW w:w="770" w:type="dxa"/>
            <w:noWrap w:val="0"/>
            <w:vAlign w:val="center"/>
          </w:tcPr>
          <w:p w14:paraId="2E083023">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1套</w:t>
            </w:r>
          </w:p>
        </w:tc>
        <w:tc>
          <w:tcPr>
            <w:tcW w:w="2863" w:type="dxa"/>
            <w:tcBorders>
              <w:right w:val="double" w:color="auto" w:sz="4" w:space="0"/>
            </w:tcBorders>
            <w:noWrap w:val="0"/>
            <w:vAlign w:val="center"/>
          </w:tcPr>
          <w:p w14:paraId="6AC65376">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拼装、安装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用，根据需求配置</w:t>
            </w:r>
          </w:p>
        </w:tc>
      </w:tr>
      <w:tr w14:paraId="2B6F5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3CC2A1B5">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077" w:type="dxa"/>
            <w:noWrap w:val="0"/>
            <w:vAlign w:val="center"/>
          </w:tcPr>
          <w:p w14:paraId="51E5D74B">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常用扳手</w:t>
            </w:r>
          </w:p>
        </w:tc>
        <w:tc>
          <w:tcPr>
            <w:tcW w:w="2777" w:type="dxa"/>
            <w:noWrap w:val="0"/>
            <w:vAlign w:val="center"/>
          </w:tcPr>
          <w:p w14:paraId="78E71999">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2940DEE2">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2套</w:t>
            </w:r>
          </w:p>
        </w:tc>
        <w:tc>
          <w:tcPr>
            <w:tcW w:w="2863" w:type="dxa"/>
            <w:tcBorders>
              <w:right w:val="double" w:color="auto" w:sz="4" w:space="0"/>
            </w:tcBorders>
            <w:noWrap w:val="0"/>
            <w:vAlign w:val="center"/>
          </w:tcPr>
          <w:p w14:paraId="114FD995">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080E8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6BE4BCD5">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077" w:type="dxa"/>
            <w:noWrap w:val="0"/>
            <w:vAlign w:val="center"/>
          </w:tcPr>
          <w:p w14:paraId="2D051365">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手拉葫芦</w:t>
            </w:r>
          </w:p>
        </w:tc>
        <w:tc>
          <w:tcPr>
            <w:tcW w:w="2777" w:type="dxa"/>
            <w:noWrap w:val="0"/>
            <w:vAlign w:val="center"/>
          </w:tcPr>
          <w:p w14:paraId="2348ED4D">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2t</w:t>
            </w:r>
          </w:p>
        </w:tc>
        <w:tc>
          <w:tcPr>
            <w:tcW w:w="770" w:type="dxa"/>
            <w:noWrap w:val="0"/>
            <w:vAlign w:val="center"/>
          </w:tcPr>
          <w:p w14:paraId="0B5FAABE">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4只 </w:t>
            </w:r>
          </w:p>
        </w:tc>
        <w:tc>
          <w:tcPr>
            <w:tcW w:w="2863" w:type="dxa"/>
            <w:tcBorders>
              <w:right w:val="double" w:color="auto" w:sz="4" w:space="0"/>
            </w:tcBorders>
            <w:noWrap w:val="0"/>
            <w:vAlign w:val="center"/>
          </w:tcPr>
          <w:p w14:paraId="41B95A3B">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现场安装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5CE3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3C63ECEE">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077" w:type="dxa"/>
            <w:noWrap w:val="0"/>
            <w:vAlign w:val="center"/>
          </w:tcPr>
          <w:p w14:paraId="310D2903">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机械千斤顶</w:t>
            </w:r>
          </w:p>
        </w:tc>
        <w:tc>
          <w:tcPr>
            <w:tcW w:w="2777" w:type="dxa"/>
            <w:noWrap w:val="0"/>
            <w:vAlign w:val="center"/>
          </w:tcPr>
          <w:p w14:paraId="39931447">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5t</w:t>
            </w:r>
          </w:p>
        </w:tc>
        <w:tc>
          <w:tcPr>
            <w:tcW w:w="770" w:type="dxa"/>
            <w:noWrap w:val="0"/>
            <w:vAlign w:val="center"/>
          </w:tcPr>
          <w:p w14:paraId="2B72AC7D">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2台</w:t>
            </w:r>
          </w:p>
        </w:tc>
        <w:tc>
          <w:tcPr>
            <w:tcW w:w="2863" w:type="dxa"/>
            <w:tcBorders>
              <w:right w:val="double" w:color="auto" w:sz="4" w:space="0"/>
            </w:tcBorders>
            <w:noWrap w:val="0"/>
            <w:vAlign w:val="center"/>
          </w:tcPr>
          <w:p w14:paraId="4624E369">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现场安装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20A50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tcBorders>
              <w:left w:val="double" w:color="auto" w:sz="4" w:space="0"/>
            </w:tcBorders>
            <w:noWrap w:val="0"/>
            <w:vAlign w:val="center"/>
          </w:tcPr>
          <w:p w14:paraId="5C4B30AB">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077" w:type="dxa"/>
            <w:noWrap w:val="0"/>
            <w:vAlign w:val="center"/>
          </w:tcPr>
          <w:p w14:paraId="027BC6C5">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大锤</w:t>
            </w:r>
          </w:p>
        </w:tc>
        <w:tc>
          <w:tcPr>
            <w:tcW w:w="2777" w:type="dxa"/>
            <w:noWrap w:val="0"/>
            <w:vAlign w:val="center"/>
          </w:tcPr>
          <w:p w14:paraId="689A8A78">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18P</w:t>
            </w:r>
          </w:p>
        </w:tc>
        <w:tc>
          <w:tcPr>
            <w:tcW w:w="770" w:type="dxa"/>
            <w:noWrap w:val="0"/>
            <w:vAlign w:val="center"/>
          </w:tcPr>
          <w:p w14:paraId="1C460F7C">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4把</w:t>
            </w:r>
          </w:p>
        </w:tc>
        <w:tc>
          <w:tcPr>
            <w:tcW w:w="2863" w:type="dxa"/>
            <w:tcBorders>
              <w:right w:val="double" w:color="auto" w:sz="4" w:space="0"/>
            </w:tcBorders>
            <w:noWrap w:val="0"/>
            <w:vAlign w:val="center"/>
          </w:tcPr>
          <w:p w14:paraId="66EA80CF">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现场安装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10D3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78D0FCB5">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1077" w:type="dxa"/>
            <w:noWrap w:val="0"/>
            <w:vAlign w:val="center"/>
          </w:tcPr>
          <w:p w14:paraId="049391D0">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撬棍</w:t>
            </w:r>
          </w:p>
        </w:tc>
        <w:tc>
          <w:tcPr>
            <w:tcW w:w="2777" w:type="dxa"/>
            <w:noWrap w:val="0"/>
            <w:vAlign w:val="center"/>
          </w:tcPr>
          <w:p w14:paraId="63B10C5C">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直径30</w:t>
            </w:r>
          </w:p>
        </w:tc>
        <w:tc>
          <w:tcPr>
            <w:tcW w:w="770" w:type="dxa"/>
            <w:noWrap w:val="0"/>
            <w:vAlign w:val="center"/>
          </w:tcPr>
          <w:p w14:paraId="427E04A7">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2把</w:t>
            </w:r>
          </w:p>
        </w:tc>
        <w:tc>
          <w:tcPr>
            <w:tcW w:w="2863" w:type="dxa"/>
            <w:tcBorders>
              <w:right w:val="double" w:color="auto" w:sz="4" w:space="0"/>
            </w:tcBorders>
            <w:noWrap w:val="0"/>
            <w:vAlign w:val="center"/>
          </w:tcPr>
          <w:p w14:paraId="022F5F36">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现场安装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3745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2A4E9D53">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lang w:val="en-US" w:eastAsia="zh-CN"/>
              </w:rPr>
            </w:pPr>
            <w:r>
              <w:rPr>
                <w:rFonts w:hint="eastAsia" w:cs="宋体"/>
                <w:color w:val="auto"/>
                <w:sz w:val="21"/>
                <w:szCs w:val="21"/>
                <w:lang w:val="en-US" w:eastAsia="zh-CN"/>
              </w:rPr>
              <w:t>7</w:t>
            </w:r>
          </w:p>
        </w:tc>
        <w:tc>
          <w:tcPr>
            <w:tcW w:w="1077" w:type="dxa"/>
            <w:noWrap w:val="0"/>
            <w:vAlign w:val="center"/>
          </w:tcPr>
          <w:p w14:paraId="43AF9605">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default" w:ascii="宋体" w:hAnsi="宋体"/>
                <w:color w:val="auto"/>
                <w:sz w:val="18"/>
                <w:szCs w:val="18"/>
                <w:lang w:val="en-US"/>
              </w:rPr>
              <w:t>电阻测试仪、</w:t>
            </w:r>
          </w:p>
        </w:tc>
        <w:tc>
          <w:tcPr>
            <w:tcW w:w="2777" w:type="dxa"/>
            <w:noWrap w:val="0"/>
            <w:vAlign w:val="center"/>
          </w:tcPr>
          <w:p w14:paraId="2EAB6C2B">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p>
        </w:tc>
        <w:tc>
          <w:tcPr>
            <w:tcW w:w="770" w:type="dxa"/>
            <w:noWrap w:val="0"/>
            <w:vAlign w:val="center"/>
          </w:tcPr>
          <w:p w14:paraId="6EC382AB">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台</w:t>
            </w:r>
          </w:p>
        </w:tc>
        <w:tc>
          <w:tcPr>
            <w:tcW w:w="2863" w:type="dxa"/>
            <w:tcBorders>
              <w:right w:val="double" w:color="auto" w:sz="4" w:space="0"/>
            </w:tcBorders>
            <w:noWrap w:val="0"/>
            <w:vAlign w:val="center"/>
          </w:tcPr>
          <w:p w14:paraId="69F89654">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现场安装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2FB43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12DAD6DE">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lang w:val="en-US" w:eastAsia="zh-CN"/>
              </w:rPr>
            </w:pPr>
            <w:r>
              <w:rPr>
                <w:rFonts w:hint="eastAsia" w:cs="宋体"/>
                <w:color w:val="auto"/>
                <w:sz w:val="21"/>
                <w:szCs w:val="21"/>
                <w:lang w:val="en-US" w:eastAsia="zh-CN"/>
              </w:rPr>
              <w:t>8</w:t>
            </w:r>
          </w:p>
        </w:tc>
        <w:tc>
          <w:tcPr>
            <w:tcW w:w="1077" w:type="dxa"/>
            <w:noWrap w:val="0"/>
            <w:vAlign w:val="center"/>
          </w:tcPr>
          <w:p w14:paraId="6F120234">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default" w:ascii="宋体" w:hAnsi="宋体"/>
                <w:color w:val="auto"/>
                <w:sz w:val="18"/>
                <w:szCs w:val="18"/>
                <w:lang w:val="en-US"/>
              </w:rPr>
              <w:t>万能表</w:t>
            </w:r>
          </w:p>
        </w:tc>
        <w:tc>
          <w:tcPr>
            <w:tcW w:w="2777" w:type="dxa"/>
            <w:noWrap w:val="0"/>
            <w:vAlign w:val="center"/>
          </w:tcPr>
          <w:p w14:paraId="3927EA5D">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p>
        </w:tc>
        <w:tc>
          <w:tcPr>
            <w:tcW w:w="770" w:type="dxa"/>
            <w:noWrap w:val="0"/>
            <w:vAlign w:val="center"/>
          </w:tcPr>
          <w:p w14:paraId="4521C555">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台</w:t>
            </w:r>
          </w:p>
        </w:tc>
        <w:tc>
          <w:tcPr>
            <w:tcW w:w="2863" w:type="dxa"/>
            <w:tcBorders>
              <w:right w:val="double" w:color="auto" w:sz="4" w:space="0"/>
            </w:tcBorders>
            <w:noWrap w:val="0"/>
            <w:vAlign w:val="center"/>
          </w:tcPr>
          <w:p w14:paraId="3A209EF7">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现场安装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3C422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0" w:type="dxa"/>
            <w:gridSpan w:val="5"/>
            <w:tcBorders>
              <w:left w:val="double" w:color="auto" w:sz="4" w:space="0"/>
              <w:right w:val="double" w:color="auto" w:sz="4" w:space="0"/>
            </w:tcBorders>
            <w:noWrap w:val="0"/>
            <w:vAlign w:val="center"/>
          </w:tcPr>
          <w:p w14:paraId="0B5EE0BE">
            <w:pPr>
              <w:keepNext w:val="0"/>
              <w:keepLines w:val="0"/>
              <w:pageBreakBefore w:val="0"/>
              <w:widowControl w:val="0"/>
              <w:kinsoku/>
              <w:wordWrap/>
              <w:overflowPunct/>
              <w:topLinePunct w:val="0"/>
              <w:autoSpaceDE/>
              <w:autoSpaceDN/>
              <w:bidi w:val="0"/>
              <w:spacing w:line="240" w:lineRule="auto"/>
              <w:ind w:firstLine="422"/>
              <w:jc w:val="center"/>
              <w:rPr>
                <w:rFonts w:hint="eastAsia" w:ascii="宋体" w:hAnsi="宋体" w:eastAsia="宋体" w:cs="宋体"/>
                <w:color w:val="auto"/>
                <w:kern w:val="0"/>
                <w:sz w:val="21"/>
                <w:szCs w:val="21"/>
              </w:rPr>
            </w:pPr>
            <w:r>
              <w:rPr>
                <w:rFonts w:hint="eastAsia" w:ascii="宋体" w:hAnsi="宋体" w:eastAsia="宋体" w:cs="宋体"/>
                <w:b/>
                <w:color w:val="auto"/>
                <w:sz w:val="21"/>
                <w:szCs w:val="21"/>
                <w:lang w:eastAsia="zh-CN"/>
              </w:rPr>
              <w:t>三　</w:t>
            </w:r>
            <w:r>
              <w:rPr>
                <w:rFonts w:hint="eastAsia" w:ascii="宋体" w:hAnsi="宋体" w:eastAsia="宋体" w:cs="宋体"/>
                <w:b/>
                <w:color w:val="auto"/>
                <w:sz w:val="21"/>
                <w:szCs w:val="21"/>
              </w:rPr>
              <w:t>、其他机具材料</w:t>
            </w:r>
          </w:p>
        </w:tc>
      </w:tr>
      <w:tr w14:paraId="47EAF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5AD13669">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77" w:type="dxa"/>
            <w:noWrap w:val="0"/>
            <w:vAlign w:val="center"/>
          </w:tcPr>
          <w:p w14:paraId="2E99320A">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安全带</w:t>
            </w:r>
          </w:p>
        </w:tc>
        <w:tc>
          <w:tcPr>
            <w:tcW w:w="2777" w:type="dxa"/>
            <w:noWrap w:val="0"/>
            <w:vAlign w:val="center"/>
          </w:tcPr>
          <w:p w14:paraId="264E7BEC">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35E16527">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6根</w:t>
            </w:r>
          </w:p>
        </w:tc>
        <w:tc>
          <w:tcPr>
            <w:tcW w:w="2863" w:type="dxa"/>
            <w:tcBorders>
              <w:right w:val="double" w:color="auto" w:sz="4" w:space="0"/>
            </w:tcBorders>
            <w:noWrap w:val="0"/>
            <w:vAlign w:val="center"/>
          </w:tcPr>
          <w:p w14:paraId="403866F4">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p>
        </w:tc>
      </w:tr>
      <w:tr w14:paraId="3603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2CC00E2F">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077" w:type="dxa"/>
            <w:noWrap w:val="0"/>
            <w:vAlign w:val="center"/>
          </w:tcPr>
          <w:p w14:paraId="47E9D398">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安全帽</w:t>
            </w:r>
          </w:p>
        </w:tc>
        <w:tc>
          <w:tcPr>
            <w:tcW w:w="2777" w:type="dxa"/>
            <w:noWrap w:val="0"/>
            <w:vAlign w:val="center"/>
          </w:tcPr>
          <w:p w14:paraId="7D8286F7">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10128212">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6顶</w:t>
            </w:r>
          </w:p>
        </w:tc>
        <w:tc>
          <w:tcPr>
            <w:tcW w:w="2863" w:type="dxa"/>
            <w:tcBorders>
              <w:right w:val="double" w:color="auto" w:sz="4" w:space="0"/>
            </w:tcBorders>
            <w:noWrap w:val="0"/>
            <w:vAlign w:val="center"/>
          </w:tcPr>
          <w:p w14:paraId="08C5BF7E">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p>
        </w:tc>
      </w:tr>
      <w:tr w14:paraId="5936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70E8D3E7">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077" w:type="dxa"/>
            <w:noWrap w:val="0"/>
            <w:vAlign w:val="center"/>
          </w:tcPr>
          <w:p w14:paraId="206929C8">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对讲机</w:t>
            </w:r>
          </w:p>
        </w:tc>
        <w:tc>
          <w:tcPr>
            <w:tcW w:w="2777" w:type="dxa"/>
            <w:noWrap w:val="0"/>
            <w:vAlign w:val="center"/>
          </w:tcPr>
          <w:p w14:paraId="14FE2B06">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46011C77">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6台</w:t>
            </w:r>
          </w:p>
        </w:tc>
        <w:tc>
          <w:tcPr>
            <w:tcW w:w="2863" w:type="dxa"/>
            <w:tcBorders>
              <w:right w:val="double" w:color="auto" w:sz="4" w:space="0"/>
            </w:tcBorders>
            <w:noWrap w:val="0"/>
            <w:vAlign w:val="center"/>
          </w:tcPr>
          <w:p w14:paraId="31FB508F">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p>
        </w:tc>
      </w:tr>
      <w:tr w14:paraId="42E8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7858D9E8">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077" w:type="dxa"/>
            <w:noWrap w:val="0"/>
            <w:vAlign w:val="center"/>
          </w:tcPr>
          <w:p w14:paraId="1583F583">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棕绳</w:t>
            </w:r>
          </w:p>
        </w:tc>
        <w:tc>
          <w:tcPr>
            <w:tcW w:w="2777" w:type="dxa"/>
            <w:noWrap w:val="0"/>
            <w:vAlign w:val="center"/>
          </w:tcPr>
          <w:p w14:paraId="559CCE58">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Φ18</w:t>
            </w:r>
          </w:p>
        </w:tc>
        <w:tc>
          <w:tcPr>
            <w:tcW w:w="770" w:type="dxa"/>
            <w:noWrap w:val="0"/>
            <w:vAlign w:val="center"/>
          </w:tcPr>
          <w:p w14:paraId="422FC26F">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50m</w:t>
            </w:r>
          </w:p>
        </w:tc>
        <w:tc>
          <w:tcPr>
            <w:tcW w:w="2863" w:type="dxa"/>
            <w:tcBorders>
              <w:right w:val="double" w:color="auto" w:sz="4" w:space="0"/>
            </w:tcBorders>
            <w:noWrap w:val="0"/>
            <w:vAlign w:val="center"/>
          </w:tcPr>
          <w:p w14:paraId="4B08B149">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缆风绳用</w:t>
            </w:r>
          </w:p>
        </w:tc>
      </w:tr>
      <w:tr w14:paraId="5BB7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64158A72">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077" w:type="dxa"/>
            <w:noWrap w:val="0"/>
            <w:vAlign w:val="center"/>
          </w:tcPr>
          <w:p w14:paraId="2230BE48">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警示带</w:t>
            </w:r>
          </w:p>
        </w:tc>
        <w:tc>
          <w:tcPr>
            <w:tcW w:w="2777" w:type="dxa"/>
            <w:noWrap w:val="0"/>
            <w:vAlign w:val="center"/>
          </w:tcPr>
          <w:p w14:paraId="4D509145">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7782E415">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500m</w:t>
            </w:r>
          </w:p>
        </w:tc>
        <w:tc>
          <w:tcPr>
            <w:tcW w:w="2863" w:type="dxa"/>
            <w:tcBorders>
              <w:right w:val="double" w:color="auto" w:sz="4" w:space="0"/>
            </w:tcBorders>
            <w:noWrap w:val="0"/>
            <w:vAlign w:val="center"/>
          </w:tcPr>
          <w:p w14:paraId="774018B9">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p>
        </w:tc>
      </w:tr>
      <w:tr w14:paraId="57BD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12806C62">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1077" w:type="dxa"/>
            <w:noWrap w:val="0"/>
            <w:vAlign w:val="center"/>
          </w:tcPr>
          <w:p w14:paraId="523E3783">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安全网</w:t>
            </w:r>
          </w:p>
        </w:tc>
        <w:tc>
          <w:tcPr>
            <w:tcW w:w="2777" w:type="dxa"/>
            <w:noWrap w:val="0"/>
            <w:vAlign w:val="center"/>
          </w:tcPr>
          <w:p w14:paraId="4F236BD7">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41D780FE">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1套</w:t>
            </w:r>
          </w:p>
        </w:tc>
        <w:tc>
          <w:tcPr>
            <w:tcW w:w="2863" w:type="dxa"/>
            <w:tcBorders>
              <w:right w:val="double" w:color="auto" w:sz="4" w:space="0"/>
            </w:tcBorders>
            <w:noWrap w:val="0"/>
            <w:vAlign w:val="center"/>
          </w:tcPr>
          <w:p w14:paraId="05C1B18F">
            <w:pPr>
              <w:pStyle w:val="44"/>
              <w:keepNext w:val="0"/>
              <w:keepLines w:val="0"/>
              <w:pageBreakBefore w:val="0"/>
              <w:widowControl w:val="0"/>
              <w:kinsoku/>
              <w:wordWrap/>
              <w:overflowPunct/>
              <w:topLinePunct w:val="0"/>
              <w:autoSpaceDE/>
              <w:autoSpaceDN/>
              <w:bidi w:val="0"/>
              <w:spacing w:before="60" w:line="240" w:lineRule="auto"/>
              <w:rPr>
                <w:rFonts w:hint="eastAsia" w:ascii="宋体" w:hAnsi="宋体" w:eastAsia="宋体" w:cs="宋体"/>
                <w:color w:val="auto"/>
                <w:sz w:val="21"/>
                <w:szCs w:val="21"/>
              </w:rPr>
            </w:pPr>
          </w:p>
        </w:tc>
      </w:tr>
      <w:tr w14:paraId="036F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3D2DDF8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1077" w:type="dxa"/>
            <w:noWrap w:val="0"/>
            <w:vAlign w:val="center"/>
          </w:tcPr>
          <w:p w14:paraId="22131D30">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防滑手套</w:t>
            </w:r>
          </w:p>
        </w:tc>
        <w:tc>
          <w:tcPr>
            <w:tcW w:w="2777" w:type="dxa"/>
            <w:noWrap w:val="0"/>
            <w:vAlign w:val="center"/>
          </w:tcPr>
          <w:p w14:paraId="581D1BEB">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1707A19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12双</w:t>
            </w:r>
          </w:p>
        </w:tc>
        <w:tc>
          <w:tcPr>
            <w:tcW w:w="2863" w:type="dxa"/>
            <w:tcBorders>
              <w:right w:val="double" w:color="auto" w:sz="4" w:space="0"/>
            </w:tcBorders>
            <w:noWrap w:val="0"/>
            <w:vAlign w:val="center"/>
          </w:tcPr>
          <w:p w14:paraId="037F76DB">
            <w:pPr>
              <w:pStyle w:val="44"/>
              <w:spacing w:before="60"/>
              <w:rPr>
                <w:rFonts w:hint="eastAsia" w:ascii="宋体" w:hAnsi="宋体" w:eastAsia="宋体" w:cs="宋体"/>
                <w:color w:val="auto"/>
                <w:sz w:val="21"/>
                <w:szCs w:val="21"/>
              </w:rPr>
            </w:pPr>
          </w:p>
        </w:tc>
      </w:tr>
    </w:tbl>
    <w:p w14:paraId="30A420F7">
      <w:pPr>
        <w:pStyle w:val="4"/>
        <w:spacing w:before="156" w:after="156"/>
        <w:ind w:left="480" w:leftChars="0" w:firstLineChars="0"/>
        <w:rPr>
          <w:color w:val="auto"/>
        </w:rPr>
      </w:pPr>
      <w:bookmarkStart w:id="77" w:name="_Toc3717"/>
      <w:bookmarkStart w:id="78" w:name="_Toc29143"/>
      <w:bookmarkStart w:id="79" w:name="_Toc40778435"/>
      <w:bookmarkStart w:id="80" w:name="_Toc28613961"/>
      <w:bookmarkStart w:id="81" w:name="_Toc1650"/>
      <w:r>
        <w:rPr>
          <w:rFonts w:hint="eastAsia"/>
          <w:color w:val="auto"/>
        </w:rPr>
        <w:t>设备计划</w:t>
      </w:r>
      <w:bookmarkEnd w:id="77"/>
      <w:bookmarkEnd w:id="78"/>
      <w:bookmarkEnd w:id="79"/>
      <w:bookmarkEnd w:id="80"/>
      <w:bookmarkEnd w:id="81"/>
    </w:p>
    <w:p w14:paraId="3905C362">
      <w:pPr>
        <w:ind w:firstLine="422"/>
        <w:jc w:val="center"/>
        <w:rPr>
          <w:rFonts w:ascii="宋体" w:hAnsi="宋体" w:cs="黑体"/>
          <w:b/>
          <w:color w:val="auto"/>
          <w:sz w:val="21"/>
          <w:szCs w:val="21"/>
        </w:rPr>
      </w:pPr>
      <w:bookmarkStart w:id="82" w:name="_Toc31407"/>
      <w:bookmarkStart w:id="83" w:name="_Toc40778436"/>
      <w:r>
        <w:rPr>
          <w:rFonts w:hint="eastAsia" w:ascii="宋体" w:hAnsi="宋体" w:cs="黑体"/>
          <w:b/>
          <w:color w:val="auto"/>
          <w:sz w:val="21"/>
          <w:szCs w:val="21"/>
        </w:rPr>
        <w:t>表</w:t>
      </w:r>
      <w:r>
        <w:rPr>
          <w:rFonts w:ascii="宋体" w:hAnsi="宋体" w:cs="黑体"/>
          <w:b/>
          <w:color w:val="auto"/>
          <w:sz w:val="21"/>
          <w:szCs w:val="21"/>
        </w:rPr>
        <w:t>3.</w:t>
      </w:r>
      <w:r>
        <w:rPr>
          <w:rFonts w:hint="eastAsia" w:ascii="宋体" w:hAnsi="宋体" w:cs="黑体"/>
          <w:b/>
          <w:color w:val="auto"/>
          <w:sz w:val="21"/>
          <w:szCs w:val="21"/>
          <w:lang w:val="en-US" w:eastAsia="zh-CN"/>
        </w:rPr>
        <w:t>4</w:t>
      </w:r>
      <w:r>
        <w:rPr>
          <w:rFonts w:ascii="宋体" w:hAnsi="宋体" w:cs="黑体"/>
          <w:b/>
          <w:color w:val="auto"/>
          <w:sz w:val="21"/>
          <w:szCs w:val="21"/>
        </w:rPr>
        <w:t>-</w:t>
      </w:r>
      <w:r>
        <w:rPr>
          <w:rFonts w:hint="eastAsia" w:ascii="宋体" w:hAnsi="宋体" w:cs="黑体"/>
          <w:b/>
          <w:color w:val="auto"/>
          <w:sz w:val="21"/>
          <w:szCs w:val="21"/>
          <w:lang w:val="en-US" w:eastAsia="zh-CN"/>
        </w:rPr>
        <w:t>1</w:t>
      </w:r>
      <w:r>
        <w:rPr>
          <w:rFonts w:hint="eastAsia" w:ascii="宋体" w:hAnsi="宋体" w:cs="黑体"/>
          <w:b/>
          <w:color w:val="auto"/>
          <w:sz w:val="21"/>
          <w:szCs w:val="21"/>
        </w:rPr>
        <w:t>作业工机具</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426"/>
        <w:gridCol w:w="2428"/>
        <w:gridCol w:w="770"/>
        <w:gridCol w:w="2863"/>
      </w:tblGrid>
      <w:tr w14:paraId="6CD41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top w:val="double" w:color="auto" w:sz="4" w:space="0"/>
              <w:left w:val="double" w:color="auto" w:sz="4" w:space="0"/>
            </w:tcBorders>
            <w:shd w:val="clear" w:color="auto" w:fill="DEEBF6"/>
            <w:noWrap w:val="0"/>
            <w:vAlign w:val="center"/>
          </w:tcPr>
          <w:p w14:paraId="0F15A446">
            <w:pPr>
              <w:pStyle w:val="44"/>
              <w:spacing w:before="60"/>
              <w:rPr>
                <w:rFonts w:hint="eastAsia"/>
                <w:color w:val="auto"/>
                <w:sz w:val="21"/>
                <w:szCs w:val="21"/>
              </w:rPr>
            </w:pPr>
            <w:r>
              <w:rPr>
                <w:rFonts w:hint="eastAsia"/>
                <w:color w:val="auto"/>
                <w:sz w:val="21"/>
                <w:szCs w:val="21"/>
              </w:rPr>
              <w:t>序号</w:t>
            </w:r>
          </w:p>
        </w:tc>
        <w:tc>
          <w:tcPr>
            <w:tcW w:w="1426" w:type="dxa"/>
            <w:tcBorders>
              <w:top w:val="double" w:color="auto" w:sz="4" w:space="0"/>
            </w:tcBorders>
            <w:shd w:val="clear" w:color="auto" w:fill="DEEBF6"/>
            <w:noWrap w:val="0"/>
            <w:vAlign w:val="center"/>
          </w:tcPr>
          <w:p w14:paraId="2D7CC33A">
            <w:pPr>
              <w:pStyle w:val="44"/>
              <w:spacing w:before="60"/>
              <w:rPr>
                <w:rFonts w:hint="eastAsia"/>
                <w:color w:val="auto"/>
                <w:sz w:val="21"/>
                <w:szCs w:val="21"/>
              </w:rPr>
            </w:pPr>
            <w:r>
              <w:rPr>
                <w:rFonts w:hint="eastAsia"/>
                <w:color w:val="auto"/>
                <w:sz w:val="21"/>
                <w:szCs w:val="21"/>
              </w:rPr>
              <w:t>名称</w:t>
            </w:r>
          </w:p>
        </w:tc>
        <w:tc>
          <w:tcPr>
            <w:tcW w:w="2428" w:type="dxa"/>
            <w:tcBorders>
              <w:top w:val="double" w:color="auto" w:sz="4" w:space="0"/>
            </w:tcBorders>
            <w:shd w:val="clear" w:color="auto" w:fill="DEEBF6"/>
            <w:noWrap w:val="0"/>
            <w:vAlign w:val="center"/>
          </w:tcPr>
          <w:p w14:paraId="6C4AE46E">
            <w:pPr>
              <w:pStyle w:val="44"/>
              <w:spacing w:before="60"/>
              <w:rPr>
                <w:rFonts w:hint="eastAsia"/>
                <w:color w:val="auto"/>
                <w:sz w:val="21"/>
                <w:szCs w:val="21"/>
              </w:rPr>
            </w:pPr>
            <w:r>
              <w:rPr>
                <w:rFonts w:hint="eastAsia"/>
                <w:color w:val="auto"/>
                <w:sz w:val="21"/>
                <w:szCs w:val="21"/>
              </w:rPr>
              <w:t>型号</w:t>
            </w:r>
          </w:p>
        </w:tc>
        <w:tc>
          <w:tcPr>
            <w:tcW w:w="770" w:type="dxa"/>
            <w:tcBorders>
              <w:top w:val="double" w:color="auto" w:sz="4" w:space="0"/>
            </w:tcBorders>
            <w:shd w:val="clear" w:color="auto" w:fill="DEEBF6"/>
            <w:noWrap w:val="0"/>
            <w:vAlign w:val="center"/>
          </w:tcPr>
          <w:p w14:paraId="1F15471C">
            <w:pPr>
              <w:pStyle w:val="44"/>
              <w:spacing w:before="60"/>
              <w:rPr>
                <w:rFonts w:hint="eastAsia"/>
                <w:color w:val="auto"/>
                <w:sz w:val="21"/>
                <w:szCs w:val="21"/>
              </w:rPr>
            </w:pPr>
            <w:r>
              <w:rPr>
                <w:rFonts w:hint="eastAsia"/>
                <w:color w:val="auto"/>
                <w:sz w:val="21"/>
                <w:szCs w:val="21"/>
              </w:rPr>
              <w:t>数量</w:t>
            </w:r>
          </w:p>
        </w:tc>
        <w:tc>
          <w:tcPr>
            <w:tcW w:w="2863" w:type="dxa"/>
            <w:tcBorders>
              <w:top w:val="double" w:color="auto" w:sz="4" w:space="0"/>
              <w:right w:val="double" w:color="auto" w:sz="4" w:space="0"/>
            </w:tcBorders>
            <w:shd w:val="clear" w:color="auto" w:fill="DEEBF6"/>
            <w:noWrap w:val="0"/>
            <w:vAlign w:val="center"/>
          </w:tcPr>
          <w:p w14:paraId="7514EBCB">
            <w:pPr>
              <w:pStyle w:val="44"/>
              <w:spacing w:before="60"/>
              <w:rPr>
                <w:rFonts w:hint="eastAsia"/>
                <w:color w:val="auto"/>
                <w:sz w:val="21"/>
                <w:szCs w:val="21"/>
              </w:rPr>
            </w:pPr>
            <w:r>
              <w:rPr>
                <w:rFonts w:hint="eastAsia"/>
                <w:color w:val="auto"/>
                <w:sz w:val="21"/>
                <w:szCs w:val="21"/>
              </w:rPr>
              <w:t>备注</w:t>
            </w:r>
          </w:p>
        </w:tc>
      </w:tr>
      <w:tr w14:paraId="5CD2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33" w:type="dxa"/>
            <w:tcBorders>
              <w:left w:val="double" w:color="auto" w:sz="4" w:space="0"/>
            </w:tcBorders>
            <w:noWrap w:val="0"/>
            <w:vAlign w:val="center"/>
          </w:tcPr>
          <w:p w14:paraId="6408E02D">
            <w:pPr>
              <w:pStyle w:val="44"/>
              <w:spacing w:before="60"/>
              <w:rPr>
                <w:rFonts w:hint="eastAsia"/>
                <w:color w:val="auto"/>
                <w:sz w:val="21"/>
                <w:szCs w:val="21"/>
              </w:rPr>
            </w:pPr>
            <w:r>
              <w:rPr>
                <w:rFonts w:hint="eastAsia"/>
                <w:color w:val="auto"/>
                <w:sz w:val="21"/>
                <w:szCs w:val="21"/>
              </w:rPr>
              <w:t>1</w:t>
            </w:r>
          </w:p>
        </w:tc>
        <w:tc>
          <w:tcPr>
            <w:tcW w:w="1426" w:type="dxa"/>
            <w:noWrap w:val="0"/>
            <w:vAlign w:val="center"/>
          </w:tcPr>
          <w:p w14:paraId="4989707B">
            <w:pPr>
              <w:pStyle w:val="44"/>
              <w:spacing w:before="60"/>
              <w:rPr>
                <w:rFonts w:hint="eastAsia" w:eastAsia="宋体"/>
                <w:color w:val="auto"/>
                <w:sz w:val="21"/>
                <w:szCs w:val="21"/>
                <w:lang w:eastAsia="zh-CN"/>
              </w:rPr>
            </w:pPr>
            <w:r>
              <w:rPr>
                <w:rFonts w:hint="eastAsia"/>
                <w:color w:val="auto"/>
                <w:sz w:val="21"/>
                <w:szCs w:val="21"/>
                <w:lang w:val="en-US" w:eastAsia="zh-CN"/>
              </w:rPr>
              <w:t>塔式起重机</w:t>
            </w:r>
          </w:p>
        </w:tc>
        <w:tc>
          <w:tcPr>
            <w:tcW w:w="2428" w:type="dxa"/>
            <w:noWrap w:val="0"/>
            <w:vAlign w:val="center"/>
          </w:tcPr>
          <w:p w14:paraId="27833989">
            <w:pPr>
              <w:pStyle w:val="44"/>
              <w:spacing w:before="60"/>
              <w:rPr>
                <w:rFonts w:hint="default"/>
                <w:color w:val="auto"/>
                <w:sz w:val="21"/>
                <w:szCs w:val="21"/>
                <w:lang w:val="en-US"/>
              </w:rPr>
            </w:pPr>
            <w:r>
              <w:rPr>
                <w:rFonts w:hint="eastAsia"/>
                <w:color w:val="auto"/>
                <w:sz w:val="21"/>
                <w:szCs w:val="21"/>
                <w:lang w:val="en-US" w:eastAsia="zh-CN"/>
              </w:rPr>
              <w:t>XGT6015-8S1</w:t>
            </w:r>
          </w:p>
        </w:tc>
        <w:tc>
          <w:tcPr>
            <w:tcW w:w="770" w:type="dxa"/>
            <w:noWrap w:val="0"/>
            <w:vAlign w:val="center"/>
          </w:tcPr>
          <w:p w14:paraId="118726CB">
            <w:pPr>
              <w:pStyle w:val="44"/>
              <w:spacing w:before="60"/>
              <w:rPr>
                <w:rFonts w:hint="eastAsia"/>
                <w:color w:val="auto"/>
                <w:sz w:val="21"/>
                <w:szCs w:val="21"/>
              </w:rPr>
            </w:pPr>
            <w:r>
              <w:rPr>
                <w:rFonts w:hint="eastAsia"/>
                <w:color w:val="auto"/>
                <w:sz w:val="21"/>
                <w:szCs w:val="21"/>
              </w:rPr>
              <w:t>1台</w:t>
            </w:r>
          </w:p>
        </w:tc>
        <w:tc>
          <w:tcPr>
            <w:tcW w:w="2863" w:type="dxa"/>
            <w:tcBorders>
              <w:right w:val="double" w:color="auto" w:sz="4" w:space="0"/>
            </w:tcBorders>
            <w:noWrap w:val="0"/>
            <w:vAlign w:val="center"/>
          </w:tcPr>
          <w:p w14:paraId="7F789153">
            <w:pPr>
              <w:pStyle w:val="44"/>
              <w:spacing w:before="60"/>
              <w:rPr>
                <w:rFonts w:hint="eastAsia"/>
                <w:color w:val="auto"/>
                <w:sz w:val="21"/>
                <w:szCs w:val="21"/>
              </w:rPr>
            </w:pPr>
            <w:r>
              <w:rPr>
                <w:rFonts w:hint="eastAsia"/>
                <w:color w:val="auto"/>
                <w:sz w:val="21"/>
                <w:szCs w:val="21"/>
              </w:rPr>
              <w:t>安装、吊装</w:t>
            </w:r>
          </w:p>
        </w:tc>
      </w:tr>
    </w:tbl>
    <w:p w14:paraId="643C6690">
      <w:pPr>
        <w:pStyle w:val="48"/>
        <w:ind w:firstLine="480"/>
        <w:rPr>
          <w:rFonts w:hint="eastAsia" w:ascii="Times New Roman" w:hAnsi="Times New Roman" w:cs="Times New Roman"/>
          <w:color w:val="auto"/>
          <w:kern w:val="2"/>
        </w:rPr>
        <w:sectPr>
          <w:pgSz w:w="11906" w:h="16838"/>
          <w:pgMar w:top="1440" w:right="1134" w:bottom="1440" w:left="1797" w:header="851" w:footer="992" w:gutter="0"/>
          <w:pgNumType w:fmt="decimal"/>
          <w:cols w:space="720" w:num="1"/>
          <w:docGrid w:type="linesAndChars" w:linePitch="326" w:charSpace="0"/>
        </w:sectPr>
      </w:pPr>
    </w:p>
    <w:p w14:paraId="7EE8E5FC">
      <w:pPr>
        <w:pStyle w:val="3"/>
        <w:spacing w:before="156" w:after="156"/>
        <w:rPr>
          <w:color w:val="auto"/>
        </w:rPr>
      </w:pPr>
      <w:bookmarkStart w:id="84" w:name="_Toc26279"/>
      <w:bookmarkStart w:id="85" w:name="_Toc25144"/>
      <w:r>
        <w:rPr>
          <w:rFonts w:hint="eastAsia"/>
          <w:color w:val="auto"/>
        </w:rPr>
        <w:t>施工工艺技术</w:t>
      </w:r>
      <w:bookmarkEnd w:id="82"/>
      <w:bookmarkEnd w:id="83"/>
      <w:bookmarkEnd w:id="84"/>
      <w:bookmarkEnd w:id="85"/>
    </w:p>
    <w:p w14:paraId="0BC59B8C">
      <w:pPr>
        <w:pStyle w:val="4"/>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color w:val="auto"/>
        </w:rPr>
      </w:pPr>
      <w:bookmarkStart w:id="86" w:name="_Toc11605"/>
      <w:bookmarkStart w:id="87" w:name="_Toc1745"/>
      <w:bookmarkStart w:id="88" w:name="_Toc29597"/>
      <w:bookmarkStart w:id="89" w:name="_Toc2911"/>
      <w:bookmarkStart w:id="90" w:name="_Toc26392"/>
      <w:bookmarkStart w:id="91" w:name="_Toc40778437"/>
      <w:bookmarkStart w:id="92" w:name="_Toc11075"/>
      <w:bookmarkStart w:id="93" w:name="_Toc1607"/>
      <w:r>
        <w:rPr>
          <w:rFonts w:hint="eastAsia"/>
          <w:color w:val="auto"/>
        </w:rPr>
        <w:t>总体施工方案</w:t>
      </w:r>
      <w:bookmarkEnd w:id="86"/>
      <w:bookmarkEnd w:id="87"/>
    </w:p>
    <w:p w14:paraId="4C91DEAC">
      <w:pPr>
        <w:rPr>
          <w:rFonts w:hint="eastAsia"/>
          <w:color w:val="auto"/>
          <w:lang w:val="en-US" w:eastAsia="zh-CN"/>
        </w:rPr>
      </w:pPr>
      <w:r>
        <w:rPr>
          <w:rFonts w:hint="eastAsia"/>
          <w:color w:val="auto"/>
          <w:lang w:val="en-US" w:eastAsia="zh-CN"/>
        </w:rPr>
        <w:t>4.1.1根据说明书要求制作合格的施工升降机基础；</w:t>
      </w:r>
    </w:p>
    <w:p w14:paraId="31A18C76">
      <w:pPr>
        <w:pStyle w:val="2"/>
        <w:rPr>
          <w:rFonts w:hint="eastAsia"/>
          <w:color w:val="auto"/>
          <w:lang w:val="en-US" w:eastAsia="zh-CN"/>
        </w:rPr>
      </w:pPr>
      <w:r>
        <w:rPr>
          <w:rFonts w:hint="eastAsia"/>
          <w:color w:val="auto"/>
          <w:lang w:val="en-US" w:eastAsia="zh-CN"/>
        </w:rPr>
        <w:t>4.1.2在告知完成后可安装施工升降机；</w:t>
      </w:r>
    </w:p>
    <w:p w14:paraId="0FAF5F40">
      <w:pPr>
        <w:rPr>
          <w:rFonts w:hint="eastAsia"/>
          <w:color w:val="auto"/>
          <w:lang w:val="en-US" w:eastAsia="zh-CN"/>
        </w:rPr>
      </w:pPr>
      <w:r>
        <w:rPr>
          <w:rFonts w:hint="eastAsia"/>
          <w:color w:val="auto"/>
          <w:lang w:val="en-US" w:eastAsia="zh-CN"/>
        </w:rPr>
        <w:t>4.1.3在安装前项目部相关人员及安装单位相关人员进行安装前的技术交底；</w:t>
      </w:r>
    </w:p>
    <w:p w14:paraId="5BC0E8E9">
      <w:pPr>
        <w:pStyle w:val="2"/>
        <w:rPr>
          <w:rFonts w:hint="eastAsia"/>
          <w:color w:val="auto"/>
          <w:lang w:val="en-US" w:eastAsia="zh-CN"/>
        </w:rPr>
      </w:pPr>
      <w:r>
        <w:rPr>
          <w:rFonts w:hint="eastAsia"/>
          <w:color w:val="auto"/>
          <w:lang w:val="en-US" w:eastAsia="zh-CN"/>
        </w:rPr>
        <w:t>4.1.4在施工升降机的安装过程中必须以说明书及安装方案进行施工；</w:t>
      </w:r>
    </w:p>
    <w:p w14:paraId="70DA3B68">
      <w:pPr>
        <w:rPr>
          <w:rFonts w:hint="eastAsia"/>
          <w:color w:val="auto"/>
          <w:lang w:val="en-US" w:eastAsia="zh-CN"/>
        </w:rPr>
      </w:pPr>
      <w:r>
        <w:rPr>
          <w:rFonts w:hint="eastAsia"/>
          <w:color w:val="auto"/>
          <w:lang w:val="en-US" w:eastAsia="zh-CN"/>
        </w:rPr>
        <w:t>4.1.5安装完成后安装单位自检完成后向当地特检部门申请检测；</w:t>
      </w:r>
    </w:p>
    <w:p w14:paraId="30044EF3">
      <w:pPr>
        <w:pStyle w:val="2"/>
        <w:rPr>
          <w:rFonts w:hint="default"/>
          <w:color w:val="auto"/>
          <w:lang w:val="en-US" w:eastAsia="zh-CN"/>
        </w:rPr>
      </w:pPr>
      <w:r>
        <w:rPr>
          <w:rFonts w:hint="eastAsia"/>
          <w:color w:val="auto"/>
          <w:lang w:val="en-US" w:eastAsia="zh-CN"/>
        </w:rPr>
        <w:t>4.1.6检测合格后（如需要使用登记，则在使用登记完成后）才可使用施工升降机。</w:t>
      </w:r>
    </w:p>
    <w:p w14:paraId="6A2E54C7">
      <w:pPr>
        <w:pStyle w:val="4"/>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rPr>
      </w:pPr>
      <w:bookmarkStart w:id="94" w:name="_Toc17499"/>
      <w:bookmarkStart w:id="95" w:name="_Toc19794"/>
      <w:r>
        <w:rPr>
          <w:rFonts w:hint="eastAsia" w:eastAsia="宋体"/>
          <w:color w:val="auto"/>
        </w:rPr>
        <w:t>主要设备选型</w:t>
      </w:r>
      <w:bookmarkEnd w:id="94"/>
      <w:bookmarkEnd w:id="95"/>
    </w:p>
    <w:p w14:paraId="7395E5BC">
      <w:pPr>
        <w:pStyle w:val="5"/>
        <w:bidi w:val="0"/>
        <w:rPr>
          <w:rFonts w:hint="eastAsia"/>
          <w:lang w:val="en-US" w:eastAsia="zh-CN"/>
        </w:rPr>
      </w:pPr>
      <w:r>
        <w:rPr>
          <w:rFonts w:hint="eastAsia"/>
          <w:lang w:val="en-US" w:eastAsia="zh-CN"/>
        </w:rPr>
        <w:t>施工升降机各部件吊重重量明细表</w:t>
      </w:r>
    </w:p>
    <w:p w14:paraId="69D867DC">
      <w:pPr>
        <w:ind w:firstLine="480"/>
      </w:pPr>
      <w:r>
        <w:rPr>
          <w:rFonts w:hint="eastAsia"/>
        </w:rPr>
        <w:t>施工升降机初始安装时，</w:t>
      </w:r>
      <w:r>
        <w:rPr>
          <w:rFonts w:hint="eastAsia"/>
          <w:lang w:eastAsia="zh-CN"/>
        </w:rPr>
        <w:t>塔机</w:t>
      </w:r>
      <w:r>
        <w:rPr>
          <w:rFonts w:hint="eastAsia"/>
        </w:rPr>
        <w:t>的吊高在</w:t>
      </w:r>
      <w:r>
        <w:rPr>
          <w:rFonts w:hint="eastAsia"/>
          <w:lang w:val="en-US" w:eastAsia="zh-CN"/>
        </w:rPr>
        <w:t>40</w:t>
      </w:r>
      <w:r>
        <w:t>m</w:t>
      </w:r>
      <w:r>
        <w:rPr>
          <w:rFonts w:hint="eastAsia"/>
        </w:rPr>
        <w:t>（施工升降机初始安装高度为</w:t>
      </w:r>
      <w:r>
        <w:t>15m</w:t>
      </w:r>
      <w:r>
        <w:rPr>
          <w:rFonts w:hint="eastAsia"/>
        </w:rPr>
        <w:t>左右），故起重高度满足要求。同时参照以上</w:t>
      </w:r>
      <w:r>
        <w:rPr>
          <w:rFonts w:hint="eastAsia"/>
          <w:lang w:eastAsia="zh-CN"/>
        </w:rPr>
        <w:t>塔机</w:t>
      </w:r>
      <w:r>
        <w:rPr>
          <w:rFonts w:hint="eastAsia"/>
        </w:rPr>
        <w:t>起重性能参数表可知，</w:t>
      </w:r>
      <w:r>
        <w:rPr>
          <w:rFonts w:hint="eastAsia"/>
          <w:lang w:eastAsia="zh-CN"/>
        </w:rPr>
        <w:t>塔机</w:t>
      </w:r>
      <w:r>
        <w:rPr>
          <w:rFonts w:hint="eastAsia"/>
        </w:rPr>
        <w:t>在</w:t>
      </w:r>
      <w:r>
        <w:rPr>
          <w:rFonts w:hint="eastAsia"/>
          <w:lang w:val="en-US" w:eastAsia="zh-CN"/>
        </w:rPr>
        <w:t>20</w:t>
      </w:r>
      <w:r>
        <w:t>m</w:t>
      </w:r>
      <w:r>
        <w:rPr>
          <w:rFonts w:hint="eastAsia"/>
        </w:rPr>
        <w:t>以下的吊幅下起重能力达</w:t>
      </w:r>
      <w:r>
        <w:rPr>
          <w:rFonts w:hint="eastAsia"/>
          <w:lang w:val="en-US" w:eastAsia="zh-CN"/>
        </w:rPr>
        <w:t>4</w:t>
      </w:r>
      <w:r>
        <w:t>t</w:t>
      </w:r>
      <w:r>
        <w:rPr>
          <w:rFonts w:hint="eastAsia"/>
        </w:rPr>
        <w:t>（二倍率），满足标准节0</w:t>
      </w:r>
      <w:r>
        <w:t>.48</w:t>
      </w:r>
      <w:r>
        <w:rPr>
          <w:rFonts w:hint="eastAsia"/>
        </w:rPr>
        <w:t>t（三节标准节组装一起进行整体吊装）、</w:t>
      </w:r>
      <w:r>
        <w:rPr>
          <w:rFonts w:hint="eastAsia"/>
          <w:bCs/>
        </w:rPr>
        <w:t>吊笼主结构</w:t>
      </w:r>
      <w:r>
        <w:rPr>
          <w:rFonts w:hint="eastAsia"/>
          <w:bCs/>
          <w:lang w:eastAsia="zh-CN"/>
        </w:rPr>
        <w:t>2</w:t>
      </w:r>
      <w:r>
        <w:rPr>
          <w:bCs/>
        </w:rPr>
        <w:t>t</w:t>
      </w:r>
      <w:r>
        <w:rPr>
          <w:rFonts w:hint="eastAsia"/>
        </w:rPr>
        <w:t>的安装的施工要求。</w:t>
      </w:r>
    </w:p>
    <w:p w14:paraId="05F894AA">
      <w:pPr>
        <w:pStyle w:val="12"/>
        <w:jc w:val="both"/>
        <w:rPr>
          <w:rFonts w:hint="eastAsia" w:ascii="Times New Roman" w:hAnsi="Times New Roman" w:eastAsia="宋体" w:cs="Times New Roman"/>
          <w:bCs/>
          <w:kern w:val="2"/>
          <w:sz w:val="24"/>
          <w:szCs w:val="21"/>
          <w:lang w:val="en-US" w:eastAsia="zh-CN" w:bidi="ar-SA"/>
        </w:rPr>
      </w:pPr>
      <w:r>
        <w:rPr>
          <w:rFonts w:hint="eastAsia" w:ascii="Times New Roman" w:hAnsi="Times New Roman" w:eastAsia="宋体" w:cs="Times New Roman"/>
          <w:bCs/>
          <w:kern w:val="2"/>
          <w:sz w:val="24"/>
          <w:szCs w:val="21"/>
          <w:lang w:val="en-US" w:eastAsia="zh-CN" w:bidi="ar-SA"/>
        </w:rPr>
        <w:t>施工升降机整机安装工况吊装参数详见</w:t>
      </w:r>
      <w:r>
        <w:rPr>
          <w:rFonts w:hint="eastAsia" w:ascii="Times New Roman" w:hAnsi="Times New Roman" w:eastAsia="宋体" w:cs="Times New Roman"/>
          <w:bCs/>
          <w:kern w:val="2"/>
          <w:sz w:val="24"/>
          <w:szCs w:val="21"/>
          <w:lang w:val="en-US" w:eastAsia="zh-CN" w:bidi="ar-SA"/>
        </w:rPr>
        <w:fldChar w:fldCharType="begin"/>
      </w:r>
      <w:r>
        <w:rPr>
          <w:rFonts w:hint="eastAsia" w:ascii="Times New Roman" w:hAnsi="Times New Roman" w:eastAsia="宋体" w:cs="Times New Roman"/>
          <w:bCs/>
          <w:kern w:val="2"/>
          <w:sz w:val="24"/>
          <w:szCs w:val="21"/>
          <w:lang w:val="en-US" w:eastAsia="zh-CN" w:bidi="ar-SA"/>
        </w:rPr>
        <w:instrText xml:space="preserve"> REF _Ref121249921 \h </w:instrText>
      </w:r>
      <w:r>
        <w:rPr>
          <w:rFonts w:hint="eastAsia" w:ascii="Times New Roman" w:hAnsi="Times New Roman" w:eastAsia="宋体" w:cs="Times New Roman"/>
          <w:bCs/>
          <w:kern w:val="2"/>
          <w:sz w:val="24"/>
          <w:szCs w:val="21"/>
          <w:lang w:val="en-US" w:eastAsia="zh-CN" w:bidi="ar-SA"/>
        </w:rPr>
        <w:fldChar w:fldCharType="separate"/>
      </w:r>
      <w:r>
        <w:rPr>
          <w:rFonts w:hint="eastAsia" w:ascii="Times New Roman" w:hAnsi="Times New Roman" w:eastAsia="宋体" w:cs="Times New Roman"/>
          <w:bCs/>
          <w:kern w:val="2"/>
          <w:sz w:val="24"/>
          <w:szCs w:val="21"/>
          <w:lang w:val="en-US" w:eastAsia="zh-CN" w:bidi="ar-SA"/>
        </w:rPr>
        <w:t>表</w:t>
      </w:r>
      <w:r>
        <w:rPr>
          <w:rFonts w:hint="eastAsia" w:ascii="Times New Roman" w:hAnsi="Times New Roman" w:eastAsia="宋体" w:cs="Times New Roman"/>
          <w:bCs/>
          <w:kern w:val="2"/>
          <w:sz w:val="24"/>
          <w:szCs w:val="21"/>
          <w:lang w:val="en-US" w:eastAsia="zh-CN" w:bidi="ar-SA"/>
        </w:rPr>
        <w:fldChar w:fldCharType="begin"/>
      </w:r>
      <w:r>
        <w:rPr>
          <w:rFonts w:hint="eastAsia" w:ascii="Times New Roman" w:hAnsi="Times New Roman" w:eastAsia="宋体" w:cs="Times New Roman"/>
          <w:bCs/>
          <w:kern w:val="2"/>
          <w:sz w:val="24"/>
          <w:szCs w:val="21"/>
          <w:lang w:val="en-US" w:eastAsia="zh-CN" w:bidi="ar-SA"/>
        </w:rPr>
        <w:instrText xml:space="preserve"> STYLEREF 3 \s </w:instrText>
      </w:r>
      <w:r>
        <w:rPr>
          <w:rFonts w:hint="eastAsia" w:ascii="Times New Roman" w:hAnsi="Times New Roman" w:eastAsia="宋体" w:cs="Times New Roman"/>
          <w:bCs/>
          <w:kern w:val="2"/>
          <w:sz w:val="24"/>
          <w:szCs w:val="21"/>
          <w:lang w:val="en-US" w:eastAsia="zh-CN" w:bidi="ar-SA"/>
        </w:rPr>
        <w:fldChar w:fldCharType="separate"/>
      </w:r>
      <w:r>
        <w:rPr>
          <w:rFonts w:hint="eastAsia" w:ascii="Times New Roman" w:hAnsi="Times New Roman" w:eastAsia="宋体" w:cs="Times New Roman"/>
          <w:bCs/>
          <w:kern w:val="2"/>
          <w:sz w:val="24"/>
          <w:szCs w:val="21"/>
          <w:lang w:val="en-US" w:eastAsia="zh-CN" w:bidi="ar-SA"/>
        </w:rPr>
        <w:t>4.2.1</w:t>
      </w:r>
      <w:r>
        <w:rPr>
          <w:rFonts w:hint="eastAsia" w:ascii="Times New Roman" w:hAnsi="Times New Roman" w:eastAsia="宋体" w:cs="Times New Roman"/>
          <w:bCs/>
          <w:kern w:val="2"/>
          <w:sz w:val="24"/>
          <w:szCs w:val="21"/>
          <w:lang w:val="en-US" w:eastAsia="zh-CN" w:bidi="ar-SA"/>
        </w:rPr>
        <w:fldChar w:fldCharType="end"/>
      </w:r>
      <w:r>
        <w:rPr>
          <w:rFonts w:hint="eastAsia" w:ascii="Times New Roman" w:hAnsi="Times New Roman" w:eastAsia="宋体" w:cs="Times New Roman"/>
          <w:bCs/>
          <w:kern w:val="2"/>
          <w:sz w:val="24"/>
          <w:szCs w:val="21"/>
          <w:lang w:val="en-US" w:eastAsia="zh-CN" w:bidi="ar-SA"/>
        </w:rPr>
        <w:t>-1</w:t>
      </w:r>
      <w:r>
        <w:rPr>
          <w:rFonts w:hint="eastAsia" w:ascii="Times New Roman" w:hAnsi="Times New Roman" w:eastAsia="宋体" w:cs="Times New Roman"/>
          <w:bCs/>
          <w:kern w:val="2"/>
          <w:sz w:val="24"/>
          <w:szCs w:val="21"/>
          <w:lang w:val="en-US" w:eastAsia="zh-CN" w:bidi="ar-SA"/>
        </w:rPr>
        <w:fldChar w:fldCharType="end"/>
      </w:r>
      <w:r>
        <w:rPr>
          <w:rFonts w:hint="eastAsia" w:ascii="Times New Roman" w:hAnsi="Times New Roman" w:eastAsia="宋体" w:cs="Times New Roman"/>
          <w:bCs/>
          <w:kern w:val="2"/>
          <w:sz w:val="24"/>
          <w:szCs w:val="21"/>
          <w:lang w:val="en-US" w:eastAsia="zh-CN" w:bidi="ar-SA"/>
        </w:rPr>
        <w:t>所示。</w:t>
      </w:r>
      <w:bookmarkStart w:id="96" w:name="_Ref121249921"/>
    </w:p>
    <w:p w14:paraId="7819352D">
      <w:pPr>
        <w:rPr>
          <w:rFonts w:hint="eastAsia"/>
          <w:lang w:val="en-US" w:eastAsia="zh-CN"/>
        </w:rPr>
      </w:pPr>
    </w:p>
    <w:p w14:paraId="665A67B8">
      <w:pPr>
        <w:pStyle w:val="12"/>
        <w:jc w:val="center"/>
        <w:rPr>
          <w:rFonts w:hint="eastAsia" w:ascii="宋体" w:hAnsi="宋体" w:eastAsia="宋体" w:cs="黑体"/>
          <w:b/>
          <w:color w:val="auto"/>
          <w:kern w:val="2"/>
          <w:sz w:val="21"/>
          <w:szCs w:val="21"/>
          <w:lang w:val="en-US" w:eastAsia="zh-CN" w:bidi="ar-SA"/>
        </w:rPr>
      </w:pPr>
      <w:r>
        <w:rPr>
          <w:rFonts w:hint="eastAsia" w:ascii="宋体" w:hAnsi="宋体" w:eastAsia="宋体" w:cs="黑体"/>
          <w:b/>
          <w:color w:val="auto"/>
          <w:kern w:val="2"/>
          <w:sz w:val="21"/>
          <w:szCs w:val="21"/>
          <w:lang w:val="en-US" w:eastAsia="zh-CN" w:bidi="ar-SA"/>
        </w:rPr>
        <w:t>表</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STYLEREF 3 \s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4.2.1</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SEQ 表 \* ARABIC \s 3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1</w:t>
      </w:r>
      <w:r>
        <w:rPr>
          <w:rFonts w:hint="eastAsia" w:ascii="宋体" w:hAnsi="宋体" w:eastAsia="宋体" w:cs="黑体"/>
          <w:b/>
          <w:color w:val="auto"/>
          <w:kern w:val="2"/>
          <w:sz w:val="21"/>
          <w:szCs w:val="21"/>
          <w:lang w:val="en-US" w:eastAsia="zh-CN" w:bidi="ar-SA"/>
        </w:rPr>
        <w:fldChar w:fldCharType="end"/>
      </w:r>
      <w:bookmarkEnd w:id="96"/>
      <w:r>
        <w:rPr>
          <w:rFonts w:hint="eastAsia" w:ascii="宋体" w:hAnsi="宋体" w:eastAsia="宋体" w:cs="黑体"/>
          <w:b/>
          <w:color w:val="auto"/>
          <w:kern w:val="2"/>
          <w:sz w:val="21"/>
          <w:szCs w:val="21"/>
          <w:lang w:val="en-US" w:eastAsia="zh-CN" w:bidi="ar-SA"/>
        </w:rPr>
        <w:t xml:space="preserve"> </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REF 设备类型 \h  \* MERGEFORMAT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施工升降机</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安装工况吊装参数</w:t>
      </w:r>
    </w:p>
    <w:tbl>
      <w:tblPr>
        <w:tblStyle w:val="8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555"/>
        <w:gridCol w:w="636"/>
        <w:gridCol w:w="469"/>
        <w:gridCol w:w="636"/>
        <w:gridCol w:w="701"/>
        <w:gridCol w:w="1797"/>
        <w:gridCol w:w="1490"/>
        <w:gridCol w:w="616"/>
        <w:gridCol w:w="597"/>
        <w:gridCol w:w="556"/>
      </w:tblGrid>
      <w:tr w14:paraId="7C8082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jc w:val="center"/>
        </w:trPr>
        <w:tc>
          <w:tcPr>
            <w:tcW w:w="275" w:type="pct"/>
            <w:vMerge w:val="restart"/>
            <w:shd w:val="clear" w:color="auto" w:fill="auto"/>
            <w:vAlign w:val="center"/>
          </w:tcPr>
          <w:p w14:paraId="07346D5F">
            <w:pPr>
              <w:pStyle w:val="13"/>
              <w:rPr>
                <w:b/>
              </w:rPr>
            </w:pPr>
            <w:r>
              <w:rPr>
                <w:rFonts w:hint="eastAsia"/>
                <w:b/>
              </w:rPr>
              <w:t>序号</w:t>
            </w:r>
          </w:p>
        </w:tc>
        <w:tc>
          <w:tcPr>
            <w:tcW w:w="325" w:type="pct"/>
            <w:vMerge w:val="restart"/>
            <w:shd w:val="clear" w:color="auto" w:fill="auto"/>
            <w:vAlign w:val="center"/>
          </w:tcPr>
          <w:p w14:paraId="185D5866">
            <w:pPr>
              <w:pStyle w:val="13"/>
              <w:rPr>
                <w:b/>
              </w:rPr>
            </w:pPr>
            <w:r>
              <w:rPr>
                <w:rFonts w:hint="eastAsia"/>
                <w:b/>
              </w:rPr>
              <w:t>部件名称</w:t>
            </w:r>
          </w:p>
        </w:tc>
        <w:tc>
          <w:tcPr>
            <w:tcW w:w="373" w:type="pct"/>
            <w:vMerge w:val="restart"/>
            <w:shd w:val="clear" w:color="auto" w:fill="auto"/>
            <w:vAlign w:val="center"/>
          </w:tcPr>
          <w:p w14:paraId="4E70886A">
            <w:pPr>
              <w:pStyle w:val="13"/>
              <w:rPr>
                <w:b/>
              </w:rPr>
            </w:pPr>
            <w:r>
              <w:rPr>
                <w:rFonts w:hint="eastAsia"/>
                <w:b/>
              </w:rPr>
              <w:t>单重</w:t>
            </w:r>
            <w:r>
              <w:rPr>
                <w:b/>
              </w:rPr>
              <w:t>(t)</w:t>
            </w:r>
          </w:p>
        </w:tc>
        <w:tc>
          <w:tcPr>
            <w:tcW w:w="275" w:type="pct"/>
            <w:vMerge w:val="restart"/>
            <w:shd w:val="clear" w:color="auto" w:fill="auto"/>
            <w:vAlign w:val="center"/>
          </w:tcPr>
          <w:p w14:paraId="62FD3757">
            <w:pPr>
              <w:pStyle w:val="13"/>
              <w:rPr>
                <w:b/>
              </w:rPr>
            </w:pPr>
            <w:r>
              <w:rPr>
                <w:rFonts w:hint="eastAsia"/>
                <w:b/>
              </w:rPr>
              <w:t>数量</w:t>
            </w:r>
          </w:p>
        </w:tc>
        <w:tc>
          <w:tcPr>
            <w:tcW w:w="373" w:type="pct"/>
            <w:vMerge w:val="restart"/>
            <w:shd w:val="clear" w:color="auto" w:fill="auto"/>
            <w:vAlign w:val="center"/>
          </w:tcPr>
          <w:p w14:paraId="771B3F85">
            <w:pPr>
              <w:pStyle w:val="13"/>
              <w:rPr>
                <w:b/>
              </w:rPr>
            </w:pPr>
            <w:r>
              <w:rPr>
                <w:rFonts w:hint="eastAsia"/>
                <w:b/>
              </w:rPr>
              <w:t>总重</w:t>
            </w:r>
            <w:r>
              <w:rPr>
                <w:b/>
              </w:rPr>
              <w:t>(t)</w:t>
            </w:r>
          </w:p>
        </w:tc>
        <w:tc>
          <w:tcPr>
            <w:tcW w:w="411" w:type="pct"/>
            <w:vMerge w:val="restart"/>
            <w:shd w:val="clear" w:color="auto" w:fill="auto"/>
            <w:vAlign w:val="center"/>
          </w:tcPr>
          <w:p w14:paraId="2CB89F5E">
            <w:pPr>
              <w:pStyle w:val="13"/>
              <w:rPr>
                <w:b/>
              </w:rPr>
            </w:pPr>
            <w:r>
              <w:rPr>
                <w:rFonts w:hint="eastAsia"/>
                <w:b/>
              </w:rPr>
              <w:t>需求吊幅</w:t>
            </w:r>
            <w:r>
              <w:rPr>
                <w:b/>
              </w:rPr>
              <w:t>(m)</w:t>
            </w:r>
          </w:p>
        </w:tc>
        <w:tc>
          <w:tcPr>
            <w:tcW w:w="1053" w:type="pct"/>
            <w:vMerge w:val="restart"/>
            <w:shd w:val="clear" w:color="auto" w:fill="auto"/>
            <w:vAlign w:val="center"/>
          </w:tcPr>
          <w:p w14:paraId="693DC1F7">
            <w:pPr>
              <w:pStyle w:val="13"/>
              <w:rPr>
                <w:b/>
              </w:rPr>
            </w:pPr>
            <w:r>
              <w:rPr>
                <w:rFonts w:hint="eastAsia"/>
                <w:b/>
              </w:rPr>
              <w:t>型号及数量</w:t>
            </w:r>
          </w:p>
        </w:tc>
        <w:tc>
          <w:tcPr>
            <w:tcW w:w="1584" w:type="pct"/>
            <w:gridSpan w:val="3"/>
            <w:shd w:val="clear" w:color="auto" w:fill="auto"/>
            <w:vAlign w:val="center"/>
          </w:tcPr>
          <w:p w14:paraId="15B8AD7D">
            <w:pPr>
              <w:pStyle w:val="13"/>
              <w:rPr>
                <w:b/>
              </w:rPr>
            </w:pPr>
            <w:r>
              <w:rPr>
                <w:rFonts w:hint="eastAsia"/>
                <w:b/>
              </w:rPr>
              <w:t>起重设备选型及吊装参数</w:t>
            </w:r>
          </w:p>
        </w:tc>
        <w:tc>
          <w:tcPr>
            <w:tcW w:w="325" w:type="pct"/>
            <w:vMerge w:val="restart"/>
            <w:shd w:val="clear" w:color="auto" w:fill="auto"/>
            <w:vAlign w:val="center"/>
          </w:tcPr>
          <w:p w14:paraId="4CA7794C">
            <w:pPr>
              <w:pStyle w:val="13"/>
              <w:rPr>
                <w:b/>
              </w:rPr>
            </w:pPr>
            <w:r>
              <w:rPr>
                <w:rFonts w:hint="eastAsia"/>
                <w:b/>
              </w:rPr>
              <w:t>结论</w:t>
            </w:r>
          </w:p>
        </w:tc>
      </w:tr>
      <w:tr w14:paraId="7A7A2F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5" w:type="pct"/>
            <w:vMerge w:val="continue"/>
            <w:shd w:val="clear" w:color="auto" w:fill="auto"/>
            <w:vAlign w:val="center"/>
          </w:tcPr>
          <w:p w14:paraId="7D153AB1">
            <w:pPr>
              <w:pStyle w:val="13"/>
              <w:rPr>
                <w:b/>
              </w:rPr>
            </w:pPr>
          </w:p>
        </w:tc>
        <w:tc>
          <w:tcPr>
            <w:tcW w:w="325" w:type="pct"/>
            <w:vMerge w:val="continue"/>
            <w:shd w:val="clear" w:color="auto" w:fill="auto"/>
            <w:vAlign w:val="center"/>
          </w:tcPr>
          <w:p w14:paraId="34313C90">
            <w:pPr>
              <w:pStyle w:val="13"/>
              <w:rPr>
                <w:b/>
              </w:rPr>
            </w:pPr>
          </w:p>
        </w:tc>
        <w:tc>
          <w:tcPr>
            <w:tcW w:w="373" w:type="pct"/>
            <w:vMerge w:val="continue"/>
            <w:shd w:val="clear" w:color="auto" w:fill="auto"/>
            <w:vAlign w:val="center"/>
          </w:tcPr>
          <w:p w14:paraId="0A7EEA5A">
            <w:pPr>
              <w:pStyle w:val="13"/>
              <w:rPr>
                <w:b/>
              </w:rPr>
            </w:pPr>
          </w:p>
        </w:tc>
        <w:tc>
          <w:tcPr>
            <w:tcW w:w="275" w:type="pct"/>
            <w:vMerge w:val="continue"/>
            <w:shd w:val="clear" w:color="auto" w:fill="auto"/>
            <w:vAlign w:val="center"/>
          </w:tcPr>
          <w:p w14:paraId="0EFB927B">
            <w:pPr>
              <w:pStyle w:val="13"/>
              <w:rPr>
                <w:b/>
              </w:rPr>
            </w:pPr>
          </w:p>
        </w:tc>
        <w:tc>
          <w:tcPr>
            <w:tcW w:w="373" w:type="pct"/>
            <w:vMerge w:val="continue"/>
            <w:shd w:val="clear" w:color="auto" w:fill="auto"/>
            <w:vAlign w:val="center"/>
          </w:tcPr>
          <w:p w14:paraId="0043B7C6">
            <w:pPr>
              <w:pStyle w:val="13"/>
              <w:rPr>
                <w:b/>
              </w:rPr>
            </w:pPr>
          </w:p>
        </w:tc>
        <w:tc>
          <w:tcPr>
            <w:tcW w:w="411" w:type="pct"/>
            <w:vMerge w:val="continue"/>
            <w:shd w:val="clear" w:color="auto" w:fill="auto"/>
            <w:vAlign w:val="center"/>
          </w:tcPr>
          <w:p w14:paraId="4E638745">
            <w:pPr>
              <w:pStyle w:val="13"/>
              <w:rPr>
                <w:b/>
              </w:rPr>
            </w:pPr>
          </w:p>
        </w:tc>
        <w:tc>
          <w:tcPr>
            <w:tcW w:w="1053" w:type="pct"/>
            <w:vMerge w:val="continue"/>
            <w:shd w:val="clear" w:color="auto" w:fill="auto"/>
            <w:vAlign w:val="center"/>
          </w:tcPr>
          <w:p w14:paraId="73DA2836">
            <w:pPr>
              <w:pStyle w:val="13"/>
              <w:rPr>
                <w:b/>
              </w:rPr>
            </w:pPr>
          </w:p>
        </w:tc>
        <w:tc>
          <w:tcPr>
            <w:tcW w:w="873" w:type="pct"/>
            <w:shd w:val="clear" w:color="auto" w:fill="auto"/>
            <w:vAlign w:val="center"/>
          </w:tcPr>
          <w:p w14:paraId="37AC6D08">
            <w:pPr>
              <w:pStyle w:val="13"/>
              <w:rPr>
                <w:b/>
              </w:rPr>
            </w:pPr>
            <w:r>
              <w:rPr>
                <w:rFonts w:hint="eastAsia"/>
                <w:b/>
              </w:rPr>
              <w:t>设备型号</w:t>
            </w:r>
          </w:p>
        </w:tc>
        <w:tc>
          <w:tcPr>
            <w:tcW w:w="361" w:type="pct"/>
            <w:shd w:val="clear" w:color="auto" w:fill="auto"/>
            <w:vAlign w:val="center"/>
          </w:tcPr>
          <w:p w14:paraId="48FE1C11">
            <w:pPr>
              <w:pStyle w:val="13"/>
              <w:rPr>
                <w:b/>
              </w:rPr>
            </w:pPr>
            <w:r>
              <w:rPr>
                <w:rFonts w:hint="eastAsia"/>
                <w:b/>
              </w:rPr>
              <w:t>吊幅</w:t>
            </w:r>
            <w:r>
              <w:rPr>
                <w:b/>
              </w:rPr>
              <w:t>(m)</w:t>
            </w:r>
          </w:p>
        </w:tc>
        <w:tc>
          <w:tcPr>
            <w:tcW w:w="350" w:type="pct"/>
            <w:shd w:val="clear" w:color="auto" w:fill="auto"/>
            <w:vAlign w:val="center"/>
          </w:tcPr>
          <w:p w14:paraId="740C08F3">
            <w:pPr>
              <w:pStyle w:val="13"/>
              <w:rPr>
                <w:b/>
              </w:rPr>
            </w:pPr>
            <w:r>
              <w:rPr>
                <w:rFonts w:hint="eastAsia"/>
                <w:b/>
              </w:rPr>
              <w:t>额定载荷</w:t>
            </w:r>
            <w:r>
              <w:rPr>
                <w:b/>
              </w:rPr>
              <w:t>(t)</w:t>
            </w:r>
          </w:p>
        </w:tc>
        <w:tc>
          <w:tcPr>
            <w:tcW w:w="325" w:type="pct"/>
            <w:vMerge w:val="continue"/>
            <w:shd w:val="clear" w:color="auto" w:fill="auto"/>
            <w:vAlign w:val="center"/>
          </w:tcPr>
          <w:p w14:paraId="17DD8E9B">
            <w:pPr>
              <w:pStyle w:val="13"/>
              <w:rPr>
                <w:b/>
              </w:rPr>
            </w:pPr>
          </w:p>
        </w:tc>
      </w:tr>
      <w:tr w14:paraId="2C43C3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5" w:type="pct"/>
            <w:shd w:val="clear" w:color="auto" w:fill="auto"/>
            <w:vAlign w:val="center"/>
          </w:tcPr>
          <w:p w14:paraId="7952EBEA">
            <w:pPr>
              <w:pStyle w:val="13"/>
              <w:numPr>
                <w:ilvl w:val="0"/>
                <w:numId w:val="9"/>
              </w:numPr>
            </w:pPr>
          </w:p>
        </w:tc>
        <w:tc>
          <w:tcPr>
            <w:tcW w:w="325" w:type="pct"/>
            <w:shd w:val="clear" w:color="auto" w:fill="auto"/>
            <w:vAlign w:val="center"/>
          </w:tcPr>
          <w:p w14:paraId="47937F3C">
            <w:pPr>
              <w:pStyle w:val="13"/>
              <w:rPr>
                <w:b w:val="0"/>
                <w:bCs/>
              </w:rPr>
            </w:pPr>
            <w:r>
              <w:rPr>
                <w:rFonts w:hint="eastAsia"/>
                <w:b w:val="0"/>
                <w:bCs/>
              </w:rPr>
              <w:t>标准节</w:t>
            </w:r>
          </w:p>
        </w:tc>
        <w:tc>
          <w:tcPr>
            <w:tcW w:w="373" w:type="pct"/>
            <w:shd w:val="clear" w:color="auto" w:fill="auto"/>
            <w:vAlign w:val="center"/>
          </w:tcPr>
          <w:p w14:paraId="7538476B">
            <w:pPr>
              <w:pStyle w:val="13"/>
              <w:rPr>
                <w:b w:val="0"/>
                <w:bCs/>
              </w:rPr>
            </w:pPr>
            <w:r>
              <w:rPr>
                <w:rFonts w:hint="eastAsia"/>
                <w:b w:val="0"/>
                <w:bCs/>
              </w:rPr>
              <w:t>0</w:t>
            </w:r>
            <w:r>
              <w:rPr>
                <w:b w:val="0"/>
                <w:bCs/>
              </w:rPr>
              <w:t>.16</w:t>
            </w:r>
          </w:p>
        </w:tc>
        <w:tc>
          <w:tcPr>
            <w:tcW w:w="275" w:type="pct"/>
            <w:shd w:val="clear" w:color="auto" w:fill="auto"/>
            <w:vAlign w:val="center"/>
          </w:tcPr>
          <w:p w14:paraId="5E65968D">
            <w:pPr>
              <w:pStyle w:val="13"/>
              <w:rPr>
                <w:b w:val="0"/>
                <w:bCs/>
              </w:rPr>
            </w:pPr>
            <w:r>
              <w:rPr>
                <w:b w:val="0"/>
                <w:bCs/>
              </w:rPr>
              <w:t>3</w:t>
            </w:r>
          </w:p>
        </w:tc>
        <w:tc>
          <w:tcPr>
            <w:tcW w:w="373" w:type="pct"/>
            <w:shd w:val="clear" w:color="auto" w:fill="auto"/>
            <w:vAlign w:val="center"/>
          </w:tcPr>
          <w:p w14:paraId="7D42F8B8">
            <w:pPr>
              <w:pStyle w:val="13"/>
              <w:rPr>
                <w:b w:val="0"/>
                <w:bCs/>
              </w:rPr>
            </w:pPr>
            <w:r>
              <w:rPr>
                <w:b w:val="0"/>
                <w:bCs/>
              </w:rPr>
              <w:fldChar w:fldCharType="begin"/>
            </w:r>
            <w:r>
              <w:rPr>
                <w:b w:val="0"/>
                <w:bCs/>
              </w:rPr>
              <w:instrText xml:space="preserve"> =PRODUCT(LEFT) </w:instrText>
            </w:r>
            <w:r>
              <w:rPr>
                <w:b w:val="0"/>
                <w:bCs/>
              </w:rPr>
              <w:fldChar w:fldCharType="separate"/>
            </w:r>
            <w:r>
              <w:rPr>
                <w:b w:val="0"/>
                <w:bCs/>
              </w:rPr>
              <w:t>0.48</w:t>
            </w:r>
            <w:r>
              <w:rPr>
                <w:b w:val="0"/>
                <w:bCs/>
              </w:rPr>
              <w:fldChar w:fldCharType="end"/>
            </w:r>
          </w:p>
        </w:tc>
        <w:tc>
          <w:tcPr>
            <w:tcW w:w="411" w:type="pct"/>
            <w:shd w:val="clear" w:color="auto" w:fill="auto"/>
            <w:vAlign w:val="center"/>
          </w:tcPr>
          <w:p w14:paraId="24519F61">
            <w:pPr>
              <w:pStyle w:val="13"/>
              <w:rPr>
                <w:rFonts w:hint="default" w:eastAsia="宋体"/>
                <w:b w:val="0"/>
                <w:bCs/>
                <w:highlight w:val="none"/>
                <w:lang w:val="en-US" w:eastAsia="zh-CN"/>
              </w:rPr>
            </w:pPr>
            <w:r>
              <w:rPr>
                <w:rFonts w:hint="eastAsia"/>
                <w:b w:val="0"/>
                <w:bCs/>
                <w:highlight w:val="none"/>
                <w:lang w:val="en-US" w:eastAsia="zh-CN"/>
              </w:rPr>
              <w:t>15</w:t>
            </w:r>
          </w:p>
        </w:tc>
        <w:tc>
          <w:tcPr>
            <w:tcW w:w="1053" w:type="pct"/>
            <w:shd w:val="clear" w:color="auto" w:fill="auto"/>
            <w:vAlign w:val="center"/>
          </w:tcPr>
          <w:p w14:paraId="1D993EF4">
            <w:pPr>
              <w:pStyle w:val="13"/>
              <w:rPr>
                <w:b w:val="0"/>
                <w:bCs/>
                <w:highlight w:val="none"/>
              </w:rPr>
            </w:pPr>
            <w:r>
              <w:rPr>
                <w:b w:val="0"/>
                <w:bCs/>
                <w:highlight w:val="none"/>
              </w:rPr>
              <w:t>1</w:t>
            </w:r>
            <w:r>
              <w:rPr>
                <w:rFonts w:hint="eastAsia"/>
                <w:b w:val="0"/>
                <w:bCs/>
                <w:highlight w:val="none"/>
              </w:rPr>
              <w:t>台</w:t>
            </w:r>
            <w:r>
              <w:rPr>
                <w:rFonts w:hint="eastAsia"/>
                <w:b w:val="0"/>
                <w:bCs/>
                <w:color w:val="auto"/>
                <w:sz w:val="21"/>
                <w:szCs w:val="21"/>
                <w:lang w:val="en-US" w:eastAsia="zh-CN"/>
              </w:rPr>
              <w:t>XGT6015-8S1</w:t>
            </w:r>
            <w:r>
              <w:rPr>
                <w:b w:val="0"/>
                <w:bCs/>
                <w:highlight w:val="none"/>
              </w:rPr>
              <w:fldChar w:fldCharType="begin"/>
            </w:r>
            <w:r>
              <w:rPr>
                <w:b w:val="0"/>
                <w:bCs/>
                <w:highlight w:val="none"/>
              </w:rPr>
              <w:instrText xml:space="preserve"> REF </w:instrText>
            </w:r>
            <w:r>
              <w:rPr>
                <w:rFonts w:hint="eastAsia"/>
                <w:b w:val="0"/>
                <w:bCs/>
                <w:highlight w:val="none"/>
              </w:rPr>
              <w:instrText xml:space="preserve">起重设备</w:instrText>
            </w:r>
            <w:r>
              <w:rPr>
                <w:b w:val="0"/>
                <w:bCs/>
                <w:highlight w:val="none"/>
              </w:rPr>
              <w:instrText xml:space="preserve">1</w:instrText>
            </w:r>
            <w:r>
              <w:rPr>
                <w:rFonts w:hint="eastAsia"/>
                <w:b w:val="0"/>
                <w:bCs/>
                <w:highlight w:val="none"/>
              </w:rPr>
              <w:instrText xml:space="preserve">类型</w:instrText>
            </w:r>
            <w:r>
              <w:rPr>
                <w:b w:val="0"/>
                <w:bCs/>
                <w:highlight w:val="none"/>
              </w:rPr>
              <w:instrText xml:space="preserve"> \h  \* MERGEFORMAT </w:instrText>
            </w:r>
            <w:r>
              <w:rPr>
                <w:b w:val="0"/>
                <w:bCs/>
                <w:highlight w:val="none"/>
              </w:rPr>
              <w:fldChar w:fldCharType="separate"/>
            </w:r>
            <w:r>
              <w:rPr>
                <w:rFonts w:hint="eastAsia"/>
                <w:b w:val="0"/>
                <w:bCs/>
                <w:highlight w:val="none"/>
              </w:rPr>
              <w:t>塔式起重机</w:t>
            </w:r>
            <w:r>
              <w:rPr>
                <w:b w:val="0"/>
                <w:bCs/>
                <w:highlight w:val="none"/>
              </w:rPr>
              <w:fldChar w:fldCharType="end"/>
            </w:r>
          </w:p>
        </w:tc>
        <w:tc>
          <w:tcPr>
            <w:tcW w:w="873" w:type="pct"/>
            <w:shd w:val="clear" w:color="auto" w:fill="auto"/>
            <w:vAlign w:val="center"/>
          </w:tcPr>
          <w:p w14:paraId="270185E2">
            <w:pPr>
              <w:pStyle w:val="13"/>
              <w:rPr>
                <w:b w:val="0"/>
                <w:bCs/>
                <w:highlight w:val="none"/>
              </w:rPr>
            </w:pPr>
            <w:r>
              <w:rPr>
                <w:rFonts w:hint="eastAsia"/>
                <w:b w:val="0"/>
                <w:bCs/>
                <w:color w:val="auto"/>
                <w:sz w:val="21"/>
                <w:szCs w:val="21"/>
                <w:lang w:val="en-US" w:eastAsia="zh-CN"/>
              </w:rPr>
              <w:t>XGT6015-8S1</w:t>
            </w:r>
          </w:p>
        </w:tc>
        <w:tc>
          <w:tcPr>
            <w:tcW w:w="361" w:type="pct"/>
            <w:shd w:val="clear" w:color="auto" w:fill="auto"/>
            <w:vAlign w:val="center"/>
          </w:tcPr>
          <w:p w14:paraId="478123BE">
            <w:pPr>
              <w:pStyle w:val="13"/>
              <w:ind w:firstLine="0" w:firstLineChars="0"/>
              <w:rPr>
                <w:rFonts w:hint="default" w:eastAsia="宋体"/>
                <w:b w:val="0"/>
                <w:bCs/>
                <w:highlight w:val="none"/>
                <w:lang w:val="en-US" w:eastAsia="zh-CN"/>
              </w:rPr>
            </w:pPr>
            <w:r>
              <w:rPr>
                <w:rFonts w:hint="eastAsia"/>
                <w:b w:val="0"/>
                <w:bCs/>
                <w:highlight w:val="none"/>
                <w:lang w:val="en-US" w:eastAsia="zh-CN"/>
              </w:rPr>
              <w:t>15</w:t>
            </w:r>
          </w:p>
        </w:tc>
        <w:tc>
          <w:tcPr>
            <w:tcW w:w="350" w:type="pct"/>
            <w:shd w:val="clear" w:color="auto" w:fill="auto"/>
            <w:vAlign w:val="center"/>
          </w:tcPr>
          <w:p w14:paraId="0570CB7F">
            <w:pPr>
              <w:pStyle w:val="13"/>
              <w:rPr>
                <w:rFonts w:hint="default" w:eastAsia="宋体"/>
                <w:b w:val="0"/>
                <w:bCs/>
                <w:highlight w:val="none"/>
                <w:lang w:val="en-US" w:eastAsia="zh-CN"/>
              </w:rPr>
            </w:pPr>
            <w:r>
              <w:rPr>
                <w:rFonts w:hint="eastAsia"/>
                <w:b w:val="0"/>
                <w:bCs/>
                <w:highlight w:val="none"/>
                <w:lang w:val="en-US" w:eastAsia="zh-CN"/>
              </w:rPr>
              <w:t>4</w:t>
            </w:r>
          </w:p>
        </w:tc>
        <w:tc>
          <w:tcPr>
            <w:tcW w:w="325" w:type="pct"/>
            <w:shd w:val="clear" w:color="auto" w:fill="auto"/>
            <w:vAlign w:val="center"/>
          </w:tcPr>
          <w:p w14:paraId="321E4661">
            <w:pPr>
              <w:pStyle w:val="13"/>
            </w:pPr>
            <w:r>
              <w:rPr>
                <w:rFonts w:hint="eastAsia"/>
              </w:rPr>
              <w:t>满足要求</w:t>
            </w:r>
          </w:p>
        </w:tc>
      </w:tr>
      <w:tr w14:paraId="2469B6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5" w:type="pct"/>
            <w:shd w:val="clear" w:color="auto" w:fill="auto"/>
            <w:vAlign w:val="center"/>
          </w:tcPr>
          <w:p w14:paraId="56987997">
            <w:pPr>
              <w:pStyle w:val="13"/>
              <w:numPr>
                <w:ilvl w:val="0"/>
                <w:numId w:val="9"/>
              </w:numPr>
            </w:pPr>
          </w:p>
        </w:tc>
        <w:tc>
          <w:tcPr>
            <w:tcW w:w="325" w:type="pct"/>
            <w:shd w:val="clear" w:color="auto" w:fill="auto"/>
            <w:vAlign w:val="center"/>
          </w:tcPr>
          <w:p w14:paraId="17895370">
            <w:pPr>
              <w:pStyle w:val="13"/>
              <w:rPr>
                <w:b w:val="0"/>
                <w:bCs/>
              </w:rPr>
            </w:pPr>
            <w:r>
              <w:rPr>
                <w:rFonts w:hint="eastAsia"/>
                <w:b w:val="0"/>
                <w:bCs/>
              </w:rPr>
              <w:t>吊笼</w:t>
            </w:r>
          </w:p>
        </w:tc>
        <w:tc>
          <w:tcPr>
            <w:tcW w:w="373" w:type="pct"/>
            <w:shd w:val="clear" w:color="auto" w:fill="auto"/>
            <w:vAlign w:val="center"/>
          </w:tcPr>
          <w:p w14:paraId="6FD332F0">
            <w:pPr>
              <w:pStyle w:val="13"/>
              <w:rPr>
                <w:rFonts w:hint="eastAsia" w:eastAsia="宋体"/>
                <w:b w:val="0"/>
                <w:bCs/>
                <w:lang w:eastAsia="zh-CN"/>
              </w:rPr>
            </w:pPr>
            <w:r>
              <w:rPr>
                <w:rFonts w:hint="eastAsia"/>
                <w:b w:val="0"/>
                <w:bCs/>
                <w:lang w:eastAsia="zh-CN"/>
              </w:rPr>
              <w:t>2</w:t>
            </w:r>
          </w:p>
        </w:tc>
        <w:tc>
          <w:tcPr>
            <w:tcW w:w="275" w:type="pct"/>
            <w:shd w:val="clear" w:color="auto" w:fill="auto"/>
            <w:vAlign w:val="center"/>
          </w:tcPr>
          <w:p w14:paraId="4F91331D">
            <w:pPr>
              <w:pStyle w:val="13"/>
              <w:rPr>
                <w:rFonts w:hint="eastAsia" w:eastAsia="宋体"/>
                <w:b w:val="0"/>
                <w:bCs/>
                <w:lang w:val="en-US" w:eastAsia="zh-CN"/>
              </w:rPr>
            </w:pPr>
            <w:r>
              <w:rPr>
                <w:rFonts w:hint="eastAsia"/>
                <w:b w:val="0"/>
                <w:bCs/>
                <w:lang w:val="en-US" w:eastAsia="zh-CN"/>
              </w:rPr>
              <w:t>2</w:t>
            </w:r>
          </w:p>
        </w:tc>
        <w:tc>
          <w:tcPr>
            <w:tcW w:w="373" w:type="pct"/>
            <w:shd w:val="clear" w:color="auto" w:fill="auto"/>
            <w:vAlign w:val="center"/>
          </w:tcPr>
          <w:p w14:paraId="51864675">
            <w:pPr>
              <w:pStyle w:val="13"/>
              <w:rPr>
                <w:rFonts w:hint="eastAsia" w:eastAsia="宋体"/>
                <w:b w:val="0"/>
                <w:bCs/>
                <w:lang w:eastAsia="zh-CN"/>
              </w:rPr>
            </w:pPr>
            <w:r>
              <w:rPr>
                <w:rFonts w:hint="eastAsia"/>
                <w:b w:val="0"/>
                <w:bCs/>
                <w:lang w:val="en-US" w:eastAsia="zh-CN"/>
              </w:rPr>
              <w:t>4</w:t>
            </w:r>
          </w:p>
        </w:tc>
        <w:tc>
          <w:tcPr>
            <w:tcW w:w="411" w:type="pct"/>
            <w:shd w:val="clear" w:color="auto" w:fill="auto"/>
            <w:vAlign w:val="center"/>
          </w:tcPr>
          <w:p w14:paraId="2EDAC1EC">
            <w:pPr>
              <w:pStyle w:val="13"/>
              <w:rPr>
                <w:rFonts w:hint="default" w:eastAsia="宋体"/>
                <w:b w:val="0"/>
                <w:bCs/>
                <w:highlight w:val="none"/>
                <w:lang w:val="en-US" w:eastAsia="zh-CN"/>
              </w:rPr>
            </w:pPr>
            <w:r>
              <w:rPr>
                <w:rFonts w:hint="eastAsia"/>
                <w:b w:val="0"/>
                <w:bCs/>
                <w:highlight w:val="none"/>
                <w:lang w:val="en-US" w:eastAsia="zh-CN"/>
              </w:rPr>
              <w:t>16</w:t>
            </w:r>
          </w:p>
        </w:tc>
        <w:tc>
          <w:tcPr>
            <w:tcW w:w="1053" w:type="pct"/>
            <w:shd w:val="clear" w:color="auto" w:fill="auto"/>
            <w:vAlign w:val="center"/>
          </w:tcPr>
          <w:p w14:paraId="6D2AF687">
            <w:pPr>
              <w:pStyle w:val="13"/>
              <w:rPr>
                <w:b w:val="0"/>
                <w:bCs/>
                <w:highlight w:val="none"/>
              </w:rPr>
            </w:pPr>
            <w:r>
              <w:rPr>
                <w:b w:val="0"/>
                <w:bCs/>
                <w:highlight w:val="none"/>
              </w:rPr>
              <w:t>1</w:t>
            </w:r>
            <w:r>
              <w:rPr>
                <w:rFonts w:hint="eastAsia"/>
                <w:b w:val="0"/>
                <w:bCs/>
                <w:highlight w:val="none"/>
              </w:rPr>
              <w:t>台</w:t>
            </w:r>
            <w:r>
              <w:rPr>
                <w:rFonts w:hint="eastAsia"/>
                <w:b w:val="0"/>
                <w:bCs/>
                <w:color w:val="auto"/>
                <w:sz w:val="21"/>
                <w:szCs w:val="21"/>
                <w:lang w:val="en-US" w:eastAsia="zh-CN"/>
              </w:rPr>
              <w:t>XGT6015-8S1</w:t>
            </w:r>
            <w:r>
              <w:rPr>
                <w:b w:val="0"/>
                <w:bCs/>
                <w:highlight w:val="none"/>
              </w:rPr>
              <w:fldChar w:fldCharType="begin"/>
            </w:r>
            <w:r>
              <w:rPr>
                <w:b w:val="0"/>
                <w:bCs/>
                <w:highlight w:val="none"/>
              </w:rPr>
              <w:instrText xml:space="preserve"> REF </w:instrText>
            </w:r>
            <w:r>
              <w:rPr>
                <w:rFonts w:hint="eastAsia"/>
                <w:b w:val="0"/>
                <w:bCs/>
                <w:highlight w:val="none"/>
              </w:rPr>
              <w:instrText xml:space="preserve">起重设备</w:instrText>
            </w:r>
            <w:r>
              <w:rPr>
                <w:b w:val="0"/>
                <w:bCs/>
                <w:highlight w:val="none"/>
              </w:rPr>
              <w:instrText xml:space="preserve">1</w:instrText>
            </w:r>
            <w:r>
              <w:rPr>
                <w:rFonts w:hint="eastAsia"/>
                <w:b w:val="0"/>
                <w:bCs/>
                <w:highlight w:val="none"/>
              </w:rPr>
              <w:instrText xml:space="preserve">类型</w:instrText>
            </w:r>
            <w:r>
              <w:rPr>
                <w:b w:val="0"/>
                <w:bCs/>
                <w:highlight w:val="none"/>
              </w:rPr>
              <w:instrText xml:space="preserve"> \h  \* MERGEFORMAT </w:instrText>
            </w:r>
            <w:r>
              <w:rPr>
                <w:b w:val="0"/>
                <w:bCs/>
                <w:highlight w:val="none"/>
              </w:rPr>
              <w:fldChar w:fldCharType="separate"/>
            </w:r>
            <w:r>
              <w:rPr>
                <w:rFonts w:hint="eastAsia"/>
                <w:b w:val="0"/>
                <w:bCs/>
                <w:highlight w:val="none"/>
              </w:rPr>
              <w:t>塔式起重机</w:t>
            </w:r>
            <w:r>
              <w:rPr>
                <w:b w:val="0"/>
                <w:bCs/>
                <w:highlight w:val="none"/>
              </w:rPr>
              <w:fldChar w:fldCharType="end"/>
            </w:r>
          </w:p>
        </w:tc>
        <w:tc>
          <w:tcPr>
            <w:tcW w:w="873" w:type="pct"/>
            <w:shd w:val="clear" w:color="auto" w:fill="auto"/>
            <w:vAlign w:val="center"/>
          </w:tcPr>
          <w:p w14:paraId="60BDDBAA">
            <w:pPr>
              <w:pStyle w:val="13"/>
              <w:rPr>
                <w:b w:val="0"/>
                <w:bCs/>
                <w:highlight w:val="none"/>
              </w:rPr>
            </w:pPr>
            <w:r>
              <w:rPr>
                <w:rFonts w:hint="eastAsia"/>
                <w:b w:val="0"/>
                <w:bCs/>
                <w:color w:val="auto"/>
                <w:sz w:val="21"/>
                <w:szCs w:val="21"/>
                <w:lang w:val="en-US" w:eastAsia="zh-CN"/>
              </w:rPr>
              <w:t>XGT6015-8S1</w:t>
            </w:r>
          </w:p>
        </w:tc>
        <w:tc>
          <w:tcPr>
            <w:tcW w:w="361" w:type="pct"/>
            <w:shd w:val="clear" w:color="auto" w:fill="auto"/>
            <w:vAlign w:val="center"/>
          </w:tcPr>
          <w:p w14:paraId="4C4BBF78">
            <w:pPr>
              <w:pStyle w:val="13"/>
              <w:ind w:firstLine="0" w:firstLineChars="0"/>
              <w:rPr>
                <w:rFonts w:hint="default" w:eastAsia="宋体"/>
                <w:b w:val="0"/>
                <w:bCs/>
                <w:highlight w:val="none"/>
                <w:lang w:val="en-US" w:eastAsia="zh-CN"/>
              </w:rPr>
            </w:pPr>
            <w:r>
              <w:rPr>
                <w:rFonts w:hint="eastAsia"/>
                <w:b w:val="0"/>
                <w:bCs/>
                <w:highlight w:val="none"/>
                <w:lang w:val="en-US" w:eastAsia="zh-CN"/>
              </w:rPr>
              <w:t>16</w:t>
            </w:r>
          </w:p>
        </w:tc>
        <w:tc>
          <w:tcPr>
            <w:tcW w:w="350" w:type="pct"/>
            <w:shd w:val="clear" w:color="auto" w:fill="auto"/>
            <w:vAlign w:val="center"/>
          </w:tcPr>
          <w:p w14:paraId="4DB7A464">
            <w:pPr>
              <w:pStyle w:val="13"/>
              <w:rPr>
                <w:rFonts w:hint="default" w:eastAsia="宋体"/>
                <w:b w:val="0"/>
                <w:bCs/>
                <w:highlight w:val="none"/>
                <w:lang w:val="en-US" w:eastAsia="zh-CN"/>
              </w:rPr>
            </w:pPr>
            <w:r>
              <w:rPr>
                <w:rFonts w:hint="eastAsia"/>
                <w:b w:val="0"/>
                <w:bCs/>
                <w:highlight w:val="none"/>
                <w:lang w:val="en-US" w:eastAsia="zh-CN"/>
              </w:rPr>
              <w:t>4</w:t>
            </w:r>
          </w:p>
        </w:tc>
        <w:tc>
          <w:tcPr>
            <w:tcW w:w="325" w:type="pct"/>
            <w:shd w:val="clear" w:color="auto" w:fill="auto"/>
            <w:vAlign w:val="center"/>
          </w:tcPr>
          <w:p w14:paraId="31195A7E">
            <w:pPr>
              <w:pStyle w:val="13"/>
            </w:pPr>
            <w:r>
              <w:rPr>
                <w:rFonts w:hint="eastAsia"/>
              </w:rPr>
              <w:t>满足要求</w:t>
            </w:r>
          </w:p>
        </w:tc>
      </w:tr>
    </w:tbl>
    <w:p w14:paraId="3AFBC3E0">
      <w:pPr>
        <w:pStyle w:val="5"/>
        <w:tabs>
          <w:tab w:val="left" w:pos="0"/>
        </w:tabs>
        <w:bidi w:val="0"/>
        <w:ind w:left="0" w:leftChars="0" w:firstLine="0" w:firstLineChars="0"/>
      </w:pPr>
      <w:r>
        <w:rPr>
          <w:rFonts w:hint="eastAsia"/>
        </w:rPr>
        <w:t>起重设备</w:t>
      </w:r>
    </w:p>
    <w:p w14:paraId="1D704BE9">
      <w:pPr>
        <w:ind w:firstLine="480"/>
      </w:pPr>
      <w:r>
        <w:rPr>
          <w:rFonts w:hint="eastAsia"/>
        </w:rPr>
        <w:t>施工升降机采用</w:t>
      </w:r>
      <w:r>
        <w:rPr>
          <w:rFonts w:hint="eastAsia" w:ascii="Times New Roman" w:hAnsi="Times New Roman" w:eastAsia="宋体" w:cs="Times New Roman"/>
          <w:lang w:val="en-US" w:eastAsia="zh-CN"/>
        </w:rPr>
        <w:t>1台XGT6015-8S1塔式起重机进行安装。依次在基础上安装底架、标准节、底架围栏、吊笼吊杆、电控系统及安全装</w:t>
      </w:r>
      <w:r>
        <w:rPr>
          <w:rFonts w:hint="eastAsia"/>
        </w:rPr>
        <w:t>置，通电整机调试完毕后进行导轨架加高安装、附墙架安装。</w:t>
      </w:r>
    </w:p>
    <w:p w14:paraId="3316648B">
      <w:pPr>
        <w:ind w:firstLine="480"/>
      </w:pPr>
      <w:r>
        <w:fldChar w:fldCharType="begin"/>
      </w:r>
      <w:r>
        <w:instrText xml:space="preserve"> REF </w:instrText>
      </w:r>
      <w:r>
        <w:rPr>
          <w:rFonts w:hint="eastAsia"/>
        </w:rPr>
        <w:instrText xml:space="preserve">设备类型</w:instrText>
      </w:r>
      <w:r>
        <w:instrText xml:space="preserve"> \h  \* MERGEFORMAT </w:instrText>
      </w:r>
      <w:r>
        <w:fldChar w:fldCharType="separate"/>
      </w:r>
      <w:r>
        <w:rPr>
          <w:rFonts w:hint="eastAsia"/>
        </w:rPr>
        <w:t>施工升降机</w:t>
      </w:r>
      <w:r>
        <w:fldChar w:fldCharType="end"/>
      </w:r>
      <w:r>
        <w:rPr>
          <w:rFonts w:hint="eastAsia"/>
        </w:rPr>
        <w:t>整机安装施工起重设备选型如</w:t>
      </w:r>
      <w:r>
        <w:fldChar w:fldCharType="begin"/>
      </w:r>
      <w:r>
        <w:instrText xml:space="preserve"> </w:instrText>
      </w:r>
      <w:r>
        <w:rPr>
          <w:rFonts w:hint="eastAsia"/>
        </w:rPr>
        <w:instrText xml:space="preserve">REF _Ref117774280 \h</w:instrText>
      </w:r>
      <w:r>
        <w:instrText xml:space="preserve"> </w:instrText>
      </w:r>
      <w:r>
        <w:fldChar w:fldCharType="separate"/>
      </w:r>
      <w:r>
        <w:rPr>
          <w:rFonts w:hint="eastAsia"/>
        </w:rPr>
        <w:t>表</w:t>
      </w:r>
      <w:r>
        <w:fldChar w:fldCharType="begin"/>
      </w:r>
      <w:r>
        <w:instrText xml:space="preserve"> STYLEREF 3 \s </w:instrText>
      </w:r>
      <w:r>
        <w:fldChar w:fldCharType="separate"/>
      </w:r>
      <w:r>
        <w:t>4.2.</w:t>
      </w:r>
      <w:r>
        <w:rPr>
          <w:rFonts w:hint="eastAsia"/>
          <w:lang w:val="en-US" w:eastAsia="zh-CN"/>
        </w:rPr>
        <w:t>2</w:t>
      </w:r>
      <w:r>
        <w:fldChar w:fldCharType="end"/>
      </w:r>
      <w:r>
        <w:t>-1</w:t>
      </w:r>
      <w:r>
        <w:fldChar w:fldCharType="end"/>
      </w:r>
      <w:r>
        <w:rPr>
          <w:rFonts w:hint="eastAsia"/>
        </w:rPr>
        <w:t>所示。</w:t>
      </w:r>
    </w:p>
    <w:p w14:paraId="623B93B0">
      <w:pPr>
        <w:pStyle w:val="12"/>
        <w:jc w:val="center"/>
        <w:rPr>
          <w:rFonts w:hint="eastAsia" w:ascii="宋体" w:hAnsi="宋体" w:eastAsia="宋体" w:cs="黑体"/>
          <w:b/>
          <w:color w:val="auto"/>
          <w:kern w:val="2"/>
          <w:sz w:val="21"/>
          <w:szCs w:val="21"/>
          <w:lang w:val="en-US" w:eastAsia="zh-CN" w:bidi="ar-SA"/>
        </w:rPr>
      </w:pPr>
      <w:bookmarkStart w:id="97" w:name="_Ref117774280"/>
      <w:r>
        <w:rPr>
          <w:rFonts w:hint="eastAsia" w:ascii="宋体" w:hAnsi="宋体" w:eastAsia="宋体" w:cs="黑体"/>
          <w:b/>
          <w:color w:val="auto"/>
          <w:kern w:val="2"/>
          <w:sz w:val="21"/>
          <w:szCs w:val="21"/>
          <w:lang w:val="en-US" w:eastAsia="zh-CN" w:bidi="ar-SA"/>
        </w:rPr>
        <w:t>表</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STYLEREF 3 \s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4.2.2</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SEQ 表 \* ARABIC \s 3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1</w:t>
      </w:r>
      <w:r>
        <w:rPr>
          <w:rFonts w:hint="eastAsia" w:ascii="宋体" w:hAnsi="宋体" w:eastAsia="宋体" w:cs="黑体"/>
          <w:b/>
          <w:color w:val="auto"/>
          <w:kern w:val="2"/>
          <w:sz w:val="21"/>
          <w:szCs w:val="21"/>
          <w:lang w:val="en-US" w:eastAsia="zh-CN" w:bidi="ar-SA"/>
        </w:rPr>
        <w:fldChar w:fldCharType="end"/>
      </w:r>
      <w:bookmarkEnd w:id="97"/>
      <w:r>
        <w:rPr>
          <w:rFonts w:hint="eastAsia" w:ascii="宋体" w:hAnsi="宋体" w:eastAsia="宋体" w:cs="黑体"/>
          <w:b/>
          <w:color w:val="auto"/>
          <w:kern w:val="2"/>
          <w:sz w:val="21"/>
          <w:szCs w:val="21"/>
          <w:lang w:val="en-US" w:eastAsia="zh-CN" w:bidi="ar-SA"/>
        </w:rPr>
        <w:t xml:space="preserve"> </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REF 设备类型 \h  \* MERGEFORMAT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施工升降机</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整机安装施工起重设备选型</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421"/>
        <w:gridCol w:w="1642"/>
        <w:gridCol w:w="716"/>
        <w:gridCol w:w="716"/>
        <w:gridCol w:w="2599"/>
        <w:gridCol w:w="715"/>
      </w:tblGrid>
      <w:tr w14:paraId="39CF9E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8" w:type="pct"/>
            <w:shd w:val="clear" w:color="auto" w:fill="auto"/>
            <w:vAlign w:val="center"/>
          </w:tcPr>
          <w:p w14:paraId="3EBB49C5">
            <w:pPr>
              <w:pStyle w:val="13"/>
              <w:rPr>
                <w:b/>
              </w:rPr>
            </w:pPr>
            <w:r>
              <w:rPr>
                <w:rFonts w:hint="eastAsia"/>
                <w:b/>
              </w:rPr>
              <w:t>序号</w:t>
            </w:r>
          </w:p>
        </w:tc>
        <w:tc>
          <w:tcPr>
            <w:tcW w:w="833" w:type="pct"/>
            <w:shd w:val="clear" w:color="auto" w:fill="auto"/>
            <w:vAlign w:val="center"/>
          </w:tcPr>
          <w:p w14:paraId="3FC1E34F">
            <w:pPr>
              <w:pStyle w:val="13"/>
              <w:rPr>
                <w:b/>
              </w:rPr>
            </w:pPr>
            <w:r>
              <w:rPr>
                <w:rFonts w:hint="eastAsia"/>
                <w:b/>
              </w:rPr>
              <w:t>设备名称</w:t>
            </w:r>
          </w:p>
        </w:tc>
        <w:tc>
          <w:tcPr>
            <w:tcW w:w="963" w:type="pct"/>
            <w:shd w:val="clear" w:color="auto" w:fill="auto"/>
            <w:vAlign w:val="center"/>
          </w:tcPr>
          <w:p w14:paraId="6E8A205D">
            <w:pPr>
              <w:pStyle w:val="13"/>
              <w:rPr>
                <w:b/>
              </w:rPr>
            </w:pPr>
            <w:r>
              <w:rPr>
                <w:rFonts w:hint="eastAsia"/>
                <w:b/>
              </w:rPr>
              <w:t>规格型号</w:t>
            </w:r>
          </w:p>
        </w:tc>
        <w:tc>
          <w:tcPr>
            <w:tcW w:w="420" w:type="pct"/>
            <w:shd w:val="clear" w:color="auto" w:fill="auto"/>
            <w:vAlign w:val="center"/>
          </w:tcPr>
          <w:p w14:paraId="5D4691CD">
            <w:pPr>
              <w:pStyle w:val="13"/>
              <w:rPr>
                <w:b/>
              </w:rPr>
            </w:pPr>
            <w:r>
              <w:rPr>
                <w:rFonts w:hint="eastAsia"/>
                <w:b/>
              </w:rPr>
              <w:t>单位</w:t>
            </w:r>
          </w:p>
        </w:tc>
        <w:tc>
          <w:tcPr>
            <w:tcW w:w="420" w:type="pct"/>
            <w:shd w:val="clear" w:color="auto" w:fill="auto"/>
            <w:vAlign w:val="center"/>
          </w:tcPr>
          <w:p w14:paraId="1EDC4CBC">
            <w:pPr>
              <w:pStyle w:val="13"/>
              <w:rPr>
                <w:b/>
              </w:rPr>
            </w:pPr>
            <w:r>
              <w:rPr>
                <w:rFonts w:hint="eastAsia"/>
                <w:b/>
              </w:rPr>
              <w:t>数量</w:t>
            </w:r>
          </w:p>
        </w:tc>
        <w:tc>
          <w:tcPr>
            <w:tcW w:w="1524" w:type="pct"/>
            <w:shd w:val="clear" w:color="auto" w:fill="auto"/>
            <w:vAlign w:val="center"/>
          </w:tcPr>
          <w:p w14:paraId="30DCF2DD">
            <w:pPr>
              <w:pStyle w:val="13"/>
              <w:rPr>
                <w:b/>
              </w:rPr>
            </w:pPr>
            <w:r>
              <w:rPr>
                <w:rFonts w:hint="eastAsia"/>
                <w:b/>
              </w:rPr>
              <w:t>工作内容</w:t>
            </w:r>
          </w:p>
        </w:tc>
        <w:tc>
          <w:tcPr>
            <w:tcW w:w="419" w:type="pct"/>
            <w:shd w:val="clear" w:color="auto" w:fill="auto"/>
            <w:vAlign w:val="center"/>
          </w:tcPr>
          <w:p w14:paraId="4D098615">
            <w:pPr>
              <w:pStyle w:val="13"/>
              <w:rPr>
                <w:b/>
              </w:rPr>
            </w:pPr>
            <w:r>
              <w:rPr>
                <w:rFonts w:hint="eastAsia"/>
                <w:b/>
              </w:rPr>
              <w:t>备注</w:t>
            </w:r>
          </w:p>
        </w:tc>
      </w:tr>
      <w:tr w14:paraId="428473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769494B4">
            <w:pPr>
              <w:pStyle w:val="13"/>
              <w:numPr>
                <w:ilvl w:val="0"/>
                <w:numId w:val="10"/>
              </w:numPr>
            </w:pPr>
          </w:p>
        </w:tc>
        <w:tc>
          <w:tcPr>
            <w:tcW w:w="833" w:type="pct"/>
            <w:shd w:val="clear" w:color="auto" w:fill="auto"/>
            <w:vAlign w:val="center"/>
          </w:tcPr>
          <w:p w14:paraId="4A6ABC21">
            <w:pPr>
              <w:pStyle w:val="13"/>
            </w:pPr>
            <w:bookmarkStart w:id="98" w:name="起重设备1类型"/>
            <w:r>
              <w:rPr>
                <w:rFonts w:hint="eastAsia"/>
              </w:rPr>
              <w:t>塔式起重机</w:t>
            </w:r>
            <w:bookmarkEnd w:id="98"/>
          </w:p>
        </w:tc>
        <w:tc>
          <w:tcPr>
            <w:tcW w:w="963" w:type="pct"/>
            <w:shd w:val="clear" w:color="auto" w:fill="auto"/>
            <w:vAlign w:val="center"/>
          </w:tcPr>
          <w:p w14:paraId="4DBEC922">
            <w:pPr>
              <w:pStyle w:val="13"/>
              <w:rPr>
                <w:rFonts w:hint="eastAsia" w:eastAsia="宋体"/>
                <w:lang w:eastAsia="zh-CN"/>
              </w:rPr>
            </w:pPr>
            <w:r>
              <w:rPr>
                <w:rFonts w:hint="eastAsia"/>
                <w:color w:val="auto"/>
                <w:sz w:val="21"/>
                <w:szCs w:val="21"/>
                <w:lang w:val="en-US" w:eastAsia="zh-CN"/>
              </w:rPr>
              <w:t>XGT6015-8S1</w:t>
            </w:r>
          </w:p>
        </w:tc>
        <w:tc>
          <w:tcPr>
            <w:tcW w:w="420" w:type="pct"/>
            <w:shd w:val="clear" w:color="auto" w:fill="auto"/>
            <w:vAlign w:val="center"/>
          </w:tcPr>
          <w:p w14:paraId="265E4E69">
            <w:pPr>
              <w:pStyle w:val="13"/>
            </w:pPr>
            <w:r>
              <w:rPr>
                <w:rFonts w:hint="eastAsia"/>
              </w:rPr>
              <w:t>台</w:t>
            </w:r>
          </w:p>
        </w:tc>
        <w:tc>
          <w:tcPr>
            <w:tcW w:w="420" w:type="pct"/>
            <w:shd w:val="clear" w:color="auto" w:fill="auto"/>
            <w:vAlign w:val="center"/>
          </w:tcPr>
          <w:p w14:paraId="226A0EBE">
            <w:pPr>
              <w:pStyle w:val="13"/>
            </w:pPr>
            <w:r>
              <w:t>1</w:t>
            </w:r>
          </w:p>
        </w:tc>
        <w:tc>
          <w:tcPr>
            <w:tcW w:w="1524" w:type="pct"/>
            <w:shd w:val="clear" w:color="auto" w:fill="auto"/>
            <w:vAlign w:val="center"/>
          </w:tcPr>
          <w:p w14:paraId="4821C89E">
            <w:pPr>
              <w:pStyle w:val="13"/>
            </w:pPr>
            <w:r>
              <w:rPr>
                <w:rFonts w:hint="eastAsia"/>
              </w:rPr>
              <w:t>安装施工起重作业</w:t>
            </w:r>
          </w:p>
        </w:tc>
        <w:tc>
          <w:tcPr>
            <w:tcW w:w="419" w:type="pct"/>
            <w:shd w:val="clear" w:color="auto" w:fill="auto"/>
            <w:vAlign w:val="center"/>
          </w:tcPr>
          <w:p w14:paraId="3BCD702D">
            <w:pPr>
              <w:pStyle w:val="13"/>
            </w:pPr>
          </w:p>
        </w:tc>
      </w:tr>
    </w:tbl>
    <w:p w14:paraId="55767F15">
      <w:pPr>
        <w:bidi w:val="0"/>
        <w:rPr>
          <w:rFonts w:hint="default" w:eastAsia="宋体"/>
          <w:lang w:val="en-US" w:eastAsia="zh-CN"/>
        </w:rPr>
      </w:pPr>
      <w:r>
        <w:rPr>
          <w:rFonts w:hint="eastAsia"/>
          <w:lang w:val="en-US" w:eastAsia="zh-CN"/>
        </w:rPr>
        <w:t>XGT6015-8S1</w:t>
      </w:r>
      <w:r>
        <w:fldChar w:fldCharType="begin"/>
      </w:r>
      <w:r>
        <w:instrText xml:space="preserve"> REF 起重设备1类型 \h </w:instrText>
      </w:r>
      <w:r>
        <w:fldChar w:fldCharType="separate"/>
      </w:r>
      <w:r>
        <w:rPr>
          <w:rFonts w:hint="eastAsia"/>
        </w:rPr>
        <w:t>塔式起重机</w:t>
      </w:r>
      <w:r>
        <w:fldChar w:fldCharType="end"/>
      </w:r>
      <w:r>
        <w:rPr>
          <w:rFonts w:hint="eastAsia"/>
        </w:rPr>
        <w:t>整机尺寸、载荷性能如</w:t>
      </w:r>
      <w:r>
        <w:rPr>
          <w:rFonts w:hint="eastAsia"/>
          <w:lang w:val="en-US" w:eastAsia="zh-CN"/>
        </w:rPr>
        <w:t>图所示：</w:t>
      </w:r>
    </w:p>
    <w:p w14:paraId="5058B6AC">
      <w:pPr>
        <w:pStyle w:val="2"/>
        <w:ind w:left="0" w:leftChars="0" w:firstLine="0" w:firstLineChars="0"/>
        <w:jc w:val="center"/>
      </w:pPr>
      <w:r>
        <w:drawing>
          <wp:inline distT="0" distB="0" distL="114300" distR="114300">
            <wp:extent cx="5759450" cy="4058285"/>
            <wp:effectExtent l="0" t="0" r="12700" b="1841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5"/>
                    <a:stretch>
                      <a:fillRect/>
                    </a:stretch>
                  </pic:blipFill>
                  <pic:spPr>
                    <a:xfrm>
                      <a:off x="0" y="0"/>
                      <a:ext cx="5759450" cy="4058285"/>
                    </a:xfrm>
                    <a:prstGeom prst="rect">
                      <a:avLst/>
                    </a:prstGeom>
                    <a:noFill/>
                    <a:ln>
                      <a:noFill/>
                    </a:ln>
                  </pic:spPr>
                </pic:pic>
              </a:graphicData>
            </a:graphic>
          </wp:inline>
        </w:drawing>
      </w:r>
    </w:p>
    <w:p w14:paraId="0785CFD0">
      <w:pPr>
        <w:pStyle w:val="12"/>
        <w:jc w:val="center"/>
        <w:rPr>
          <w:rFonts w:hint="eastAsia" w:ascii="宋体" w:hAnsi="宋体" w:eastAsia="宋体" w:cs="黑体"/>
          <w:b/>
          <w:color w:val="auto"/>
          <w:kern w:val="2"/>
          <w:sz w:val="21"/>
          <w:szCs w:val="21"/>
          <w:lang w:val="en-US" w:eastAsia="zh-CN" w:bidi="ar-SA"/>
        </w:rPr>
      </w:pPr>
      <w:r>
        <w:rPr>
          <w:rFonts w:hint="eastAsia" w:ascii="宋体" w:hAnsi="宋体" w:eastAsia="宋体" w:cs="黑体"/>
          <w:b/>
          <w:color w:val="auto"/>
          <w:kern w:val="2"/>
          <w:sz w:val="21"/>
          <w:szCs w:val="21"/>
          <w:lang w:val="en-US" w:eastAsia="zh-CN" w:bidi="ar-SA"/>
        </w:rPr>
        <w:t xml:space="preserve">图 </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STYLEREF 3 \s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4.2.2</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SEQ 图 \* ARABIC \s 3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1</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 xml:space="preserve"> XGT6015-8S1</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REF 起重设备1类型 \h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塔式起重机</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整机尺寸</w:t>
      </w:r>
    </w:p>
    <w:p w14:paraId="0C8310D7">
      <w:pPr>
        <w:pStyle w:val="12"/>
        <w:jc w:val="center"/>
        <w:rPr>
          <w:rFonts w:hint="eastAsia" w:ascii="宋体" w:hAnsi="宋体" w:eastAsia="宋体" w:cs="黑体"/>
          <w:b/>
          <w:color w:val="auto"/>
          <w:kern w:val="2"/>
          <w:sz w:val="21"/>
          <w:szCs w:val="21"/>
          <w:lang w:val="en-US" w:eastAsia="zh-CN" w:bidi="ar-SA"/>
        </w:rPr>
      </w:pPr>
    </w:p>
    <w:p w14:paraId="66D11232">
      <w:pPr>
        <w:pStyle w:val="2"/>
        <w:ind w:left="0" w:leftChars="0" w:firstLine="0" w:firstLineChars="0"/>
        <w:jc w:val="center"/>
      </w:pPr>
      <w:r>
        <w:drawing>
          <wp:inline distT="0" distB="0" distL="114300" distR="114300">
            <wp:extent cx="5758180" cy="3143250"/>
            <wp:effectExtent l="0" t="0" r="1397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6"/>
                    <a:stretch>
                      <a:fillRect/>
                    </a:stretch>
                  </pic:blipFill>
                  <pic:spPr>
                    <a:xfrm>
                      <a:off x="0" y="0"/>
                      <a:ext cx="5758180" cy="3143250"/>
                    </a:xfrm>
                    <a:prstGeom prst="rect">
                      <a:avLst/>
                    </a:prstGeom>
                    <a:noFill/>
                    <a:ln>
                      <a:noFill/>
                    </a:ln>
                  </pic:spPr>
                </pic:pic>
              </a:graphicData>
            </a:graphic>
          </wp:inline>
        </w:drawing>
      </w:r>
    </w:p>
    <w:p w14:paraId="31AC0A66">
      <w:pPr>
        <w:pStyle w:val="12"/>
        <w:jc w:val="center"/>
        <w:rPr>
          <w:rFonts w:hint="eastAsia" w:ascii="宋体" w:hAnsi="宋体" w:eastAsia="宋体" w:cs="黑体"/>
          <w:b/>
          <w:color w:val="auto"/>
          <w:kern w:val="2"/>
          <w:sz w:val="21"/>
          <w:szCs w:val="21"/>
          <w:lang w:val="en-US" w:eastAsia="zh-CN" w:bidi="ar-SA"/>
        </w:rPr>
      </w:pPr>
      <w:r>
        <w:rPr>
          <w:rFonts w:hint="eastAsia" w:ascii="宋体" w:hAnsi="宋体" w:eastAsia="宋体" w:cs="黑体"/>
          <w:b/>
          <w:color w:val="auto"/>
          <w:kern w:val="2"/>
          <w:sz w:val="21"/>
          <w:szCs w:val="21"/>
          <w:lang w:val="en-US" w:eastAsia="zh-CN" w:bidi="ar-SA"/>
        </w:rPr>
        <w:t xml:space="preserve">图 </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STYLEREF 3 \s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4.2.2</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SEQ 图 \* ARABIC \s 3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2</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 xml:space="preserve"> XGT6015-8S1塔式起重机载荷性能</w:t>
      </w:r>
    </w:p>
    <w:bookmarkEnd w:id="88"/>
    <w:bookmarkEnd w:id="89"/>
    <w:bookmarkEnd w:id="90"/>
    <w:bookmarkEnd w:id="91"/>
    <w:bookmarkEnd w:id="92"/>
    <w:bookmarkEnd w:id="93"/>
    <w:p w14:paraId="3DB0FE98">
      <w:pPr>
        <w:pStyle w:val="4"/>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rPr>
      </w:pPr>
      <w:bookmarkStart w:id="99" w:name="_Toc25282"/>
      <w:bookmarkStart w:id="100" w:name="_Toc6950"/>
      <w:bookmarkStart w:id="101" w:name="_Toc14477"/>
      <w:bookmarkStart w:id="102" w:name="_Toc3526"/>
      <w:bookmarkStart w:id="103" w:name="_Toc7048"/>
      <w:bookmarkStart w:id="104" w:name="_Toc29750"/>
      <w:bookmarkStart w:id="105" w:name="_Toc21364"/>
      <w:bookmarkStart w:id="106" w:name="_Toc24606"/>
      <w:bookmarkStart w:id="107" w:name="_Toc40778439"/>
      <w:r>
        <w:rPr>
          <w:rFonts w:hint="eastAsia" w:eastAsia="宋体"/>
          <w:color w:val="auto"/>
        </w:rPr>
        <w:t>施工准备</w:t>
      </w:r>
      <w:bookmarkEnd w:id="99"/>
      <w:bookmarkEnd w:id="100"/>
    </w:p>
    <w:p w14:paraId="7B7C9AF2">
      <w:pPr>
        <w:pStyle w:val="5"/>
        <w:tabs>
          <w:tab w:val="left" w:pos="0"/>
        </w:tabs>
        <w:bidi w:val="0"/>
        <w:ind w:left="0" w:leftChars="0" w:firstLine="0" w:firstLineChars="0"/>
      </w:pPr>
      <w:bookmarkStart w:id="108" w:name="_Hlk109141587"/>
      <w:r>
        <w:rPr>
          <w:rFonts w:hint="eastAsia"/>
          <w:lang w:val="en-US" w:eastAsia="zh-CN"/>
        </w:rPr>
        <w:t>技</w:t>
      </w:r>
      <w:r>
        <w:rPr>
          <w:rFonts w:hint="eastAsia"/>
        </w:rPr>
        <w:t>术准备</w:t>
      </w:r>
    </w:p>
    <w:p w14:paraId="2EF895E1">
      <w:pPr>
        <w:numPr>
          <w:ilvl w:val="0"/>
          <w:numId w:val="11"/>
        </w:numPr>
        <w:ind w:firstLineChars="0"/>
      </w:pPr>
      <w:r>
        <w:rPr>
          <w:rFonts w:hint="eastAsia"/>
        </w:rPr>
        <w:t>测量准备</w:t>
      </w:r>
    </w:p>
    <w:p w14:paraId="6AED87F4">
      <w:pPr>
        <w:ind w:firstLine="480"/>
      </w:pPr>
      <w:r>
        <w:t>根据施工图复核</w:t>
      </w:r>
      <w:r>
        <w:rPr>
          <w:rFonts w:hint="eastAsia"/>
        </w:rPr>
        <w:t>施工升降机安装</w:t>
      </w:r>
      <w:r>
        <w:t>坐标</w:t>
      </w:r>
      <w:r>
        <w:rPr>
          <w:rFonts w:hint="eastAsia"/>
        </w:rPr>
        <w:t>，</w:t>
      </w:r>
      <w:r>
        <w:t>建立平面施工测量控制网。</w:t>
      </w:r>
    </w:p>
    <w:p w14:paraId="1EE1006B">
      <w:pPr>
        <w:numPr>
          <w:ilvl w:val="0"/>
          <w:numId w:val="11"/>
        </w:numPr>
        <w:ind w:firstLineChars="0"/>
      </w:pPr>
      <w:r>
        <w:rPr>
          <w:rFonts w:hint="eastAsia"/>
        </w:rPr>
        <w:t>资料报备</w:t>
      </w:r>
    </w:p>
    <w:p w14:paraId="06448F91">
      <w:pPr>
        <w:ind w:firstLine="480"/>
      </w:pPr>
      <w:r>
        <w:rPr>
          <w:rFonts w:hint="eastAsia"/>
        </w:rPr>
        <w:t>向项目部报备施工升降机</w:t>
      </w:r>
      <w:r>
        <w:rPr>
          <w:rFonts w:hint="eastAsia"/>
          <w:lang w:val="en-US" w:eastAsia="zh-CN"/>
        </w:rPr>
        <w:t>安装</w:t>
      </w:r>
      <w:r>
        <w:rPr>
          <w:rFonts w:hint="eastAsia"/>
        </w:rPr>
        <w:t>相关资料，包括施工升降机</w:t>
      </w:r>
      <w:r>
        <w:rPr>
          <w:rFonts w:hint="eastAsia"/>
          <w:lang w:val="en-US" w:eastAsia="zh-CN"/>
        </w:rPr>
        <w:t>安装</w:t>
      </w:r>
      <w:r>
        <w:rPr>
          <w:rFonts w:hint="eastAsia"/>
        </w:rPr>
        <w:t>告知手续，审核修改通过的</w:t>
      </w:r>
      <w:r>
        <w:rPr>
          <w:rFonts w:hint="eastAsia"/>
          <w:lang w:val="en-US" w:eastAsia="zh-CN"/>
        </w:rPr>
        <w:t>安装</w:t>
      </w:r>
      <w:r>
        <w:rPr>
          <w:rFonts w:hint="eastAsia"/>
        </w:rPr>
        <w:t>方案，实际到场特种作业人员证件，施工所需设备、材料。</w:t>
      </w:r>
    </w:p>
    <w:p w14:paraId="1159B404">
      <w:pPr>
        <w:numPr>
          <w:ilvl w:val="0"/>
          <w:numId w:val="11"/>
        </w:numPr>
        <w:ind w:firstLineChars="0"/>
      </w:pPr>
      <w:r>
        <w:rPr>
          <w:rFonts w:hint="eastAsia"/>
        </w:rPr>
        <w:t>技术交底</w:t>
      </w:r>
    </w:p>
    <w:p w14:paraId="00D9819B">
      <w:pPr>
        <w:ind w:firstLine="480"/>
      </w:pPr>
      <w:r>
        <w:rPr>
          <w:rFonts w:hint="eastAsia"/>
        </w:rPr>
        <w:t>针对本工程相关施工管理人员和施工作业</w:t>
      </w:r>
      <w:r>
        <w:t>人员，组织</w:t>
      </w:r>
      <w:r>
        <w:rPr>
          <w:rFonts w:hint="eastAsia"/>
        </w:rPr>
        <w:t>技术方案交底与</w:t>
      </w:r>
      <w:r>
        <w:t>安全</w:t>
      </w:r>
      <w:r>
        <w:rPr>
          <w:rFonts w:hint="eastAsia"/>
        </w:rPr>
        <w:t>教育</w:t>
      </w:r>
      <w:r>
        <w:t>培训</w:t>
      </w:r>
      <w:r>
        <w:rPr>
          <w:rFonts w:hint="eastAsia"/>
        </w:rPr>
        <w:t>并参与项目部组织的相关技术交底与培训</w:t>
      </w:r>
      <w:r>
        <w:t>。</w:t>
      </w:r>
    </w:p>
    <w:p w14:paraId="1298D56C">
      <w:pPr>
        <w:pStyle w:val="5"/>
        <w:tabs>
          <w:tab w:val="left" w:pos="0"/>
        </w:tabs>
        <w:bidi w:val="0"/>
        <w:ind w:left="0" w:leftChars="0" w:firstLine="0" w:firstLineChars="0"/>
      </w:pPr>
      <w:r>
        <w:rPr>
          <w:rFonts w:hint="eastAsia"/>
        </w:rPr>
        <w:t>现场准备</w:t>
      </w:r>
    </w:p>
    <w:p w14:paraId="4888FC36">
      <w:pPr>
        <w:numPr>
          <w:ilvl w:val="0"/>
          <w:numId w:val="12"/>
        </w:numPr>
        <w:ind w:firstLineChars="0"/>
      </w:pPr>
      <w:r>
        <w:rPr>
          <w:rFonts w:hint="eastAsia"/>
        </w:rPr>
        <w:t>场地准备</w:t>
      </w:r>
    </w:p>
    <w:p w14:paraId="06849692">
      <w:pPr>
        <w:ind w:firstLine="480"/>
      </w:pPr>
      <w:r>
        <w:rPr>
          <w:rFonts w:hint="eastAsia"/>
        </w:rPr>
        <w:t>根据本施工方案的施工平面布置，与项目部一同清理现场场地，保证施工场所满足空间需求，并对施工升降机基础进行验收，不合格项应进行整改。</w:t>
      </w:r>
    </w:p>
    <w:p w14:paraId="2459651B">
      <w:pPr>
        <w:numPr>
          <w:ilvl w:val="0"/>
          <w:numId w:val="12"/>
        </w:numPr>
        <w:ind w:firstLineChars="0"/>
      </w:pPr>
      <w:r>
        <w:rPr>
          <w:rFonts w:hint="eastAsia"/>
        </w:rPr>
        <w:t>环境准备</w:t>
      </w:r>
    </w:p>
    <w:p w14:paraId="290F4365">
      <w:pPr>
        <w:ind w:firstLine="480"/>
      </w:pPr>
      <w:r>
        <w:rPr>
          <w:rFonts w:hint="eastAsia"/>
        </w:rPr>
        <w:t>持续关注气候以及水位情况，保证施工过程中不受恶劣天气（6级及以上大风、雨、雪等）以及高水位影响。</w:t>
      </w:r>
    </w:p>
    <w:p w14:paraId="5EF7BFEE">
      <w:pPr>
        <w:numPr>
          <w:ilvl w:val="0"/>
          <w:numId w:val="12"/>
        </w:numPr>
        <w:ind w:firstLineChars="0"/>
      </w:pPr>
      <w:r>
        <w:rPr>
          <w:rFonts w:hint="eastAsia"/>
        </w:rPr>
        <w:t>材料准备</w:t>
      </w:r>
    </w:p>
    <w:p w14:paraId="25EF2C50">
      <w:pPr>
        <w:ind w:firstLine="480"/>
      </w:pPr>
      <w:r>
        <w:rPr>
          <w:rFonts w:hint="eastAsia"/>
        </w:rPr>
        <w:t>施工所需</w:t>
      </w:r>
      <w:r>
        <w:t>材料</w:t>
      </w:r>
      <w:r>
        <w:rPr>
          <w:rFonts w:hint="eastAsia"/>
        </w:rPr>
        <w:t>通过项目部</w:t>
      </w:r>
      <w:r>
        <w:t>验收合格。在夜晚作业时，应准备足够的照明条件。</w:t>
      </w:r>
    </w:p>
    <w:p w14:paraId="1D289853">
      <w:pPr>
        <w:numPr>
          <w:ilvl w:val="0"/>
          <w:numId w:val="12"/>
        </w:numPr>
        <w:ind w:firstLineChars="0"/>
      </w:pPr>
      <w:r>
        <w:rPr>
          <w:rFonts w:hint="eastAsia"/>
        </w:rPr>
        <w:t>设备准备</w:t>
      </w:r>
    </w:p>
    <w:p w14:paraId="0A5A3AE7">
      <w:pPr>
        <w:ind w:firstLine="480"/>
      </w:pPr>
      <w:r>
        <w:rPr>
          <w:rFonts w:hint="eastAsia"/>
        </w:rPr>
        <w:t>施工所需设备通过项目部验收合格，确保设备满足施工需要求。</w:t>
      </w:r>
    </w:p>
    <w:p w14:paraId="64A6593E">
      <w:pPr>
        <w:numPr>
          <w:ilvl w:val="0"/>
          <w:numId w:val="12"/>
        </w:numPr>
        <w:ind w:firstLineChars="0"/>
      </w:pPr>
      <w:r>
        <w:rPr>
          <w:rFonts w:hint="eastAsia"/>
        </w:rPr>
        <w:t>临时用电</w:t>
      </w:r>
    </w:p>
    <w:p w14:paraId="571A3D13">
      <w:pPr>
        <w:ind w:firstLine="480"/>
      </w:pPr>
      <w:r>
        <w:rPr>
          <w:rFonts w:hint="eastAsia"/>
        </w:rPr>
        <w:t>施工区域配1台</w:t>
      </w:r>
      <w:r>
        <w:rPr>
          <w:rFonts w:hint="eastAsia"/>
          <w:lang w:val="en-US" w:eastAsia="zh-CN"/>
        </w:rPr>
        <w:t>1250</w:t>
      </w:r>
      <w:r>
        <w:rPr>
          <w:rFonts w:hint="eastAsia"/>
        </w:rPr>
        <w:t>k</w:t>
      </w:r>
      <w:r>
        <w:rPr>
          <w:rFonts w:hint="eastAsia"/>
          <w:lang w:val="en-US" w:eastAsia="zh-CN"/>
        </w:rPr>
        <w:t>VA</w:t>
      </w:r>
      <w:r>
        <w:rPr>
          <w:rFonts w:hint="eastAsia"/>
        </w:rPr>
        <w:t>变压器和一台250kW发电机，各功能区均配备二级配电箱，各用电终端配三级配电箱，供电线经PVC管保护地埋敷设。</w:t>
      </w:r>
    </w:p>
    <w:p w14:paraId="2C8405E6">
      <w:pPr>
        <w:numPr>
          <w:ilvl w:val="0"/>
          <w:numId w:val="12"/>
        </w:numPr>
        <w:ind w:firstLineChars="0"/>
      </w:pPr>
      <w:r>
        <w:rPr>
          <w:rFonts w:hint="eastAsia"/>
        </w:rPr>
        <w:t>人员准备</w:t>
      </w:r>
    </w:p>
    <w:p w14:paraId="20EB8A55">
      <w:pPr>
        <w:ind w:firstLine="480"/>
      </w:pPr>
      <w:r>
        <w:rPr>
          <w:rFonts w:hint="eastAsia"/>
        </w:rPr>
        <w:t>施工涉及的特种作业人员应持证上岗，施工前进行吊装演练。</w:t>
      </w:r>
    </w:p>
    <w:bookmarkEnd w:id="101"/>
    <w:bookmarkEnd w:id="102"/>
    <w:bookmarkEnd w:id="103"/>
    <w:bookmarkEnd w:id="104"/>
    <w:bookmarkEnd w:id="105"/>
    <w:bookmarkEnd w:id="106"/>
    <w:bookmarkEnd w:id="107"/>
    <w:bookmarkEnd w:id="108"/>
    <w:p w14:paraId="398D0DBD">
      <w:pPr>
        <w:pStyle w:val="4"/>
        <w:tabs>
          <w:tab w:val="left" w:pos="0"/>
        </w:tabs>
        <w:bidi w:val="0"/>
        <w:ind w:left="0" w:leftChars="0" w:firstLine="0" w:firstLineChars="0"/>
      </w:pPr>
      <w:bookmarkStart w:id="109" w:name="_Toc14878"/>
      <w:bookmarkStart w:id="110" w:name="_Toc29797"/>
      <w:bookmarkStart w:id="111" w:name="_Toc13629"/>
      <w:bookmarkStart w:id="112" w:name="_Toc10409851"/>
      <w:bookmarkStart w:id="113" w:name="_Toc4514"/>
      <w:r>
        <w:rPr>
          <w:rFonts w:hint="eastAsia"/>
        </w:rPr>
        <w:t>施工工艺流程图</w:t>
      </w:r>
      <w:bookmarkEnd w:id="109"/>
      <w:bookmarkEnd w:id="110"/>
    </w:p>
    <w:p w14:paraId="1133483B">
      <w:pPr>
        <w:ind w:firstLine="480"/>
        <w:rPr>
          <w:highlight w:val="yellow"/>
        </w:rPr>
      </w:pPr>
      <w:r>
        <w:fldChar w:fldCharType="begin"/>
      </w:r>
      <w:r>
        <w:instrText xml:space="preserve"> REF 设备类型 \h  \* MERGEFORMAT </w:instrText>
      </w:r>
      <w:r>
        <w:fldChar w:fldCharType="separate"/>
      </w:r>
      <w:r>
        <w:rPr>
          <w:rFonts w:hint="eastAsia"/>
        </w:rPr>
        <w:t>施工升降机</w:t>
      </w:r>
      <w:r>
        <w:fldChar w:fldCharType="end"/>
      </w:r>
      <w:r>
        <w:rPr>
          <w:rFonts w:hint="eastAsia"/>
        </w:rPr>
        <w:t>安装工艺流程图如</w:t>
      </w:r>
      <w:r>
        <w:fldChar w:fldCharType="begin"/>
      </w:r>
      <w:r>
        <w:instrText xml:space="preserve"> </w:instrText>
      </w:r>
      <w:r>
        <w:rPr>
          <w:rFonts w:hint="eastAsia"/>
        </w:rPr>
        <w:instrText xml:space="preserve">REF _Ref123658448 \h</w:instrText>
      </w:r>
      <w:r>
        <w:instrText xml:space="preserve"> </w:instrText>
      </w:r>
      <w:r>
        <w:fldChar w:fldCharType="separate"/>
      </w: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rPr>
          <w:rFonts w:hint="eastAsia"/>
        </w:rPr>
        <w:t>4.4</w:t>
      </w:r>
      <w:r>
        <w:fldChar w:fldCharType="end"/>
      </w:r>
      <w:r>
        <w:rPr>
          <w:rFonts w:hint="eastAsia"/>
        </w:rPr>
        <w:t>-1</w:t>
      </w:r>
      <w:r>
        <w:fldChar w:fldCharType="end"/>
      </w:r>
      <w:r>
        <w:rPr>
          <w:rFonts w:hint="eastAsia"/>
        </w:rPr>
        <w:t>所示。</w:t>
      </w:r>
    </w:p>
    <w:p w14:paraId="3DBDF77A">
      <w:pPr>
        <w:pStyle w:val="90"/>
        <w:keepNext w:val="0"/>
        <w:keepLines w:val="0"/>
        <w:pageBreakBefore w:val="0"/>
        <w:widowControl w:val="0"/>
        <w:kinsoku/>
        <w:wordWrap/>
        <w:overflowPunct/>
        <w:topLinePunct w:val="0"/>
        <w:autoSpaceDE/>
        <w:autoSpaceDN/>
        <w:bidi w:val="0"/>
        <w:adjustRightInd/>
        <w:snapToGrid/>
        <w:spacing w:line="240" w:lineRule="atLeast"/>
        <w:textAlignment w:val="auto"/>
      </w:pPr>
      <w:r>
        <w:object>
          <v:shape id="_x0000_i1025" o:spt="75" type="#_x0000_t75" style="height:311pt;width:191.75pt;" o:ole="t" filled="f" o:preferrelative="t" stroked="f" coordsize="21600,21600">
            <v:path/>
            <v:fill on="f" focussize="0,0"/>
            <v:stroke on="f"/>
            <v:imagedata r:id="rId28" o:title=""/>
            <o:lock v:ext="edit" aspectratio="t"/>
            <w10:wrap type="none"/>
            <w10:anchorlock/>
          </v:shape>
          <o:OLEObject Type="Embed" ProgID="Visio.Drawing.15" ShapeID="_x0000_i1025" DrawAspect="Content" ObjectID="_1468075725" r:id="rId27">
            <o:LockedField>false</o:LockedField>
          </o:OLEObject>
        </w:object>
      </w:r>
    </w:p>
    <w:p w14:paraId="5DC7C430">
      <w:pPr>
        <w:pStyle w:val="12"/>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黑体"/>
          <w:b/>
          <w:color w:val="auto"/>
          <w:kern w:val="2"/>
          <w:sz w:val="21"/>
          <w:szCs w:val="21"/>
          <w:lang w:val="en-US" w:eastAsia="zh-CN" w:bidi="ar-SA"/>
        </w:rPr>
      </w:pPr>
      <w:bookmarkStart w:id="114" w:name="_Ref123658448"/>
      <w:r>
        <w:rPr>
          <w:rFonts w:hint="eastAsia" w:ascii="宋体" w:hAnsi="宋体" w:eastAsia="宋体" w:cs="黑体"/>
          <w:b/>
          <w:color w:val="auto"/>
          <w:kern w:val="2"/>
          <w:sz w:val="21"/>
          <w:szCs w:val="21"/>
          <w:lang w:val="en-US" w:eastAsia="zh-CN" w:bidi="ar-SA"/>
        </w:rPr>
        <w:t>图</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STYLEREF 2 \s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4.4</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SEQ 图 \* ARABIC \s 2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1</w:t>
      </w:r>
      <w:r>
        <w:rPr>
          <w:rFonts w:hint="eastAsia" w:ascii="宋体" w:hAnsi="宋体" w:eastAsia="宋体" w:cs="黑体"/>
          <w:b/>
          <w:color w:val="auto"/>
          <w:kern w:val="2"/>
          <w:sz w:val="21"/>
          <w:szCs w:val="21"/>
          <w:lang w:val="en-US" w:eastAsia="zh-CN" w:bidi="ar-SA"/>
        </w:rPr>
        <w:fldChar w:fldCharType="end"/>
      </w:r>
      <w:bookmarkEnd w:id="114"/>
      <w:r>
        <w:rPr>
          <w:rFonts w:hint="eastAsia" w:ascii="宋体" w:hAnsi="宋体" w:eastAsia="宋体" w:cs="黑体"/>
          <w:b/>
          <w:color w:val="auto"/>
          <w:kern w:val="2"/>
          <w:sz w:val="21"/>
          <w:szCs w:val="21"/>
          <w:lang w:val="en-US" w:eastAsia="zh-CN" w:bidi="ar-SA"/>
        </w:rPr>
        <w:t xml:space="preserve"> </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REF 设备类型 \h  \* MERGEFORMAT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施工升降机</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安装工艺流程图</w:t>
      </w:r>
    </w:p>
    <w:p w14:paraId="43E667F5">
      <w:pPr>
        <w:pStyle w:val="4"/>
        <w:tabs>
          <w:tab w:val="left" w:pos="0"/>
        </w:tabs>
        <w:bidi w:val="0"/>
        <w:ind w:left="0" w:leftChars="0" w:firstLine="0" w:firstLineChars="0"/>
      </w:pPr>
      <w:bookmarkStart w:id="115" w:name="_Toc17566"/>
      <w:bookmarkStart w:id="116" w:name="_Toc31797"/>
      <w:r>
        <w:rPr>
          <w:rFonts w:hint="eastAsia"/>
        </w:rPr>
        <w:t>施工方法</w:t>
      </w:r>
      <w:bookmarkEnd w:id="115"/>
      <w:bookmarkEnd w:id="116"/>
    </w:p>
    <w:p w14:paraId="5E7853E2">
      <w:pPr>
        <w:pStyle w:val="5"/>
        <w:tabs>
          <w:tab w:val="left" w:pos="0"/>
        </w:tabs>
        <w:bidi w:val="0"/>
        <w:ind w:left="0" w:leftChars="0" w:firstLine="0" w:firstLineChars="0"/>
      </w:pPr>
      <w:r>
        <w:rPr>
          <w:rFonts w:hint="eastAsia"/>
        </w:rPr>
        <w:t>底架及标准节安装</w:t>
      </w:r>
    </w:p>
    <w:p w14:paraId="6E948D79">
      <w:pPr>
        <w:numPr>
          <w:ilvl w:val="0"/>
          <w:numId w:val="13"/>
        </w:numPr>
        <w:ind w:firstLineChars="0"/>
      </w:pPr>
      <w:r>
        <w:rPr>
          <w:rFonts w:hint="eastAsia"/>
        </w:rPr>
        <w:t>基础施工完成后，将螺栓焊接于承重梁上，底架初步固定就位，测量人员采用全站仪进行校正。</w:t>
      </w:r>
    </w:p>
    <w:p w14:paraId="47D41C63">
      <w:pPr>
        <w:pStyle w:val="90"/>
        <w:bidi w:val="0"/>
      </w:pPr>
      <w:r>
        <w:drawing>
          <wp:inline distT="0" distB="0" distL="0" distR="0">
            <wp:extent cx="3390900" cy="2138045"/>
            <wp:effectExtent l="0" t="0" r="0" b="146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9"/>
                    <a:srcRect t="42374"/>
                    <a:stretch>
                      <a:fillRect/>
                    </a:stretch>
                  </pic:blipFill>
                  <pic:spPr>
                    <a:xfrm>
                      <a:off x="0" y="0"/>
                      <a:ext cx="3391194" cy="2138635"/>
                    </a:xfrm>
                    <a:prstGeom prst="rect">
                      <a:avLst/>
                    </a:prstGeom>
                    <a:ln>
                      <a:noFill/>
                    </a:ln>
                  </pic:spPr>
                </pic:pic>
              </a:graphicData>
            </a:graphic>
          </wp:inline>
        </w:drawing>
      </w:r>
    </w:p>
    <w:p w14:paraId="4C0FEC31">
      <w:pPr>
        <w:pStyle w:val="12"/>
        <w:jc w:val="center"/>
        <w:rPr>
          <w:rFonts w:hint="eastAsia" w:ascii="宋体" w:hAnsi="宋体" w:eastAsia="宋体" w:cs="黑体"/>
          <w:b/>
          <w:color w:val="auto"/>
          <w:kern w:val="2"/>
          <w:sz w:val="21"/>
          <w:szCs w:val="21"/>
          <w:lang w:val="en-US" w:eastAsia="zh-CN" w:bidi="ar-SA"/>
        </w:rPr>
      </w:pPr>
      <w:r>
        <w:rPr>
          <w:rFonts w:hint="eastAsia" w:ascii="宋体" w:hAnsi="宋体" w:eastAsia="宋体" w:cs="黑体"/>
          <w:b/>
          <w:color w:val="auto"/>
          <w:kern w:val="2"/>
          <w:sz w:val="21"/>
          <w:szCs w:val="21"/>
          <w:lang w:val="en-US" w:eastAsia="zh-CN" w:bidi="ar-SA"/>
        </w:rPr>
        <w:t>图</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STYLEREF 3 \s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4.5.1</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SEQ 图 \* ARABIC \s 3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1</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 xml:space="preserve"> 底架安装示意图</w:t>
      </w:r>
    </w:p>
    <w:p w14:paraId="18B9F47E">
      <w:pPr>
        <w:numPr>
          <w:ilvl w:val="0"/>
          <w:numId w:val="13"/>
        </w:numPr>
        <w:ind w:firstLineChars="0"/>
      </w:pPr>
      <w:r>
        <w:rPr>
          <w:rFonts w:hint="eastAsia"/>
        </w:rPr>
        <w:t>测量人员采用水准仪测量底盘高程，可通过塞垫薄钢板确保底架倾斜角度与设计一致（确保导轨架与底架垂直），随后</w:t>
      </w:r>
      <w:r>
        <w:rPr>
          <w:rFonts w:hint="eastAsia"/>
          <w:lang w:eastAsia="zh-CN"/>
        </w:rPr>
        <w:t>作业人员</w:t>
      </w:r>
      <w:r>
        <w:rPr>
          <w:rFonts w:hint="eastAsia"/>
        </w:rPr>
        <w:t>将底架与预埋螺栓连接，但暂不拧紧。</w:t>
      </w:r>
    </w:p>
    <w:p w14:paraId="7E517FDB">
      <w:pPr>
        <w:keepNext w:val="0"/>
        <w:keepLines w:val="0"/>
        <w:pageBreakBefore w:val="0"/>
        <w:widowControl w:val="0"/>
        <w:numPr>
          <w:ilvl w:val="0"/>
          <w:numId w:val="13"/>
        </w:numPr>
        <w:kinsoku/>
        <w:wordWrap w:val="0"/>
        <w:overflowPunct/>
        <w:topLinePunct w:val="0"/>
        <w:autoSpaceDE/>
        <w:autoSpaceDN/>
        <w:bidi w:val="0"/>
        <w:adjustRightInd/>
        <w:snapToGrid/>
        <w:ind w:firstLine="482" w:firstLineChars="0"/>
        <w:textAlignment w:val="auto"/>
      </w:pPr>
      <w:r>
        <w:rPr>
          <w:rFonts w:hint="eastAsia"/>
          <w:lang w:eastAsia="zh-CN"/>
        </w:rPr>
        <w:t>作业人员</w:t>
      </w:r>
      <w:r>
        <w:rPr>
          <w:rFonts w:hint="eastAsia"/>
        </w:rPr>
        <w:t>采用</w:t>
      </w:r>
      <w:r>
        <w:rPr>
          <w:rFonts w:hint="eastAsia"/>
          <w:lang w:eastAsia="zh-CN"/>
        </w:rPr>
        <w:t>塔机</w:t>
      </w:r>
      <w:r>
        <w:rPr>
          <w:rFonts w:hint="eastAsia"/>
          <w:lang w:val="en-US" w:eastAsia="zh-CN"/>
        </w:rPr>
        <w:t>配合</w:t>
      </w:r>
      <w:r>
        <w:rPr>
          <w:rFonts w:hint="eastAsia"/>
        </w:rPr>
        <w:t>使用</w:t>
      </w:r>
      <w:r>
        <w:t>2</w:t>
      </w:r>
      <w:r>
        <w:rPr>
          <w:rFonts w:hint="eastAsia"/>
        </w:rPr>
        <w:t>根6m长的</w:t>
      </w:r>
      <w:r>
        <w:fldChar w:fldCharType="begin"/>
      </w:r>
      <w:r>
        <w:instrText xml:space="preserve"> REF 吊装钢丝绳 \h </w:instrText>
      </w:r>
      <w:r>
        <w:fldChar w:fldCharType="separate"/>
      </w:r>
      <w:r>
        <w:rPr>
          <w:rFonts w:hint="eastAsia"/>
          <w:lang w:val="en-US" w:eastAsia="zh-CN"/>
        </w:rPr>
        <w:t>12mm6×19W+IWR1870Mpa</w:t>
      </w:r>
      <w:r>
        <w:fldChar w:fldCharType="end"/>
      </w:r>
      <w:r>
        <w:rPr>
          <w:rFonts w:hint="eastAsia"/>
        </w:rPr>
        <w:t>钢丝绳在首节标准节顶部自带的斜对称的吊耳孔中配置</w:t>
      </w:r>
      <w:r>
        <w:fldChar w:fldCharType="begin"/>
      </w:r>
      <w:r>
        <w:instrText xml:space="preserve"> REF 吊装卸扣 \h  \* MERGEFORMAT </w:instrText>
      </w:r>
      <w:r>
        <w:fldChar w:fldCharType="separate"/>
      </w:r>
      <w:r>
        <w:rPr>
          <w:rFonts w:hint="eastAsia"/>
          <w:lang w:val="en-US" w:eastAsia="zh-CN"/>
        </w:rPr>
        <w:t>GB/T 25854-6-DW5</w:t>
      </w:r>
      <w:r>
        <w:fldChar w:fldCharType="end"/>
      </w:r>
      <w:r>
        <w:rPr>
          <w:rFonts w:hint="eastAsia"/>
        </w:rPr>
        <w:t>卸扣将标准节起吊安装（底节标准节通常不带齿条，安装前将标准节两端管子接头处及齿条销子处擦拭干净，并加少量润滑脂），并拧紧螺栓。</w:t>
      </w:r>
    </w:p>
    <w:p w14:paraId="07F43CED">
      <w:pPr>
        <w:numPr>
          <w:ilvl w:val="0"/>
          <w:numId w:val="13"/>
        </w:numPr>
        <w:ind w:firstLineChars="0"/>
      </w:pPr>
      <w:r>
        <w:rPr>
          <w:rFonts w:hint="eastAsia"/>
        </w:rPr>
        <w:t>随后采用</w:t>
      </w:r>
      <w:r>
        <w:rPr>
          <w:rFonts w:hint="eastAsia"/>
          <w:lang w:eastAsia="zh-CN"/>
        </w:rPr>
        <w:t>塔机</w:t>
      </w:r>
      <w:r>
        <w:rPr>
          <w:rFonts w:hint="eastAsia"/>
        </w:rPr>
        <w:t>配合，用同样的方法再加装</w:t>
      </w:r>
      <w:r>
        <w:t>4</w:t>
      </w:r>
      <w:r>
        <w:rPr>
          <w:rFonts w:hint="eastAsia"/>
        </w:rPr>
        <w:t>节标准节（</w:t>
      </w:r>
      <w:r>
        <w:t>4</w:t>
      </w:r>
      <w:r>
        <w:rPr>
          <w:rFonts w:hint="eastAsia"/>
        </w:rPr>
        <w:t>节标准节事先在地面上采用M</w:t>
      </w:r>
      <w:r>
        <w:t>24</w:t>
      </w:r>
      <w:r>
        <w:rPr>
          <w:rFonts w:hint="eastAsia"/>
        </w:rPr>
        <w:t>×</w:t>
      </w:r>
      <w:r>
        <w:t>230</w:t>
      </w:r>
      <w:r>
        <w:rPr>
          <w:rFonts w:hint="eastAsia"/>
        </w:rPr>
        <w:t>mm的专用螺栓组拼成一体，整体起吊。多节起吊时采用</w:t>
      </w:r>
      <w:r>
        <w:t>2</w:t>
      </w:r>
      <w:r>
        <w:rPr>
          <w:rFonts w:hint="eastAsia"/>
        </w:rPr>
        <w:t>根6m长的</w:t>
      </w:r>
      <w:r>
        <w:fldChar w:fldCharType="begin"/>
      </w:r>
      <w:r>
        <w:instrText xml:space="preserve"> REF 吊装钢丝绳 \h </w:instrText>
      </w:r>
      <w:r>
        <w:fldChar w:fldCharType="separate"/>
      </w:r>
      <w:r>
        <w:rPr>
          <w:rFonts w:hint="eastAsia"/>
          <w:lang w:val="en-US" w:eastAsia="zh-CN"/>
        </w:rPr>
        <w:t>12mm6×19W+IWR1870Mpa</w:t>
      </w:r>
      <w:r>
        <w:fldChar w:fldCharType="end"/>
      </w:r>
      <w:r>
        <w:rPr>
          <w:rFonts w:hint="eastAsia"/>
        </w:rPr>
        <w:t>钢丝绳配</w:t>
      </w:r>
      <w:r>
        <w:fldChar w:fldCharType="begin"/>
      </w:r>
      <w:r>
        <w:instrText xml:space="preserve"> REF 吊装卸扣 \h  \* MERGEFORMAT </w:instrText>
      </w:r>
      <w:r>
        <w:fldChar w:fldCharType="separate"/>
      </w:r>
      <w:r>
        <w:rPr>
          <w:rFonts w:hint="eastAsia"/>
          <w:lang w:val="en-US" w:eastAsia="zh-CN"/>
        </w:rPr>
        <w:t>GB/T 25854-6-DW5</w:t>
      </w:r>
      <w:r>
        <w:fldChar w:fldCharType="end"/>
      </w:r>
      <w:r>
        <w:rPr>
          <w:rFonts w:hint="eastAsia"/>
        </w:rPr>
        <w:t>卸扣进行吊装），并对安装角度进行检查。（测量人员用全站仪测量、</w:t>
      </w:r>
      <w:r>
        <w:rPr>
          <w:rFonts w:hint="eastAsia"/>
          <w:lang w:eastAsia="zh-CN"/>
        </w:rPr>
        <w:t>作业人员</w:t>
      </w:r>
      <w:r>
        <w:rPr>
          <w:rFonts w:hint="eastAsia"/>
        </w:rPr>
        <w:t>调整导轨架的安装角度，保证导轨架的各个立管在两个相邻方向上的倾斜度偏差≤1/1500），检查后用3</w:t>
      </w:r>
      <w:r>
        <w:t>0</w:t>
      </w:r>
      <w:r>
        <w:rPr>
          <w:rFonts w:hint="eastAsia"/>
        </w:rPr>
        <w:t>0N</w:t>
      </w:r>
      <w:r>
        <w:t>·</w:t>
      </w:r>
      <w:r>
        <w:rPr>
          <w:rFonts w:hint="eastAsia"/>
        </w:rPr>
        <w:t>m的预紧力拧紧底架与承台顶部预埋件之间的连接螺栓。</w:t>
      </w:r>
    </w:p>
    <w:p w14:paraId="7F48812B">
      <w:pPr>
        <w:numPr>
          <w:ilvl w:val="0"/>
          <w:numId w:val="13"/>
        </w:numPr>
        <w:ind w:firstLineChars="0"/>
      </w:pPr>
      <w:r>
        <w:rPr>
          <w:rFonts w:hint="eastAsia"/>
          <w:lang w:eastAsia="zh-CN"/>
        </w:rPr>
        <w:t>塔机</w:t>
      </w:r>
      <w:r>
        <w:rPr>
          <w:rFonts w:hint="eastAsia"/>
        </w:rPr>
        <w:t>将</w:t>
      </w:r>
      <w:r>
        <w:t>4</w:t>
      </w:r>
      <w:r>
        <w:rPr>
          <w:rFonts w:hint="eastAsia"/>
        </w:rPr>
        <w:t>节标准节吊装到位并完成螺栓连接后，</w:t>
      </w:r>
      <w:r>
        <w:rPr>
          <w:rFonts w:hint="eastAsia"/>
          <w:lang w:eastAsia="zh-CN"/>
        </w:rPr>
        <w:t>作业人员</w:t>
      </w:r>
      <w:r>
        <w:rPr>
          <w:rFonts w:hint="eastAsia"/>
        </w:rPr>
        <w:t>通过攀爬标准节至其顶部处解除卸扣连接，攀爬过程中</w:t>
      </w:r>
      <w:r>
        <w:rPr>
          <w:rFonts w:hint="eastAsia"/>
          <w:lang w:eastAsia="zh-CN"/>
        </w:rPr>
        <w:t>作业人员</w:t>
      </w:r>
      <w:r>
        <w:rPr>
          <w:rFonts w:hint="eastAsia"/>
        </w:rPr>
        <w:t>将安全带交替系挂在作业人员上方的标准节横杆上，并遵循安全带高挂低用的安全使用原则。</w:t>
      </w:r>
    </w:p>
    <w:p w14:paraId="4EC4408B">
      <w:pPr>
        <w:numPr>
          <w:ilvl w:val="0"/>
          <w:numId w:val="13"/>
        </w:numPr>
        <w:ind w:firstLineChars="0"/>
      </w:pPr>
      <w:r>
        <w:rPr>
          <w:rFonts w:hint="eastAsia"/>
          <w:lang w:eastAsia="zh-CN"/>
        </w:rPr>
        <w:t>塔机</w:t>
      </w:r>
      <w:r>
        <w:rPr>
          <w:rFonts w:hint="eastAsia"/>
        </w:rPr>
        <w:t>起吊吊装时设置警戒区，安排专人负责指挥，专人操作，严禁无关人员进入起重作业范围内。</w:t>
      </w:r>
    </w:p>
    <w:p w14:paraId="4D7852C5">
      <w:pPr>
        <w:numPr>
          <w:ilvl w:val="0"/>
          <w:numId w:val="13"/>
        </w:numPr>
        <w:ind w:firstLineChars="0"/>
      </w:pPr>
      <w:r>
        <w:rPr>
          <w:rFonts w:hint="eastAsia"/>
        </w:rPr>
        <w:t>标准节吊装时，要设置溜绳控制其摆动，防止其碰撞周边构件。</w:t>
      </w:r>
    </w:p>
    <w:bookmarkEnd w:id="111"/>
    <w:p w14:paraId="53A8D244">
      <w:pPr>
        <w:ind w:firstLine="480"/>
      </w:pPr>
      <w:r>
        <w:rPr>
          <w:rFonts w:hint="eastAsia"/>
        </w:rPr>
        <w:t>标准节安装平面图如</w:t>
      </w:r>
      <w:r>
        <w:fldChar w:fldCharType="begin"/>
      </w:r>
      <w:r>
        <w:instrText xml:space="preserve"> REF _Ref127538298 \h </w:instrText>
      </w:r>
      <w:r>
        <w:fldChar w:fldCharType="separate"/>
      </w:r>
      <w:r>
        <w:rPr>
          <w:rFonts w:hint="eastAsia"/>
          <w:highlight w:val="none"/>
        </w:rPr>
        <w:t>图</w:t>
      </w:r>
      <w:r>
        <w:rPr>
          <w:highlight w:val="none"/>
        </w:rPr>
        <w:fldChar w:fldCharType="begin"/>
      </w:r>
      <w:r>
        <w:rPr>
          <w:highlight w:val="none"/>
        </w:rPr>
        <w:instrText xml:space="preserve"> </w:instrText>
      </w:r>
      <w:r>
        <w:rPr>
          <w:rFonts w:hint="eastAsia"/>
          <w:highlight w:val="none"/>
        </w:rPr>
        <w:instrText xml:space="preserve">STYLEREF </w:instrText>
      </w:r>
      <w:r>
        <w:rPr>
          <w:highlight w:val="none"/>
        </w:rPr>
        <w:instrText xml:space="preserve">3</w:instrText>
      </w:r>
      <w:r>
        <w:rPr>
          <w:rFonts w:hint="eastAsia"/>
          <w:highlight w:val="none"/>
        </w:rPr>
        <w:instrText xml:space="preserve"> \s</w:instrText>
      </w:r>
      <w:r>
        <w:rPr>
          <w:highlight w:val="none"/>
        </w:rPr>
        <w:instrText xml:space="preserve"> </w:instrText>
      </w:r>
      <w:r>
        <w:rPr>
          <w:highlight w:val="none"/>
        </w:rPr>
        <w:fldChar w:fldCharType="separate"/>
      </w:r>
      <w:r>
        <w:rPr>
          <w:rFonts w:hint="eastAsia"/>
          <w:highlight w:val="none"/>
        </w:rPr>
        <w:t>4.5.1</w:t>
      </w:r>
      <w:r>
        <w:rPr>
          <w:highlight w:val="none"/>
        </w:rPr>
        <w:fldChar w:fldCharType="end"/>
      </w:r>
      <w:r>
        <w:rPr>
          <w:rFonts w:hint="eastAsia"/>
          <w:highlight w:val="none"/>
        </w:rPr>
        <w:t>-2</w:t>
      </w:r>
      <w:r>
        <w:fldChar w:fldCharType="end"/>
      </w:r>
      <w:r>
        <w:rPr>
          <w:rFonts w:hint="eastAsia"/>
        </w:rPr>
        <w:t>所示。</w:t>
      </w:r>
    </w:p>
    <w:p w14:paraId="2B30B007">
      <w:pPr>
        <w:pStyle w:val="90"/>
        <w:bidi w:val="0"/>
        <w:rPr>
          <w:highlight w:val="yellow"/>
        </w:rPr>
      </w:pPr>
      <w:r>
        <w:drawing>
          <wp:inline distT="0" distB="0" distL="114300" distR="114300">
            <wp:extent cx="5270500" cy="3164205"/>
            <wp:effectExtent l="0" t="0" r="6350" b="1714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30"/>
                    <a:stretch>
                      <a:fillRect/>
                    </a:stretch>
                  </pic:blipFill>
                  <pic:spPr>
                    <a:xfrm>
                      <a:off x="0" y="0"/>
                      <a:ext cx="5270500" cy="3164205"/>
                    </a:xfrm>
                    <a:prstGeom prst="rect">
                      <a:avLst/>
                    </a:prstGeom>
                    <a:noFill/>
                    <a:ln>
                      <a:noFill/>
                    </a:ln>
                  </pic:spPr>
                </pic:pic>
              </a:graphicData>
            </a:graphic>
          </wp:inline>
        </w:drawing>
      </w:r>
    </w:p>
    <w:p w14:paraId="00B245FF">
      <w:pPr>
        <w:pStyle w:val="12"/>
        <w:bidi w:val="0"/>
        <w:jc w:val="center"/>
        <w:rPr>
          <w:highlight w:val="none"/>
        </w:rPr>
      </w:pPr>
      <w:bookmarkStart w:id="117" w:name="_Ref127538298"/>
      <w:r>
        <w:rPr>
          <w:rFonts w:hint="eastAsia" w:ascii="宋体" w:hAnsi="宋体" w:eastAsia="宋体" w:cs="黑体"/>
          <w:b/>
          <w:color w:val="auto"/>
          <w:kern w:val="2"/>
          <w:sz w:val="21"/>
          <w:szCs w:val="21"/>
          <w:lang w:val="en-US" w:eastAsia="zh-CN" w:bidi="ar-SA"/>
        </w:rPr>
        <w:t>图</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STYLEREF 3 \s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4.5.1</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SEQ 图 \* ARABIC \s 3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2</w:t>
      </w:r>
      <w:r>
        <w:rPr>
          <w:rFonts w:hint="eastAsia" w:ascii="宋体" w:hAnsi="宋体" w:eastAsia="宋体" w:cs="黑体"/>
          <w:b/>
          <w:color w:val="auto"/>
          <w:kern w:val="2"/>
          <w:sz w:val="21"/>
          <w:szCs w:val="21"/>
          <w:lang w:val="en-US" w:eastAsia="zh-CN" w:bidi="ar-SA"/>
        </w:rPr>
        <w:fldChar w:fldCharType="end"/>
      </w:r>
      <w:bookmarkEnd w:id="117"/>
      <w:r>
        <w:rPr>
          <w:rFonts w:hint="eastAsia" w:ascii="宋体" w:hAnsi="宋体" w:eastAsia="宋体" w:cs="黑体"/>
          <w:b/>
          <w:color w:val="auto"/>
          <w:kern w:val="2"/>
          <w:sz w:val="21"/>
          <w:szCs w:val="21"/>
          <w:lang w:val="en-US" w:eastAsia="zh-CN" w:bidi="ar-SA"/>
        </w:rPr>
        <w:t xml:space="preserve"> 标准节安装平面图（mm</w:t>
      </w:r>
      <w:r>
        <w:rPr>
          <w:rFonts w:hint="eastAsia"/>
          <w:highlight w:val="none"/>
        </w:rPr>
        <w:t>）</w:t>
      </w:r>
    </w:p>
    <w:p w14:paraId="0CC5DBEC">
      <w:pPr>
        <w:pStyle w:val="5"/>
        <w:tabs>
          <w:tab w:val="left" w:pos="0"/>
        </w:tabs>
        <w:bidi w:val="0"/>
        <w:ind w:left="0" w:leftChars="0" w:firstLine="0" w:firstLineChars="0"/>
      </w:pPr>
      <w:r>
        <w:rPr>
          <w:rFonts w:hint="eastAsia"/>
        </w:rPr>
        <w:t>底架围栏（围栏门支撑和电源柜等）及缓冲弹簧安装</w:t>
      </w:r>
    </w:p>
    <w:p w14:paraId="518DA4BA">
      <w:pPr>
        <w:numPr>
          <w:ilvl w:val="0"/>
          <w:numId w:val="14"/>
        </w:numPr>
        <w:ind w:firstLineChars="0"/>
      </w:pPr>
      <w:r>
        <w:rPr>
          <w:rFonts w:hint="eastAsia"/>
          <w:lang w:eastAsia="zh-CN"/>
        </w:rPr>
        <w:t>作业人员</w:t>
      </w:r>
      <w:r>
        <w:rPr>
          <w:rFonts w:hint="eastAsia"/>
        </w:rPr>
        <w:t>依次采用</w:t>
      </w:r>
      <w:r>
        <w:rPr>
          <w:rFonts w:hint="eastAsia"/>
          <w:lang w:eastAsia="zh-CN"/>
        </w:rPr>
        <w:t>塔机</w:t>
      </w:r>
      <w:r>
        <w:rPr>
          <w:rFonts w:hint="eastAsia"/>
        </w:rPr>
        <w:t>使用</w:t>
      </w:r>
      <w:r>
        <w:fldChar w:fldCharType="begin"/>
      </w:r>
      <w:r>
        <w:instrText xml:space="preserve"> REF 吊装钢丝绳 \h </w:instrText>
      </w:r>
      <w:r>
        <w:fldChar w:fldCharType="separate"/>
      </w:r>
      <w:r>
        <w:rPr>
          <w:rFonts w:hint="eastAsia"/>
          <w:lang w:val="en-US" w:eastAsia="zh-CN"/>
        </w:rPr>
        <w:t>12mm6×19W+IWR1870Mpa</w:t>
      </w:r>
      <w:r>
        <w:fldChar w:fldCharType="end"/>
      </w:r>
      <w:r>
        <w:rPr>
          <w:rFonts w:hint="eastAsia"/>
        </w:rPr>
        <w:t>钢丝绳吊装底架的侧护栏、后护栏、门框结构、电控柜、弹簧座和缓冲弹簧，并用螺栓将各部件连接起来。</w:t>
      </w:r>
    </w:p>
    <w:p w14:paraId="574FBBF1">
      <w:pPr>
        <w:numPr>
          <w:ilvl w:val="0"/>
          <w:numId w:val="14"/>
        </w:numPr>
        <w:ind w:firstLineChars="0"/>
      </w:pPr>
      <w:r>
        <w:rPr>
          <w:rFonts w:hint="eastAsia"/>
          <w:highlight w:val="none"/>
        </w:rPr>
        <w:t>吊装侧护栏、后护栏时，先在护栏顶部两端焊接吊耳，采用</w:t>
      </w:r>
      <w:r>
        <w:rPr>
          <w:highlight w:val="none"/>
        </w:rPr>
        <w:t>2</w:t>
      </w:r>
      <w:r>
        <w:rPr>
          <w:rFonts w:hint="eastAsia"/>
          <w:highlight w:val="none"/>
        </w:rPr>
        <w:t>根6m长</w:t>
      </w:r>
      <w:r>
        <w:rPr>
          <w:highlight w:val="none"/>
        </w:rPr>
        <w:fldChar w:fldCharType="begin"/>
      </w:r>
      <w:r>
        <w:rPr>
          <w:highlight w:val="none"/>
        </w:rPr>
        <w:instrText xml:space="preserve"> REF 吊装钢丝绳 \h </w:instrText>
      </w:r>
      <w:r>
        <w:rPr>
          <w:highlight w:val="none"/>
        </w:rPr>
        <w:fldChar w:fldCharType="separate"/>
      </w:r>
      <w:r>
        <w:rPr>
          <w:rFonts w:hint="eastAsia"/>
          <w:lang w:val="en-US" w:eastAsia="zh-CN"/>
        </w:rPr>
        <w:t>12mm6×19W+IWR1870Mpa</w:t>
      </w:r>
      <w:r>
        <w:rPr>
          <w:highlight w:val="none"/>
        </w:rPr>
        <w:fldChar w:fldCharType="end"/>
      </w:r>
      <w:r>
        <w:rPr>
          <w:rFonts w:hint="eastAsia"/>
          <w:highlight w:val="none"/>
        </w:rPr>
        <w:t>钢丝绳配套</w:t>
      </w:r>
      <w:r>
        <w:rPr>
          <w:highlight w:val="none"/>
        </w:rPr>
        <w:fldChar w:fldCharType="begin"/>
      </w:r>
      <w:r>
        <w:rPr>
          <w:highlight w:val="none"/>
        </w:rPr>
        <w:instrText xml:space="preserve"> REF 吊装卸扣 \h  \* MERGEFORMAT </w:instrText>
      </w:r>
      <w:r>
        <w:rPr>
          <w:highlight w:val="none"/>
        </w:rPr>
        <w:fldChar w:fldCharType="separate"/>
      </w:r>
      <w:r>
        <w:rPr>
          <w:rFonts w:hint="eastAsia"/>
          <w:highlight w:val="none"/>
          <w:lang w:val="en-US" w:eastAsia="zh-CN"/>
        </w:rPr>
        <w:t>GB/T 25854-6-DW5</w:t>
      </w:r>
      <w:r>
        <w:rPr>
          <w:highlight w:val="none"/>
        </w:rPr>
        <w:fldChar w:fldCharType="end"/>
      </w:r>
      <w:r>
        <w:rPr>
          <w:rFonts w:hint="eastAsia"/>
          <w:highlight w:val="none"/>
        </w:rPr>
        <w:t>卸扣与吊耳连接。</w:t>
      </w:r>
      <w:r>
        <w:rPr>
          <w:rFonts w:hint="eastAsia"/>
          <w:highlight w:val="none"/>
          <w:lang w:eastAsia="zh-CN"/>
        </w:rPr>
        <w:t>作业人员</w:t>
      </w:r>
      <w:r>
        <w:rPr>
          <w:rFonts w:hint="eastAsia"/>
          <w:highlight w:val="none"/>
        </w:rPr>
        <w:t>在地面上先将两根钢丝绳的一端挂在</w:t>
      </w:r>
      <w:r>
        <w:rPr>
          <w:rFonts w:hint="eastAsia"/>
          <w:highlight w:val="none"/>
          <w:lang w:eastAsia="zh-CN"/>
        </w:rPr>
        <w:t>塔机</w:t>
      </w:r>
      <w:r>
        <w:rPr>
          <w:rFonts w:hint="eastAsia"/>
          <w:highlight w:val="none"/>
        </w:rPr>
        <w:t>吊钩上，另一端与两侧吊耳采用卸扣连接固定。启动</w:t>
      </w:r>
      <w:r>
        <w:rPr>
          <w:rFonts w:hint="eastAsia"/>
          <w:highlight w:val="none"/>
          <w:lang w:eastAsia="zh-CN"/>
        </w:rPr>
        <w:t>塔机</w:t>
      </w:r>
      <w:r>
        <w:rPr>
          <w:rFonts w:hint="eastAsia"/>
          <w:highlight w:val="none"/>
        </w:rPr>
        <w:t>，将单侧</w:t>
      </w:r>
      <w:r>
        <w:rPr>
          <w:rFonts w:hint="eastAsia"/>
        </w:rPr>
        <w:t>护栏缓慢提升，用溜绳控制其摆动。起吊至指定位置后，</w:t>
      </w:r>
      <w:bookmarkStart w:id="118" w:name="_Hlk76547843"/>
      <w:r>
        <w:rPr>
          <w:rFonts w:hint="eastAsia"/>
          <w:lang w:eastAsia="zh-CN"/>
        </w:rPr>
        <w:t>作业人员</w:t>
      </w:r>
      <w:r>
        <w:rPr>
          <w:rFonts w:hint="eastAsia"/>
        </w:rPr>
        <w:t>分别用M10的螺栓将其与主底架和辅底架相连，暂不拧紧。采用A</w:t>
      </w:r>
      <w:r>
        <w:t>48.3</w:t>
      </w:r>
      <w:r>
        <w:rPr>
          <w:rFonts w:hint="eastAsia"/>
        </w:rPr>
        <w:t>×</w:t>
      </w:r>
      <w:r>
        <w:t>3.6</w:t>
      </w:r>
      <w:r>
        <w:rPr>
          <w:rFonts w:hint="eastAsia"/>
        </w:rPr>
        <w:t>mm钢管支撑单侧围栏进行临时支撑固定</w:t>
      </w:r>
      <w:bookmarkEnd w:id="118"/>
      <w:r>
        <w:rPr>
          <w:rFonts w:hint="eastAsia"/>
        </w:rPr>
        <w:t>，</w:t>
      </w:r>
      <w:r>
        <w:rPr>
          <w:rFonts w:hint="eastAsia"/>
          <w:lang w:eastAsia="zh-CN"/>
        </w:rPr>
        <w:t>塔机</w:t>
      </w:r>
      <w:r>
        <w:rPr>
          <w:rFonts w:hint="eastAsia"/>
        </w:rPr>
        <w:t>缓慢落钩后，解除钢丝绳两端的连接，分别用M10的螺栓与主底架和辅底架相连，暂不拧紧。</w:t>
      </w:r>
    </w:p>
    <w:p w14:paraId="7460ED86">
      <w:pPr>
        <w:numPr>
          <w:ilvl w:val="0"/>
          <w:numId w:val="14"/>
        </w:numPr>
        <w:ind w:firstLineChars="0"/>
      </w:pPr>
      <w:r>
        <w:rPr>
          <w:rFonts w:hint="eastAsia"/>
        </w:rPr>
        <w:t>相邻围栏吊装完成后及时安装连接螺栓，并同步安装斜撑，确保围栏自身的稳固，直至四周围栏全部吊装安装完成且所有螺栓全部连接形成整体后，再拆除钢管支撑。</w:t>
      </w:r>
    </w:p>
    <w:p w14:paraId="7D6D20DF">
      <w:pPr>
        <w:numPr>
          <w:ilvl w:val="0"/>
          <w:numId w:val="14"/>
        </w:numPr>
        <w:ind w:firstLineChars="0"/>
      </w:pPr>
      <w:r>
        <w:rPr>
          <w:rFonts w:hint="eastAsia"/>
        </w:rPr>
        <w:t>安装门支撑，调节门框架的垂直度，使门框架的垂直度在两个相近方向≤1/1000；调节后护栏、侧护栏的垂直度，并拧紧所有连接螺栓。</w:t>
      </w:r>
    </w:p>
    <w:p w14:paraId="24EBC1BC">
      <w:pPr>
        <w:numPr>
          <w:ilvl w:val="0"/>
          <w:numId w:val="14"/>
        </w:numPr>
        <w:ind w:firstLineChars="0"/>
      </w:pPr>
      <w:r>
        <w:rPr>
          <w:rFonts w:hint="eastAsia"/>
        </w:rPr>
        <w:t>采用人工安装外护栏门、门配重滑道及门配重；安装吊笼门碰铁及外护栏门锁，调节门锁与外护栏门的距离，使门锁能锁住外护栏门。</w:t>
      </w:r>
    </w:p>
    <w:p w14:paraId="13275E60">
      <w:pPr>
        <w:numPr>
          <w:ilvl w:val="0"/>
          <w:numId w:val="14"/>
        </w:numPr>
        <w:ind w:firstLineChars="0"/>
      </w:pPr>
      <w:r>
        <w:rPr>
          <w:rFonts w:hint="eastAsia"/>
        </w:rPr>
        <w:t>采用人工安装弹簧座，并将其与钢平台焊接固定牢固。</w:t>
      </w:r>
    </w:p>
    <w:p w14:paraId="3A261A94">
      <w:pPr>
        <w:numPr>
          <w:ilvl w:val="0"/>
          <w:numId w:val="14"/>
        </w:numPr>
        <w:ind w:firstLineChars="0"/>
      </w:pPr>
      <w:r>
        <w:rPr>
          <w:rFonts w:hint="eastAsia"/>
          <w:lang w:eastAsia="zh-CN"/>
        </w:rPr>
        <w:t>作业人员</w:t>
      </w:r>
      <w:r>
        <w:rPr>
          <w:rFonts w:hint="eastAsia"/>
        </w:rPr>
        <w:t>将电源箱安装在底架电控柜上。</w:t>
      </w:r>
    </w:p>
    <w:p w14:paraId="6E007854">
      <w:pPr>
        <w:pStyle w:val="90"/>
        <w:bidi w:val="0"/>
      </w:pPr>
      <w:r>
        <w:drawing>
          <wp:inline distT="0" distB="0" distL="0" distR="0">
            <wp:extent cx="4010025" cy="2614295"/>
            <wp:effectExtent l="0" t="0" r="9525" b="146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4010025" cy="2614295"/>
                    </a:xfrm>
                    <a:prstGeom prst="rect">
                      <a:avLst/>
                    </a:prstGeom>
                  </pic:spPr>
                </pic:pic>
              </a:graphicData>
            </a:graphic>
          </wp:inline>
        </w:drawing>
      </w:r>
    </w:p>
    <w:p w14:paraId="705BB778">
      <w:pPr>
        <w:pStyle w:val="12"/>
        <w:jc w:val="center"/>
        <w:rPr>
          <w:rFonts w:hint="eastAsia" w:ascii="宋体" w:hAnsi="宋体" w:eastAsia="宋体" w:cs="黑体"/>
          <w:b/>
          <w:color w:val="auto"/>
          <w:kern w:val="2"/>
          <w:sz w:val="21"/>
          <w:szCs w:val="21"/>
          <w:lang w:val="en-US" w:eastAsia="zh-CN" w:bidi="ar-SA"/>
        </w:rPr>
      </w:pPr>
      <w:r>
        <w:rPr>
          <w:rFonts w:hint="eastAsia" w:ascii="宋体" w:hAnsi="宋体" w:eastAsia="宋体" w:cs="黑体"/>
          <w:b/>
          <w:color w:val="auto"/>
          <w:kern w:val="2"/>
          <w:sz w:val="21"/>
          <w:szCs w:val="21"/>
          <w:lang w:val="en-US" w:eastAsia="zh-CN" w:bidi="ar-SA"/>
        </w:rPr>
        <w:t>图</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STYLEREF 3 \s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4.5.2</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SEQ 图 \* ARABIC \s 3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1</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 xml:space="preserve"> 底架围栏平面图（mm）</w:t>
      </w:r>
    </w:p>
    <w:p w14:paraId="74E97E32">
      <w:pPr>
        <w:pStyle w:val="90"/>
        <w:bidi w:val="0"/>
      </w:pPr>
      <w:r>
        <w:drawing>
          <wp:inline distT="0" distB="0" distL="0" distR="0">
            <wp:extent cx="4233545" cy="3718560"/>
            <wp:effectExtent l="0" t="0" r="14605"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a:stretch>
                      <a:fillRect/>
                    </a:stretch>
                  </pic:blipFill>
                  <pic:spPr>
                    <a:xfrm>
                      <a:off x="0" y="0"/>
                      <a:ext cx="4233545" cy="3718560"/>
                    </a:xfrm>
                    <a:prstGeom prst="rect">
                      <a:avLst/>
                    </a:prstGeom>
                  </pic:spPr>
                </pic:pic>
              </a:graphicData>
            </a:graphic>
          </wp:inline>
        </w:drawing>
      </w:r>
    </w:p>
    <w:p w14:paraId="3C8DA1A7">
      <w:pPr>
        <w:pStyle w:val="12"/>
        <w:jc w:val="center"/>
        <w:rPr>
          <w:rFonts w:hint="eastAsia" w:ascii="宋体" w:hAnsi="宋体" w:eastAsia="宋体" w:cs="黑体"/>
          <w:b/>
          <w:color w:val="auto"/>
          <w:kern w:val="2"/>
          <w:sz w:val="21"/>
          <w:szCs w:val="21"/>
          <w:lang w:val="en-US" w:eastAsia="zh-CN" w:bidi="ar-SA"/>
        </w:rPr>
      </w:pPr>
      <w:r>
        <w:rPr>
          <w:rFonts w:hint="eastAsia" w:ascii="宋体" w:hAnsi="宋体" w:eastAsia="宋体" w:cs="黑体"/>
          <w:b/>
          <w:color w:val="auto"/>
          <w:kern w:val="2"/>
          <w:sz w:val="21"/>
          <w:szCs w:val="21"/>
          <w:lang w:val="en-US" w:eastAsia="zh-CN" w:bidi="ar-SA"/>
        </w:rPr>
        <w:t>图</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STYLEREF 3 \s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4.5.2</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SEQ 图 \* ARABIC \s 3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2</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 xml:space="preserve"> 底架围栏示意图</w:t>
      </w:r>
    </w:p>
    <w:p w14:paraId="1D199549">
      <w:pPr>
        <w:pStyle w:val="5"/>
        <w:tabs>
          <w:tab w:val="left" w:pos="0"/>
        </w:tabs>
        <w:bidi w:val="0"/>
        <w:ind w:left="0" w:leftChars="0" w:firstLine="0" w:firstLineChars="0"/>
      </w:pPr>
      <w:r>
        <w:rPr>
          <w:rFonts w:hint="eastAsia"/>
        </w:rPr>
        <w:t>吊笼、传动机构及笼顶部护栏安装</w:t>
      </w:r>
    </w:p>
    <w:p w14:paraId="48CF8E12">
      <w:pPr>
        <w:numPr>
          <w:ilvl w:val="0"/>
          <w:numId w:val="15"/>
        </w:numPr>
        <w:ind w:firstLineChars="0"/>
      </w:pPr>
      <w:r>
        <w:rPr>
          <w:rFonts w:hint="eastAsia"/>
        </w:rPr>
        <w:t>吊笼安装</w:t>
      </w:r>
    </w:p>
    <w:p w14:paraId="5C8BFD51">
      <w:pPr>
        <w:numPr>
          <w:ilvl w:val="0"/>
          <w:numId w:val="16"/>
        </w:numPr>
        <w:ind w:firstLineChars="0"/>
      </w:pPr>
      <w:r>
        <w:rPr>
          <w:rFonts w:hint="eastAsia"/>
          <w:lang w:eastAsia="zh-CN"/>
        </w:rPr>
        <w:t>作业人员</w:t>
      </w:r>
      <w:r>
        <w:rPr>
          <w:rFonts w:hint="eastAsia"/>
        </w:rPr>
        <w:t>配合</w:t>
      </w:r>
      <w:r>
        <w:rPr>
          <w:rFonts w:hint="eastAsia"/>
          <w:lang w:eastAsia="zh-CN"/>
        </w:rPr>
        <w:t>塔机</w:t>
      </w:r>
      <w:r>
        <w:rPr>
          <w:rFonts w:hint="eastAsia"/>
        </w:rPr>
        <w:t>将司机室安装到吊笼指定位置。将司机室从吊笼内部向安装位置推出，使法兰面与吊笼结构贴紧，然后使用螺栓将司机室与吊笼结构紧固连成整体。</w:t>
      </w:r>
    </w:p>
    <w:p w14:paraId="00C4A54A">
      <w:pPr>
        <w:numPr>
          <w:ilvl w:val="0"/>
          <w:numId w:val="16"/>
        </w:numPr>
        <w:ind w:firstLineChars="0"/>
      </w:pPr>
      <w:r>
        <w:rPr>
          <w:rFonts w:hint="eastAsia"/>
          <w:lang w:eastAsia="zh-CN"/>
        </w:rPr>
        <w:t>作业人员</w:t>
      </w:r>
      <w:r>
        <w:rPr>
          <w:rFonts w:hint="eastAsia"/>
        </w:rPr>
        <w:t>在钢平台上放一枕木或其它钢材（高度大于弹簧缓冲装置的高度）。</w:t>
      </w:r>
    </w:p>
    <w:p w14:paraId="6E4B1AFC">
      <w:pPr>
        <w:numPr>
          <w:ilvl w:val="0"/>
          <w:numId w:val="16"/>
        </w:numPr>
        <w:ind w:firstLineChars="0"/>
      </w:pPr>
      <w:r>
        <w:rPr>
          <w:rFonts w:hint="eastAsia"/>
          <w:lang w:eastAsia="zh-CN"/>
        </w:rPr>
        <w:t>作业人员</w:t>
      </w:r>
      <w:r>
        <w:rPr>
          <w:rFonts w:hint="eastAsia"/>
        </w:rPr>
        <w:t>采用</w:t>
      </w:r>
      <w:r>
        <w:rPr>
          <w:rFonts w:hint="eastAsia"/>
          <w:lang w:eastAsia="zh-CN"/>
        </w:rPr>
        <w:t>塔机</w:t>
      </w:r>
      <w:r>
        <w:rPr>
          <w:rFonts w:hint="eastAsia"/>
        </w:rPr>
        <w:t>使用4根6m长</w:t>
      </w:r>
      <w:r>
        <w:fldChar w:fldCharType="begin"/>
      </w:r>
      <w:r>
        <w:instrText xml:space="preserve"> REF 吊装钢丝绳 \h </w:instrText>
      </w:r>
      <w:r>
        <w:fldChar w:fldCharType="separate"/>
      </w:r>
      <w:r>
        <w:rPr>
          <w:rFonts w:hint="eastAsia"/>
          <w:lang w:val="en-US" w:eastAsia="zh-CN"/>
        </w:rPr>
        <w:t>12mm6×19W+IWR1870Mpa</w:t>
      </w:r>
      <w:r>
        <w:fldChar w:fldCharType="end"/>
      </w:r>
      <w:r>
        <w:rPr>
          <w:rFonts w:hint="eastAsia"/>
        </w:rPr>
        <w:t>钢丝绳配合</w:t>
      </w:r>
      <w:r>
        <w:fldChar w:fldCharType="begin"/>
      </w:r>
      <w:r>
        <w:instrText xml:space="preserve"> REF 吊装卸扣 \h  \* MERGEFORMAT </w:instrText>
      </w:r>
      <w:r>
        <w:fldChar w:fldCharType="separate"/>
      </w:r>
      <w:r>
        <w:rPr>
          <w:rFonts w:hint="eastAsia"/>
          <w:lang w:val="en-US" w:eastAsia="zh-CN"/>
        </w:rPr>
        <w:t>GB/T 25854-6-DW5</w:t>
      </w:r>
      <w:r>
        <w:fldChar w:fldCharType="end"/>
      </w:r>
      <w:r>
        <w:rPr>
          <w:rFonts w:hint="eastAsia"/>
        </w:rPr>
        <w:t>卸扣将其与吊笼顶部的四个吊耳连接，并将吊笼吊装到导轨架上。</w:t>
      </w:r>
    </w:p>
    <w:p w14:paraId="2CDC2BD6">
      <w:pPr>
        <w:numPr>
          <w:ilvl w:val="0"/>
          <w:numId w:val="16"/>
        </w:numPr>
        <w:ind w:firstLineChars="0"/>
      </w:pPr>
      <w:r>
        <w:rPr>
          <w:rFonts w:hint="eastAsia"/>
          <w:lang w:eastAsia="zh-CN"/>
        </w:rPr>
        <w:t>作业人员</w:t>
      </w:r>
      <w:r>
        <w:rPr>
          <w:rFonts w:hint="eastAsia"/>
        </w:rPr>
        <w:t>在地面上先将钢丝绳一端挂在</w:t>
      </w:r>
      <w:r>
        <w:rPr>
          <w:rFonts w:hint="eastAsia"/>
          <w:lang w:eastAsia="zh-CN"/>
        </w:rPr>
        <w:t>塔机</w:t>
      </w:r>
      <w:r>
        <w:rPr>
          <w:rFonts w:hint="eastAsia"/>
        </w:rPr>
        <w:t>吊钩上，另一端与吊笼顶部的四个吊耳采用</w:t>
      </w:r>
      <w:r>
        <w:fldChar w:fldCharType="begin"/>
      </w:r>
      <w:r>
        <w:instrText xml:space="preserve"> REF 吊装卸扣 \h  \* MERGEFORMAT </w:instrText>
      </w:r>
      <w:r>
        <w:fldChar w:fldCharType="separate"/>
      </w:r>
      <w:r>
        <w:rPr>
          <w:rFonts w:hint="eastAsia"/>
          <w:lang w:val="en-US" w:eastAsia="zh-CN"/>
        </w:rPr>
        <w:t>GB/T 25854-6-DW5</w:t>
      </w:r>
      <w:r>
        <w:fldChar w:fldCharType="end"/>
      </w:r>
      <w:r>
        <w:rPr>
          <w:rFonts w:hint="eastAsia"/>
        </w:rPr>
        <w:t>卸扣连接。启动</w:t>
      </w:r>
      <w:r>
        <w:rPr>
          <w:rFonts w:hint="eastAsia"/>
          <w:lang w:eastAsia="zh-CN"/>
        </w:rPr>
        <w:t>塔机</w:t>
      </w:r>
      <w:r>
        <w:rPr>
          <w:rFonts w:hint="eastAsia"/>
        </w:rPr>
        <w:t>，将吊笼吊起就位，</w:t>
      </w:r>
      <w:r>
        <w:rPr>
          <w:rFonts w:hint="eastAsia"/>
          <w:lang w:eastAsia="zh-CN"/>
        </w:rPr>
        <w:t>作业人员</w:t>
      </w:r>
      <w:r>
        <w:rPr>
          <w:rFonts w:hint="eastAsia"/>
        </w:rPr>
        <w:t>站在导轨架最上一节标准节上并将安全带系挂在导轨架的最上层横杆上，然后</w:t>
      </w:r>
      <w:r>
        <w:rPr>
          <w:rFonts w:hint="eastAsia"/>
          <w:lang w:eastAsia="zh-CN"/>
        </w:rPr>
        <w:t>塔机</w:t>
      </w:r>
      <w:r>
        <w:rPr>
          <w:rFonts w:hint="eastAsia"/>
        </w:rPr>
        <w:t>操作人员听从指令缓慢下放吊笼，</w:t>
      </w:r>
      <w:r>
        <w:rPr>
          <w:rFonts w:hint="eastAsia"/>
          <w:lang w:eastAsia="zh-CN"/>
        </w:rPr>
        <w:t>作业人员</w:t>
      </w:r>
      <w:r>
        <w:rPr>
          <w:rFonts w:hint="eastAsia"/>
        </w:rPr>
        <w:t>根据下降情况扶正吊笼，使吊笼导轮准确卡入导轨内。使吊笼停放在先前的准备的枕木或钢材上，</w:t>
      </w:r>
      <w:r>
        <w:rPr>
          <w:rFonts w:hint="eastAsia"/>
          <w:lang w:eastAsia="zh-CN"/>
        </w:rPr>
        <w:t>塔机</w:t>
      </w:r>
      <w:r>
        <w:rPr>
          <w:rFonts w:hint="eastAsia"/>
        </w:rPr>
        <w:t>缓慢落钩后，</w:t>
      </w:r>
      <w:r>
        <w:rPr>
          <w:rFonts w:hint="eastAsia"/>
          <w:lang w:eastAsia="zh-CN"/>
        </w:rPr>
        <w:t>作业人员</w:t>
      </w:r>
      <w:r>
        <w:rPr>
          <w:rFonts w:hint="eastAsia"/>
        </w:rPr>
        <w:t>解除钢丝绳两端的连接。</w:t>
      </w:r>
    </w:p>
    <w:p w14:paraId="401F8823">
      <w:pPr>
        <w:ind w:firstLine="480"/>
      </w:pPr>
      <w:r>
        <w:rPr>
          <w:rFonts w:hint="eastAsia"/>
        </w:rPr>
        <w:t>吊笼安装平面图如</w:t>
      </w:r>
      <w:r>
        <w:fldChar w:fldCharType="begin"/>
      </w:r>
      <w:r>
        <w:instrText xml:space="preserve"> </w:instrText>
      </w:r>
      <w:r>
        <w:rPr>
          <w:rFonts w:hint="eastAsia"/>
        </w:rPr>
        <w:instrText xml:space="preserve">REF _Ref76462818 \h</w:instrText>
      </w:r>
      <w:r>
        <w:instrText xml:space="preserve">  \* MERGEFORMAT </w:instrText>
      </w:r>
      <w:r>
        <w:fldChar w:fldCharType="separate"/>
      </w:r>
      <w:r>
        <w:rPr>
          <w:rFonts w:hint="eastAsia"/>
        </w:rPr>
        <w:t>图</w:t>
      </w:r>
      <w:r>
        <w:rPr>
          <w:rFonts w:hint="eastAsia"/>
        </w:rP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rPr>
          <w:rFonts w:hint="eastAsia"/>
        </w:rPr>
        <w:t>4.5.3</w:t>
      </w:r>
      <w:r>
        <w:rPr>
          <w:rFonts w:hint="eastAsia"/>
        </w:rPr>
        <w:fldChar w:fldCharType="end"/>
      </w:r>
      <w:r>
        <w:rPr>
          <w:rFonts w:hint="eastAsia"/>
        </w:rPr>
        <w:t>-1</w:t>
      </w:r>
      <w:r>
        <w:fldChar w:fldCharType="end"/>
      </w:r>
      <w:r>
        <w:rPr>
          <w:rFonts w:hint="eastAsia"/>
        </w:rPr>
        <w:t>所示。</w:t>
      </w:r>
    </w:p>
    <w:p w14:paraId="5996B0F3">
      <w:pPr>
        <w:pStyle w:val="90"/>
        <w:bidi w:val="0"/>
        <w:rPr>
          <w:highlight w:val="yellow"/>
        </w:rPr>
      </w:pPr>
      <w:r>
        <w:drawing>
          <wp:inline distT="0" distB="0" distL="114300" distR="114300">
            <wp:extent cx="5269865" cy="2896870"/>
            <wp:effectExtent l="0" t="0" r="6985" b="1778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33"/>
                    <a:stretch>
                      <a:fillRect/>
                    </a:stretch>
                  </pic:blipFill>
                  <pic:spPr>
                    <a:xfrm>
                      <a:off x="0" y="0"/>
                      <a:ext cx="5269865" cy="2896870"/>
                    </a:xfrm>
                    <a:prstGeom prst="rect">
                      <a:avLst/>
                    </a:prstGeom>
                    <a:noFill/>
                    <a:ln>
                      <a:noFill/>
                    </a:ln>
                  </pic:spPr>
                </pic:pic>
              </a:graphicData>
            </a:graphic>
          </wp:inline>
        </w:drawing>
      </w:r>
    </w:p>
    <w:p w14:paraId="43CA4FEA">
      <w:pPr>
        <w:pStyle w:val="12"/>
        <w:jc w:val="center"/>
        <w:rPr>
          <w:rFonts w:hint="eastAsia" w:ascii="宋体" w:hAnsi="宋体" w:eastAsia="宋体" w:cs="黑体"/>
          <w:b/>
          <w:color w:val="auto"/>
          <w:kern w:val="2"/>
          <w:sz w:val="21"/>
          <w:szCs w:val="21"/>
          <w:lang w:val="en-US" w:eastAsia="zh-CN" w:bidi="ar-SA"/>
        </w:rPr>
      </w:pPr>
      <w:bookmarkStart w:id="119" w:name="_Ref76462818"/>
      <w:r>
        <w:rPr>
          <w:rFonts w:hint="eastAsia" w:ascii="宋体" w:hAnsi="宋体" w:eastAsia="宋体" w:cs="黑体"/>
          <w:b/>
          <w:color w:val="auto"/>
          <w:kern w:val="2"/>
          <w:sz w:val="21"/>
          <w:szCs w:val="21"/>
          <w:lang w:val="en-US" w:eastAsia="zh-CN" w:bidi="ar-SA"/>
        </w:rPr>
        <w:t>图</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STYLEREF 3 \s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4.5.3</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SEQ 图 \* ARABIC \s 3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1</w:t>
      </w:r>
      <w:r>
        <w:rPr>
          <w:rFonts w:hint="eastAsia" w:ascii="宋体" w:hAnsi="宋体" w:eastAsia="宋体" w:cs="黑体"/>
          <w:b/>
          <w:color w:val="auto"/>
          <w:kern w:val="2"/>
          <w:sz w:val="21"/>
          <w:szCs w:val="21"/>
          <w:lang w:val="en-US" w:eastAsia="zh-CN" w:bidi="ar-SA"/>
        </w:rPr>
        <w:fldChar w:fldCharType="end"/>
      </w:r>
      <w:bookmarkEnd w:id="119"/>
      <w:r>
        <w:rPr>
          <w:rFonts w:hint="eastAsia" w:ascii="宋体" w:hAnsi="宋体" w:eastAsia="宋体" w:cs="黑体"/>
          <w:b/>
          <w:color w:val="auto"/>
          <w:kern w:val="2"/>
          <w:sz w:val="21"/>
          <w:szCs w:val="21"/>
          <w:lang w:val="en-US" w:eastAsia="zh-CN" w:bidi="ar-SA"/>
        </w:rPr>
        <w:t xml:space="preserve"> 吊笼安装平面图（mm）</w:t>
      </w:r>
    </w:p>
    <w:p w14:paraId="658665EB">
      <w:pPr>
        <w:numPr>
          <w:ilvl w:val="0"/>
          <w:numId w:val="15"/>
        </w:numPr>
        <w:ind w:firstLineChars="0"/>
      </w:pPr>
      <w:r>
        <w:rPr>
          <w:rFonts w:hint="eastAsia"/>
        </w:rPr>
        <w:t>笼顶部护栏安装</w:t>
      </w:r>
    </w:p>
    <w:p w14:paraId="2AC9531C">
      <w:pPr>
        <w:numPr>
          <w:ilvl w:val="0"/>
          <w:numId w:val="17"/>
        </w:numPr>
        <w:ind w:firstLineChars="0"/>
      </w:pPr>
      <w:r>
        <w:rPr>
          <w:rFonts w:hint="eastAsia"/>
        </w:rPr>
        <w:t>顶部护栏采用</w:t>
      </w:r>
      <w:r>
        <w:rPr>
          <w:rFonts w:hint="eastAsia"/>
          <w:lang w:eastAsia="zh-CN"/>
        </w:rPr>
        <w:t>塔机</w:t>
      </w:r>
      <w:r>
        <w:rPr>
          <w:rFonts w:hint="eastAsia"/>
        </w:rPr>
        <w:t>分片吊装，</w:t>
      </w:r>
      <w:r>
        <w:rPr>
          <w:rFonts w:hint="eastAsia"/>
          <w:lang w:eastAsia="zh-CN"/>
        </w:rPr>
        <w:t>作业人员</w:t>
      </w:r>
      <w:r>
        <w:rPr>
          <w:rFonts w:hint="eastAsia"/>
        </w:rPr>
        <w:t>在地面上先将钢丝绳一端挂在</w:t>
      </w:r>
      <w:r>
        <w:rPr>
          <w:rFonts w:hint="eastAsia"/>
          <w:lang w:eastAsia="zh-CN"/>
        </w:rPr>
        <w:t>塔机</w:t>
      </w:r>
      <w:r>
        <w:rPr>
          <w:rFonts w:hint="eastAsia"/>
        </w:rPr>
        <w:t>吊钩上，另一端与吊笼顶部的护栏用2根6m长</w:t>
      </w:r>
      <w:r>
        <w:fldChar w:fldCharType="begin"/>
      </w:r>
      <w:r>
        <w:instrText xml:space="preserve"> REF 吊装钢丝绳 \h </w:instrText>
      </w:r>
      <w:r>
        <w:fldChar w:fldCharType="separate"/>
      </w:r>
      <w:r>
        <w:rPr>
          <w:rFonts w:hint="eastAsia"/>
          <w:lang w:val="en-US" w:eastAsia="zh-CN"/>
        </w:rPr>
        <w:t>12mm6×19W+IWR1870Mpa</w:t>
      </w:r>
      <w:r>
        <w:fldChar w:fldCharType="end"/>
      </w:r>
      <w:r>
        <w:rPr>
          <w:rFonts w:hint="eastAsia"/>
        </w:rPr>
        <w:t>钢丝绳捆绑连接，采用</w:t>
      </w:r>
      <w:r>
        <w:fldChar w:fldCharType="begin"/>
      </w:r>
      <w:r>
        <w:instrText xml:space="preserve"> REF 吊装卸扣 \h  \* MERGEFORMAT </w:instrText>
      </w:r>
      <w:r>
        <w:fldChar w:fldCharType="separate"/>
      </w:r>
      <w:r>
        <w:rPr>
          <w:rFonts w:hint="eastAsia"/>
          <w:lang w:val="en-US" w:eastAsia="zh-CN"/>
        </w:rPr>
        <w:t>GB/T 25854-6-DW5</w:t>
      </w:r>
      <w:r>
        <w:fldChar w:fldCharType="end"/>
      </w:r>
      <w:r>
        <w:rPr>
          <w:rFonts w:hint="eastAsia"/>
        </w:rPr>
        <w:t>卸扣固定。</w:t>
      </w:r>
      <w:r>
        <w:rPr>
          <w:rFonts w:hint="eastAsia"/>
          <w:lang w:eastAsia="zh-CN"/>
        </w:rPr>
        <w:t>塔机</w:t>
      </w:r>
      <w:r>
        <w:rPr>
          <w:rFonts w:hint="eastAsia"/>
        </w:rPr>
        <w:t>缓慢提升至吊笼顶部，</w:t>
      </w:r>
      <w:r>
        <w:rPr>
          <w:rFonts w:hint="eastAsia"/>
          <w:lang w:eastAsia="zh-CN"/>
        </w:rPr>
        <w:t>作业人员</w:t>
      </w:r>
      <w:r>
        <w:rPr>
          <w:rFonts w:hint="eastAsia"/>
        </w:rPr>
        <w:t>通过配备的专用爬梯，通过吊笼内部打开顶部顶盖，然后攀登至吊笼顶部。</w:t>
      </w:r>
    </w:p>
    <w:p w14:paraId="161360A8">
      <w:pPr>
        <w:numPr>
          <w:ilvl w:val="0"/>
          <w:numId w:val="17"/>
        </w:numPr>
        <w:ind w:firstLineChars="0"/>
      </w:pPr>
      <w:r>
        <w:rPr>
          <w:rFonts w:hint="eastAsia"/>
          <w:lang w:eastAsia="zh-CN"/>
        </w:rPr>
        <w:t>塔机</w:t>
      </w:r>
      <w:r>
        <w:rPr>
          <w:rFonts w:hint="eastAsia"/>
        </w:rPr>
        <w:t>操作人员听从指令缓慢下放吊笼顶部的围栏，下放到位后，</w:t>
      </w:r>
      <w:r>
        <w:rPr>
          <w:rFonts w:hint="eastAsia"/>
          <w:lang w:eastAsia="zh-CN"/>
        </w:rPr>
        <w:t>作业人员</w:t>
      </w:r>
      <w:r>
        <w:rPr>
          <w:rFonts w:hint="eastAsia"/>
        </w:rPr>
        <w:t>解除钢丝绳两端的连接，</w:t>
      </w:r>
      <w:r>
        <w:rPr>
          <w:rFonts w:hint="eastAsia"/>
          <w:lang w:eastAsia="zh-CN"/>
        </w:rPr>
        <w:t>作业人员</w:t>
      </w:r>
      <w:r>
        <w:rPr>
          <w:rFonts w:hint="eastAsia"/>
        </w:rPr>
        <w:t>逐片将护栏插入到相应插管中，用螺栓将各护栏连接紧固，注意各护栏安装时，有挡板的一端安装在吊笼内侧。安装过程中</w:t>
      </w:r>
      <w:r>
        <w:rPr>
          <w:rFonts w:hint="eastAsia"/>
          <w:lang w:eastAsia="zh-CN"/>
        </w:rPr>
        <w:t>作业人员</w:t>
      </w:r>
      <w:r>
        <w:rPr>
          <w:rFonts w:hint="eastAsia"/>
        </w:rPr>
        <w:t>需要将安全带挂在人员上方的导轨架横杆上。</w:t>
      </w:r>
    </w:p>
    <w:p w14:paraId="1971BF67">
      <w:pPr>
        <w:pStyle w:val="90"/>
        <w:bidi w:val="0"/>
      </w:pPr>
      <w:r>
        <w:drawing>
          <wp:inline distT="0" distB="0" distL="114300" distR="114300">
            <wp:extent cx="3121025" cy="3905250"/>
            <wp:effectExtent l="0" t="0" r="3175" b="0"/>
            <wp:docPr id="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pic:cNvPicPr>
                      <a:picLocks noChangeAspect="1"/>
                    </pic:cNvPicPr>
                  </pic:nvPicPr>
                  <pic:blipFill>
                    <a:blip r:embed="rId34"/>
                    <a:srcRect l="2158" r="1388" b="1443"/>
                    <a:stretch>
                      <a:fillRect/>
                    </a:stretch>
                  </pic:blipFill>
                  <pic:spPr>
                    <a:xfrm>
                      <a:off x="0" y="0"/>
                      <a:ext cx="3121025" cy="3905250"/>
                    </a:xfrm>
                    <a:prstGeom prst="rect">
                      <a:avLst/>
                    </a:prstGeom>
                    <a:noFill/>
                    <a:ln>
                      <a:noFill/>
                    </a:ln>
                  </pic:spPr>
                </pic:pic>
              </a:graphicData>
            </a:graphic>
          </wp:inline>
        </w:drawing>
      </w:r>
    </w:p>
    <w:p w14:paraId="58641773">
      <w:pPr>
        <w:pStyle w:val="90"/>
        <w:bidi w:val="0"/>
        <w:ind w:firstLine="0"/>
      </w:pPr>
      <w:r>
        <w:drawing>
          <wp:inline distT="0" distB="0" distL="114300" distR="114300">
            <wp:extent cx="3719830" cy="3599815"/>
            <wp:effectExtent l="0" t="0" r="1397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a:srcRect t="15839"/>
                    <a:stretch>
                      <a:fillRect/>
                    </a:stretch>
                  </pic:blipFill>
                  <pic:spPr>
                    <a:xfrm>
                      <a:off x="0" y="0"/>
                      <a:ext cx="3720371" cy="3600000"/>
                    </a:xfrm>
                    <a:prstGeom prst="rect">
                      <a:avLst/>
                    </a:prstGeom>
                    <a:noFill/>
                    <a:ln>
                      <a:noFill/>
                    </a:ln>
                  </pic:spPr>
                </pic:pic>
              </a:graphicData>
            </a:graphic>
          </wp:inline>
        </w:drawing>
      </w:r>
    </w:p>
    <w:p w14:paraId="18E25871">
      <w:pPr>
        <w:pStyle w:val="12"/>
        <w:jc w:val="center"/>
        <w:rPr>
          <w:rFonts w:hint="eastAsia" w:ascii="宋体" w:hAnsi="宋体" w:eastAsia="宋体" w:cs="黑体"/>
          <w:b/>
          <w:color w:val="auto"/>
          <w:kern w:val="2"/>
          <w:sz w:val="21"/>
          <w:szCs w:val="21"/>
          <w:lang w:val="en-US" w:eastAsia="zh-CN" w:bidi="ar-SA"/>
        </w:rPr>
      </w:pPr>
      <w:r>
        <w:rPr>
          <w:rFonts w:hint="eastAsia" w:ascii="宋体" w:hAnsi="宋体" w:eastAsia="宋体" w:cs="黑体"/>
          <w:b/>
          <w:color w:val="auto"/>
          <w:kern w:val="2"/>
          <w:sz w:val="21"/>
          <w:szCs w:val="21"/>
          <w:lang w:val="en-US" w:eastAsia="zh-CN" w:bidi="ar-SA"/>
        </w:rPr>
        <w:t>图</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STYLEREF 3 \s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4.5.3</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SEQ 图 \* ARABIC \s 3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2</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 xml:space="preserve"> 吊笼顶部护栏安装示意图</w:t>
      </w:r>
    </w:p>
    <w:p w14:paraId="2FAEAC21">
      <w:pPr>
        <w:numPr>
          <w:ilvl w:val="0"/>
          <w:numId w:val="15"/>
        </w:numPr>
        <w:ind w:firstLineChars="0"/>
      </w:pPr>
      <w:r>
        <w:rPr>
          <w:rFonts w:hint="eastAsia"/>
        </w:rPr>
        <w:t>安装传动机构</w:t>
      </w:r>
    </w:p>
    <w:p w14:paraId="12D8E49F">
      <w:pPr>
        <w:numPr>
          <w:ilvl w:val="0"/>
          <w:numId w:val="18"/>
        </w:numPr>
        <w:ind w:firstLineChars="0"/>
      </w:pPr>
      <w:r>
        <w:rPr>
          <w:rFonts w:hint="eastAsia"/>
        </w:rPr>
        <w:t>在地面将电机的制动器松开，将电机制动器手动释放杆向电机尾部推，再将螺栓如图顶紧手动释放杆，直至制动器松开可随意拨动制动盘为止。</w:t>
      </w:r>
    </w:p>
    <w:p w14:paraId="5DFB9F1B">
      <w:pPr>
        <w:numPr>
          <w:ilvl w:val="0"/>
          <w:numId w:val="18"/>
        </w:numPr>
        <w:ind w:firstLineChars="0"/>
      </w:pPr>
      <w:r>
        <w:rPr>
          <w:rFonts w:hint="eastAsia"/>
          <w:lang w:eastAsia="zh-CN"/>
        </w:rPr>
        <w:t>作业人员</w:t>
      </w:r>
      <w:r>
        <w:rPr>
          <w:rFonts w:hint="eastAsia"/>
        </w:rPr>
        <w:t>在地面上先将钢丝绳一端挂在</w:t>
      </w:r>
      <w:r>
        <w:rPr>
          <w:rFonts w:hint="eastAsia"/>
          <w:lang w:eastAsia="zh-CN"/>
        </w:rPr>
        <w:t>塔机</w:t>
      </w:r>
      <w:r>
        <w:rPr>
          <w:rFonts w:hint="eastAsia"/>
        </w:rPr>
        <w:t>吊钩上，另一端与传动机构的两个吊耳采用卸扣连接。启动</w:t>
      </w:r>
      <w:r>
        <w:rPr>
          <w:rFonts w:hint="eastAsia"/>
          <w:lang w:eastAsia="zh-CN"/>
        </w:rPr>
        <w:t>塔机</w:t>
      </w:r>
      <w:r>
        <w:rPr>
          <w:rFonts w:hint="eastAsia"/>
        </w:rPr>
        <w:t>，将传动机构吊起就位，</w:t>
      </w:r>
      <w:r>
        <w:rPr>
          <w:rFonts w:hint="eastAsia"/>
          <w:lang w:eastAsia="zh-CN"/>
        </w:rPr>
        <w:t>作业人员</w:t>
      </w:r>
      <w:r>
        <w:rPr>
          <w:rFonts w:hint="eastAsia"/>
        </w:rPr>
        <w:t>站在吊笼顶部，</w:t>
      </w:r>
      <w:r>
        <w:rPr>
          <w:rFonts w:hint="eastAsia"/>
          <w:lang w:eastAsia="zh-CN"/>
        </w:rPr>
        <w:t>塔机</w:t>
      </w:r>
      <w:r>
        <w:rPr>
          <w:rFonts w:hint="eastAsia"/>
        </w:rPr>
        <w:t>操作人员听从指令缓慢下放传动机构。</w:t>
      </w:r>
    </w:p>
    <w:p w14:paraId="455D9D75">
      <w:pPr>
        <w:numPr>
          <w:ilvl w:val="0"/>
          <w:numId w:val="18"/>
        </w:numPr>
        <w:ind w:firstLineChars="0"/>
      </w:pPr>
      <w:r>
        <w:rPr>
          <w:rFonts w:hint="eastAsia"/>
        </w:rPr>
        <w:t>当传动机构上连接耳板距离吊笼的连接耳板400mm时松开驱动系统上电机的螺栓使制动器处于刹车状态，将传动机构与吊笼的连接耳板对接好，然后再穿入传感器销，并将止动槽向上，装上固定板，将制动器复位（旋紧螺母至原有位置，装上开口销）。</w:t>
      </w:r>
      <w:r>
        <w:rPr>
          <w:rFonts w:hint="eastAsia"/>
          <w:lang w:eastAsia="zh-CN"/>
        </w:rPr>
        <w:t>塔机</w:t>
      </w:r>
      <w:r>
        <w:rPr>
          <w:rFonts w:hint="eastAsia"/>
        </w:rPr>
        <w:t>缓慢落钩后，</w:t>
      </w:r>
      <w:r>
        <w:rPr>
          <w:rFonts w:hint="eastAsia"/>
          <w:lang w:eastAsia="zh-CN"/>
        </w:rPr>
        <w:t>作业人员</w:t>
      </w:r>
      <w:r>
        <w:rPr>
          <w:rFonts w:hint="eastAsia"/>
        </w:rPr>
        <w:t>解除钢丝绳两端的连接。安装过程中</w:t>
      </w:r>
      <w:r>
        <w:rPr>
          <w:rFonts w:hint="eastAsia"/>
          <w:lang w:eastAsia="zh-CN"/>
        </w:rPr>
        <w:t>作业人员</w:t>
      </w:r>
      <w:r>
        <w:rPr>
          <w:rFonts w:hint="eastAsia"/>
        </w:rPr>
        <w:t>需要将安全带挂在吊笼顶部的防护围栏等安全稳固的地方上。</w:t>
      </w:r>
    </w:p>
    <w:p w14:paraId="0AF0A230">
      <w:pPr>
        <w:numPr>
          <w:ilvl w:val="0"/>
          <w:numId w:val="15"/>
        </w:numPr>
        <w:ind w:firstLineChars="0"/>
      </w:pPr>
      <w:r>
        <w:rPr>
          <w:rFonts w:hint="eastAsia"/>
        </w:rPr>
        <w:t>吊笼安装完毕后的调整</w:t>
      </w:r>
    </w:p>
    <w:p w14:paraId="675319CB">
      <w:pPr>
        <w:ind w:firstLine="480"/>
      </w:pPr>
      <w:r>
        <w:rPr>
          <w:rFonts w:hint="eastAsia"/>
        </w:rPr>
        <w:t>检查所有用于运输的垫木或螺栓等是否全部除掉，传动机构安装后需调整吊笼导向轮及靠背轮，使其靠拢导轨架，传动齿轮与齿条应啮合。齿轮与齿条的啮合侧隙应保证0.2～0.5mm，导轨与齿条背面的间隙为0.5mm，各滚轮与标准节立管的间隙为0.5mm，所有门应开关灵活且缓冲弹簧均安装到位。</w:t>
      </w:r>
    </w:p>
    <w:p w14:paraId="60810A97">
      <w:pPr>
        <w:pStyle w:val="5"/>
        <w:tabs>
          <w:tab w:val="left" w:pos="0"/>
        </w:tabs>
        <w:bidi w:val="0"/>
        <w:ind w:left="0" w:leftChars="0" w:firstLine="0" w:firstLineChars="0"/>
      </w:pPr>
      <w:r>
        <w:rPr>
          <w:rFonts w:hint="eastAsia"/>
        </w:rPr>
        <w:t>吊杆安装</w:t>
      </w:r>
    </w:p>
    <w:p w14:paraId="34EDD415">
      <w:pPr>
        <w:keepNext w:val="0"/>
        <w:keepLines w:val="0"/>
        <w:pageBreakBefore w:val="0"/>
        <w:widowControl w:val="0"/>
        <w:kinsoku/>
        <w:wordWrap w:val="0"/>
        <w:overflowPunct/>
        <w:topLinePunct w:val="0"/>
        <w:autoSpaceDE/>
        <w:autoSpaceDN/>
        <w:bidi w:val="0"/>
        <w:adjustRightInd/>
        <w:snapToGrid/>
        <w:ind w:firstLine="480"/>
        <w:textAlignment w:val="auto"/>
      </w:pPr>
      <w:r>
        <w:rPr>
          <w:rFonts w:hint="eastAsia"/>
          <w:lang w:eastAsia="zh-CN"/>
        </w:rPr>
        <w:t>作业人员</w:t>
      </w:r>
      <w:r>
        <w:rPr>
          <w:rFonts w:hint="eastAsia"/>
        </w:rPr>
        <w:t>在地面上将吊杆组装好，将2根钢丝绳（</w:t>
      </w:r>
      <w:r>
        <w:rPr>
          <w:rFonts w:hint="eastAsia"/>
          <w:lang w:val="en-US" w:eastAsia="zh-CN"/>
        </w:rPr>
        <w:t>12mm6×19W+IWR1870Mpa</w:t>
      </w:r>
      <w:r>
        <w:rPr>
          <w:rFonts w:hint="eastAsia"/>
        </w:rPr>
        <w:t>）一端挂在</w:t>
      </w:r>
      <w:r>
        <w:rPr>
          <w:rFonts w:hint="eastAsia"/>
          <w:lang w:eastAsia="zh-CN"/>
        </w:rPr>
        <w:t>塔机</w:t>
      </w:r>
      <w:r>
        <w:rPr>
          <w:rFonts w:hint="eastAsia"/>
        </w:rPr>
        <w:t>吊钩上，另一端与吊杆采用卸扣（</w:t>
      </w:r>
      <w:r>
        <w:t>GB/T25854-6-DW</w:t>
      </w:r>
      <w:r>
        <w:rPr>
          <w:rFonts w:hint="eastAsia"/>
          <w:lang w:val="en-US" w:eastAsia="zh-CN"/>
        </w:rPr>
        <w:t>5</w:t>
      </w:r>
      <w:r>
        <w:rPr>
          <w:rFonts w:hint="eastAsia"/>
        </w:rPr>
        <w:t>）进行捆绑连接。启动</w:t>
      </w:r>
      <w:r>
        <w:rPr>
          <w:rFonts w:hint="eastAsia"/>
          <w:lang w:eastAsia="zh-CN"/>
        </w:rPr>
        <w:t>塔机</w:t>
      </w:r>
      <w:r>
        <w:rPr>
          <w:rFonts w:hint="eastAsia"/>
        </w:rPr>
        <w:t>，将吊杆吊起就位，</w:t>
      </w:r>
      <w:r>
        <w:rPr>
          <w:rFonts w:hint="eastAsia"/>
          <w:lang w:eastAsia="zh-CN"/>
        </w:rPr>
        <w:t>作业人员</w:t>
      </w:r>
      <w:r>
        <w:rPr>
          <w:rFonts w:hint="eastAsia"/>
        </w:rPr>
        <w:t>站在吊笼顶部，并将安全带系挂在吊笼顶部的围栏上。</w:t>
      </w:r>
    </w:p>
    <w:p w14:paraId="31EC0FCD">
      <w:pPr>
        <w:ind w:firstLine="480"/>
      </w:pPr>
      <w:r>
        <w:rPr>
          <w:rFonts w:hint="eastAsia"/>
          <w:lang w:eastAsia="zh-CN"/>
        </w:rPr>
        <w:t>塔机</w:t>
      </w:r>
      <w:r>
        <w:rPr>
          <w:rFonts w:hint="eastAsia"/>
        </w:rPr>
        <w:t>操作人员听从指令缓慢下放吊杆，</w:t>
      </w:r>
      <w:r>
        <w:rPr>
          <w:rFonts w:hint="eastAsia"/>
          <w:lang w:eastAsia="zh-CN"/>
        </w:rPr>
        <w:t>作业人员</w:t>
      </w:r>
      <w:r>
        <w:rPr>
          <w:rFonts w:hint="eastAsia"/>
        </w:rPr>
        <w:t>根据下降情况扶正吊杆，将吊杆准确定位放入吊笼顶部安装孔内（电动吊杆在吊装前接好电源线，并已加入润滑脂）。吊杆下放就位，</w:t>
      </w:r>
      <w:r>
        <w:rPr>
          <w:rFonts w:hint="eastAsia"/>
          <w:lang w:eastAsia="zh-CN"/>
        </w:rPr>
        <w:t>塔机</w:t>
      </w:r>
      <w:r>
        <w:rPr>
          <w:rFonts w:hint="eastAsia"/>
        </w:rPr>
        <w:t>缓慢落钩后，</w:t>
      </w:r>
      <w:r>
        <w:rPr>
          <w:rFonts w:hint="eastAsia"/>
          <w:lang w:eastAsia="zh-CN"/>
        </w:rPr>
        <w:t>作业人员</w:t>
      </w:r>
      <w:r>
        <w:rPr>
          <w:rFonts w:hint="eastAsia"/>
        </w:rPr>
        <w:t>解除钢丝绳两端的连接。随后</w:t>
      </w:r>
      <w:r>
        <w:rPr>
          <w:rFonts w:hint="eastAsia"/>
          <w:lang w:eastAsia="zh-CN"/>
        </w:rPr>
        <w:t>作业人员</w:t>
      </w:r>
      <w:r>
        <w:rPr>
          <w:rFonts w:hint="eastAsia"/>
        </w:rPr>
        <w:t>安装吊杆上的起升机构（包括电机以及起重钢丝绳等）。</w:t>
      </w:r>
    </w:p>
    <w:p w14:paraId="403D0099">
      <w:pPr>
        <w:pStyle w:val="5"/>
        <w:tabs>
          <w:tab w:val="left" w:pos="0"/>
        </w:tabs>
        <w:bidi w:val="0"/>
        <w:ind w:left="0" w:leftChars="0" w:firstLine="0" w:firstLineChars="0"/>
      </w:pPr>
      <w:r>
        <w:rPr>
          <w:rFonts w:hint="eastAsia"/>
        </w:rPr>
        <w:t>电控制系统及超载保护器安装</w:t>
      </w:r>
    </w:p>
    <w:p w14:paraId="04F3FC62">
      <w:pPr>
        <w:ind w:firstLine="480"/>
      </w:pPr>
      <w:r>
        <w:rPr>
          <w:rFonts w:hint="eastAsia"/>
        </w:rPr>
        <w:t>电控系统包括底笼电源箱、配电箱、变频箱、操纵台、主电缆及各种限位开关等。</w:t>
      </w:r>
    </w:p>
    <w:p w14:paraId="00B758FD">
      <w:pPr>
        <w:numPr>
          <w:ilvl w:val="1"/>
          <w:numId w:val="19"/>
        </w:numPr>
        <w:ind w:firstLineChars="0"/>
      </w:pPr>
      <w:r>
        <w:rPr>
          <w:rFonts w:hint="eastAsia"/>
          <w:lang w:eastAsia="zh-CN"/>
        </w:rPr>
        <w:t>作业人员</w:t>
      </w:r>
      <w:r>
        <w:rPr>
          <w:rFonts w:hint="eastAsia"/>
        </w:rPr>
        <w:t>依次将电控系统以及超载保护器安装就位，随后安装护栏电箱。</w:t>
      </w:r>
    </w:p>
    <w:p w14:paraId="3975AF0E">
      <w:pPr>
        <w:numPr>
          <w:ilvl w:val="1"/>
          <w:numId w:val="19"/>
        </w:numPr>
        <w:ind w:firstLineChars="0"/>
      </w:pPr>
      <w:r>
        <w:rPr>
          <w:rFonts w:hint="eastAsia"/>
        </w:rPr>
        <w:t>超载保护器安装时，</w:t>
      </w:r>
      <w:r>
        <w:rPr>
          <w:rFonts w:hint="eastAsia"/>
          <w:lang w:eastAsia="zh-CN"/>
        </w:rPr>
        <w:t>作业人员</w:t>
      </w:r>
      <w:r>
        <w:rPr>
          <w:rFonts w:hint="eastAsia"/>
        </w:rPr>
        <w:t>在笼顶利用笼顶操作盒操作驱动系统上、下，对接传动小车与吊笼的连接耳板，穿入超载传感销，用螺栓通过轴端卡板将超载传感销与传动小车固定，将超载传感销的接线端与电控箱的接线端连接。</w:t>
      </w:r>
    </w:p>
    <w:p w14:paraId="2283AEB2">
      <w:pPr>
        <w:numPr>
          <w:ilvl w:val="1"/>
          <w:numId w:val="19"/>
        </w:numPr>
        <w:ind w:firstLineChars="0"/>
      </w:pPr>
      <w:r>
        <w:rPr>
          <w:rFonts w:hint="eastAsia"/>
        </w:rPr>
        <w:t>专业电工从三级配电箱中引出电缆接头，接至围栏电箱上的U、V、W、N、PE接线端子。专业电工然后从围栏电箱上引出另外一根电缆与底节导轨架上的滑触线进线接头相连接。</w:t>
      </w:r>
    </w:p>
    <w:p w14:paraId="540C95C6">
      <w:pPr>
        <w:numPr>
          <w:ilvl w:val="1"/>
          <w:numId w:val="19"/>
        </w:numPr>
        <w:ind w:firstLineChars="0"/>
      </w:pPr>
      <w:r>
        <w:rPr>
          <w:rFonts w:hint="eastAsia"/>
        </w:rPr>
        <w:t>接通地面三级配电箱的电源开关，检查是否已接入相序正确电源，确保吊笼运行方向与操纵箱或操作盒上的标记，“向上”或“向下”一致。</w:t>
      </w:r>
    </w:p>
    <w:p w14:paraId="13D4A4A0">
      <w:pPr>
        <w:numPr>
          <w:ilvl w:val="1"/>
          <w:numId w:val="19"/>
        </w:numPr>
        <w:ind w:firstLineChars="0"/>
      </w:pPr>
      <w:r>
        <w:rPr>
          <w:rFonts w:hint="eastAsia"/>
        </w:rPr>
        <w:t>检查各安全控制开关：包括吊笼门限位开关、吊笼顶盖限位开关、上、下限位开关、减速限位开关、极限开关、底笼门限位开关及断绳保护开关，均能反映灵敏，启闭自如。</w:t>
      </w:r>
    </w:p>
    <w:p w14:paraId="35211426">
      <w:pPr>
        <w:numPr>
          <w:ilvl w:val="1"/>
          <w:numId w:val="19"/>
        </w:numPr>
        <w:ind w:firstLineChars="0"/>
      </w:pPr>
      <w:r>
        <w:rPr>
          <w:rFonts w:hint="eastAsia"/>
        </w:rPr>
        <w:t>按吊笼传动机构底板上各限位开关的实际位置，安装、调整导轨架底部各限位挡板、挡块。</w:t>
      </w:r>
    </w:p>
    <w:p w14:paraId="04333610">
      <w:pPr>
        <w:numPr>
          <w:ilvl w:val="1"/>
          <w:numId w:val="19"/>
        </w:numPr>
        <w:ind w:firstLineChars="0"/>
      </w:pPr>
      <w:r>
        <w:rPr>
          <w:rFonts w:hint="eastAsia"/>
        </w:rPr>
        <w:t>在整个电控系统的安装过程中都必须断开总电源，且护栏电箱安装时，必须确保其安装稳定牢固可靠。</w:t>
      </w:r>
    </w:p>
    <w:p w14:paraId="2DFE6911">
      <w:pPr>
        <w:pStyle w:val="5"/>
        <w:tabs>
          <w:tab w:val="left" w:pos="0"/>
        </w:tabs>
        <w:bidi w:val="0"/>
        <w:ind w:left="0" w:leftChars="0" w:firstLine="0" w:firstLineChars="0"/>
      </w:pPr>
      <w:r>
        <w:rPr>
          <w:rFonts w:hint="eastAsia"/>
        </w:rPr>
        <w:t>滑触线安装</w:t>
      </w:r>
    </w:p>
    <w:p w14:paraId="3FC49526">
      <w:pPr>
        <w:ind w:firstLine="480"/>
      </w:pPr>
      <w:r>
        <w:rPr>
          <w:rFonts w:hint="eastAsia"/>
        </w:rPr>
        <w:t>滑触线为带电的绝缘导轨，沿导轨架全高度与导轨架连接，安装在吊笼上的导电头始终与带电导轨连接，从而实现了吊笼的上下运行。</w:t>
      </w:r>
    </w:p>
    <w:p w14:paraId="34805987">
      <w:pPr>
        <w:ind w:firstLine="480"/>
      </w:pPr>
      <w:r>
        <w:rPr>
          <w:rFonts w:hint="eastAsia"/>
          <w:lang w:eastAsia="zh-CN"/>
        </w:rPr>
        <w:t>作业人员</w:t>
      </w:r>
      <w:r>
        <w:rPr>
          <w:rFonts w:hint="eastAsia"/>
        </w:rPr>
        <w:t>在地面上将每节滑触线与导轨架连接成整体，跟随着导轨架的接高而加高。</w:t>
      </w:r>
    </w:p>
    <w:p w14:paraId="5517DE3D">
      <w:pPr>
        <w:numPr>
          <w:ilvl w:val="0"/>
          <w:numId w:val="20"/>
        </w:numPr>
        <w:ind w:firstLineChars="0"/>
      </w:pPr>
      <w:r>
        <w:rPr>
          <w:rFonts w:hint="eastAsia"/>
        </w:rPr>
        <w:t>滑触线固定件的安装</w:t>
      </w:r>
    </w:p>
    <w:p w14:paraId="70AF3912">
      <w:pPr>
        <w:ind w:firstLine="480"/>
      </w:pPr>
      <w:r>
        <w:rPr>
          <w:rFonts w:hint="eastAsia"/>
          <w:lang w:eastAsia="zh-CN"/>
        </w:rPr>
        <w:t>作业人员</w:t>
      </w:r>
      <w:r>
        <w:rPr>
          <w:rFonts w:hint="eastAsia"/>
        </w:rPr>
        <w:t>在第1、2节标准节及第2、3节标准节连接处各安装一个滑触线固定件，安装应确保居中、水平。</w:t>
      </w:r>
    </w:p>
    <w:p w14:paraId="03BE2EE2">
      <w:pPr>
        <w:numPr>
          <w:ilvl w:val="0"/>
          <w:numId w:val="20"/>
        </w:numPr>
        <w:ind w:firstLineChars="0"/>
      </w:pPr>
      <w:r>
        <w:rPr>
          <w:rFonts w:hint="eastAsia"/>
        </w:rPr>
        <w:t>防坠装置安装</w:t>
      </w:r>
    </w:p>
    <w:p w14:paraId="5C3B86ED">
      <w:pPr>
        <w:ind w:firstLine="480"/>
      </w:pPr>
      <w:r>
        <w:rPr>
          <w:rFonts w:hint="eastAsia"/>
          <w:lang w:eastAsia="zh-CN"/>
        </w:rPr>
        <w:t>作业人员</w:t>
      </w:r>
      <w:r>
        <w:rPr>
          <w:rFonts w:hint="eastAsia"/>
        </w:rPr>
        <w:t>采用防坠装置的带钩螺栓固定在第一个标准节中间角钢中间位置，调节螺杆，使螺杆上的托架与固定板的距离30-50mm，把防坠滑触线槽置于托架上，再将进线滑触线置于防坠滑触线槽上端（应先套上进线滑触线与防坠滑触线槽之间的塑料接头）固定好（1、2）及（2、3）标准节滑触线内固定件。</w:t>
      </w:r>
    </w:p>
    <w:p w14:paraId="07313457">
      <w:pPr>
        <w:numPr>
          <w:ilvl w:val="0"/>
          <w:numId w:val="20"/>
        </w:numPr>
        <w:ind w:firstLineChars="0"/>
      </w:pPr>
      <w:r>
        <w:rPr>
          <w:rFonts w:hint="eastAsia"/>
        </w:rPr>
        <w:t>总电源的连接</w:t>
      </w:r>
    </w:p>
    <w:p w14:paraId="15CFC238">
      <w:pPr>
        <w:ind w:firstLine="480"/>
      </w:pPr>
      <w:r>
        <w:rPr>
          <w:rFonts w:hint="eastAsia"/>
          <w:lang w:eastAsia="zh-CN"/>
        </w:rPr>
        <w:t>作业人员</w:t>
      </w:r>
      <w:r>
        <w:rPr>
          <w:rFonts w:hint="eastAsia"/>
        </w:rPr>
        <w:t>松开调节螺杆，取下防坠滑触线槽，依照进线滑触线（A/B/C/N/PE）标志将电缆线鼻与进线铝排连接好，电缆线要在滑触线外侧，并与动力配电柜对应端子连接。将防坠滑触线恢复托架上，调节螺杆，使防坠滑触线槽顶住进线滑触线锁紧调节螺杆底部的螺母，最后再把电缆线的另一端与配电箱接通。</w:t>
      </w:r>
    </w:p>
    <w:p w14:paraId="596957DE">
      <w:pPr>
        <w:numPr>
          <w:ilvl w:val="0"/>
          <w:numId w:val="20"/>
        </w:numPr>
        <w:ind w:firstLineChars="0"/>
      </w:pPr>
      <w:r>
        <w:rPr>
          <w:rFonts w:hint="eastAsia"/>
        </w:rPr>
        <w:t>集电器的安装</w:t>
      </w:r>
    </w:p>
    <w:p w14:paraId="1809609B">
      <w:pPr>
        <w:ind w:firstLine="480"/>
      </w:pPr>
      <w:r>
        <w:rPr>
          <w:rFonts w:hint="eastAsia"/>
        </w:rPr>
        <w:t>检查各集电器内置碳刷等配件是否完整且安装到位、检查各碳刷弹簧压力是否均衡正常。确认无误后，将集电器分别套入左右两个滑线槽内，将导向器固定件固定在传动小车的安全钩上。通过调整集电器导向器上的螺母，调整好集电器导向器与集电器的相对位置，使集电器导向器前端安装区位于集电器伸出滑触线部分的中间位置。集电器导向器横向端安装区位于集电器中间，安装完成后应使集电器留有上下、左右摆动的空间，以保证集电器运动时的通畅性。</w:t>
      </w:r>
    </w:p>
    <w:p w14:paraId="345E0E11">
      <w:pPr>
        <w:numPr>
          <w:ilvl w:val="0"/>
          <w:numId w:val="20"/>
        </w:numPr>
        <w:ind w:firstLineChars="0"/>
      </w:pPr>
      <w:r>
        <w:rPr>
          <w:rFonts w:hint="eastAsia"/>
        </w:rPr>
        <w:t>集电器接线</w:t>
      </w:r>
    </w:p>
    <w:p w14:paraId="750AF61E">
      <w:pPr>
        <w:ind w:firstLine="480"/>
      </w:pPr>
      <w:r>
        <w:rPr>
          <w:rFonts w:hint="eastAsia"/>
          <w:lang w:eastAsia="zh-CN"/>
        </w:rPr>
        <w:t>作业人员</w:t>
      </w:r>
      <w:r>
        <w:rPr>
          <w:rFonts w:hint="eastAsia"/>
        </w:rPr>
        <w:t>打开接线盒，依照红、黄、绿对应A、B、C三相，蓝色为零线、黄绿双色线为地线的标识将集电器的端子与吊笼内的极限开关或配电柜接线端连接。</w:t>
      </w:r>
    </w:p>
    <w:p w14:paraId="6E1BC767">
      <w:pPr>
        <w:numPr>
          <w:ilvl w:val="0"/>
          <w:numId w:val="20"/>
        </w:numPr>
        <w:ind w:firstLineChars="0"/>
      </w:pPr>
      <w:r>
        <w:rPr>
          <w:rFonts w:hint="eastAsia"/>
        </w:rPr>
        <w:t>调试</w:t>
      </w:r>
    </w:p>
    <w:p w14:paraId="3D70F873">
      <w:pPr>
        <w:ind w:firstLine="480"/>
      </w:pPr>
      <w:r>
        <w:rPr>
          <w:rFonts w:hint="eastAsia"/>
        </w:rPr>
        <w:t>通电前</w:t>
      </w:r>
      <w:r>
        <w:rPr>
          <w:rFonts w:hint="eastAsia"/>
          <w:lang w:eastAsia="zh-CN"/>
        </w:rPr>
        <w:t>作业人员</w:t>
      </w:r>
      <w:r>
        <w:rPr>
          <w:rFonts w:hint="eastAsia"/>
        </w:rPr>
        <w:t>最后再仔细检查一遍各线路连接是否正确，确认无误后，调试人员进入操作岗位，其他人员撤离现场或进入安全地区。</w:t>
      </w:r>
    </w:p>
    <w:p w14:paraId="6BEEB5E3">
      <w:pPr>
        <w:ind w:firstLine="480"/>
      </w:pPr>
      <w:r>
        <w:rPr>
          <w:rFonts w:hint="eastAsia"/>
        </w:rPr>
        <w:t>接通电源后，调试人员不急于开动施工电梯，观察静态通电是否正常，检查相序是否正确，然后启动施工电梯，检查吊笼运行是否正常，上下运行几趟，应特别注意集电器导向器及导向器固定件与周边构件等有无碰擦，若发现下述情况，应立即纠正：</w:t>
      </w:r>
    </w:p>
    <w:p w14:paraId="4B691846">
      <w:pPr>
        <w:numPr>
          <w:ilvl w:val="0"/>
          <w:numId w:val="21"/>
        </w:numPr>
        <w:ind w:firstLineChars="0"/>
      </w:pPr>
      <w:r>
        <w:rPr>
          <w:rFonts w:hint="eastAsia"/>
        </w:rPr>
        <w:t>滑触线有较大异动，应调整滑触线或修正集电器导向器。</w:t>
      </w:r>
    </w:p>
    <w:p w14:paraId="53C9FDDD">
      <w:pPr>
        <w:numPr>
          <w:ilvl w:val="0"/>
          <w:numId w:val="21"/>
        </w:numPr>
        <w:ind w:firstLineChars="0"/>
      </w:pPr>
      <w:r>
        <w:rPr>
          <w:rFonts w:hint="eastAsia"/>
        </w:rPr>
        <w:t>集电器运行时有异常声响，应检查滑触线连接点是否平坦。</w:t>
      </w:r>
    </w:p>
    <w:p w14:paraId="7B33D01F">
      <w:pPr>
        <w:numPr>
          <w:ilvl w:val="0"/>
          <w:numId w:val="20"/>
        </w:numPr>
        <w:ind w:firstLineChars="0"/>
      </w:pPr>
      <w:r>
        <w:rPr>
          <w:rFonts w:hint="eastAsia"/>
        </w:rPr>
        <w:t>续接滑触线前的准备</w:t>
      </w:r>
    </w:p>
    <w:p w14:paraId="07ED9E72">
      <w:pPr>
        <w:ind w:firstLine="480"/>
      </w:pPr>
      <w:r>
        <w:rPr>
          <w:rFonts w:hint="eastAsia"/>
        </w:rPr>
        <w:t>以上各步骤完成后，通电并将左右吊笼提升到一定位置（以安装人员能够得着安装第2节滑线高度为宜）先使左右吊笼的高度一致，再断开总电源。</w:t>
      </w:r>
    </w:p>
    <w:p w14:paraId="433B8A7B">
      <w:pPr>
        <w:ind w:firstLine="480"/>
      </w:pPr>
      <w:r>
        <w:rPr>
          <w:rFonts w:hint="eastAsia"/>
        </w:rPr>
        <w:t>确认两滑线导电体无电（断开总电源），方可进行下一步操作。</w:t>
      </w:r>
    </w:p>
    <w:p w14:paraId="51050FD8">
      <w:pPr>
        <w:numPr>
          <w:ilvl w:val="0"/>
          <w:numId w:val="20"/>
        </w:numPr>
        <w:ind w:firstLineChars="0"/>
      </w:pPr>
      <w:r>
        <w:rPr>
          <w:rFonts w:hint="eastAsia"/>
        </w:rPr>
        <w:t>向上续接第2节滑触线</w:t>
      </w:r>
    </w:p>
    <w:p w14:paraId="6FC05121">
      <w:pPr>
        <w:ind w:firstLine="480"/>
      </w:pPr>
      <w:r>
        <w:rPr>
          <w:rFonts w:hint="eastAsia"/>
          <w:lang w:eastAsia="zh-CN"/>
        </w:rPr>
        <w:t>作业人员</w:t>
      </w:r>
      <w:r>
        <w:rPr>
          <w:rFonts w:hint="eastAsia"/>
        </w:rPr>
        <w:t>在两吊笼顶部铺放一块合适的厚木板便于操作，</w:t>
      </w:r>
      <w:r>
        <w:rPr>
          <w:rFonts w:hint="eastAsia"/>
          <w:lang w:eastAsia="zh-CN"/>
        </w:rPr>
        <w:t>作业人员</w:t>
      </w:r>
      <w:r>
        <w:rPr>
          <w:rFonts w:hint="eastAsia"/>
        </w:rPr>
        <w:t>作业前将安全带固定连接在标准节架上。在3、4及4、5标准节的横档上分别先固定好两个滑触线固定件，固定时保证滑触线固定件居中、水平。</w:t>
      </w:r>
    </w:p>
    <w:p w14:paraId="11F78D4D">
      <w:pPr>
        <w:ind w:firstLine="480"/>
      </w:pPr>
      <w:r>
        <w:rPr>
          <w:rFonts w:hint="eastAsia"/>
          <w:lang w:eastAsia="zh-CN"/>
        </w:rPr>
        <w:t>作业人员</w:t>
      </w:r>
      <w:r>
        <w:rPr>
          <w:rFonts w:hint="eastAsia"/>
        </w:rPr>
        <w:t>将一根对应滑触线放入滑触线固定件的槽型架框内，将滑触线的一端与已经安装好的滑触线对插，再将另一根滑触线放入滑触线固定件的槽型架框内，将滑触线的一端与已经安装好的滑触线对插。两根滑触线都插好后，要求两根滑触线平行，与前一根已装好滑触线保持竖直，确认无误后，最后再将内滑触线固定件安装上，锁紧滑触线固定件上的螺母。</w:t>
      </w:r>
    </w:p>
    <w:p w14:paraId="08B59583">
      <w:pPr>
        <w:numPr>
          <w:ilvl w:val="0"/>
          <w:numId w:val="20"/>
        </w:numPr>
        <w:ind w:firstLineChars="0"/>
      </w:pPr>
      <w:r>
        <w:rPr>
          <w:rFonts w:hint="eastAsia"/>
        </w:rPr>
        <w:t>向上续接更高的滑触线</w:t>
      </w:r>
    </w:p>
    <w:p w14:paraId="5C002C09">
      <w:pPr>
        <w:ind w:firstLine="480"/>
      </w:pPr>
      <w:r>
        <w:rPr>
          <w:rFonts w:hint="eastAsia"/>
        </w:rPr>
        <w:t>再往上接时，应先打开总电源，将左右吊笼同步升高同样高度后，再断开总电源，重复以上步骤即可。</w:t>
      </w:r>
    </w:p>
    <w:p w14:paraId="13B1E848">
      <w:pPr>
        <w:numPr>
          <w:ilvl w:val="0"/>
          <w:numId w:val="20"/>
        </w:numPr>
        <w:ind w:firstLineChars="0"/>
      </w:pPr>
      <w:r>
        <w:rPr>
          <w:rFonts w:hint="eastAsia"/>
        </w:rPr>
        <w:t>防水盖的安装</w:t>
      </w:r>
    </w:p>
    <w:p w14:paraId="41256FCD">
      <w:pPr>
        <w:ind w:firstLine="480"/>
      </w:pPr>
      <w:r>
        <w:rPr>
          <w:rFonts w:hint="eastAsia"/>
        </w:rPr>
        <w:t>全部滑触线安装完成后，应将防水盖套盖在滑触线最顶端。</w:t>
      </w:r>
    </w:p>
    <w:p w14:paraId="4332BE5A">
      <w:pPr>
        <w:pStyle w:val="90"/>
        <w:bidi w:val="0"/>
      </w:pPr>
      <w:bookmarkStart w:id="120" w:name="_Hlk78292973"/>
      <w:r>
        <w:drawing>
          <wp:inline distT="0" distB="0" distL="114300" distR="114300">
            <wp:extent cx="2628265" cy="3024505"/>
            <wp:effectExtent l="0" t="0" r="635" b="4445"/>
            <wp:docPr id="3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pic:cNvPicPr>
                      <a:picLocks noChangeAspect="1"/>
                    </pic:cNvPicPr>
                  </pic:nvPicPr>
                  <pic:blipFill>
                    <a:blip r:embed="rId36"/>
                    <a:srcRect b="14395"/>
                    <a:stretch>
                      <a:fillRect/>
                    </a:stretch>
                  </pic:blipFill>
                  <pic:spPr>
                    <a:xfrm>
                      <a:off x="0" y="0"/>
                      <a:ext cx="2628265" cy="3024505"/>
                    </a:xfrm>
                    <a:prstGeom prst="rect">
                      <a:avLst/>
                    </a:prstGeom>
                    <a:noFill/>
                    <a:ln>
                      <a:noFill/>
                    </a:ln>
                  </pic:spPr>
                </pic:pic>
              </a:graphicData>
            </a:graphic>
          </wp:inline>
        </w:drawing>
      </w:r>
      <w:bookmarkEnd w:id="120"/>
      <w:r>
        <w:drawing>
          <wp:inline distT="0" distB="0" distL="114300" distR="114300">
            <wp:extent cx="2261235" cy="3024505"/>
            <wp:effectExtent l="0" t="0" r="5715" b="4445"/>
            <wp:docPr id="4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pic:cNvPicPr>
                      <a:picLocks noChangeAspect="1"/>
                    </pic:cNvPicPr>
                  </pic:nvPicPr>
                  <pic:blipFill>
                    <a:blip r:embed="rId37"/>
                    <a:stretch>
                      <a:fillRect/>
                    </a:stretch>
                  </pic:blipFill>
                  <pic:spPr>
                    <a:xfrm>
                      <a:off x="0" y="0"/>
                      <a:ext cx="2261235" cy="3024505"/>
                    </a:xfrm>
                    <a:prstGeom prst="rect">
                      <a:avLst/>
                    </a:prstGeom>
                    <a:noFill/>
                    <a:ln>
                      <a:noFill/>
                    </a:ln>
                  </pic:spPr>
                </pic:pic>
              </a:graphicData>
            </a:graphic>
          </wp:inline>
        </w:drawing>
      </w:r>
    </w:p>
    <w:p w14:paraId="0DFB1AB5">
      <w:pPr>
        <w:pStyle w:val="12"/>
        <w:jc w:val="center"/>
        <w:rPr>
          <w:rFonts w:hint="eastAsia" w:ascii="宋体" w:hAnsi="宋体" w:eastAsia="宋体" w:cs="黑体"/>
          <w:b/>
          <w:color w:val="auto"/>
          <w:kern w:val="2"/>
          <w:sz w:val="21"/>
          <w:szCs w:val="21"/>
          <w:lang w:val="en-US" w:eastAsia="zh-CN" w:bidi="ar-SA"/>
        </w:rPr>
      </w:pPr>
      <w:r>
        <w:rPr>
          <w:rFonts w:hint="eastAsia" w:ascii="宋体" w:hAnsi="宋体" w:eastAsia="宋体" w:cs="黑体"/>
          <w:b/>
          <w:color w:val="auto"/>
          <w:kern w:val="2"/>
          <w:sz w:val="21"/>
          <w:szCs w:val="21"/>
          <w:lang w:val="en-US" w:eastAsia="zh-CN" w:bidi="ar-SA"/>
        </w:rPr>
        <w:t>图</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STYLEREF 3 \s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4.5.6</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SEQ 图 \* ARABIC \s 3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1</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 xml:space="preserve"> 滑触线安装示意图</w:t>
      </w:r>
    </w:p>
    <w:p w14:paraId="480B97F4">
      <w:pPr>
        <w:pStyle w:val="5"/>
        <w:tabs>
          <w:tab w:val="left" w:pos="0"/>
        </w:tabs>
        <w:bidi w:val="0"/>
        <w:ind w:left="0" w:leftChars="0" w:firstLine="0" w:firstLineChars="0"/>
      </w:pPr>
      <w:r>
        <w:rPr>
          <w:rFonts w:hint="eastAsia"/>
        </w:rPr>
        <w:t>调试</w:t>
      </w:r>
    </w:p>
    <w:p w14:paraId="1D7A98F5">
      <w:pPr>
        <w:numPr>
          <w:ilvl w:val="0"/>
          <w:numId w:val="22"/>
        </w:numPr>
      </w:pPr>
      <w:r>
        <w:rPr>
          <w:rFonts w:hint="eastAsia"/>
        </w:rPr>
        <w:t>通电调试运转</w:t>
      </w:r>
    </w:p>
    <w:p w14:paraId="3921FDE8">
      <w:pPr>
        <w:ind w:firstLine="480"/>
      </w:pPr>
      <w:r>
        <w:rPr>
          <w:rFonts w:hint="eastAsia"/>
        </w:rPr>
        <w:t>升降机主机就位后，此时导轨架高度安装至</w:t>
      </w:r>
      <w:r>
        <w:t>15</w:t>
      </w:r>
      <w:r>
        <w:rPr>
          <w:rFonts w:hint="eastAsia"/>
        </w:rPr>
        <w:t>m，应进行通电调试运转检查。首先，确认工地电源功率是否充足，然后检查电机旋转方向及启制动是否正常，错相保护、急停、极限、上下限位、减速限位、各门限位开关是否正常。升降机的安装必须按说明书“升降机安装”章节进行，每安装一道附墙必须检查导轨架的安装是否符合要求。</w:t>
      </w:r>
    </w:p>
    <w:p w14:paraId="26400564">
      <w:pPr>
        <w:numPr>
          <w:ilvl w:val="0"/>
          <w:numId w:val="23"/>
        </w:numPr>
        <w:ind w:firstLineChars="0"/>
      </w:pPr>
      <w:r>
        <w:rPr>
          <w:rFonts w:hint="eastAsia"/>
        </w:rPr>
        <w:t>确认吊笼、传动机构及电气、控制系统正确无误的安装后，做如下升降试车：按通电源，由专职操作员在笼顶谨慎地操作手柄，使吊笼空载沿着导轨架上、下运行数次，行程高度不得大于5m。要求吊笼运行平稳、无跳动、无异响等故障，制动器工作正常，同时进一步检查各导向滚轮与导轨架的接触情况，齿轮齿条的啮合情况。升降试车需在吊笼顶部通过操作手柄实现，因导轨架上未安装上限位挡板和上极限挡板，操作需要谨慎。</w:t>
      </w:r>
    </w:p>
    <w:p w14:paraId="3C6E5E11">
      <w:pPr>
        <w:numPr>
          <w:ilvl w:val="0"/>
          <w:numId w:val="23"/>
        </w:numPr>
        <w:ind w:firstLineChars="0"/>
      </w:pPr>
      <w:r>
        <w:rPr>
          <w:rFonts w:hint="eastAsia"/>
        </w:rPr>
        <w:t>空载运行一切正常后，在吊笼内安装额定载重量的载荷进行带载运行，并检查电动机、减速器的发热情况</w:t>
      </w:r>
    </w:p>
    <w:p w14:paraId="3AECFAE0">
      <w:pPr>
        <w:numPr>
          <w:ilvl w:val="0"/>
          <w:numId w:val="23"/>
        </w:numPr>
        <w:ind w:firstLineChars="0"/>
      </w:pPr>
      <w:r>
        <w:rPr>
          <w:rFonts w:hint="eastAsia"/>
        </w:rPr>
        <w:t>检查时需始终按下急停按钮或者关闭电源，专职操作员站在吊笼顶部时，必须将安全带系挂在吊笼顶部围栏的可靠处。</w:t>
      </w:r>
    </w:p>
    <w:p w14:paraId="1E628029">
      <w:pPr>
        <w:numPr>
          <w:ilvl w:val="0"/>
          <w:numId w:val="22"/>
        </w:numPr>
      </w:pPr>
      <w:r>
        <w:rPr>
          <w:rFonts w:hint="eastAsia"/>
        </w:rPr>
        <w:t>整机检测及调试</w:t>
      </w:r>
    </w:p>
    <w:p w14:paraId="7068F7D5">
      <w:pPr>
        <w:ind w:firstLine="480"/>
      </w:pPr>
      <w:r>
        <w:rPr>
          <w:rFonts w:hint="eastAsia"/>
        </w:rPr>
        <w:t>升降机的导轨架加高完毕后，立即进行整机检测及调试，调试内容如下：</w:t>
      </w:r>
    </w:p>
    <w:p w14:paraId="46AD6A0C">
      <w:pPr>
        <w:numPr>
          <w:ilvl w:val="0"/>
          <w:numId w:val="24"/>
        </w:numPr>
        <w:ind w:firstLineChars="0"/>
      </w:pPr>
      <w:r>
        <w:rPr>
          <w:rFonts w:hint="eastAsia"/>
        </w:rPr>
        <w:t>导向滚轮的间隙调整</w:t>
      </w:r>
    </w:p>
    <w:p w14:paraId="5A539464">
      <w:pPr>
        <w:ind w:firstLine="480"/>
      </w:pPr>
      <w:r>
        <w:rPr>
          <w:rFonts w:hint="eastAsia"/>
        </w:rPr>
        <w:t>调整传动机构及吊笼的滚轮偏心轴，使吊笼两个立柱及驱动系统立柱相对于标准节对称放置，各滚轮与标准节立管间隙0.3～0.5mm。调整后必须紧固所有螺栓。</w:t>
      </w:r>
    </w:p>
    <w:p w14:paraId="29071B95">
      <w:pPr>
        <w:numPr>
          <w:ilvl w:val="0"/>
          <w:numId w:val="24"/>
        </w:numPr>
        <w:ind w:firstLineChars="0"/>
      </w:pPr>
      <w:r>
        <w:rPr>
          <w:rFonts w:hint="eastAsia"/>
        </w:rPr>
        <w:t>齿轮与齿条的啮合间隙调整</w:t>
      </w:r>
    </w:p>
    <w:p w14:paraId="722976AC">
      <w:pPr>
        <w:ind w:firstLine="480"/>
      </w:pPr>
      <w:r>
        <w:rPr>
          <w:rFonts w:hint="eastAsia"/>
        </w:rPr>
        <w:t>用压铅法检查所有齿轮与齿条的啮合间隙，要求间隙0.2～0.5mm，否则应采用楔铁调整驱动板和安全器板位置，以调整齿轮与齿条的啮合间隙，调整后应紧固相关的螺栓，间隔15-20天巡检一次。</w:t>
      </w:r>
    </w:p>
    <w:p w14:paraId="56B97693">
      <w:pPr>
        <w:pStyle w:val="90"/>
        <w:bidi w:val="0"/>
      </w:pPr>
      <w:r>
        <w:drawing>
          <wp:inline distT="0" distB="0" distL="114300" distR="114300">
            <wp:extent cx="5222240" cy="2494280"/>
            <wp:effectExtent l="0" t="0" r="16510" b="1270"/>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38"/>
                    <a:stretch>
                      <a:fillRect/>
                    </a:stretch>
                  </pic:blipFill>
                  <pic:spPr>
                    <a:xfrm>
                      <a:off x="0" y="0"/>
                      <a:ext cx="5222240" cy="2494280"/>
                    </a:xfrm>
                    <a:prstGeom prst="rect">
                      <a:avLst/>
                    </a:prstGeom>
                    <a:noFill/>
                    <a:ln>
                      <a:noFill/>
                    </a:ln>
                  </pic:spPr>
                </pic:pic>
              </a:graphicData>
            </a:graphic>
          </wp:inline>
        </w:drawing>
      </w:r>
    </w:p>
    <w:p w14:paraId="7A85A1A5">
      <w:pPr>
        <w:pStyle w:val="12"/>
        <w:jc w:val="center"/>
        <w:rPr>
          <w:rFonts w:hint="eastAsia" w:ascii="宋体" w:hAnsi="宋体" w:eastAsia="宋体" w:cs="黑体"/>
          <w:b/>
          <w:color w:val="auto"/>
          <w:kern w:val="2"/>
          <w:sz w:val="21"/>
          <w:szCs w:val="21"/>
          <w:lang w:val="en-US" w:eastAsia="zh-CN" w:bidi="ar-SA"/>
        </w:rPr>
      </w:pPr>
      <w:r>
        <w:rPr>
          <w:rFonts w:hint="eastAsia" w:ascii="宋体" w:hAnsi="宋体" w:eastAsia="宋体" w:cs="黑体"/>
          <w:b/>
          <w:color w:val="auto"/>
          <w:kern w:val="2"/>
          <w:sz w:val="21"/>
          <w:szCs w:val="21"/>
          <w:lang w:val="en-US" w:eastAsia="zh-CN" w:bidi="ar-SA"/>
        </w:rPr>
        <w:t>图</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STYLEREF 3 \s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4.5.7</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SEQ 图 \* ARABIC \s 3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1</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 xml:space="preserve"> 齿条啮合图示</w:t>
      </w:r>
    </w:p>
    <w:p w14:paraId="5DC47A75">
      <w:pPr>
        <w:numPr>
          <w:ilvl w:val="0"/>
          <w:numId w:val="24"/>
        </w:numPr>
        <w:ind w:firstLineChars="0"/>
      </w:pPr>
      <w:r>
        <w:rPr>
          <w:rFonts w:hint="eastAsia"/>
        </w:rPr>
        <w:t>背轮与齿条的间隙调整</w:t>
      </w:r>
    </w:p>
    <w:p w14:paraId="0DFFB8B9">
      <w:pPr>
        <w:ind w:firstLine="480"/>
      </w:pPr>
      <w:r>
        <w:rPr>
          <w:rFonts w:hint="eastAsia"/>
        </w:rPr>
        <w:t>用塞尺检查所有背轮与齿条背面的间隙，要求间隙为0.5mm，否则应调试背轮偏心套，以调整背轮与齿条的间隙，然后紧固导轮螺栓。</w:t>
      </w:r>
    </w:p>
    <w:p w14:paraId="5AD40773">
      <w:pPr>
        <w:numPr>
          <w:ilvl w:val="0"/>
          <w:numId w:val="24"/>
        </w:numPr>
        <w:ind w:firstLineChars="0"/>
      </w:pPr>
      <w:r>
        <w:rPr>
          <w:rFonts w:hint="eastAsia"/>
        </w:rPr>
        <w:t>下限位碰铁安装</w:t>
      </w:r>
    </w:p>
    <w:p w14:paraId="5EA2EF7A">
      <w:pPr>
        <w:ind w:firstLine="480"/>
      </w:pPr>
      <w:r>
        <w:rPr>
          <w:rFonts w:hint="eastAsia"/>
          <w:lang w:eastAsia="zh-CN"/>
        </w:rPr>
        <w:t>作业人员</w:t>
      </w:r>
      <w:r>
        <w:rPr>
          <w:rFonts w:hint="eastAsia"/>
        </w:rPr>
        <w:t>在笼内操作，在低速档下将升降机（装载额定载重量）开到吊笼底与外笼门槛平齐，按下急停按钮，人工安装下限位碰铁及极限开关碰铁（下限位碰铁及极限开关碰铁均用钩形螺栓紧固在导轨架标准节的框架上；极限开关碰铁的安装位置必须保证吊笼在碰到缓冲弹簧之前动作）。施工升降机碰铁安装位置为减速限位的下端面低于下限位的上端面约200mm。</w:t>
      </w:r>
    </w:p>
    <w:p w14:paraId="79332F44">
      <w:pPr>
        <w:numPr>
          <w:ilvl w:val="0"/>
          <w:numId w:val="24"/>
        </w:numPr>
        <w:ind w:firstLineChars="0"/>
      </w:pPr>
      <w:r>
        <w:rPr>
          <w:rFonts w:hint="eastAsia"/>
        </w:rPr>
        <w:t>上限位碰铁及减速限位碰铁安装</w:t>
      </w:r>
    </w:p>
    <w:p w14:paraId="1D3B8509">
      <w:pPr>
        <w:ind w:firstLine="480"/>
      </w:pPr>
      <w:r>
        <w:rPr>
          <w:rFonts w:hint="eastAsia"/>
        </w:rPr>
        <w:t>导轨架加高完成以后，安装上限位开关碰铁、极限位开关碰铁，安装方法与下限位碰铁相同，极限开关碰铁的安装位置满足以下要求：</w:t>
      </w:r>
    </w:p>
    <w:p w14:paraId="4931C42A">
      <w:pPr>
        <w:ind w:firstLine="480"/>
      </w:pPr>
      <w:r>
        <w:rPr>
          <w:rFonts w:hint="eastAsia"/>
        </w:rPr>
        <w:t>当额定速度小于或等于0.85m/s时，极限开关碰铁的安装位置应保证极限开关触发碰铁后，吊笼顶部还应至少有1.8m的安全距离，此外，吊笼上任何高过吊笼的部件和设备，其上方应有至少0.3m的安全距离；</w:t>
      </w:r>
    </w:p>
    <w:p w14:paraId="1274BA03">
      <w:pPr>
        <w:ind w:firstLine="480"/>
      </w:pPr>
      <w:r>
        <w:rPr>
          <w:rFonts w:hint="eastAsia"/>
        </w:rPr>
        <w:t>当额定速度大于0.85m/s时，极限开关碰铁的安装位置应保证极限开关触发碰铁后，吊笼顶部还应至少有1.8m+0.1V</w:t>
      </w:r>
      <w:r>
        <w:rPr>
          <w:rFonts w:hint="eastAsia"/>
          <w:vertAlign w:val="superscript"/>
        </w:rPr>
        <w:t>2</w:t>
      </w:r>
      <w:r>
        <w:rPr>
          <w:rFonts w:hint="eastAsia"/>
        </w:rPr>
        <w:t>（V为额定速度）的安全距离，此外，吊笼上任何高过吊笼的部件和设备，其上方应有至少0.3m的安全距离；</w:t>
      </w:r>
    </w:p>
    <w:p w14:paraId="5322F623">
      <w:pPr>
        <w:ind w:firstLine="480"/>
      </w:pPr>
      <w:r>
        <w:rPr>
          <w:rFonts w:hint="eastAsia"/>
        </w:rPr>
        <w:t>上限位开关碰铁的安装位置应满足以下要求：在正常工作状态下，上限位开关触发上限位碰铁后，极限开关的臂杆与极限开关碰铁下端距离为150mm；</w:t>
      </w:r>
    </w:p>
    <w:p w14:paraId="422522E2">
      <w:pPr>
        <w:ind w:firstLine="480"/>
      </w:pPr>
      <w:r>
        <w:rPr>
          <w:rFonts w:hint="eastAsia"/>
        </w:rPr>
        <w:t>减速限位碰铁安装位置为：减速限位碰铁上端面高于上限位碰铁下端面约200mm。</w:t>
      </w:r>
    </w:p>
    <w:p w14:paraId="75789E49">
      <w:pPr>
        <w:pStyle w:val="5"/>
        <w:tabs>
          <w:tab w:val="left" w:pos="0"/>
        </w:tabs>
        <w:bidi w:val="0"/>
        <w:ind w:left="0" w:leftChars="0" w:firstLine="0" w:firstLineChars="0"/>
      </w:pPr>
      <w:r>
        <w:rPr>
          <w:rFonts w:hint="eastAsia"/>
        </w:rPr>
        <w:t>坠落试验</w:t>
      </w:r>
    </w:p>
    <w:p w14:paraId="24B78C14">
      <w:pPr>
        <w:ind w:firstLine="480"/>
      </w:pPr>
      <w:r>
        <w:rPr>
          <w:rFonts w:hint="eastAsia"/>
        </w:rPr>
        <w:t>凡新安装的升降机,都应进行吊笼额定载荷的坠落试验，以后至少每三个月进行一次坠落试验或按当地有关规定定期进行。坠落试验时，吊笼内不得载人，确认升降机各个部件无故障时方可进行。</w:t>
      </w:r>
    </w:p>
    <w:p w14:paraId="0DEE7914">
      <w:pPr>
        <w:ind w:firstLine="480"/>
      </w:pPr>
      <w:r>
        <w:rPr>
          <w:rFonts w:hint="eastAsia"/>
        </w:rPr>
        <w:t>根据中国国家标准，安全器在出厂一年后（按标牌或试验报告上的日期）必须送厂检测（包括一年内未曾使用过），经检验合格后，方可继续使用。安全器的寿命为五年。</w:t>
      </w:r>
    </w:p>
    <w:p w14:paraId="31F6C2BB">
      <w:pPr>
        <w:ind w:firstLine="480"/>
      </w:pPr>
      <w:r>
        <w:rPr>
          <w:rFonts w:hint="eastAsia"/>
        </w:rPr>
        <w:t>坠落试验方法：</w:t>
      </w:r>
    </w:p>
    <w:p w14:paraId="2C3869E4">
      <w:pPr>
        <w:numPr>
          <w:ilvl w:val="0"/>
          <w:numId w:val="25"/>
        </w:numPr>
        <w:ind w:firstLineChars="0"/>
      </w:pPr>
      <w:r>
        <w:rPr>
          <w:rFonts w:hint="eastAsia"/>
        </w:rPr>
        <w:t>将吊笼内装载额定重量；</w:t>
      </w:r>
    </w:p>
    <w:p w14:paraId="37723854">
      <w:pPr>
        <w:numPr>
          <w:ilvl w:val="0"/>
          <w:numId w:val="25"/>
        </w:numPr>
        <w:ind w:firstLineChars="0"/>
      </w:pPr>
      <w:r>
        <w:rPr>
          <w:rFonts w:hint="eastAsia"/>
        </w:rPr>
        <w:t>切断主电源，将坠落试验按钮盒接入电控箱内接线端子上，并锁紧；</w:t>
      </w:r>
    </w:p>
    <w:p w14:paraId="337BCE61">
      <w:pPr>
        <w:numPr>
          <w:ilvl w:val="0"/>
          <w:numId w:val="25"/>
        </w:numPr>
        <w:ind w:firstLineChars="0"/>
      </w:pPr>
      <w:r>
        <w:rPr>
          <w:rFonts w:hint="eastAsia"/>
        </w:rPr>
        <w:t>将坠落试验按钮盒通过门放到地面，要确保坠落试验时，电缆不会被卡住，并关闭所有门；</w:t>
      </w:r>
    </w:p>
    <w:p w14:paraId="3F2F6B51">
      <w:pPr>
        <w:ind w:left="480" w:firstLine="0" w:firstLineChars="0"/>
      </w:pPr>
      <w:r>
        <w:rPr>
          <w:rFonts w:hint="eastAsia"/>
        </w:rPr>
        <w:t>特别注意：坠落试验过程中，吊笼内严禁有人。</w:t>
      </w:r>
    </w:p>
    <w:p w14:paraId="728F4BB4">
      <w:pPr>
        <w:numPr>
          <w:ilvl w:val="0"/>
          <w:numId w:val="25"/>
        </w:numPr>
        <w:ind w:firstLineChars="0"/>
      </w:pPr>
      <w:r>
        <w:rPr>
          <w:rFonts w:hint="eastAsia"/>
        </w:rPr>
        <w:t>合上总电源开关；</w:t>
      </w:r>
    </w:p>
    <w:p w14:paraId="161DC0A4">
      <w:pPr>
        <w:numPr>
          <w:ilvl w:val="0"/>
          <w:numId w:val="25"/>
        </w:numPr>
        <w:ind w:firstLineChars="0"/>
      </w:pPr>
      <w:r>
        <w:rPr>
          <w:rFonts w:hint="eastAsia"/>
        </w:rPr>
        <w:t>按“坠落按钮盒”上的“上行”按钮，使吊升高到距地面约10米左右；</w:t>
      </w:r>
    </w:p>
    <w:p w14:paraId="52840EBC">
      <w:pPr>
        <w:numPr>
          <w:ilvl w:val="0"/>
          <w:numId w:val="25"/>
        </w:numPr>
        <w:ind w:firstLineChars="0"/>
      </w:pPr>
      <w:r>
        <w:rPr>
          <w:rFonts w:hint="eastAsia"/>
        </w:rPr>
        <w:t>按“坠落”按钮不要松开，吊笼将自由下落，正常情况下时吊笼制动距离为下表规定范围。表中防坠安全器制动距离数据出自中华人民共和国国家标准《吊笼有垂直导向的人货两用施工升降机》GB/26557-20</w:t>
      </w:r>
      <w:r>
        <w:rPr>
          <w:rFonts w:hint="eastAsia"/>
          <w:lang w:val="en-US" w:eastAsia="zh-CN"/>
        </w:rPr>
        <w:t>2</w:t>
      </w:r>
      <w:r>
        <w:rPr>
          <w:rFonts w:hint="eastAsia"/>
        </w:rPr>
        <w:t>1。</w:t>
      </w:r>
    </w:p>
    <w:p w14:paraId="6922042D">
      <w:pPr>
        <w:pStyle w:val="12"/>
        <w:jc w:val="center"/>
        <w:rPr>
          <w:rFonts w:hint="eastAsia" w:ascii="宋体" w:hAnsi="宋体" w:eastAsia="宋体" w:cs="黑体"/>
          <w:b/>
          <w:color w:val="auto"/>
          <w:kern w:val="2"/>
          <w:sz w:val="21"/>
          <w:szCs w:val="21"/>
          <w:lang w:val="en-US" w:eastAsia="zh-CN" w:bidi="ar-SA"/>
        </w:rPr>
      </w:pPr>
      <w:r>
        <w:rPr>
          <w:rFonts w:hint="eastAsia" w:ascii="宋体" w:hAnsi="宋体" w:eastAsia="宋体" w:cs="黑体"/>
          <w:b/>
          <w:color w:val="auto"/>
          <w:kern w:val="2"/>
          <w:sz w:val="21"/>
          <w:szCs w:val="21"/>
          <w:lang w:val="en-US" w:eastAsia="zh-CN" w:bidi="ar-SA"/>
        </w:rPr>
        <w:t>表</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STYLEREF 3 \s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4.5.8</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SEQ 表 \* ARABIC \s 3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1</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 xml:space="preserve"> 防坠安全器制动距离</w:t>
      </w:r>
    </w:p>
    <w:p w14:paraId="14CD2DBB">
      <w:pPr>
        <w:pStyle w:val="90"/>
        <w:bidi w:val="0"/>
      </w:pPr>
      <w:r>
        <w:rPr>
          <w:rFonts w:hint="eastAsia"/>
        </w:rPr>
        <w:drawing>
          <wp:inline distT="0" distB="0" distL="114300" distR="114300">
            <wp:extent cx="5274310" cy="1161415"/>
            <wp:effectExtent l="0" t="0" r="2540" b="635"/>
            <wp:docPr id="15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8"/>
                    <pic:cNvPicPr>
                      <a:picLocks noChangeAspect="1"/>
                    </pic:cNvPicPr>
                  </pic:nvPicPr>
                  <pic:blipFill>
                    <a:blip r:embed="rId39"/>
                    <a:stretch>
                      <a:fillRect/>
                    </a:stretch>
                  </pic:blipFill>
                  <pic:spPr>
                    <a:xfrm>
                      <a:off x="0" y="0"/>
                      <a:ext cx="5274310" cy="1161619"/>
                    </a:xfrm>
                    <a:prstGeom prst="rect">
                      <a:avLst/>
                    </a:prstGeom>
                    <a:noFill/>
                    <a:ln>
                      <a:noFill/>
                    </a:ln>
                  </pic:spPr>
                </pic:pic>
              </a:graphicData>
            </a:graphic>
          </wp:inline>
        </w:drawing>
      </w:r>
    </w:p>
    <w:p w14:paraId="3186AD3F">
      <w:pPr>
        <w:ind w:firstLine="480"/>
      </w:pPr>
      <w:r>
        <w:rPr>
          <w:rFonts w:hint="eastAsia"/>
        </w:rPr>
        <w:t>制动距离应从听见“哐啷”声音后算起，安全器使吊笼制动的同时能通过机电联锁切断电源。</w:t>
      </w:r>
    </w:p>
    <w:p w14:paraId="45E9860E">
      <w:pPr>
        <w:numPr>
          <w:ilvl w:val="0"/>
          <w:numId w:val="25"/>
        </w:numPr>
        <w:ind w:firstLineChars="0"/>
      </w:pPr>
      <w:r>
        <w:rPr>
          <w:rFonts w:hint="eastAsia"/>
        </w:rPr>
        <w:t>同时应检查：</w:t>
      </w:r>
    </w:p>
    <w:p w14:paraId="7ABED29E">
      <w:pPr>
        <w:ind w:left="480" w:firstLine="0" w:firstLineChars="0"/>
      </w:pPr>
      <w:r>
        <w:rPr>
          <w:rFonts w:hint="eastAsia"/>
        </w:rPr>
        <w:t>a</w:t>
      </w:r>
      <w:r>
        <w:t>.</w:t>
      </w:r>
      <w:r>
        <w:rPr>
          <w:rFonts w:hint="eastAsia"/>
        </w:rPr>
        <w:t xml:space="preserve">结构及连接有无损坏及永久变形； </w:t>
      </w:r>
    </w:p>
    <w:p w14:paraId="3A2956FC">
      <w:pPr>
        <w:ind w:left="480" w:firstLine="0" w:firstLineChars="0"/>
      </w:pPr>
      <w:r>
        <w:rPr>
          <w:rFonts w:hint="eastAsia"/>
        </w:rPr>
        <w:t>b</w:t>
      </w:r>
      <w:r>
        <w:t>.</w:t>
      </w:r>
      <w:r>
        <w:rPr>
          <w:rFonts w:hint="eastAsia"/>
        </w:rPr>
        <w:t>吊笼底板在各个方向的水平度偏差值改变值应符合GB26557-20</w:t>
      </w:r>
      <w:r>
        <w:rPr>
          <w:rFonts w:hint="eastAsia"/>
          <w:lang w:val="en-US" w:eastAsia="zh-CN"/>
        </w:rPr>
        <w:t>2</w:t>
      </w:r>
      <w:r>
        <w:rPr>
          <w:rFonts w:hint="eastAsia"/>
        </w:rPr>
        <w:t>1要求；</w:t>
      </w:r>
    </w:p>
    <w:p w14:paraId="770421C1">
      <w:pPr>
        <w:ind w:firstLine="480"/>
      </w:pPr>
      <w:r>
        <w:rPr>
          <w:rFonts w:hint="eastAsia"/>
        </w:rPr>
        <w:t>注意：如果吊笼自由下落距地面3m左右仍未停止时，应立即松开按钮使吊笼制动，然后点动“坠落”按钮，使吊笼缓缓落至地面，查清原因。每次点动吊笼下滑距离不可超过0.2m否则安全器将再次动作。</w:t>
      </w:r>
    </w:p>
    <w:p w14:paraId="629ADE40">
      <w:pPr>
        <w:numPr>
          <w:ilvl w:val="0"/>
          <w:numId w:val="25"/>
        </w:numPr>
        <w:ind w:firstLineChars="0"/>
      </w:pPr>
      <w:r>
        <w:rPr>
          <w:rFonts w:hint="eastAsia"/>
        </w:rPr>
        <w:t>防坠器检查日期：</w:t>
      </w:r>
    </w:p>
    <w:p w14:paraId="5BFA57D2">
      <w:pPr>
        <w:ind w:left="480" w:firstLine="0" w:firstLineChars="0"/>
      </w:pPr>
      <w:r>
        <w:rPr>
          <w:rFonts w:hint="eastAsia"/>
        </w:rPr>
        <w:t>a</w:t>
      </w:r>
      <w:r>
        <w:t>.</w:t>
      </w:r>
      <w:r>
        <w:rPr>
          <w:rFonts w:hint="eastAsia"/>
        </w:rPr>
        <w:t>有效使用年限为  年  月  日至  年  月  日。</w:t>
      </w:r>
    </w:p>
    <w:p w14:paraId="7ACE3B24">
      <w:pPr>
        <w:ind w:firstLine="480" w:firstLineChars="0"/>
      </w:pPr>
      <w:r>
        <w:rPr>
          <w:rFonts w:hint="eastAsia"/>
        </w:rPr>
        <w:t>b</w:t>
      </w:r>
      <w:r>
        <w:t>.</w:t>
      </w:r>
      <w:r>
        <w:rPr>
          <w:rFonts w:hint="eastAsia"/>
        </w:rPr>
        <w:t>下次检定时间为  年  月  日</w:t>
      </w:r>
    </w:p>
    <w:p w14:paraId="15700555">
      <w:pPr>
        <w:ind w:left="480" w:firstLine="0" w:firstLineChars="0"/>
      </w:pPr>
      <w:r>
        <w:rPr>
          <w:rFonts w:hint="eastAsia"/>
        </w:rPr>
        <w:t>c</w:t>
      </w:r>
      <w:r>
        <w:t>.</w:t>
      </w:r>
      <w:r>
        <w:rPr>
          <w:rFonts w:hint="eastAsia"/>
        </w:rPr>
        <w:t>检测内容</w:t>
      </w:r>
    </w:p>
    <w:p w14:paraId="6C0DA499">
      <w:pPr>
        <w:pStyle w:val="12"/>
        <w:jc w:val="center"/>
        <w:rPr>
          <w:rFonts w:hint="eastAsia" w:ascii="宋体" w:hAnsi="宋体" w:eastAsia="宋体" w:cs="黑体"/>
          <w:b/>
          <w:color w:val="auto"/>
          <w:kern w:val="2"/>
          <w:sz w:val="21"/>
          <w:szCs w:val="21"/>
          <w:lang w:val="en-US" w:eastAsia="zh-CN" w:bidi="ar-SA"/>
        </w:rPr>
      </w:pPr>
      <w:r>
        <w:rPr>
          <w:rFonts w:hint="eastAsia" w:ascii="宋体" w:hAnsi="宋体" w:eastAsia="宋体" w:cs="黑体"/>
          <w:b/>
          <w:color w:val="auto"/>
          <w:kern w:val="2"/>
          <w:sz w:val="21"/>
          <w:szCs w:val="21"/>
          <w:lang w:val="en-US" w:eastAsia="zh-CN" w:bidi="ar-SA"/>
        </w:rPr>
        <w:t>表</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STYLEREF 3 \s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4.5.8</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SEQ 表 \* ARABIC \s 3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2</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 xml:space="preserve"> 坠落试验检测内容</w:t>
      </w:r>
    </w:p>
    <w:tbl>
      <w:tblPr>
        <w:tblStyle w:val="8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2378"/>
        <w:gridCol w:w="5628"/>
      </w:tblGrid>
      <w:tr w14:paraId="3E405D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03" w:type="pct"/>
            <w:shd w:val="clear" w:color="auto" w:fill="auto"/>
            <w:vAlign w:val="center"/>
          </w:tcPr>
          <w:p w14:paraId="5EE77559">
            <w:pPr>
              <w:pStyle w:val="13"/>
            </w:pPr>
            <w:r>
              <w:rPr>
                <w:rFonts w:hint="eastAsia"/>
              </w:rPr>
              <w:t>1</w:t>
            </w:r>
          </w:p>
        </w:tc>
        <w:tc>
          <w:tcPr>
            <w:tcW w:w="1395" w:type="pct"/>
            <w:shd w:val="clear" w:color="auto" w:fill="auto"/>
            <w:vAlign w:val="center"/>
          </w:tcPr>
          <w:p w14:paraId="1CD8468D">
            <w:pPr>
              <w:pStyle w:val="13"/>
              <w:rPr>
                <w:b w:val="0"/>
                <w:bCs/>
              </w:rPr>
            </w:pPr>
            <w:r>
              <w:rPr>
                <w:rFonts w:hint="eastAsia"/>
                <w:b w:val="0"/>
                <w:bCs/>
              </w:rPr>
              <w:t>强度</w:t>
            </w:r>
          </w:p>
        </w:tc>
        <w:tc>
          <w:tcPr>
            <w:tcW w:w="3302" w:type="pct"/>
            <w:shd w:val="clear" w:color="auto" w:fill="auto"/>
            <w:vAlign w:val="center"/>
          </w:tcPr>
          <w:p w14:paraId="5C6D7DCF">
            <w:pPr>
              <w:pStyle w:val="13"/>
              <w:rPr>
                <w:b w:val="0"/>
                <w:bCs/>
              </w:rPr>
            </w:pPr>
            <w:r>
              <w:rPr>
                <w:rFonts w:hint="eastAsia"/>
                <w:b w:val="0"/>
                <w:bCs/>
              </w:rPr>
              <w:t>壳体和齿轮等无裂纹等损伤</w:t>
            </w:r>
          </w:p>
        </w:tc>
      </w:tr>
      <w:tr w14:paraId="1A698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03" w:type="pct"/>
            <w:shd w:val="clear" w:color="auto" w:fill="auto"/>
            <w:vAlign w:val="center"/>
          </w:tcPr>
          <w:p w14:paraId="17B301F2">
            <w:pPr>
              <w:pStyle w:val="13"/>
            </w:pPr>
            <w:r>
              <w:rPr>
                <w:rFonts w:hint="eastAsia"/>
              </w:rPr>
              <w:t>2</w:t>
            </w:r>
          </w:p>
        </w:tc>
        <w:tc>
          <w:tcPr>
            <w:tcW w:w="1395" w:type="pct"/>
            <w:shd w:val="clear" w:color="auto" w:fill="auto"/>
            <w:vAlign w:val="center"/>
          </w:tcPr>
          <w:p w14:paraId="609DF053">
            <w:pPr>
              <w:pStyle w:val="13"/>
              <w:rPr>
                <w:b w:val="0"/>
                <w:bCs/>
              </w:rPr>
            </w:pPr>
            <w:r>
              <w:rPr>
                <w:rFonts w:hint="eastAsia"/>
                <w:b w:val="0"/>
                <w:bCs/>
              </w:rPr>
              <w:t>齿轮转动</w:t>
            </w:r>
          </w:p>
        </w:tc>
        <w:tc>
          <w:tcPr>
            <w:tcW w:w="3302" w:type="pct"/>
            <w:shd w:val="clear" w:color="auto" w:fill="auto"/>
            <w:vAlign w:val="center"/>
          </w:tcPr>
          <w:p w14:paraId="346B0C21">
            <w:pPr>
              <w:pStyle w:val="13"/>
              <w:rPr>
                <w:b w:val="0"/>
                <w:bCs/>
              </w:rPr>
            </w:pPr>
            <w:r>
              <w:rPr>
                <w:rFonts w:hint="eastAsia"/>
                <w:b w:val="0"/>
                <w:bCs/>
              </w:rPr>
              <w:t>灵活</w:t>
            </w:r>
          </w:p>
        </w:tc>
      </w:tr>
      <w:tr w14:paraId="147A8B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03" w:type="pct"/>
            <w:shd w:val="clear" w:color="auto" w:fill="auto"/>
            <w:vAlign w:val="center"/>
          </w:tcPr>
          <w:p w14:paraId="7A8C4771">
            <w:pPr>
              <w:pStyle w:val="13"/>
            </w:pPr>
            <w:r>
              <w:rPr>
                <w:rFonts w:hint="eastAsia"/>
              </w:rPr>
              <w:t>3</w:t>
            </w:r>
          </w:p>
        </w:tc>
        <w:tc>
          <w:tcPr>
            <w:tcW w:w="1395" w:type="pct"/>
            <w:shd w:val="clear" w:color="auto" w:fill="auto"/>
            <w:vAlign w:val="center"/>
          </w:tcPr>
          <w:p w14:paraId="4B9C6D1F">
            <w:pPr>
              <w:pStyle w:val="13"/>
              <w:rPr>
                <w:b w:val="0"/>
                <w:bCs/>
              </w:rPr>
            </w:pPr>
            <w:r>
              <w:rPr>
                <w:rFonts w:hint="eastAsia"/>
                <w:b w:val="0"/>
                <w:bCs/>
              </w:rPr>
              <w:t>安全开关</w:t>
            </w:r>
          </w:p>
        </w:tc>
        <w:tc>
          <w:tcPr>
            <w:tcW w:w="3302" w:type="pct"/>
            <w:shd w:val="clear" w:color="auto" w:fill="auto"/>
            <w:vAlign w:val="center"/>
          </w:tcPr>
          <w:p w14:paraId="5309063A">
            <w:pPr>
              <w:pStyle w:val="13"/>
              <w:rPr>
                <w:b w:val="0"/>
                <w:bCs/>
              </w:rPr>
            </w:pPr>
            <w:r>
              <w:rPr>
                <w:rFonts w:hint="eastAsia"/>
                <w:b w:val="0"/>
                <w:bCs/>
              </w:rPr>
              <w:t>切断控制线路</w:t>
            </w:r>
          </w:p>
        </w:tc>
      </w:tr>
      <w:tr w14:paraId="3108B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03" w:type="pct"/>
            <w:shd w:val="clear" w:color="auto" w:fill="auto"/>
            <w:vAlign w:val="center"/>
          </w:tcPr>
          <w:p w14:paraId="40D118E5">
            <w:pPr>
              <w:pStyle w:val="13"/>
            </w:pPr>
            <w:r>
              <w:rPr>
                <w:rFonts w:hint="eastAsia"/>
              </w:rPr>
              <w:t>4</w:t>
            </w:r>
          </w:p>
        </w:tc>
        <w:tc>
          <w:tcPr>
            <w:tcW w:w="1395" w:type="pct"/>
            <w:shd w:val="clear" w:color="auto" w:fill="auto"/>
            <w:vAlign w:val="center"/>
          </w:tcPr>
          <w:p w14:paraId="26540BC9">
            <w:pPr>
              <w:pStyle w:val="13"/>
              <w:rPr>
                <w:b w:val="0"/>
                <w:bCs/>
              </w:rPr>
            </w:pPr>
            <w:r>
              <w:rPr>
                <w:rFonts w:hint="eastAsia"/>
                <w:b w:val="0"/>
                <w:bCs/>
              </w:rPr>
              <w:t>动作速度</w:t>
            </w:r>
          </w:p>
        </w:tc>
        <w:tc>
          <w:tcPr>
            <w:tcW w:w="3302" w:type="pct"/>
            <w:shd w:val="clear" w:color="auto" w:fill="auto"/>
            <w:vAlign w:val="center"/>
          </w:tcPr>
          <w:p w14:paraId="261CA302">
            <w:pPr>
              <w:pStyle w:val="13"/>
              <w:rPr>
                <w:b w:val="0"/>
                <w:bCs/>
              </w:rPr>
            </w:pPr>
            <w:r>
              <w:rPr>
                <w:rFonts w:hint="eastAsia"/>
                <w:b w:val="0"/>
                <w:bCs/>
              </w:rPr>
              <w:t>≦9%</w:t>
            </w:r>
          </w:p>
        </w:tc>
      </w:tr>
      <w:tr w14:paraId="297EFE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03" w:type="pct"/>
            <w:shd w:val="clear" w:color="auto" w:fill="auto"/>
            <w:vAlign w:val="center"/>
          </w:tcPr>
          <w:p w14:paraId="106D71E2">
            <w:pPr>
              <w:pStyle w:val="13"/>
            </w:pPr>
            <w:r>
              <w:rPr>
                <w:rFonts w:hint="eastAsia"/>
              </w:rPr>
              <w:t>5</w:t>
            </w:r>
          </w:p>
        </w:tc>
        <w:tc>
          <w:tcPr>
            <w:tcW w:w="1395" w:type="pct"/>
            <w:shd w:val="clear" w:color="auto" w:fill="auto"/>
            <w:vAlign w:val="center"/>
          </w:tcPr>
          <w:p w14:paraId="0685DC01">
            <w:pPr>
              <w:pStyle w:val="13"/>
              <w:rPr>
                <w:b w:val="0"/>
                <w:bCs/>
              </w:rPr>
            </w:pPr>
            <w:r>
              <w:rPr>
                <w:rFonts w:hint="eastAsia"/>
                <w:b w:val="0"/>
                <w:bCs/>
              </w:rPr>
              <w:t>超载制动试验</w:t>
            </w:r>
          </w:p>
        </w:tc>
        <w:tc>
          <w:tcPr>
            <w:tcW w:w="3302" w:type="pct"/>
            <w:shd w:val="clear" w:color="auto" w:fill="auto"/>
            <w:vAlign w:val="center"/>
          </w:tcPr>
          <w:p w14:paraId="100E9C3D">
            <w:pPr>
              <w:pStyle w:val="13"/>
              <w:rPr>
                <w:b w:val="0"/>
                <w:bCs/>
              </w:rPr>
            </w:pPr>
            <w:r>
              <w:rPr>
                <w:rFonts w:hint="eastAsia"/>
                <w:b w:val="0"/>
                <w:bCs/>
              </w:rPr>
              <w:t>制动距离符合GB/T34025-2017标准</w:t>
            </w:r>
          </w:p>
        </w:tc>
      </w:tr>
    </w:tbl>
    <w:p w14:paraId="76B12F7A">
      <w:pPr>
        <w:numPr>
          <w:ilvl w:val="0"/>
          <w:numId w:val="24"/>
        </w:numPr>
        <w:ind w:firstLineChars="0"/>
      </w:pPr>
      <w:r>
        <w:rPr>
          <w:rFonts w:hint="eastAsia"/>
        </w:rPr>
        <w:t>超载保护器</w:t>
      </w:r>
    </w:p>
    <w:p w14:paraId="1BF29840">
      <w:pPr>
        <w:ind w:firstLine="480"/>
      </w:pPr>
      <w:r>
        <w:rPr>
          <w:rFonts w:hint="eastAsia"/>
        </w:rPr>
        <w:t>按《施工升降机使用说明书》的要求进行零点调整及吊重显示调整。</w:t>
      </w:r>
    </w:p>
    <w:p w14:paraId="53451DBD">
      <w:pPr>
        <w:numPr>
          <w:ilvl w:val="0"/>
          <w:numId w:val="24"/>
        </w:numPr>
        <w:ind w:firstLineChars="0"/>
      </w:pPr>
      <w:r>
        <w:rPr>
          <w:rFonts w:hint="eastAsia"/>
        </w:rPr>
        <w:t>升降机的检查</w:t>
      </w:r>
    </w:p>
    <w:p w14:paraId="39F6BE52">
      <w:pPr>
        <w:ind w:firstLine="480"/>
        <w:rPr>
          <w:rFonts w:hint="eastAsia"/>
        </w:rPr>
      </w:pPr>
      <w:r>
        <w:rPr>
          <w:rFonts w:hint="eastAsia"/>
        </w:rPr>
        <w:t>按《施工升降机使用说明书》的要求进行检查，发现有问题立即调试或更换零部件。</w:t>
      </w:r>
    </w:p>
    <w:p w14:paraId="4C870BEA">
      <w:pPr>
        <w:numPr>
          <w:ilvl w:val="0"/>
          <w:numId w:val="24"/>
        </w:numPr>
        <w:ind w:firstLineChars="0"/>
      </w:pPr>
      <w:r>
        <w:rPr>
          <w:lang w:val="en-US" w:eastAsia="zh-CN"/>
        </w:rPr>
        <w:t>坠落试验方法</w:t>
      </w:r>
    </w:p>
    <w:p w14:paraId="018C47B9">
      <w:pPr>
        <w:keepNext w:val="0"/>
        <w:keepLines w:val="0"/>
        <w:pageBreakBefore w:val="0"/>
        <w:widowControl w:val="0"/>
        <w:numPr>
          <w:ilvl w:val="0"/>
          <w:numId w:val="26"/>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t>将导轨架加高到1</w:t>
      </w:r>
      <w:r>
        <w:rPr>
          <w:rFonts w:hint="eastAsia" w:cs="Times New Roman"/>
          <w:lang w:val="en-US" w:eastAsia="zh-CN"/>
        </w:rPr>
        <w:t>0</w:t>
      </w:r>
      <w:r>
        <w:rPr>
          <w:rFonts w:hint="default" w:ascii="Times New Roman" w:hAnsi="Times New Roman" w:eastAsia="宋体" w:cs="Times New Roman"/>
          <w:lang w:val="en-US" w:eastAsia="zh-CN"/>
        </w:rPr>
        <w:t>m</w:t>
      </w:r>
      <w:r>
        <w:rPr>
          <w:rFonts w:hint="eastAsia" w:ascii="Times New Roman" w:hAnsi="Times New Roman" w:eastAsia="宋体" w:cs="Times New Roman"/>
          <w:lang w:val="en-US" w:eastAsia="zh-CN"/>
        </w:rPr>
        <w:t>左右（</w:t>
      </w:r>
      <w:r>
        <w:rPr>
          <w:rFonts w:hint="eastAsia" w:cs="Times New Roman"/>
          <w:lang w:val="en-US" w:eastAsia="zh-CN"/>
        </w:rPr>
        <w:t>4</w:t>
      </w:r>
      <w:r>
        <w:rPr>
          <w:rFonts w:hint="default" w:ascii="Times New Roman" w:hAnsi="Times New Roman" w:eastAsia="宋体" w:cs="Times New Roman"/>
          <w:lang w:val="en-US" w:eastAsia="zh-CN"/>
        </w:rPr>
        <w:t>m</w:t>
      </w:r>
      <w:r>
        <w:rPr>
          <w:rFonts w:hint="eastAsia" w:ascii="Times New Roman" w:hAnsi="Times New Roman" w:eastAsia="宋体" w:cs="Times New Roman"/>
          <w:lang w:val="en-US" w:eastAsia="zh-CN"/>
        </w:rPr>
        <w:t>处安装一道附墙）；</w:t>
      </w:r>
    </w:p>
    <w:p w14:paraId="707A7458">
      <w:pPr>
        <w:keepNext w:val="0"/>
        <w:keepLines w:val="0"/>
        <w:pageBreakBefore w:val="0"/>
        <w:widowControl w:val="0"/>
        <w:numPr>
          <w:ilvl w:val="0"/>
          <w:numId w:val="26"/>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升降机装载额定重量2000kg； </w:t>
      </w:r>
    </w:p>
    <w:p w14:paraId="7ED67948">
      <w:pPr>
        <w:keepNext w:val="0"/>
        <w:keepLines w:val="0"/>
        <w:pageBreakBefore w:val="0"/>
        <w:widowControl w:val="0"/>
        <w:numPr>
          <w:ilvl w:val="0"/>
          <w:numId w:val="26"/>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切断底架护栏电源箱的总电源</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 xml:space="preserve">用试验电缆短接防坠安全器的微动开关并按图上所示将坠落试验盒（四芯航空插头）插入电控箱侧面的接口上； </w:t>
      </w:r>
    </w:p>
    <w:p w14:paraId="5F5D8C3A">
      <w:pPr>
        <w:keepNext w:val="0"/>
        <w:keepLines w:val="0"/>
        <w:pageBreakBefore w:val="0"/>
        <w:widowControl w:val="0"/>
        <w:numPr>
          <w:ilvl w:val="0"/>
          <w:numId w:val="26"/>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将坠落试验按钮盒穿过门放到地面，要确保坠落试验时，电缆不会被卡住，并关闭所有门； </w:t>
      </w:r>
    </w:p>
    <w:p w14:paraId="132771B8">
      <w:pPr>
        <w:keepNext w:val="0"/>
        <w:keepLines w:val="0"/>
        <w:pageBreakBefore w:val="0"/>
        <w:widowControl w:val="0"/>
        <w:numPr>
          <w:ilvl w:val="0"/>
          <w:numId w:val="26"/>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合上总电源开关；按坠落试验按钮盒上的“上行” 按钮使传动机构升高到距地面</w:t>
      </w:r>
      <w:r>
        <w:rPr>
          <w:rFonts w:hint="default" w:ascii="Times New Roman" w:hAnsi="Times New Roman" w:eastAsia="宋体" w:cs="Times New Roman"/>
          <w:lang w:val="en-US" w:eastAsia="zh-CN"/>
        </w:rPr>
        <w:t>10m</w:t>
      </w:r>
      <w:r>
        <w:rPr>
          <w:rFonts w:hint="eastAsia" w:ascii="Times New Roman" w:hAnsi="Times New Roman" w:eastAsia="宋体" w:cs="Times New Roman"/>
          <w:lang w:val="en-US" w:eastAsia="zh-CN"/>
        </w:rPr>
        <w:t xml:space="preserve">左右（注意传动机构不要冒顶）； </w:t>
      </w:r>
    </w:p>
    <w:p w14:paraId="2A3D18A4">
      <w:pPr>
        <w:keepNext w:val="0"/>
        <w:keepLines w:val="0"/>
        <w:pageBreakBefore w:val="0"/>
        <w:widowControl w:val="0"/>
        <w:numPr>
          <w:ilvl w:val="0"/>
          <w:numId w:val="26"/>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按“坠落”按钮不要松开，吊笼将自由下落，下落至一段距离后防坠安全器动作将吊笼锁住，正常情况下时吊笼制动距离为</w:t>
      </w:r>
      <w:r>
        <w:rPr>
          <w:rFonts w:hint="default" w:ascii="Times New Roman" w:hAnsi="Times New Roman" w:eastAsia="宋体" w:cs="Times New Roman"/>
          <w:lang w:val="en-US" w:eastAsia="zh-CN"/>
        </w:rPr>
        <w:t>0.15</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1.40m</w:t>
      </w:r>
      <w:r>
        <w:rPr>
          <w:rFonts w:hint="eastAsia" w:ascii="Times New Roman" w:hAnsi="Times New Roman" w:eastAsia="宋体" w:cs="Times New Roman"/>
          <w:lang w:val="en-US" w:eastAsia="zh-CN"/>
        </w:rPr>
        <w:t>。（制动距离应从听见“哐啷” 声音后算起，安全器使吊笼制动的同时能通过机电联锁切断电源。</w:t>
      </w:r>
    </w:p>
    <w:p w14:paraId="12AA508F">
      <w:pPr>
        <w:keepNext w:val="0"/>
        <w:keepLines w:val="0"/>
        <w:pageBreakBefore w:val="0"/>
        <w:widowControl w:val="0"/>
        <w:numPr>
          <w:ilvl w:val="0"/>
          <w:numId w:val="26"/>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按“上行”按钮，驱动吊笼上升</w:t>
      </w:r>
      <w:r>
        <w:rPr>
          <w:rFonts w:hint="default" w:ascii="Times New Roman" w:hAnsi="Times New Roman" w:eastAsia="宋体" w:cs="Times New Roman"/>
          <w:lang w:val="en-US" w:eastAsia="zh-CN"/>
        </w:rPr>
        <w:t>0.2m</w:t>
      </w:r>
      <w:r>
        <w:rPr>
          <w:rFonts w:hint="eastAsia" w:ascii="Times New Roman" w:hAnsi="Times New Roman" w:eastAsia="宋体" w:cs="Times New Roman"/>
          <w:lang w:val="en-US" w:eastAsia="zh-CN"/>
        </w:rPr>
        <w:t xml:space="preserve">左右使防坠安全器离心块复位； </w:t>
      </w:r>
    </w:p>
    <w:p w14:paraId="1FB84BC1">
      <w:pPr>
        <w:keepNext w:val="0"/>
        <w:keepLines w:val="0"/>
        <w:pageBreakBefore w:val="0"/>
        <w:widowControl w:val="0"/>
        <w:numPr>
          <w:ilvl w:val="0"/>
          <w:numId w:val="26"/>
        </w:numPr>
        <w:kinsoku/>
        <w:wordWrap/>
        <w:overflowPunct/>
        <w:topLinePunct w:val="0"/>
        <w:autoSpaceDE/>
        <w:autoSpaceDN/>
        <w:bidi w:val="0"/>
        <w:adjustRightInd/>
        <w:snapToGrid/>
        <w:ind w:left="0" w:leftChars="0" w:firstLine="480" w:firstLineChars="200"/>
        <w:textAlignment w:val="auto"/>
      </w:pPr>
      <w:r>
        <w:rPr>
          <w:rFonts w:hint="eastAsia" w:ascii="Times New Roman" w:hAnsi="Times New Roman" w:eastAsia="宋体" w:cs="Times New Roman"/>
          <w:lang w:val="en-US" w:eastAsia="zh-CN"/>
        </w:rPr>
        <w:t>点动“坠落”按钮，使吊笼缓缓落至地面，拆除试验电缆，此时吊笼无法启动，拆除坠落试验盒。</w:t>
      </w:r>
    </w:p>
    <w:p w14:paraId="075565F3">
      <w:pPr>
        <w:pStyle w:val="5"/>
        <w:tabs>
          <w:tab w:val="left" w:pos="0"/>
        </w:tabs>
        <w:bidi w:val="0"/>
        <w:ind w:left="0" w:leftChars="0" w:firstLine="0" w:firstLineChars="0"/>
      </w:pPr>
      <w:r>
        <w:rPr>
          <w:rFonts w:hint="eastAsia"/>
        </w:rPr>
        <w:t>导轨架加高安装</w:t>
      </w:r>
    </w:p>
    <w:p w14:paraId="4EF279DD">
      <w:pPr>
        <w:ind w:firstLine="480"/>
      </w:pPr>
      <w:r>
        <w:rPr>
          <w:rFonts w:hint="eastAsia"/>
        </w:rPr>
        <w:t>在完成以上安装调试过程，额定安装载重量状态下“坠落试验”合格验收，合格后方能加高导轨架。</w:t>
      </w:r>
    </w:p>
    <w:p w14:paraId="275F1C67">
      <w:pPr>
        <w:numPr>
          <w:ilvl w:val="0"/>
          <w:numId w:val="27"/>
        </w:numPr>
        <w:ind w:firstLineChars="0"/>
      </w:pPr>
      <w:r>
        <w:rPr>
          <w:rFonts w:hint="eastAsia"/>
        </w:rPr>
        <w:t>在现场没有其他起重设备配合的情况下，安装步骤如下：</w:t>
      </w:r>
    </w:p>
    <w:p w14:paraId="26594464">
      <w:pPr>
        <w:numPr>
          <w:ilvl w:val="0"/>
          <w:numId w:val="28"/>
        </w:numPr>
        <w:ind w:firstLineChars="0"/>
      </w:pPr>
      <w:r>
        <w:rPr>
          <w:rFonts w:hint="eastAsia"/>
        </w:rPr>
        <w:t>将吊杆的插头插入司机室的插座上，将吊杆的吊钩放下。</w:t>
      </w:r>
    </w:p>
    <w:p w14:paraId="3FF815AA">
      <w:pPr>
        <w:numPr>
          <w:ilvl w:val="0"/>
          <w:numId w:val="28"/>
        </w:numPr>
        <w:ind w:firstLineChars="0"/>
      </w:pPr>
      <w:r>
        <w:rPr>
          <w:rFonts w:hint="eastAsia"/>
          <w:lang w:eastAsia="zh-CN"/>
        </w:rPr>
        <w:t>作业人员</w:t>
      </w:r>
      <w:r>
        <w:rPr>
          <w:rFonts w:hint="eastAsia"/>
        </w:rPr>
        <w:t>通过配备的专用爬梯，通过吊笼内部打开顶部顶盖，然后攀登至吊笼顶部后，</w:t>
      </w:r>
      <w:r>
        <w:rPr>
          <w:rFonts w:hint="eastAsia"/>
          <w:lang w:eastAsia="zh-CN"/>
        </w:rPr>
        <w:t>作业人员</w:t>
      </w:r>
      <w:r>
        <w:rPr>
          <w:rFonts w:hint="eastAsia"/>
        </w:rPr>
        <w:t>将安全带系挂吊笼的顶部围栏上。</w:t>
      </w:r>
    </w:p>
    <w:p w14:paraId="040EB9C8">
      <w:pPr>
        <w:numPr>
          <w:ilvl w:val="0"/>
          <w:numId w:val="28"/>
        </w:numPr>
        <w:ind w:firstLineChars="0"/>
      </w:pPr>
      <w:r>
        <w:rPr>
          <w:rFonts w:hint="eastAsia"/>
          <w:lang w:eastAsia="zh-CN"/>
        </w:rPr>
        <w:t>作业人员</w:t>
      </w:r>
      <w:r>
        <w:rPr>
          <w:rFonts w:hint="eastAsia"/>
        </w:rPr>
        <w:t>操作吊杆控制器放下吊钩，使用</w:t>
      </w:r>
      <w:r>
        <w:rPr>
          <w:rFonts w:hint="eastAsia"/>
          <w:lang w:val="en-US" w:eastAsia="zh-CN"/>
        </w:rPr>
        <w:t>4根2m长的12mm6×19W+IWR1870Mpa钢丝绳配置4个GB/T25854-6-DW5</w:t>
      </w:r>
      <w:r>
        <w:rPr>
          <w:rFonts w:hint="eastAsia"/>
        </w:rPr>
        <w:t>卸扣将标准节顶部的两侧螺栓孔对称连接固定。</w:t>
      </w:r>
      <w:r>
        <w:rPr>
          <w:rFonts w:hint="eastAsia"/>
          <w:lang w:eastAsia="zh-CN"/>
        </w:rPr>
        <w:t>作业人员</w:t>
      </w:r>
      <w:r>
        <w:rPr>
          <w:rFonts w:hint="eastAsia"/>
        </w:rPr>
        <w:t>通过控制器起升吊杆吊钩，将钢丝绳与吊钩连接，将标准节（每次起吊1节）吊至吊笼顶部，放稳（注意带锥套的一端向下）；每次在吊笼顶部最多允许放置3个标准节。</w:t>
      </w:r>
    </w:p>
    <w:p w14:paraId="6CABDDEE">
      <w:pPr>
        <w:numPr>
          <w:ilvl w:val="0"/>
          <w:numId w:val="28"/>
        </w:numPr>
        <w:ind w:firstLineChars="0"/>
      </w:pPr>
      <w:r>
        <w:rPr>
          <w:rFonts w:hint="eastAsia"/>
        </w:rPr>
        <w:t>专职操作员启动施工升降机，当驱动系统最顶端升至接近导轨架顶部时，改为点动行驶，直至吊笼顶部距导轨架顶部约300mm左右时停止，按下紧急停机按钮，防止意外。</w:t>
      </w:r>
    </w:p>
    <w:p w14:paraId="5C07EDBC">
      <w:pPr>
        <w:numPr>
          <w:ilvl w:val="0"/>
          <w:numId w:val="28"/>
        </w:numPr>
        <w:ind w:firstLineChars="0"/>
      </w:pPr>
      <w:r>
        <w:rPr>
          <w:rFonts w:hint="eastAsia"/>
          <w:lang w:eastAsia="zh-CN"/>
        </w:rPr>
        <w:t>作业人员</w:t>
      </w:r>
      <w:r>
        <w:rPr>
          <w:rFonts w:hint="eastAsia"/>
        </w:rPr>
        <w:t>操作吊杆控制器吊起单节标准节，将标准节两端管子接头处及齿条销子处擦拭干净，并加少量润滑脂；</w:t>
      </w:r>
      <w:r>
        <w:rPr>
          <w:rFonts w:hint="eastAsia"/>
          <w:lang w:eastAsia="zh-CN"/>
        </w:rPr>
        <w:t>作业人员</w:t>
      </w:r>
      <w:r>
        <w:rPr>
          <w:rFonts w:hint="eastAsia"/>
        </w:rPr>
        <w:t>根据下降情况扶正标准节，对准下面标准节立管和齿条上的销孔，缓慢放下吊钩，用螺栓紧固；松开吊钩，将吊杆转回，</w:t>
      </w:r>
      <w:r>
        <w:rPr>
          <w:rFonts w:hint="eastAsia"/>
          <w:lang w:eastAsia="zh-CN"/>
        </w:rPr>
        <w:t>作业人员</w:t>
      </w:r>
      <w:r>
        <w:rPr>
          <w:rFonts w:hint="eastAsia"/>
        </w:rPr>
        <w:t>用不小于300N</w:t>
      </w:r>
      <w:r>
        <w:t>·</w:t>
      </w:r>
      <w:r>
        <w:rPr>
          <w:rFonts w:hint="eastAsia"/>
        </w:rPr>
        <w:t>m的拧紧力紧固全部螺栓。</w:t>
      </w:r>
    </w:p>
    <w:p w14:paraId="589EC233">
      <w:pPr>
        <w:numPr>
          <w:ilvl w:val="0"/>
          <w:numId w:val="28"/>
        </w:numPr>
        <w:ind w:firstLineChars="0"/>
      </w:pPr>
      <w:r>
        <w:rPr>
          <w:rFonts w:hint="eastAsia"/>
        </w:rPr>
        <w:t>专职操作员驱动吊笼上升1.5m左右，再安装下一节标准节，直至3节标准节装完，再驱动吊笼下降返回钢平台处。</w:t>
      </w:r>
    </w:p>
    <w:p w14:paraId="041EF062">
      <w:pPr>
        <w:numPr>
          <w:ilvl w:val="0"/>
          <w:numId w:val="28"/>
        </w:numPr>
        <w:ind w:firstLineChars="0"/>
      </w:pPr>
      <w:r>
        <w:rPr>
          <w:rFonts w:hint="eastAsia"/>
        </w:rPr>
        <w:t>按上述方法将标准节依次连接直至达到所需高度为止，随着导轨架的不断接长，应同时安装附墙架。</w:t>
      </w:r>
    </w:p>
    <w:p w14:paraId="3F6ADBD9">
      <w:pPr>
        <w:numPr>
          <w:ilvl w:val="0"/>
          <w:numId w:val="27"/>
        </w:numPr>
        <w:ind w:firstLineChars="0"/>
      </w:pPr>
      <w:r>
        <w:rPr>
          <w:rFonts w:hint="eastAsia"/>
        </w:rPr>
        <w:t>在现场有其它起重设备（如</w:t>
      </w:r>
      <w:r>
        <w:rPr>
          <w:rFonts w:hint="eastAsia"/>
          <w:lang w:eastAsia="zh-CN"/>
        </w:rPr>
        <w:t>塔机</w:t>
      </w:r>
      <w:r>
        <w:rPr>
          <w:rFonts w:hint="eastAsia"/>
        </w:rPr>
        <w:t>等）的配合情况下的安装：</w:t>
      </w:r>
    </w:p>
    <w:p w14:paraId="6CC87A98">
      <w:pPr>
        <w:numPr>
          <w:ilvl w:val="0"/>
          <w:numId w:val="29"/>
        </w:numPr>
        <w:ind w:firstLineChars="0"/>
      </w:pPr>
      <w:r>
        <w:rPr>
          <w:rFonts w:hint="eastAsia"/>
        </w:rPr>
        <w:t>在地面将4～6节标准节（≤1t）连成一组（标准节两端管子接头处及齿条销子处擦拭干净，并加少量润滑脂）。</w:t>
      </w:r>
    </w:p>
    <w:p w14:paraId="1281280A">
      <w:pPr>
        <w:numPr>
          <w:ilvl w:val="0"/>
          <w:numId w:val="29"/>
        </w:numPr>
        <w:ind w:firstLineChars="0"/>
      </w:pPr>
      <w:r>
        <w:rPr>
          <w:rFonts w:hint="eastAsia"/>
          <w:lang w:eastAsia="zh-CN"/>
        </w:rPr>
        <w:t>作业人员</w:t>
      </w:r>
      <w:r>
        <w:rPr>
          <w:rFonts w:hint="eastAsia"/>
        </w:rPr>
        <w:t>在地面上使用</w:t>
      </w:r>
      <w:r>
        <w:rPr>
          <w:rFonts w:hint="eastAsia"/>
          <w:lang w:eastAsia="zh-CN"/>
        </w:rPr>
        <w:t>4根6m长的12mm6×19W+IWR1870Mpa</w:t>
      </w:r>
      <w:r>
        <w:rPr>
          <w:rFonts w:hint="eastAsia"/>
        </w:rPr>
        <w:t>钢丝绳配置</w:t>
      </w:r>
      <w:r>
        <w:rPr>
          <w:rFonts w:hint="eastAsia"/>
          <w:lang w:eastAsia="zh-CN"/>
        </w:rPr>
        <w:t>4个GB/T25854-6-DW5</w:t>
      </w:r>
      <w:r>
        <w:rPr>
          <w:rFonts w:hint="eastAsia"/>
        </w:rPr>
        <w:t>卸扣与标准节顶部的吊装孔连接固定，钢丝绳另外一端与</w:t>
      </w:r>
      <w:r>
        <w:rPr>
          <w:rFonts w:hint="eastAsia"/>
          <w:lang w:eastAsia="zh-CN"/>
        </w:rPr>
        <w:t>塔机</w:t>
      </w:r>
      <w:r>
        <w:rPr>
          <w:rFonts w:hint="eastAsia"/>
        </w:rPr>
        <w:t>吊钩连接，缓慢起吊至待安装位置上方。</w:t>
      </w:r>
    </w:p>
    <w:p w14:paraId="798161E3">
      <w:pPr>
        <w:numPr>
          <w:ilvl w:val="0"/>
          <w:numId w:val="29"/>
        </w:numPr>
        <w:ind w:firstLineChars="0"/>
      </w:pPr>
      <w:r>
        <w:rPr>
          <w:rFonts w:hint="eastAsia"/>
        </w:rPr>
        <w:t>下方专职操作员同时将吊笼升至导轨架顶部以下300mm处，</w:t>
      </w:r>
      <w:r>
        <w:rPr>
          <w:rFonts w:hint="eastAsia"/>
          <w:lang w:eastAsia="zh-CN"/>
        </w:rPr>
        <w:t>作业人员</w:t>
      </w:r>
      <w:r>
        <w:rPr>
          <w:rFonts w:hint="eastAsia"/>
        </w:rPr>
        <w:t>通过配备的专用爬梯，通过吊笼内部打开顶部顶盖，然后攀登至吊笼顶部后，</w:t>
      </w:r>
      <w:r>
        <w:rPr>
          <w:rFonts w:hint="eastAsia"/>
          <w:lang w:eastAsia="zh-CN"/>
        </w:rPr>
        <w:t>作业人员</w:t>
      </w:r>
      <w:r>
        <w:rPr>
          <w:rFonts w:hint="eastAsia"/>
        </w:rPr>
        <w:t>将安全带系挂吊笼的顶部围栏上。</w:t>
      </w:r>
    </w:p>
    <w:p w14:paraId="49CB5EFA">
      <w:pPr>
        <w:numPr>
          <w:ilvl w:val="0"/>
          <w:numId w:val="29"/>
        </w:numPr>
        <w:ind w:firstLineChars="0"/>
      </w:pPr>
      <w:r>
        <w:rPr>
          <w:rFonts w:hint="eastAsia"/>
          <w:lang w:eastAsia="zh-CN"/>
        </w:rPr>
        <w:t>塔机</w:t>
      </w:r>
      <w:r>
        <w:rPr>
          <w:rFonts w:hint="eastAsia"/>
        </w:rPr>
        <w:t>操作人员听从指令缓慢下放标准节，</w:t>
      </w:r>
      <w:r>
        <w:rPr>
          <w:rFonts w:hint="eastAsia"/>
          <w:lang w:eastAsia="zh-CN"/>
        </w:rPr>
        <w:t>作业人员</w:t>
      </w:r>
      <w:r>
        <w:rPr>
          <w:rFonts w:hint="eastAsia"/>
        </w:rPr>
        <w:t>根据下降情况扶正标准节，使标准节能够准确对位。标准节下放就位，及时安装连接螺栓并用不小于300N</w:t>
      </w:r>
      <w:r>
        <w:t>·</w:t>
      </w:r>
      <w:r>
        <w:rPr>
          <w:rFonts w:hint="eastAsia"/>
        </w:rPr>
        <w:t>m的拧紧力紧固；随后</w:t>
      </w:r>
      <w:r>
        <w:rPr>
          <w:rFonts w:hint="eastAsia"/>
          <w:lang w:eastAsia="zh-CN"/>
        </w:rPr>
        <w:t>塔机</w:t>
      </w:r>
      <w:r>
        <w:rPr>
          <w:rFonts w:hint="eastAsia"/>
        </w:rPr>
        <w:t>缓慢落钩，</w:t>
      </w:r>
      <w:r>
        <w:rPr>
          <w:rFonts w:hint="eastAsia"/>
          <w:lang w:eastAsia="zh-CN"/>
        </w:rPr>
        <w:t>作业人员</w:t>
      </w:r>
      <w:r>
        <w:rPr>
          <w:rFonts w:hint="eastAsia"/>
        </w:rPr>
        <w:t>解除钢丝绳与</w:t>
      </w:r>
      <w:r>
        <w:rPr>
          <w:rFonts w:hint="eastAsia"/>
          <w:lang w:eastAsia="zh-CN"/>
        </w:rPr>
        <w:t>塔机</w:t>
      </w:r>
      <w:r>
        <w:rPr>
          <w:rFonts w:hint="eastAsia"/>
        </w:rPr>
        <w:t>吊钩的连接，驱动吊笼上升至接高后的导轨架顶部以下300mm处，</w:t>
      </w:r>
      <w:r>
        <w:rPr>
          <w:rFonts w:hint="eastAsia"/>
          <w:lang w:eastAsia="zh-CN"/>
        </w:rPr>
        <w:t>作业人员</w:t>
      </w:r>
      <w:r>
        <w:rPr>
          <w:rFonts w:hint="eastAsia"/>
        </w:rPr>
        <w:t>再次解除钢丝绳与顶部标准节之间的卸扣连接。</w:t>
      </w:r>
    </w:p>
    <w:p w14:paraId="568F2765">
      <w:pPr>
        <w:numPr>
          <w:ilvl w:val="0"/>
          <w:numId w:val="27"/>
        </w:numPr>
        <w:ind w:firstLineChars="0"/>
      </w:pPr>
      <w:r>
        <w:rPr>
          <w:rFonts w:hint="eastAsia"/>
        </w:rPr>
        <w:t>导轨架每加高10m左右，测量人员用全站仪在2个垂直方向上检查导轨架整体的倾斜度偏差。标准节对接时，确保上、下标准节立柱管对接处的错位阶差≤0.5mm。</w:t>
      </w:r>
    </w:p>
    <w:p w14:paraId="65FEEAC3">
      <w:pPr>
        <w:pStyle w:val="12"/>
        <w:jc w:val="center"/>
        <w:rPr>
          <w:rFonts w:hint="eastAsia" w:ascii="宋体" w:hAnsi="宋体" w:eastAsia="宋体" w:cs="黑体"/>
          <w:b/>
          <w:color w:val="auto"/>
          <w:kern w:val="2"/>
          <w:sz w:val="21"/>
          <w:szCs w:val="21"/>
          <w:lang w:val="en-US" w:eastAsia="zh-CN" w:bidi="ar-SA"/>
        </w:rPr>
      </w:pPr>
      <w:r>
        <w:rPr>
          <w:rFonts w:hint="eastAsia" w:ascii="宋体" w:hAnsi="宋体" w:eastAsia="宋体" w:cs="黑体"/>
          <w:b/>
          <w:color w:val="auto"/>
          <w:kern w:val="2"/>
          <w:sz w:val="21"/>
          <w:szCs w:val="21"/>
          <w:lang w:val="en-US" w:eastAsia="zh-CN" w:bidi="ar-SA"/>
        </w:rPr>
        <w:t>表</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STYLEREF 3 \s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4.5.9</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SEQ 表 \* ARABIC \s 3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1</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 xml:space="preserve"> 导轨架倾斜度允许偏差表</w:t>
      </w:r>
    </w:p>
    <w:tbl>
      <w:tblPr>
        <w:tblStyle w:val="8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83"/>
        <w:gridCol w:w="1738"/>
        <w:gridCol w:w="1150"/>
        <w:gridCol w:w="1278"/>
        <w:gridCol w:w="1279"/>
        <w:gridCol w:w="894"/>
      </w:tblGrid>
      <w:tr w14:paraId="620AD9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1281" w:type="pct"/>
            <w:shd w:val="clear" w:color="auto" w:fill="auto"/>
            <w:vAlign w:val="center"/>
          </w:tcPr>
          <w:p w14:paraId="73D97345">
            <w:pPr>
              <w:pStyle w:val="13"/>
              <w:rPr>
                <w:b w:val="0"/>
                <w:bCs/>
              </w:rPr>
            </w:pPr>
            <w:r>
              <w:rPr>
                <w:b w:val="0"/>
                <w:bCs/>
              </w:rPr>
              <w:t>安装高度（m）</w:t>
            </w:r>
          </w:p>
        </w:tc>
        <w:tc>
          <w:tcPr>
            <w:tcW w:w="1020" w:type="pct"/>
            <w:shd w:val="clear" w:color="auto" w:fill="auto"/>
            <w:vAlign w:val="center"/>
          </w:tcPr>
          <w:p w14:paraId="409A9DE7">
            <w:pPr>
              <w:pStyle w:val="13"/>
              <w:rPr>
                <w:b w:val="0"/>
                <w:bCs/>
              </w:rPr>
            </w:pPr>
            <w:r>
              <w:rPr>
                <w:b w:val="0"/>
                <w:bCs/>
              </w:rPr>
              <w:t>≤70</w:t>
            </w:r>
          </w:p>
        </w:tc>
        <w:tc>
          <w:tcPr>
            <w:tcW w:w="675" w:type="pct"/>
            <w:shd w:val="clear" w:color="auto" w:fill="auto"/>
            <w:vAlign w:val="center"/>
          </w:tcPr>
          <w:p w14:paraId="1E2B5C86">
            <w:pPr>
              <w:pStyle w:val="13"/>
              <w:rPr>
                <w:b w:val="0"/>
                <w:bCs/>
              </w:rPr>
            </w:pPr>
            <w:r>
              <w:rPr>
                <w:b w:val="0"/>
                <w:bCs/>
              </w:rPr>
              <w:t>70～100</w:t>
            </w:r>
          </w:p>
        </w:tc>
        <w:tc>
          <w:tcPr>
            <w:tcW w:w="750" w:type="pct"/>
            <w:shd w:val="clear" w:color="auto" w:fill="auto"/>
            <w:vAlign w:val="center"/>
          </w:tcPr>
          <w:p w14:paraId="09C3434A">
            <w:pPr>
              <w:pStyle w:val="13"/>
              <w:rPr>
                <w:b w:val="0"/>
                <w:bCs/>
              </w:rPr>
            </w:pPr>
            <w:r>
              <w:rPr>
                <w:b w:val="0"/>
                <w:bCs/>
              </w:rPr>
              <w:t>100～150</w:t>
            </w:r>
          </w:p>
        </w:tc>
        <w:tc>
          <w:tcPr>
            <w:tcW w:w="750" w:type="pct"/>
            <w:shd w:val="clear" w:color="auto" w:fill="auto"/>
            <w:vAlign w:val="center"/>
          </w:tcPr>
          <w:p w14:paraId="35770AE4">
            <w:pPr>
              <w:pStyle w:val="13"/>
              <w:rPr>
                <w:b w:val="0"/>
                <w:bCs/>
              </w:rPr>
            </w:pPr>
            <w:r>
              <w:rPr>
                <w:b w:val="0"/>
                <w:bCs/>
              </w:rPr>
              <w:t>150～200</w:t>
            </w:r>
          </w:p>
        </w:tc>
        <w:tc>
          <w:tcPr>
            <w:tcW w:w="525" w:type="pct"/>
            <w:shd w:val="clear" w:color="auto" w:fill="auto"/>
            <w:vAlign w:val="center"/>
          </w:tcPr>
          <w:p w14:paraId="5A99DECD">
            <w:pPr>
              <w:pStyle w:val="13"/>
              <w:rPr>
                <w:b w:val="0"/>
                <w:bCs/>
              </w:rPr>
            </w:pPr>
            <w:r>
              <w:rPr>
                <w:b w:val="0"/>
                <w:bCs/>
              </w:rPr>
              <w:t>＞200</w:t>
            </w:r>
          </w:p>
        </w:tc>
      </w:tr>
      <w:tr w14:paraId="0F2283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81" w:type="pct"/>
            <w:shd w:val="clear" w:color="auto" w:fill="auto"/>
            <w:vAlign w:val="center"/>
          </w:tcPr>
          <w:p w14:paraId="0FA8AA9D">
            <w:pPr>
              <w:pStyle w:val="13"/>
              <w:rPr>
                <w:b w:val="0"/>
                <w:bCs/>
              </w:rPr>
            </w:pPr>
            <w:r>
              <w:rPr>
                <w:b w:val="0"/>
                <w:bCs/>
              </w:rPr>
              <w:t>允许偏差（mm）</w:t>
            </w:r>
          </w:p>
        </w:tc>
        <w:tc>
          <w:tcPr>
            <w:tcW w:w="1020" w:type="pct"/>
            <w:shd w:val="clear" w:color="auto" w:fill="auto"/>
            <w:vAlign w:val="center"/>
          </w:tcPr>
          <w:p w14:paraId="095D3C07">
            <w:pPr>
              <w:pStyle w:val="13"/>
              <w:rPr>
                <w:b w:val="0"/>
                <w:bCs/>
              </w:rPr>
            </w:pPr>
            <w:r>
              <w:rPr>
                <w:rFonts w:hint="eastAsia"/>
                <w:b w:val="0"/>
                <w:bCs/>
              </w:rPr>
              <w:t>≤</w:t>
            </w:r>
            <w:r>
              <w:rPr>
                <w:b w:val="0"/>
                <w:bCs/>
              </w:rPr>
              <w:t>高度×0.5</w:t>
            </w:r>
            <w:r>
              <w:rPr>
                <w:rFonts w:hint="eastAsia"/>
                <w:b w:val="0"/>
                <w:bCs/>
              </w:rPr>
              <w:t>‰</w:t>
            </w:r>
          </w:p>
        </w:tc>
        <w:tc>
          <w:tcPr>
            <w:tcW w:w="675" w:type="pct"/>
            <w:shd w:val="clear" w:color="auto" w:fill="auto"/>
            <w:vAlign w:val="center"/>
          </w:tcPr>
          <w:p w14:paraId="7B3FB549">
            <w:pPr>
              <w:pStyle w:val="13"/>
              <w:rPr>
                <w:b w:val="0"/>
                <w:bCs/>
              </w:rPr>
            </w:pPr>
            <w:r>
              <w:rPr>
                <w:b w:val="0"/>
                <w:bCs/>
              </w:rPr>
              <w:t>≤35</w:t>
            </w:r>
          </w:p>
        </w:tc>
        <w:tc>
          <w:tcPr>
            <w:tcW w:w="750" w:type="pct"/>
            <w:shd w:val="clear" w:color="auto" w:fill="auto"/>
            <w:vAlign w:val="center"/>
          </w:tcPr>
          <w:p w14:paraId="00FAE9A7">
            <w:pPr>
              <w:pStyle w:val="13"/>
              <w:rPr>
                <w:b w:val="0"/>
                <w:bCs/>
              </w:rPr>
            </w:pPr>
            <w:r>
              <w:rPr>
                <w:b w:val="0"/>
                <w:bCs/>
              </w:rPr>
              <w:t>≤40</w:t>
            </w:r>
          </w:p>
        </w:tc>
        <w:tc>
          <w:tcPr>
            <w:tcW w:w="750" w:type="pct"/>
            <w:shd w:val="clear" w:color="auto" w:fill="auto"/>
            <w:vAlign w:val="center"/>
          </w:tcPr>
          <w:p w14:paraId="0AC460DE">
            <w:pPr>
              <w:pStyle w:val="13"/>
              <w:rPr>
                <w:b w:val="0"/>
                <w:bCs/>
              </w:rPr>
            </w:pPr>
            <w:r>
              <w:rPr>
                <w:b w:val="0"/>
                <w:bCs/>
              </w:rPr>
              <w:t>≤45</w:t>
            </w:r>
          </w:p>
        </w:tc>
        <w:tc>
          <w:tcPr>
            <w:tcW w:w="525" w:type="pct"/>
            <w:shd w:val="clear" w:color="auto" w:fill="auto"/>
            <w:vAlign w:val="center"/>
          </w:tcPr>
          <w:p w14:paraId="44FB6A1D">
            <w:pPr>
              <w:pStyle w:val="13"/>
              <w:rPr>
                <w:b w:val="0"/>
                <w:bCs/>
              </w:rPr>
            </w:pPr>
            <w:r>
              <w:rPr>
                <w:b w:val="0"/>
                <w:bCs/>
              </w:rPr>
              <w:t>≤50</w:t>
            </w:r>
          </w:p>
        </w:tc>
      </w:tr>
    </w:tbl>
    <w:p w14:paraId="29F1339A">
      <w:pPr>
        <w:pStyle w:val="5"/>
        <w:bidi w:val="0"/>
      </w:pPr>
      <w:r>
        <w:rPr>
          <w:rFonts w:hint="eastAsia"/>
        </w:rPr>
        <w:t>附墙架安装</w:t>
      </w:r>
    </w:p>
    <w:p w14:paraId="1E139B9F">
      <w:pPr>
        <w:ind w:firstLine="480"/>
      </w:pPr>
      <w:r>
        <w:rPr>
          <w:rFonts w:hint="eastAsia"/>
        </w:rPr>
        <w:t>为了保证吊笼运行的稳定性，间隔6m左右设置一道附墙架，</w:t>
      </w:r>
      <w:r>
        <w:rPr>
          <w:rFonts w:hint="eastAsia"/>
          <w:lang w:eastAsia="zh-CN"/>
        </w:rPr>
        <w:t>塔机</w:t>
      </w:r>
      <w:r>
        <w:rPr>
          <w:rFonts w:hint="eastAsia"/>
        </w:rPr>
        <w:t>使用</w:t>
      </w:r>
      <w:r>
        <w:rPr>
          <w:rFonts w:hint="eastAsia"/>
          <w:lang w:val="en-US" w:eastAsia="zh-CN"/>
        </w:rPr>
        <w:t>4</w:t>
      </w:r>
      <w:r>
        <w:rPr>
          <w:rFonts w:hint="eastAsia"/>
        </w:rPr>
        <w:t>根</w:t>
      </w:r>
      <w:r>
        <w:rPr>
          <w:rFonts w:hint="eastAsia"/>
          <w:lang w:val="en-US" w:eastAsia="zh-CN"/>
        </w:rPr>
        <w:t>12mm6×19W+IWR1870Mpa</w:t>
      </w:r>
      <w:r>
        <w:rPr>
          <w:rFonts w:hint="eastAsia"/>
        </w:rPr>
        <w:t>钢丝绳捆绑起吊附墙架。</w:t>
      </w:r>
    </w:p>
    <w:p w14:paraId="2F2C688A">
      <w:pPr>
        <w:numPr>
          <w:ilvl w:val="0"/>
          <w:numId w:val="30"/>
        </w:numPr>
        <w:ind w:firstLineChars="0"/>
      </w:pPr>
      <w:r>
        <w:rPr>
          <w:rFonts w:hint="eastAsia"/>
        </w:rPr>
        <w:t>附墙架安装</w:t>
      </w:r>
    </w:p>
    <w:p w14:paraId="0779C313">
      <w:pPr>
        <w:numPr>
          <w:ilvl w:val="0"/>
          <w:numId w:val="31"/>
        </w:numPr>
        <w:ind w:firstLineChars="0"/>
      </w:pPr>
      <w:r>
        <w:rPr>
          <w:rFonts w:hint="eastAsia"/>
        </w:rPr>
        <w:t>启动施工升降机，当吊笼升至吊笼顶距离待安装附墙架1m左右时停止，</w:t>
      </w:r>
      <w:r>
        <w:rPr>
          <w:rFonts w:hint="eastAsia"/>
          <w:lang w:eastAsia="zh-CN"/>
        </w:rPr>
        <w:t>作业人员</w:t>
      </w:r>
      <w:r>
        <w:rPr>
          <w:rFonts w:hint="eastAsia"/>
        </w:rPr>
        <w:t>通过配备的专用爬梯，通过吊笼内部打开顶部顶盖，然后攀登至吊笼顶部，并将安全带系挂在吊笼顶部的围栏上。</w:t>
      </w:r>
      <w:r>
        <w:rPr>
          <w:rFonts w:hint="eastAsia"/>
          <w:lang w:eastAsia="zh-CN"/>
        </w:rPr>
        <w:t>作业人员</w:t>
      </w:r>
      <w:r>
        <w:rPr>
          <w:rFonts w:hint="eastAsia"/>
        </w:rPr>
        <w:t>用4套M16型螺栓将后连接杆安装在标准节上下框架角钢上，先不必将螺栓拧得太紧，以便调整位置。</w:t>
      </w:r>
    </w:p>
    <w:p w14:paraId="26D67CB9">
      <w:pPr>
        <w:pStyle w:val="90"/>
        <w:bidi w:val="0"/>
      </w:pPr>
      <w:r>
        <w:drawing>
          <wp:inline distT="0" distB="0" distL="0" distR="0">
            <wp:extent cx="3571240" cy="2159635"/>
            <wp:effectExtent l="0" t="0" r="10160" b="1206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0"/>
                    <a:stretch>
                      <a:fillRect/>
                    </a:stretch>
                  </pic:blipFill>
                  <pic:spPr>
                    <a:xfrm>
                      <a:off x="0" y="0"/>
                      <a:ext cx="3571762" cy="2160000"/>
                    </a:xfrm>
                    <a:prstGeom prst="rect">
                      <a:avLst/>
                    </a:prstGeom>
                  </pic:spPr>
                </pic:pic>
              </a:graphicData>
            </a:graphic>
          </wp:inline>
        </w:drawing>
      </w:r>
    </w:p>
    <w:p w14:paraId="3B20B902">
      <w:pPr>
        <w:pStyle w:val="12"/>
        <w:jc w:val="center"/>
        <w:rPr>
          <w:rFonts w:hint="eastAsia" w:ascii="宋体" w:hAnsi="宋体" w:eastAsia="宋体" w:cs="黑体"/>
          <w:b/>
          <w:color w:val="auto"/>
          <w:kern w:val="2"/>
          <w:sz w:val="21"/>
          <w:szCs w:val="21"/>
          <w:lang w:val="en-US" w:eastAsia="zh-CN" w:bidi="ar-SA"/>
        </w:rPr>
      </w:pPr>
      <w:r>
        <w:rPr>
          <w:rFonts w:hint="eastAsia" w:ascii="宋体" w:hAnsi="宋体" w:eastAsia="宋体" w:cs="黑体"/>
          <w:b/>
          <w:color w:val="auto"/>
          <w:kern w:val="2"/>
          <w:sz w:val="21"/>
          <w:szCs w:val="21"/>
          <w:lang w:val="en-US" w:eastAsia="zh-CN" w:bidi="ar-SA"/>
        </w:rPr>
        <w:t>图</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STYLEREF 3 \s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4.5.10</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SEQ 图 \* ARABIC \s 3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1</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 xml:space="preserve"> 后连接杆安装示意图</w:t>
      </w:r>
    </w:p>
    <w:p w14:paraId="780D0979">
      <w:pPr>
        <w:keepNext w:val="0"/>
        <w:keepLines w:val="0"/>
        <w:pageBreakBefore w:val="0"/>
        <w:widowControl w:val="0"/>
        <w:numPr>
          <w:ilvl w:val="0"/>
          <w:numId w:val="31"/>
        </w:numPr>
        <w:kinsoku/>
        <w:wordWrap w:val="0"/>
        <w:overflowPunct/>
        <w:topLinePunct w:val="0"/>
        <w:autoSpaceDE/>
        <w:autoSpaceDN/>
        <w:bidi w:val="0"/>
        <w:adjustRightInd/>
        <w:snapToGrid/>
        <w:ind w:firstLine="482" w:firstLineChars="0"/>
        <w:textAlignment w:val="auto"/>
      </w:pPr>
      <w:r>
        <w:rPr>
          <w:rFonts w:hint="eastAsia"/>
          <w:lang w:eastAsia="zh-CN"/>
        </w:rPr>
        <w:t>作业人员</w:t>
      </w:r>
      <w:r>
        <w:rPr>
          <w:rFonts w:hint="eastAsia"/>
        </w:rPr>
        <w:t>根据选用的附墙距离，将支撑桁架片、小连接架、大连接架、前连接杆组装成一体后吊运到位，与后连接杆和附墙座连接。地面上的</w:t>
      </w:r>
      <w:r>
        <w:rPr>
          <w:rFonts w:hint="eastAsia"/>
          <w:lang w:eastAsia="zh-CN"/>
        </w:rPr>
        <w:t>作业人员</w:t>
      </w:r>
      <w:r>
        <w:rPr>
          <w:rFonts w:hint="eastAsia"/>
        </w:rPr>
        <w:t>使用</w:t>
      </w:r>
      <w:r>
        <w:rPr>
          <w:rFonts w:hint="eastAsia"/>
          <w:lang w:eastAsia="zh-CN"/>
        </w:rPr>
        <w:t>4根6m长的12mm6×19W+IWR1870Mpa</w:t>
      </w:r>
      <w:r>
        <w:rPr>
          <w:rFonts w:hint="eastAsia"/>
        </w:rPr>
        <w:t>钢丝绳配置</w:t>
      </w:r>
      <w:r>
        <w:rPr>
          <w:rFonts w:hint="eastAsia"/>
          <w:lang w:eastAsia="zh-CN"/>
        </w:rPr>
        <w:t>4个GB/T25854-6-DW5</w:t>
      </w:r>
      <w:r>
        <w:rPr>
          <w:rFonts w:hint="eastAsia"/>
        </w:rPr>
        <w:t>卸扣与C型附墙件进行捆绑连接牢靠。钢丝绳另外一端与</w:t>
      </w:r>
      <w:r>
        <w:rPr>
          <w:rFonts w:hint="eastAsia"/>
          <w:lang w:eastAsia="zh-CN"/>
        </w:rPr>
        <w:t>塔机</w:t>
      </w:r>
      <w:r>
        <w:rPr>
          <w:rFonts w:hint="eastAsia"/>
        </w:rPr>
        <w:t>吊钩连接，缓慢起吊至待安装位置上方。</w:t>
      </w:r>
      <w:r>
        <w:rPr>
          <w:rFonts w:hint="eastAsia"/>
          <w:lang w:eastAsia="zh-CN"/>
        </w:rPr>
        <w:t>塔机</w:t>
      </w:r>
      <w:r>
        <w:rPr>
          <w:rFonts w:hint="eastAsia"/>
        </w:rPr>
        <w:t>操作人员听从指令缓慢下放附墙架，位于吊笼顶部以及主塔外侧施工作业平台或从爬模上下放吊篮内的</w:t>
      </w:r>
      <w:r>
        <w:rPr>
          <w:rFonts w:hint="eastAsia"/>
          <w:lang w:eastAsia="zh-CN"/>
        </w:rPr>
        <w:t>作业人员</w:t>
      </w:r>
      <w:r>
        <w:rPr>
          <w:rFonts w:hint="eastAsia"/>
        </w:rPr>
        <w:t>根据下降情况扶正附墙架，附墙架下放就位后，及时安装连接螺栓并拧紧到位。用M24螺栓将小连接架和后连接杆连接在一起，支撑桁架片与附墙座焊接。</w:t>
      </w:r>
    </w:p>
    <w:p w14:paraId="1E3D6EEB">
      <w:pPr>
        <w:numPr>
          <w:ilvl w:val="0"/>
          <w:numId w:val="31"/>
        </w:numPr>
        <w:ind w:firstLineChars="0"/>
      </w:pPr>
      <w:r>
        <w:rPr>
          <w:rFonts w:hint="eastAsia"/>
        </w:rPr>
        <w:t>测量人员采用全站仪测量附墙架的安装水平度以及导轨架的倾斜度，</w:t>
      </w:r>
      <w:r>
        <w:rPr>
          <w:rFonts w:hint="eastAsia"/>
          <w:lang w:eastAsia="zh-CN"/>
        </w:rPr>
        <w:t>作业人员</w:t>
      </w:r>
      <w:r>
        <w:rPr>
          <w:rFonts w:hint="eastAsia"/>
        </w:rPr>
        <w:t>根据测量结果校正导轨架的安装倾斜度，并撑紧调整杆。</w:t>
      </w:r>
    </w:p>
    <w:p w14:paraId="20671C7A">
      <w:pPr>
        <w:numPr>
          <w:ilvl w:val="0"/>
          <w:numId w:val="31"/>
        </w:numPr>
        <w:ind w:firstLineChars="0"/>
      </w:pPr>
      <w:r>
        <w:rPr>
          <w:rFonts w:hint="eastAsia"/>
        </w:rPr>
        <w:t>调整到位后，吊笼顶部以及主塔外侧施工作业平台或从爬模上下放吊篮内的</w:t>
      </w:r>
      <w:r>
        <w:rPr>
          <w:rFonts w:hint="eastAsia"/>
          <w:lang w:eastAsia="zh-CN"/>
        </w:rPr>
        <w:t>作业人员</w:t>
      </w:r>
      <w:r>
        <w:rPr>
          <w:rFonts w:hint="eastAsia"/>
        </w:rPr>
        <w:t>同时紧固所有连接螺栓，并安装开口销。</w:t>
      </w:r>
    </w:p>
    <w:p w14:paraId="3D846EBB">
      <w:pPr>
        <w:pStyle w:val="90"/>
        <w:bidi w:val="0"/>
        <w:ind w:firstLine="0"/>
      </w:pPr>
      <w:r>
        <w:drawing>
          <wp:inline distT="0" distB="0" distL="114300" distR="114300">
            <wp:extent cx="3656330" cy="1939925"/>
            <wp:effectExtent l="0" t="0" r="1270" b="3175"/>
            <wp:docPr id="4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6"/>
                    <pic:cNvPicPr>
                      <a:picLocks noChangeAspect="1"/>
                    </pic:cNvPicPr>
                  </pic:nvPicPr>
                  <pic:blipFill>
                    <a:blip r:embed="rId41"/>
                    <a:stretch>
                      <a:fillRect/>
                    </a:stretch>
                  </pic:blipFill>
                  <pic:spPr>
                    <a:xfrm>
                      <a:off x="0" y="0"/>
                      <a:ext cx="3656330" cy="1939925"/>
                    </a:xfrm>
                    <a:prstGeom prst="rect">
                      <a:avLst/>
                    </a:prstGeom>
                    <a:noFill/>
                    <a:ln>
                      <a:noFill/>
                    </a:ln>
                  </pic:spPr>
                </pic:pic>
              </a:graphicData>
            </a:graphic>
          </wp:inline>
        </w:drawing>
      </w:r>
    </w:p>
    <w:p w14:paraId="770143D7">
      <w:pPr>
        <w:pStyle w:val="12"/>
        <w:jc w:val="center"/>
        <w:rPr>
          <w:rFonts w:hint="eastAsia" w:ascii="宋体" w:hAnsi="宋体" w:eastAsia="宋体" w:cs="黑体"/>
          <w:b/>
          <w:color w:val="auto"/>
          <w:kern w:val="2"/>
          <w:sz w:val="21"/>
          <w:szCs w:val="21"/>
          <w:lang w:val="en-US" w:eastAsia="zh-CN" w:bidi="ar-SA"/>
        </w:rPr>
      </w:pPr>
      <w:r>
        <w:rPr>
          <w:rFonts w:hint="eastAsia" w:ascii="宋体" w:hAnsi="宋体" w:eastAsia="宋体" w:cs="黑体"/>
          <w:b/>
          <w:color w:val="auto"/>
          <w:kern w:val="2"/>
          <w:sz w:val="21"/>
          <w:szCs w:val="21"/>
          <w:lang w:val="en-US" w:eastAsia="zh-CN" w:bidi="ar-SA"/>
        </w:rPr>
        <w:t>图</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STYLEREF 3 \s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4.5.10</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SEQ 图 \* ARABIC \s 3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2</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 xml:space="preserve"> 开口销安装</w:t>
      </w:r>
    </w:p>
    <w:p w14:paraId="737A2FD6">
      <w:pPr>
        <w:numPr>
          <w:ilvl w:val="0"/>
          <w:numId w:val="31"/>
        </w:numPr>
        <w:ind w:firstLineChars="0"/>
      </w:pPr>
      <w:r>
        <w:rPr>
          <w:rFonts w:hint="eastAsia"/>
        </w:rPr>
        <w:t>安装完成后，</w:t>
      </w:r>
      <w:r>
        <w:rPr>
          <w:rFonts w:hint="eastAsia"/>
          <w:lang w:eastAsia="zh-CN"/>
        </w:rPr>
        <w:t>塔机</w:t>
      </w:r>
      <w:r>
        <w:rPr>
          <w:rFonts w:hint="eastAsia"/>
        </w:rPr>
        <w:t>操作人员听从指令缓慢落钩，</w:t>
      </w:r>
      <w:r>
        <w:rPr>
          <w:rFonts w:hint="eastAsia"/>
          <w:lang w:eastAsia="zh-CN"/>
        </w:rPr>
        <w:t>作业人员</w:t>
      </w:r>
      <w:r>
        <w:rPr>
          <w:rFonts w:hint="eastAsia"/>
        </w:rPr>
        <w:t>解除钢丝绳与附墙件之间的卸扣连接。</w:t>
      </w:r>
    </w:p>
    <w:p w14:paraId="01E1AEE6">
      <w:pPr>
        <w:numPr>
          <w:ilvl w:val="0"/>
          <w:numId w:val="30"/>
        </w:numPr>
        <w:ind w:firstLineChars="0"/>
      </w:pPr>
      <w:r>
        <w:rPr>
          <w:rFonts w:hint="eastAsia"/>
        </w:rPr>
        <w:t>安装注意事项</w:t>
      </w:r>
    </w:p>
    <w:p w14:paraId="5BC13462">
      <w:pPr>
        <w:numPr>
          <w:ilvl w:val="0"/>
          <w:numId w:val="32"/>
        </w:numPr>
        <w:ind w:firstLineChars="0"/>
      </w:pPr>
      <w:r>
        <w:rPr>
          <w:rFonts w:hint="eastAsia"/>
        </w:rPr>
        <w:t>附墙架允许的最大水平倾角为±8度，安装作业时始终按下紧急停止按钮或关闭电源。</w:t>
      </w:r>
    </w:p>
    <w:p w14:paraId="43A25F7F">
      <w:pPr>
        <w:numPr>
          <w:ilvl w:val="0"/>
          <w:numId w:val="32"/>
        </w:numPr>
        <w:ind w:firstLineChars="0"/>
      </w:pPr>
      <w:r>
        <w:rPr>
          <w:rFonts w:hint="eastAsia"/>
          <w:lang w:eastAsia="zh-CN"/>
        </w:rPr>
        <w:t>作业人员</w:t>
      </w:r>
      <w:r>
        <w:rPr>
          <w:rFonts w:hint="eastAsia"/>
        </w:rPr>
        <w:t>在高处操作平台作业时，要时刻系挂安全带，并将安全带一端系挂在操作平台的安全稳固处，并满足高挂低用的安全使用原则。</w:t>
      </w:r>
    </w:p>
    <w:p w14:paraId="35D387AE">
      <w:pPr>
        <w:numPr>
          <w:ilvl w:val="0"/>
          <w:numId w:val="32"/>
        </w:numPr>
        <w:ind w:firstLineChars="0"/>
      </w:pPr>
      <w:r>
        <w:rPr>
          <w:rFonts w:hint="eastAsia"/>
        </w:rPr>
        <w:t>根据施工升降机定位图，附着标节中心与建筑物连接尺寸为</w:t>
      </w:r>
      <w:r>
        <w:rPr>
          <w:rFonts w:hint="eastAsia"/>
          <w:lang w:val="en-US" w:eastAsia="zh-CN"/>
        </w:rPr>
        <w:t>1.8</w:t>
      </w:r>
      <w:r>
        <w:rPr>
          <w:rFonts w:hint="eastAsia"/>
        </w:rPr>
        <w:t>m~</w:t>
      </w:r>
      <w:r>
        <w:rPr>
          <w:rFonts w:hint="eastAsia"/>
          <w:lang w:val="en-US" w:eastAsia="zh-CN"/>
        </w:rPr>
        <w:t>3.6</w:t>
      </w:r>
      <w:r>
        <w:rPr>
          <w:rFonts w:hint="eastAsia"/>
        </w:rPr>
        <w:t>m，根据附着距离选择合适的附墙架。</w:t>
      </w:r>
    </w:p>
    <w:p w14:paraId="6A10C2BA">
      <w:pPr>
        <w:pStyle w:val="90"/>
        <w:bidi w:val="0"/>
        <w:ind w:firstLine="0"/>
      </w:pPr>
      <w:r>
        <w:drawing>
          <wp:inline distT="0" distB="0" distL="114300" distR="114300">
            <wp:extent cx="3324860" cy="3077210"/>
            <wp:effectExtent l="0" t="0" r="8890" b="889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42"/>
                    <a:stretch>
                      <a:fillRect/>
                    </a:stretch>
                  </pic:blipFill>
                  <pic:spPr>
                    <a:xfrm>
                      <a:off x="0" y="0"/>
                      <a:ext cx="3324860" cy="3077210"/>
                    </a:xfrm>
                    <a:prstGeom prst="rect">
                      <a:avLst/>
                    </a:prstGeom>
                    <a:noFill/>
                    <a:ln>
                      <a:noFill/>
                    </a:ln>
                  </pic:spPr>
                </pic:pic>
              </a:graphicData>
            </a:graphic>
          </wp:inline>
        </w:drawing>
      </w:r>
    </w:p>
    <w:p w14:paraId="0C3A2146">
      <w:pPr>
        <w:pStyle w:val="12"/>
        <w:jc w:val="center"/>
      </w:pPr>
      <w:r>
        <w:rPr>
          <w:rFonts w:hint="eastAsia" w:ascii="宋体" w:hAnsi="宋体" w:eastAsia="宋体" w:cs="黑体"/>
          <w:b/>
          <w:color w:val="auto"/>
          <w:kern w:val="2"/>
          <w:sz w:val="21"/>
          <w:szCs w:val="21"/>
          <w:lang w:val="en-US" w:eastAsia="zh-CN" w:bidi="ar-SA"/>
        </w:rPr>
        <w:t>图</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STYLEREF 3 \s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4.5.10</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SEQ 图 \* ARABIC \s 3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3</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 xml:space="preserve"> 施工升降机第一、二道附着平面示意图（mm）</w:t>
      </w:r>
      <w:r>
        <w:drawing>
          <wp:inline distT="0" distB="0" distL="114300" distR="114300">
            <wp:extent cx="2762885" cy="2491105"/>
            <wp:effectExtent l="0" t="0" r="18415" b="444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43"/>
                    <a:stretch>
                      <a:fillRect/>
                    </a:stretch>
                  </pic:blipFill>
                  <pic:spPr>
                    <a:xfrm>
                      <a:off x="0" y="0"/>
                      <a:ext cx="2762885" cy="2491105"/>
                    </a:xfrm>
                    <a:prstGeom prst="rect">
                      <a:avLst/>
                    </a:prstGeom>
                    <a:noFill/>
                    <a:ln>
                      <a:noFill/>
                    </a:ln>
                  </pic:spPr>
                </pic:pic>
              </a:graphicData>
            </a:graphic>
          </wp:inline>
        </w:drawing>
      </w:r>
    </w:p>
    <w:p w14:paraId="21BF2077">
      <w:pPr>
        <w:pStyle w:val="12"/>
        <w:jc w:val="center"/>
        <w:rPr>
          <w:rFonts w:hint="eastAsia" w:eastAsia="黑体"/>
          <w:lang w:val="en-US" w:eastAsia="zh-CN"/>
        </w:rPr>
      </w:pPr>
      <w:r>
        <w:rPr>
          <w:rFonts w:hint="eastAsia" w:ascii="宋体" w:hAnsi="宋体" w:eastAsia="宋体" w:cs="黑体"/>
          <w:b/>
          <w:color w:val="auto"/>
          <w:kern w:val="2"/>
          <w:sz w:val="21"/>
          <w:szCs w:val="21"/>
          <w:lang w:val="en-US" w:eastAsia="zh-CN" w:bidi="ar-SA"/>
        </w:rPr>
        <w:t xml:space="preserve">图 </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STYLEREF 3 \s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4.5.10</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SEQ 图 \* ARABIC \s 3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4</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 xml:space="preserve"> 施工升降机第三道附着平面示意图（mm）</w:t>
      </w:r>
    </w:p>
    <w:p w14:paraId="5722C661">
      <w:pPr>
        <w:numPr>
          <w:ilvl w:val="0"/>
          <w:numId w:val="32"/>
        </w:numPr>
        <w:ind w:firstLineChars="0"/>
      </w:pPr>
      <w:r>
        <w:rPr>
          <w:rFonts w:hint="eastAsia"/>
        </w:rPr>
        <w:t>把施工升降机单笼开到设计的附着位置表第一道附着位置区，按附墙架架设要求安装好附墙架。</w:t>
      </w:r>
    </w:p>
    <w:p w14:paraId="6EA647C8">
      <w:pPr>
        <w:numPr>
          <w:ilvl w:val="0"/>
          <w:numId w:val="32"/>
        </w:numPr>
        <w:ind w:firstLineChars="0"/>
      </w:pPr>
      <w:r>
        <w:rPr>
          <w:rFonts w:hint="eastAsia"/>
        </w:rPr>
        <w:t>先将附墙架的臂用四个M16螺栓固定在标准节上下框架角钢上（臂必须对称放置），先不必将螺栓拧得太紧，方便调整位置。</w:t>
      </w:r>
    </w:p>
    <w:p w14:paraId="0F9A029F">
      <w:pPr>
        <w:numPr>
          <w:ilvl w:val="0"/>
          <w:numId w:val="32"/>
        </w:numPr>
        <w:ind w:firstLineChars="0"/>
      </w:pPr>
      <w:r>
        <w:rPr>
          <w:rFonts w:hint="eastAsia"/>
        </w:rPr>
        <w:t>将附墙架</w:t>
      </w:r>
      <w:r>
        <w:rPr>
          <w:rFonts w:hint="eastAsia"/>
          <w:lang w:val="en-US" w:eastAsia="zh-CN"/>
        </w:rPr>
        <w:t>焊接在电梯支架上</w:t>
      </w:r>
      <w:r>
        <w:rPr>
          <w:rFonts w:hint="eastAsia"/>
        </w:rPr>
        <w:t>。</w:t>
      </w:r>
    </w:p>
    <w:p w14:paraId="67F2AF38">
      <w:pPr>
        <w:numPr>
          <w:ilvl w:val="0"/>
          <w:numId w:val="32"/>
        </w:numPr>
        <w:ind w:firstLineChars="0"/>
      </w:pPr>
      <w:r>
        <w:rPr>
          <w:rFonts w:hint="eastAsia"/>
        </w:rPr>
        <w:t>将主架和臂用M24×80螺栓连接在一起。</w:t>
      </w:r>
    </w:p>
    <w:p w14:paraId="3D76E035">
      <w:pPr>
        <w:numPr>
          <w:ilvl w:val="0"/>
          <w:numId w:val="32"/>
        </w:numPr>
        <w:ind w:firstLineChars="0"/>
      </w:pPr>
      <w:r>
        <w:rPr>
          <w:rFonts w:hint="eastAsia"/>
        </w:rPr>
        <w:t>将连接架与主架用φ20连接销连接在一起。</w:t>
      </w:r>
    </w:p>
    <w:p w14:paraId="605C99D5">
      <w:pPr>
        <w:numPr>
          <w:ilvl w:val="0"/>
          <w:numId w:val="32"/>
        </w:numPr>
        <w:ind w:firstLineChars="0"/>
      </w:pPr>
      <w:r>
        <w:rPr>
          <w:rFonts w:hint="eastAsia"/>
        </w:rPr>
        <w:t>将支撑管和安装座用M24×80螺栓连接在一起，并将支撑管与连接架紧扣连接。</w:t>
      </w:r>
    </w:p>
    <w:p w14:paraId="05831296">
      <w:pPr>
        <w:numPr>
          <w:ilvl w:val="0"/>
          <w:numId w:val="32"/>
        </w:numPr>
        <w:ind w:firstLineChars="0"/>
      </w:pPr>
      <w:r>
        <w:rPr>
          <w:rFonts w:hint="eastAsia"/>
        </w:rPr>
        <w:t>在安装座和连接架间安装斜支撑管，用φ20销子连接。</w:t>
      </w:r>
    </w:p>
    <w:p w14:paraId="5965B48B">
      <w:pPr>
        <w:numPr>
          <w:ilvl w:val="0"/>
          <w:numId w:val="32"/>
        </w:numPr>
        <w:ind w:firstLineChars="0"/>
      </w:pPr>
      <w:r>
        <w:rPr>
          <w:rFonts w:hint="eastAsia"/>
        </w:rPr>
        <w:t>校正导轨架垂直度和附墙架水平度，附墙架之水平倾角最大正负8度。</w:t>
      </w:r>
    </w:p>
    <w:p w14:paraId="71713840">
      <w:pPr>
        <w:numPr>
          <w:ilvl w:val="0"/>
          <w:numId w:val="32"/>
        </w:numPr>
        <w:ind w:firstLineChars="0"/>
      </w:pPr>
      <w:r>
        <w:rPr>
          <w:rFonts w:hint="eastAsia"/>
        </w:rPr>
        <w:t>校正完毕后，旋紧所有联接螺栓。然后，慢慢启动升降机，确保吊笼不与附墙架相碰。</w:t>
      </w:r>
    </w:p>
    <w:p w14:paraId="0AB781FF">
      <w:pPr>
        <w:numPr>
          <w:ilvl w:val="0"/>
          <w:numId w:val="32"/>
        </w:numPr>
        <w:ind w:firstLineChars="0"/>
      </w:pPr>
      <w:r>
        <w:rPr>
          <w:rFonts w:hint="eastAsia"/>
        </w:rPr>
        <w:t>第二道及以上的附墙架安装方法与第一道相同：预埋螺杆根据梁的厚度变化选用M24x300(8.8级)。</w:t>
      </w:r>
    </w:p>
    <w:p w14:paraId="7109FB80">
      <w:pPr>
        <w:pStyle w:val="4"/>
        <w:tabs>
          <w:tab w:val="left" w:pos="0"/>
        </w:tabs>
        <w:bidi w:val="0"/>
        <w:ind w:left="0" w:leftChars="0" w:firstLine="0" w:firstLineChars="0"/>
      </w:pPr>
      <w:bookmarkStart w:id="121" w:name="_Toc25802"/>
      <w:bookmarkStart w:id="122" w:name="_Toc451"/>
      <w:r>
        <w:rPr>
          <w:rFonts w:hint="eastAsia"/>
        </w:rPr>
        <w:t>检查要求</w:t>
      </w:r>
      <w:bookmarkEnd w:id="121"/>
      <w:bookmarkEnd w:id="122"/>
    </w:p>
    <w:p w14:paraId="431B7D78">
      <w:pPr>
        <w:pStyle w:val="5"/>
        <w:tabs>
          <w:tab w:val="left" w:pos="0"/>
        </w:tabs>
        <w:bidi w:val="0"/>
        <w:ind w:left="0" w:leftChars="0" w:firstLine="0" w:firstLineChars="0"/>
      </w:pPr>
      <w:r>
        <w:rPr>
          <w:rFonts w:hint="eastAsia"/>
        </w:rPr>
        <w:t>验收标准</w:t>
      </w:r>
    </w:p>
    <w:p w14:paraId="2AE2F8F9">
      <w:pPr>
        <w:ind w:firstLine="48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安装验收标准依据详见</w:t>
      </w:r>
      <w:r>
        <w:fldChar w:fldCharType="begin"/>
      </w:r>
      <w:r>
        <w:instrText xml:space="preserve"> </w:instrText>
      </w:r>
      <w:r>
        <w:rPr>
          <w:rFonts w:hint="eastAsia"/>
        </w:rPr>
        <w:instrText xml:space="preserve">REF _Ref124236063 \h</w:instrText>
      </w:r>
      <w:r>
        <w:instrText xml:space="preserve"> </w:instrText>
      </w:r>
      <w:r>
        <w:fldChar w:fldCharType="separate"/>
      </w:r>
      <w:r>
        <w:rPr>
          <w:rFonts w:hint="eastAsia"/>
        </w:rPr>
        <w:t>表</w:t>
      </w:r>
      <w:r>
        <w:fldChar w:fldCharType="begin"/>
      </w:r>
      <w:r>
        <w:instrText xml:space="preserve"> STYLEREF 3 \s </w:instrText>
      </w:r>
      <w:r>
        <w:fldChar w:fldCharType="separate"/>
      </w:r>
      <w:r>
        <w:t>4.6.1</w:t>
      </w:r>
      <w:r>
        <w:fldChar w:fldCharType="end"/>
      </w:r>
      <w:r>
        <w:t>-1</w:t>
      </w:r>
      <w:r>
        <w:fldChar w:fldCharType="end"/>
      </w:r>
      <w:r>
        <w:rPr>
          <w:rFonts w:hint="eastAsia"/>
        </w:rPr>
        <w:t>所示。</w:t>
      </w:r>
    </w:p>
    <w:p w14:paraId="5B881386">
      <w:pPr>
        <w:pStyle w:val="12"/>
      </w:pPr>
      <w:bookmarkStart w:id="123" w:name="_Ref124236063"/>
      <w:r>
        <w:rPr>
          <w:rFonts w:hint="eastAsia"/>
        </w:rPr>
        <w:t>表</w:t>
      </w:r>
      <w:r>
        <w:fldChar w:fldCharType="begin"/>
      </w:r>
      <w:r>
        <w:instrText xml:space="preserve"> STYLEREF 3 \s </w:instrText>
      </w:r>
      <w:r>
        <w:fldChar w:fldCharType="separate"/>
      </w:r>
      <w:r>
        <w:t>4.6.1</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123"/>
      <w:r>
        <w:t xml:space="preserve"> </w:t>
      </w:r>
      <w:r>
        <w:rPr>
          <w:rFonts w:hint="eastAsia"/>
        </w:rPr>
        <w:t>验收标准</w:t>
      </w:r>
    </w:p>
    <w:tbl>
      <w:tblPr>
        <w:tblStyle w:val="9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897"/>
        <w:gridCol w:w="5241"/>
        <w:gridCol w:w="692"/>
      </w:tblGrid>
      <w:tr w14:paraId="0E06A4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406" w:type="pct"/>
            <w:vAlign w:val="center"/>
          </w:tcPr>
          <w:p w14:paraId="00E72028">
            <w:pPr>
              <w:pStyle w:val="13"/>
              <w:rPr>
                <w:b/>
              </w:rPr>
            </w:pPr>
            <w:r>
              <w:rPr>
                <w:rFonts w:hint="eastAsia"/>
                <w:b/>
              </w:rPr>
              <w:t>序号</w:t>
            </w:r>
          </w:p>
        </w:tc>
        <w:tc>
          <w:tcPr>
            <w:tcW w:w="1113" w:type="pct"/>
            <w:vAlign w:val="center"/>
          </w:tcPr>
          <w:p w14:paraId="45B79961">
            <w:pPr>
              <w:pStyle w:val="13"/>
              <w:rPr>
                <w:b/>
              </w:rPr>
            </w:pPr>
            <w:r>
              <w:rPr>
                <w:rFonts w:hint="eastAsia"/>
                <w:b/>
              </w:rPr>
              <w:t>标准号</w:t>
            </w:r>
          </w:p>
        </w:tc>
        <w:tc>
          <w:tcPr>
            <w:tcW w:w="3075" w:type="pct"/>
            <w:vAlign w:val="center"/>
          </w:tcPr>
          <w:p w14:paraId="0B23B98C">
            <w:pPr>
              <w:pStyle w:val="13"/>
              <w:rPr>
                <w:b/>
              </w:rPr>
            </w:pPr>
            <w:r>
              <w:rPr>
                <w:rFonts w:hint="eastAsia"/>
                <w:b/>
              </w:rPr>
              <w:t>标准（文件）名称</w:t>
            </w:r>
          </w:p>
        </w:tc>
        <w:tc>
          <w:tcPr>
            <w:tcW w:w="406" w:type="pct"/>
            <w:vAlign w:val="center"/>
          </w:tcPr>
          <w:p w14:paraId="1A6C094E">
            <w:pPr>
              <w:pStyle w:val="13"/>
              <w:rPr>
                <w:b/>
              </w:rPr>
            </w:pPr>
            <w:r>
              <w:rPr>
                <w:rFonts w:hint="eastAsia"/>
                <w:b/>
              </w:rPr>
              <w:t>备注</w:t>
            </w:r>
          </w:p>
        </w:tc>
      </w:tr>
      <w:tr w14:paraId="1D33DA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5E65B5EE">
            <w:pPr>
              <w:pStyle w:val="13"/>
              <w:numPr>
                <w:ilvl w:val="0"/>
                <w:numId w:val="33"/>
              </w:numPr>
            </w:pPr>
          </w:p>
        </w:tc>
        <w:tc>
          <w:tcPr>
            <w:tcW w:w="1113" w:type="pct"/>
            <w:vAlign w:val="center"/>
          </w:tcPr>
          <w:p w14:paraId="02AB2061">
            <w:pPr>
              <w:pStyle w:val="13"/>
              <w:rPr>
                <w:b w:val="0"/>
                <w:bCs/>
              </w:rPr>
            </w:pPr>
            <w:r>
              <w:rPr>
                <w:rFonts w:hint="eastAsia"/>
                <w:b w:val="0"/>
                <w:bCs/>
                <w:highlight w:val="none"/>
                <w:lang w:val="en-US" w:eastAsia="zh-CN"/>
              </w:rPr>
              <w:t>JGJ 215-2010</w:t>
            </w:r>
          </w:p>
        </w:tc>
        <w:tc>
          <w:tcPr>
            <w:tcW w:w="3075" w:type="pct"/>
            <w:vAlign w:val="center"/>
          </w:tcPr>
          <w:p w14:paraId="3423FAD4">
            <w:pPr>
              <w:pStyle w:val="13"/>
              <w:rPr>
                <w:b w:val="0"/>
                <w:bCs/>
              </w:rPr>
            </w:pPr>
            <w:r>
              <w:rPr>
                <w:rFonts w:hint="eastAsia"/>
                <w:b w:val="0"/>
                <w:bCs/>
                <w:highlight w:val="none"/>
              </w:rPr>
              <w:t>建筑施工升降机安装、使用、拆卸安全技术规程</w:t>
            </w:r>
          </w:p>
        </w:tc>
        <w:tc>
          <w:tcPr>
            <w:tcW w:w="406" w:type="pct"/>
            <w:vAlign w:val="center"/>
          </w:tcPr>
          <w:p w14:paraId="783E8ADD">
            <w:pPr>
              <w:pStyle w:val="13"/>
            </w:pPr>
          </w:p>
        </w:tc>
      </w:tr>
      <w:tr w14:paraId="06329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33001128">
            <w:pPr>
              <w:pStyle w:val="13"/>
              <w:numPr>
                <w:ilvl w:val="0"/>
                <w:numId w:val="33"/>
              </w:numPr>
            </w:pPr>
          </w:p>
        </w:tc>
        <w:tc>
          <w:tcPr>
            <w:tcW w:w="1113" w:type="pct"/>
            <w:vAlign w:val="center"/>
          </w:tcPr>
          <w:p w14:paraId="631DF326">
            <w:pPr>
              <w:pStyle w:val="13"/>
              <w:rPr>
                <w:b w:val="0"/>
                <w:bCs/>
              </w:rPr>
            </w:pPr>
            <w:r>
              <w:rPr>
                <w:rFonts w:hint="eastAsia"/>
                <w:b w:val="0"/>
                <w:bCs/>
              </w:rPr>
              <w:t>GB 50231-2009</w:t>
            </w:r>
          </w:p>
        </w:tc>
        <w:tc>
          <w:tcPr>
            <w:tcW w:w="3075" w:type="pct"/>
            <w:vAlign w:val="center"/>
          </w:tcPr>
          <w:p w14:paraId="6A1D3B86">
            <w:pPr>
              <w:pStyle w:val="13"/>
              <w:rPr>
                <w:b w:val="0"/>
                <w:bCs/>
              </w:rPr>
            </w:pPr>
            <w:r>
              <w:rPr>
                <w:rFonts w:hint="eastAsia"/>
                <w:b w:val="0"/>
                <w:bCs/>
              </w:rPr>
              <w:t>机械设备安装工程施工及验收通用规范</w:t>
            </w:r>
          </w:p>
        </w:tc>
        <w:tc>
          <w:tcPr>
            <w:tcW w:w="406" w:type="pct"/>
            <w:vAlign w:val="center"/>
          </w:tcPr>
          <w:p w14:paraId="36F993A1">
            <w:pPr>
              <w:pStyle w:val="13"/>
            </w:pPr>
          </w:p>
        </w:tc>
      </w:tr>
      <w:tr w14:paraId="7A3E99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57DE447B">
            <w:pPr>
              <w:pStyle w:val="13"/>
              <w:numPr>
                <w:ilvl w:val="0"/>
                <w:numId w:val="33"/>
              </w:numPr>
            </w:pPr>
          </w:p>
        </w:tc>
        <w:tc>
          <w:tcPr>
            <w:tcW w:w="1113" w:type="pct"/>
            <w:vAlign w:val="center"/>
          </w:tcPr>
          <w:p w14:paraId="77DB8BE0">
            <w:pPr>
              <w:pStyle w:val="13"/>
              <w:rPr>
                <w:b w:val="0"/>
                <w:bCs/>
              </w:rPr>
            </w:pPr>
            <w:r>
              <w:rPr>
                <w:rFonts w:hint="eastAsia"/>
                <w:b w:val="0"/>
                <w:bCs/>
              </w:rPr>
              <w:t>GB 50256-2014</w:t>
            </w:r>
          </w:p>
        </w:tc>
        <w:tc>
          <w:tcPr>
            <w:tcW w:w="3075" w:type="pct"/>
            <w:vAlign w:val="center"/>
          </w:tcPr>
          <w:p w14:paraId="7EBB08C3">
            <w:pPr>
              <w:pStyle w:val="13"/>
              <w:rPr>
                <w:b w:val="0"/>
                <w:bCs/>
              </w:rPr>
            </w:pPr>
            <w:r>
              <w:rPr>
                <w:rFonts w:hint="eastAsia"/>
                <w:b w:val="0"/>
                <w:bCs/>
              </w:rPr>
              <w:t>电气装置安装工程起重机电气装置施工及验收规范</w:t>
            </w:r>
          </w:p>
        </w:tc>
        <w:tc>
          <w:tcPr>
            <w:tcW w:w="406" w:type="pct"/>
            <w:vAlign w:val="center"/>
          </w:tcPr>
          <w:p w14:paraId="3EE0B091">
            <w:pPr>
              <w:pStyle w:val="13"/>
            </w:pPr>
          </w:p>
        </w:tc>
      </w:tr>
      <w:tr w14:paraId="612BB3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01834E47">
            <w:pPr>
              <w:pStyle w:val="13"/>
              <w:numPr>
                <w:ilvl w:val="0"/>
                <w:numId w:val="33"/>
              </w:numPr>
            </w:pPr>
          </w:p>
        </w:tc>
        <w:tc>
          <w:tcPr>
            <w:tcW w:w="1113" w:type="pct"/>
            <w:vAlign w:val="center"/>
          </w:tcPr>
          <w:p w14:paraId="6F79ED54">
            <w:pPr>
              <w:pStyle w:val="13"/>
              <w:rPr>
                <w:b w:val="0"/>
                <w:bCs/>
              </w:rPr>
            </w:pPr>
            <w:r>
              <w:rPr>
                <w:b w:val="0"/>
                <w:bCs/>
              </w:rPr>
              <w:t>GB/</w:t>
            </w:r>
            <w:r>
              <w:rPr>
                <w:rFonts w:hint="eastAsia"/>
                <w:b w:val="0"/>
                <w:bCs/>
              </w:rPr>
              <w:t>T 33640-2017</w:t>
            </w:r>
          </w:p>
        </w:tc>
        <w:tc>
          <w:tcPr>
            <w:tcW w:w="3075" w:type="pct"/>
            <w:vAlign w:val="center"/>
          </w:tcPr>
          <w:p w14:paraId="69E449A9">
            <w:pPr>
              <w:pStyle w:val="13"/>
              <w:rPr>
                <w:b w:val="0"/>
                <w:bCs/>
              </w:rPr>
            </w:pPr>
            <w:r>
              <w:rPr>
                <w:rFonts w:hint="eastAsia"/>
                <w:b w:val="0"/>
                <w:bCs/>
              </w:rPr>
              <w:t>齿轮齿条式人货两用施工升降机安装质量检验规程</w:t>
            </w:r>
          </w:p>
        </w:tc>
        <w:tc>
          <w:tcPr>
            <w:tcW w:w="406" w:type="pct"/>
            <w:vAlign w:val="center"/>
          </w:tcPr>
          <w:p w14:paraId="638FC4C1">
            <w:pPr>
              <w:pStyle w:val="13"/>
            </w:pPr>
          </w:p>
        </w:tc>
      </w:tr>
    </w:tbl>
    <w:p w14:paraId="1E301279">
      <w:pPr>
        <w:pStyle w:val="5"/>
        <w:tabs>
          <w:tab w:val="left" w:pos="0"/>
        </w:tabs>
        <w:bidi w:val="0"/>
        <w:ind w:left="0" w:leftChars="0" w:firstLine="0" w:firstLineChars="0"/>
      </w:pPr>
      <w:r>
        <w:rPr>
          <w:rFonts w:hint="eastAsia"/>
        </w:rPr>
        <w:t>验收程序</w:t>
      </w:r>
    </w:p>
    <w:p w14:paraId="5A18C482">
      <w:pPr>
        <w:numPr>
          <w:ilvl w:val="0"/>
          <w:numId w:val="34"/>
        </w:numPr>
      </w:pPr>
      <w:r>
        <w:rPr>
          <w:rFonts w:hint="eastAsia"/>
        </w:rPr>
        <w:t>施工升降机安装自检验收</w:t>
      </w:r>
    </w:p>
    <w:p w14:paraId="44A9413E">
      <w:pPr>
        <w:ind w:firstLine="480"/>
      </w:pPr>
      <w:r>
        <w:rPr>
          <w:rFonts w:hint="eastAsia"/>
          <w:lang w:val="en-US" w:eastAsia="zh-CN"/>
        </w:rPr>
        <w:t>施工升降机</w:t>
      </w:r>
      <w:r>
        <w:rPr>
          <w:rFonts w:hint="eastAsia"/>
        </w:rPr>
        <w:t>安装完成后，及时组织本单位施工负责人、质检人员、技术人员、安全人员、安装人员对</w:t>
      </w:r>
      <w:r>
        <w:rPr>
          <w:rFonts w:hint="eastAsia"/>
          <w:lang w:val="en-US" w:eastAsia="zh-CN"/>
        </w:rPr>
        <w:t>施工升降机</w:t>
      </w:r>
      <w:r>
        <w:rPr>
          <w:rFonts w:hint="eastAsia"/>
        </w:rPr>
        <w:t>进行安装验收。</w:t>
      </w:r>
    </w:p>
    <w:p w14:paraId="05837FEF">
      <w:pPr>
        <w:numPr>
          <w:ilvl w:val="0"/>
          <w:numId w:val="34"/>
        </w:numPr>
      </w:pPr>
      <w:r>
        <w:rPr>
          <w:rFonts w:hint="eastAsia"/>
        </w:rPr>
        <w:t>委托第三方检验机构检验</w:t>
      </w:r>
    </w:p>
    <w:p w14:paraId="0C1DC638">
      <w:pPr>
        <w:ind w:firstLine="480"/>
      </w:pPr>
      <w:r>
        <w:rPr>
          <w:rFonts w:hint="eastAsia"/>
        </w:rPr>
        <w:t>检测单位检测完成之后，出具的检测报告是应是整机合格，但可能存在部分项目不合格的情况，</w:t>
      </w:r>
      <w:r>
        <w:rPr>
          <w:rFonts w:hint="eastAsia"/>
          <w:lang w:val="en-US" w:eastAsia="zh-CN"/>
        </w:rPr>
        <w:t>施工升降机</w:t>
      </w:r>
      <w:r>
        <w:rPr>
          <w:rFonts w:hint="eastAsia"/>
        </w:rPr>
        <w:t>供应方与安装单位应对不合格项目进行整改，并出具整改报告。</w:t>
      </w:r>
    </w:p>
    <w:p w14:paraId="2FB8F1B6">
      <w:pPr>
        <w:numPr>
          <w:ilvl w:val="0"/>
          <w:numId w:val="34"/>
        </w:numPr>
      </w:pPr>
      <w:r>
        <w:rPr>
          <w:rFonts w:hint="eastAsia"/>
        </w:rPr>
        <w:t>安装资料送审</w:t>
      </w:r>
    </w:p>
    <w:p w14:paraId="3B391192">
      <w:pPr>
        <w:ind w:firstLine="480"/>
      </w:pPr>
      <w:r>
        <w:rPr>
          <w:rFonts w:hint="eastAsia"/>
        </w:rPr>
        <w:t>将</w:t>
      </w:r>
      <w:r>
        <w:rPr>
          <w:rFonts w:hint="eastAsia"/>
          <w:lang w:val="en-US" w:eastAsia="zh-CN"/>
        </w:rPr>
        <w:t>施工升降机</w:t>
      </w:r>
      <w:r>
        <w:rPr>
          <w:rFonts w:hint="eastAsia"/>
        </w:rPr>
        <w:t>安装相关资料原件报送项目部审核，参与项目部组织的联合验收。</w:t>
      </w:r>
    </w:p>
    <w:p w14:paraId="3D543746">
      <w:pPr>
        <w:numPr>
          <w:ilvl w:val="0"/>
          <w:numId w:val="34"/>
        </w:numPr>
      </w:pPr>
      <w:r>
        <w:rPr>
          <w:rFonts w:hint="eastAsia"/>
        </w:rPr>
        <w:t>参与</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安装联合验收</w:t>
      </w:r>
    </w:p>
    <w:p w14:paraId="035F9472">
      <w:pPr>
        <w:ind w:firstLine="480"/>
      </w:pPr>
      <w:r>
        <w:rPr>
          <w:rFonts w:hint="eastAsia"/>
        </w:rPr>
        <w:t>参与项目部组织的</w:t>
      </w:r>
      <w:r>
        <w:rPr>
          <w:rFonts w:hint="eastAsia"/>
          <w:lang w:val="en-US" w:eastAsia="zh-CN"/>
        </w:rPr>
        <w:t>施工升降机</w:t>
      </w:r>
      <w:r>
        <w:rPr>
          <w:rFonts w:hint="eastAsia"/>
        </w:rPr>
        <w:t>安装联合验收。</w:t>
      </w:r>
    </w:p>
    <w:p w14:paraId="67098518">
      <w:pPr>
        <w:numPr>
          <w:ilvl w:val="0"/>
          <w:numId w:val="34"/>
        </w:numPr>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取证</w:t>
      </w:r>
    </w:p>
    <w:p w14:paraId="34B3F56B">
      <w:pPr>
        <w:ind w:firstLine="480"/>
      </w:pPr>
      <w:r>
        <w:rPr>
          <w:rFonts w:hint="eastAsia"/>
          <w:lang w:val="en-US" w:eastAsia="zh-CN"/>
        </w:rPr>
        <w:t>施工升降机</w:t>
      </w:r>
      <w:r>
        <w:rPr>
          <w:rFonts w:hint="eastAsia"/>
        </w:rPr>
        <w:t>安装联合验收通过后，根据合同约定进行</w:t>
      </w:r>
      <w:r>
        <w:rPr>
          <w:rFonts w:hint="eastAsia"/>
          <w:lang w:val="en-US" w:eastAsia="zh-CN"/>
        </w:rPr>
        <w:t>施工升降机</w:t>
      </w:r>
      <w:r>
        <w:rPr>
          <w:rFonts w:hint="eastAsia"/>
        </w:rPr>
        <w:t>取证。</w:t>
      </w:r>
    </w:p>
    <w:p w14:paraId="17E45005">
      <w:pPr>
        <w:pStyle w:val="5"/>
        <w:tabs>
          <w:tab w:val="left" w:pos="0"/>
        </w:tabs>
        <w:bidi w:val="0"/>
        <w:ind w:left="0" w:leftChars="0" w:firstLine="0" w:firstLineChars="0"/>
      </w:pPr>
      <w:r>
        <w:rPr>
          <w:rFonts w:hint="eastAsia"/>
        </w:rPr>
        <w:t>验收人员</w:t>
      </w:r>
    </w:p>
    <w:p w14:paraId="37BA0700">
      <w:pPr>
        <w:ind w:firstLine="480"/>
      </w:pPr>
      <w:r>
        <w:rPr>
          <w:rFonts w:hint="eastAsia"/>
        </w:rPr>
        <w:t>参与</w:t>
      </w:r>
      <w:r>
        <w:rPr>
          <w:rFonts w:hint="eastAsia"/>
          <w:lang w:val="en-US" w:eastAsia="zh-CN"/>
        </w:rPr>
        <w:t>施工升降机</w:t>
      </w:r>
      <w:r>
        <w:rPr>
          <w:rFonts w:hint="eastAsia"/>
        </w:rPr>
        <w:t>安装自检验收主要人员包括：本单位施工负责人、质检人员、技术人员、安全人员、安装人员等。</w:t>
      </w:r>
    </w:p>
    <w:p w14:paraId="69F37FFA">
      <w:pPr>
        <w:ind w:firstLine="480"/>
      </w:pPr>
      <w:r>
        <w:rPr>
          <w:rFonts w:hint="eastAsia"/>
        </w:rPr>
        <w:t>参与</w:t>
      </w:r>
      <w:r>
        <w:rPr>
          <w:rFonts w:hint="eastAsia"/>
          <w:lang w:val="en-US" w:eastAsia="zh-CN"/>
        </w:rPr>
        <w:t>施工升降机</w:t>
      </w:r>
      <w:r>
        <w:rPr>
          <w:rFonts w:hint="eastAsia"/>
        </w:rPr>
        <w:t>安装联合验收主要人员包括：本单位施工负责人。</w:t>
      </w:r>
    </w:p>
    <w:p w14:paraId="7B25B74D">
      <w:pPr>
        <w:pStyle w:val="5"/>
        <w:tabs>
          <w:tab w:val="left" w:pos="0"/>
        </w:tabs>
        <w:bidi w:val="0"/>
        <w:ind w:left="0" w:leftChars="0" w:firstLine="0" w:firstLineChars="0"/>
      </w:pPr>
      <w:r>
        <w:rPr>
          <w:rFonts w:hint="eastAsia"/>
        </w:rPr>
        <w:t>验收内容</w:t>
      </w:r>
    </w:p>
    <w:p w14:paraId="05E599B1">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施工升降机安装验收内容见方案附件3：施工升降机安装自检表。</w:t>
      </w:r>
      <w:bookmarkEnd w:id="112"/>
      <w:bookmarkEnd w:id="113"/>
    </w:p>
    <w:p w14:paraId="4A0FD4FB">
      <w:pPr>
        <w:rPr>
          <w:color w:val="auto"/>
        </w:rPr>
      </w:pPr>
      <w:bookmarkStart w:id="124" w:name="_Toc16196"/>
      <w:bookmarkStart w:id="125" w:name="_Toc40778442"/>
      <w:bookmarkStart w:id="126" w:name="_Toc24330"/>
      <w:r>
        <w:rPr>
          <w:rFonts w:hint="eastAsia"/>
          <w:color w:val="auto"/>
        </w:rPr>
        <w:br w:type="page"/>
      </w:r>
    </w:p>
    <w:p w14:paraId="3800365F">
      <w:pPr>
        <w:pStyle w:val="3"/>
        <w:pageBreakBefore w:val="0"/>
        <w:kinsoku/>
        <w:wordWrap/>
        <w:overflowPunct/>
        <w:topLinePunct w:val="0"/>
        <w:bidi w:val="0"/>
        <w:snapToGrid/>
        <w:spacing w:before="156" w:after="156" w:line="360" w:lineRule="auto"/>
        <w:textAlignment w:val="auto"/>
        <w:rPr>
          <w:color w:val="auto"/>
        </w:rPr>
      </w:pPr>
      <w:bookmarkStart w:id="127" w:name="_Toc15088"/>
      <w:r>
        <w:rPr>
          <w:rFonts w:hint="eastAsia"/>
          <w:color w:val="auto"/>
        </w:rPr>
        <w:t>质量管理</w:t>
      </w:r>
      <w:r>
        <w:rPr>
          <w:color w:val="auto"/>
        </w:rPr>
        <w:t>措施</w:t>
      </w:r>
      <w:bookmarkEnd w:id="124"/>
      <w:bookmarkEnd w:id="127"/>
    </w:p>
    <w:bookmarkEnd w:id="125"/>
    <w:bookmarkEnd w:id="126"/>
    <w:p w14:paraId="4FA8C969">
      <w:pPr>
        <w:pStyle w:val="4"/>
        <w:rPr>
          <w:color w:val="auto"/>
        </w:rPr>
      </w:pPr>
      <w:bookmarkStart w:id="128" w:name="_Toc10656"/>
      <w:bookmarkStart w:id="129" w:name="_Toc20434"/>
      <w:bookmarkStart w:id="130" w:name="_Toc6394"/>
      <w:r>
        <w:rPr>
          <w:rFonts w:hint="eastAsia"/>
          <w:color w:val="auto"/>
        </w:rPr>
        <w:t>质量管理组织机构</w:t>
      </w:r>
      <w:bookmarkEnd w:id="128"/>
      <w:bookmarkEnd w:id="129"/>
      <w:bookmarkEnd w:id="130"/>
    </w:p>
    <w:p w14:paraId="41805217">
      <w:pPr>
        <w:ind w:firstLine="480"/>
      </w:pPr>
      <w:bookmarkStart w:id="131" w:name="_Toc30252"/>
      <w:bookmarkStart w:id="132" w:name="_Toc20038"/>
      <w:r>
        <w:rPr>
          <w:rFonts w:hint="eastAsia"/>
        </w:rPr>
        <w:t>根据本施工工程成立质量管理组织机构，其人员组成、工作职责详见</w:t>
      </w:r>
      <w:r>
        <w:fldChar w:fldCharType="begin"/>
      </w:r>
      <w:r>
        <w:instrText xml:space="preserve"> </w:instrText>
      </w:r>
      <w:r>
        <w:rPr>
          <w:rFonts w:hint="eastAsia"/>
        </w:rPr>
        <w:instrText xml:space="preserve">REF _Ref124510114 \h</w:instrText>
      </w:r>
      <w:r>
        <w:instrText xml:space="preserve"> </w:instrText>
      </w:r>
      <w:r>
        <w:fldChar w:fldCharType="separate"/>
      </w:r>
      <w:r>
        <w:rPr>
          <w:rFonts w:hint="eastAsia"/>
        </w:rPr>
        <w:t>表</w:t>
      </w:r>
      <w:r>
        <w:t>5.1</w:t>
      </w:r>
      <w:r>
        <w:rPr>
          <w:rFonts w:hint="eastAsia"/>
        </w:rPr>
        <w:t>-</w:t>
      </w:r>
      <w:r>
        <w:t>1</w:t>
      </w:r>
      <w:r>
        <w:fldChar w:fldCharType="end"/>
      </w:r>
      <w:r>
        <w:rPr>
          <w:rFonts w:hint="eastAsia"/>
        </w:rPr>
        <w:t>所示。</w:t>
      </w:r>
    </w:p>
    <w:p w14:paraId="6DC9648C">
      <w:pPr>
        <w:pStyle w:val="12"/>
        <w:jc w:val="center"/>
        <w:rPr>
          <w:rFonts w:hint="eastAsia" w:ascii="宋体" w:hAnsi="宋体" w:eastAsia="宋体" w:cs="宋体"/>
          <w:b/>
          <w:bCs/>
          <w:color w:val="auto"/>
          <w:kern w:val="0"/>
          <w:sz w:val="21"/>
          <w:szCs w:val="21"/>
          <w:lang w:val="en-US" w:eastAsia="zh-CN" w:bidi="ar-SA"/>
        </w:rPr>
      </w:pPr>
      <w:bookmarkStart w:id="133" w:name="_Ref124510114"/>
      <w:r>
        <w:rPr>
          <w:rFonts w:hint="eastAsia" w:ascii="宋体" w:hAnsi="宋体" w:eastAsia="宋体" w:cs="宋体"/>
          <w:b/>
          <w:bCs/>
          <w:color w:val="auto"/>
          <w:kern w:val="0"/>
          <w:sz w:val="21"/>
          <w:szCs w:val="21"/>
          <w:lang w:val="en-US" w:eastAsia="zh-CN" w:bidi="ar-SA"/>
        </w:rPr>
        <w:t>表</w:t>
      </w:r>
      <w:r>
        <w:rPr>
          <w:rFonts w:hint="eastAsia" w:ascii="宋体" w:hAnsi="宋体" w:eastAsia="宋体" w:cs="宋体"/>
          <w:b/>
          <w:bCs/>
          <w:color w:val="auto"/>
          <w:kern w:val="0"/>
          <w:sz w:val="21"/>
          <w:szCs w:val="21"/>
          <w:lang w:val="en-US" w:eastAsia="zh-CN" w:bidi="ar-SA"/>
        </w:rPr>
        <w:fldChar w:fldCharType="begin"/>
      </w:r>
      <w:r>
        <w:rPr>
          <w:rFonts w:hint="eastAsia" w:ascii="宋体" w:hAnsi="宋体" w:eastAsia="宋体" w:cs="宋体"/>
          <w:b/>
          <w:bCs/>
          <w:color w:val="auto"/>
          <w:kern w:val="0"/>
          <w:sz w:val="21"/>
          <w:szCs w:val="21"/>
          <w:lang w:val="en-US" w:eastAsia="zh-CN" w:bidi="ar-SA"/>
        </w:rPr>
        <w:instrText xml:space="preserve"> STYLEREF 2 \s </w:instrText>
      </w:r>
      <w:r>
        <w:rPr>
          <w:rFonts w:hint="eastAsia" w:ascii="宋体" w:hAnsi="宋体" w:eastAsia="宋体" w:cs="宋体"/>
          <w:b/>
          <w:bCs/>
          <w:color w:val="auto"/>
          <w:kern w:val="0"/>
          <w:sz w:val="21"/>
          <w:szCs w:val="21"/>
          <w:lang w:val="en-US" w:eastAsia="zh-CN" w:bidi="ar-SA"/>
        </w:rPr>
        <w:fldChar w:fldCharType="separate"/>
      </w:r>
      <w:r>
        <w:rPr>
          <w:rFonts w:hint="eastAsia" w:ascii="宋体" w:hAnsi="宋体" w:eastAsia="宋体" w:cs="宋体"/>
          <w:b/>
          <w:bCs/>
          <w:color w:val="auto"/>
          <w:kern w:val="0"/>
          <w:sz w:val="21"/>
          <w:szCs w:val="21"/>
          <w:lang w:val="en-US" w:eastAsia="zh-CN" w:bidi="ar-SA"/>
        </w:rPr>
        <w:t>5.1</w:t>
      </w:r>
      <w:r>
        <w:rPr>
          <w:rFonts w:hint="eastAsia" w:ascii="宋体" w:hAnsi="宋体" w:eastAsia="宋体" w:cs="宋体"/>
          <w:b/>
          <w:bCs/>
          <w:color w:val="auto"/>
          <w:kern w:val="0"/>
          <w:sz w:val="21"/>
          <w:szCs w:val="21"/>
          <w:lang w:val="en-US" w:eastAsia="zh-CN" w:bidi="ar-SA"/>
        </w:rPr>
        <w:fldChar w:fldCharType="end"/>
      </w:r>
      <w:r>
        <w:rPr>
          <w:rFonts w:hint="eastAsia" w:ascii="宋体" w:hAnsi="宋体" w:eastAsia="宋体" w:cs="宋体"/>
          <w:b/>
          <w:bCs/>
          <w:color w:val="auto"/>
          <w:kern w:val="0"/>
          <w:sz w:val="21"/>
          <w:szCs w:val="21"/>
          <w:lang w:val="en-US" w:eastAsia="zh-CN" w:bidi="ar-SA"/>
        </w:rPr>
        <w:t>-</w:t>
      </w:r>
      <w:r>
        <w:rPr>
          <w:rFonts w:hint="eastAsia" w:ascii="宋体" w:hAnsi="宋体" w:eastAsia="宋体" w:cs="宋体"/>
          <w:b/>
          <w:bCs/>
          <w:color w:val="auto"/>
          <w:kern w:val="0"/>
          <w:sz w:val="21"/>
          <w:szCs w:val="21"/>
          <w:lang w:val="en-US" w:eastAsia="zh-CN" w:bidi="ar-SA"/>
        </w:rPr>
        <w:fldChar w:fldCharType="begin"/>
      </w:r>
      <w:r>
        <w:rPr>
          <w:rFonts w:hint="eastAsia" w:ascii="宋体" w:hAnsi="宋体" w:eastAsia="宋体" w:cs="宋体"/>
          <w:b/>
          <w:bCs/>
          <w:color w:val="auto"/>
          <w:kern w:val="0"/>
          <w:sz w:val="21"/>
          <w:szCs w:val="21"/>
          <w:lang w:val="en-US" w:eastAsia="zh-CN" w:bidi="ar-SA"/>
        </w:rPr>
        <w:instrText xml:space="preserve"> SEQ 表 \* ARABIC \s 2 </w:instrText>
      </w:r>
      <w:r>
        <w:rPr>
          <w:rFonts w:hint="eastAsia" w:ascii="宋体" w:hAnsi="宋体" w:eastAsia="宋体" w:cs="宋体"/>
          <w:b/>
          <w:bCs/>
          <w:color w:val="auto"/>
          <w:kern w:val="0"/>
          <w:sz w:val="21"/>
          <w:szCs w:val="21"/>
          <w:lang w:val="en-US" w:eastAsia="zh-CN" w:bidi="ar-SA"/>
        </w:rPr>
        <w:fldChar w:fldCharType="separate"/>
      </w:r>
      <w:r>
        <w:rPr>
          <w:rFonts w:hint="eastAsia" w:ascii="宋体" w:hAnsi="宋体" w:eastAsia="宋体" w:cs="宋体"/>
          <w:b/>
          <w:bCs/>
          <w:color w:val="auto"/>
          <w:kern w:val="0"/>
          <w:sz w:val="21"/>
          <w:szCs w:val="21"/>
          <w:lang w:val="en-US" w:eastAsia="zh-CN" w:bidi="ar-SA"/>
        </w:rPr>
        <w:t>1</w:t>
      </w:r>
      <w:r>
        <w:rPr>
          <w:rFonts w:hint="eastAsia" w:ascii="宋体" w:hAnsi="宋体" w:eastAsia="宋体" w:cs="宋体"/>
          <w:b/>
          <w:bCs/>
          <w:color w:val="auto"/>
          <w:kern w:val="0"/>
          <w:sz w:val="21"/>
          <w:szCs w:val="21"/>
          <w:lang w:val="en-US" w:eastAsia="zh-CN" w:bidi="ar-SA"/>
        </w:rPr>
        <w:fldChar w:fldCharType="end"/>
      </w:r>
      <w:bookmarkEnd w:id="133"/>
      <w:r>
        <w:rPr>
          <w:rFonts w:hint="eastAsia" w:ascii="宋体" w:hAnsi="宋体" w:eastAsia="宋体" w:cs="宋体"/>
          <w:b/>
          <w:bCs/>
          <w:color w:val="auto"/>
          <w:kern w:val="0"/>
          <w:sz w:val="21"/>
          <w:szCs w:val="21"/>
          <w:lang w:val="en-US" w:eastAsia="zh-CN" w:bidi="ar-SA"/>
        </w:rPr>
        <w:t xml:space="preserve"> 质量管理组织机构</w:t>
      </w:r>
    </w:p>
    <w:tbl>
      <w:tblPr>
        <w:tblStyle w:val="9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311"/>
        <w:gridCol w:w="1023"/>
        <w:gridCol w:w="4675"/>
        <w:gridCol w:w="800"/>
      </w:tblGrid>
      <w:tr w14:paraId="7E5419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blHeader/>
        </w:trPr>
        <w:tc>
          <w:tcPr>
            <w:tcW w:w="713" w:type="dxa"/>
            <w:shd w:val="clear" w:color="auto" w:fill="auto"/>
            <w:vAlign w:val="center"/>
          </w:tcPr>
          <w:p w14:paraId="622348B1">
            <w:pPr>
              <w:pStyle w:val="13"/>
              <w:ind w:firstLine="0" w:firstLineChars="0"/>
              <w:rPr>
                <w:b/>
              </w:rPr>
            </w:pPr>
            <w:r>
              <w:rPr>
                <w:rFonts w:hint="eastAsia"/>
                <w:b/>
              </w:rPr>
              <w:t>序号</w:t>
            </w:r>
          </w:p>
        </w:tc>
        <w:tc>
          <w:tcPr>
            <w:tcW w:w="1311" w:type="dxa"/>
            <w:shd w:val="clear" w:color="auto" w:fill="auto"/>
            <w:vAlign w:val="center"/>
          </w:tcPr>
          <w:p w14:paraId="7EA895A0">
            <w:pPr>
              <w:pStyle w:val="13"/>
              <w:ind w:firstLine="0" w:firstLineChars="0"/>
              <w:rPr>
                <w:b/>
              </w:rPr>
            </w:pPr>
            <w:r>
              <w:rPr>
                <w:rFonts w:hint="eastAsia"/>
                <w:b/>
              </w:rPr>
              <w:t>岗位</w:t>
            </w:r>
          </w:p>
        </w:tc>
        <w:tc>
          <w:tcPr>
            <w:tcW w:w="1023" w:type="dxa"/>
            <w:shd w:val="clear" w:color="auto" w:fill="auto"/>
            <w:vAlign w:val="center"/>
          </w:tcPr>
          <w:p w14:paraId="24810779">
            <w:pPr>
              <w:pStyle w:val="13"/>
              <w:ind w:firstLine="0" w:firstLineChars="0"/>
              <w:rPr>
                <w:b/>
              </w:rPr>
            </w:pPr>
            <w:r>
              <w:rPr>
                <w:rFonts w:hint="eastAsia"/>
                <w:b/>
              </w:rPr>
              <w:t>姓名</w:t>
            </w:r>
          </w:p>
        </w:tc>
        <w:tc>
          <w:tcPr>
            <w:tcW w:w="4675" w:type="dxa"/>
            <w:shd w:val="clear" w:color="auto" w:fill="auto"/>
            <w:vAlign w:val="center"/>
          </w:tcPr>
          <w:p w14:paraId="0508799D">
            <w:pPr>
              <w:pStyle w:val="13"/>
              <w:ind w:firstLine="0" w:firstLineChars="0"/>
              <w:rPr>
                <w:b/>
              </w:rPr>
            </w:pPr>
            <w:r>
              <w:rPr>
                <w:rFonts w:hint="eastAsia"/>
                <w:b/>
              </w:rPr>
              <w:t>工作职责</w:t>
            </w:r>
          </w:p>
        </w:tc>
        <w:tc>
          <w:tcPr>
            <w:tcW w:w="800" w:type="dxa"/>
            <w:shd w:val="clear" w:color="auto" w:fill="auto"/>
            <w:vAlign w:val="center"/>
          </w:tcPr>
          <w:p w14:paraId="52D6324A">
            <w:pPr>
              <w:pStyle w:val="13"/>
              <w:ind w:firstLine="0" w:firstLineChars="0"/>
              <w:rPr>
                <w:b/>
              </w:rPr>
            </w:pPr>
            <w:r>
              <w:rPr>
                <w:rFonts w:hint="eastAsia"/>
                <w:b/>
              </w:rPr>
              <w:t>备注</w:t>
            </w:r>
          </w:p>
        </w:tc>
      </w:tr>
      <w:tr w14:paraId="413C71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713" w:type="dxa"/>
            <w:shd w:val="clear" w:color="auto" w:fill="auto"/>
            <w:vAlign w:val="center"/>
          </w:tcPr>
          <w:p w14:paraId="7B725E4C">
            <w:pPr>
              <w:pStyle w:val="13"/>
              <w:numPr>
                <w:ilvl w:val="0"/>
                <w:numId w:val="35"/>
              </w:numPr>
              <w:ind w:left="0" w:leftChars="0" w:firstLine="0" w:firstLineChars="0"/>
            </w:pPr>
          </w:p>
        </w:tc>
        <w:tc>
          <w:tcPr>
            <w:tcW w:w="1311" w:type="dxa"/>
            <w:shd w:val="clear" w:color="auto" w:fill="auto"/>
            <w:vAlign w:val="center"/>
          </w:tcPr>
          <w:p w14:paraId="6D989067">
            <w:pPr>
              <w:pStyle w:val="13"/>
              <w:ind w:firstLine="0" w:firstLineChars="0"/>
              <w:rPr>
                <w:b w:val="0"/>
                <w:bCs/>
                <w:highlight w:val="none"/>
              </w:rPr>
            </w:pPr>
            <w:r>
              <w:rPr>
                <w:rFonts w:hint="eastAsia"/>
                <w:b w:val="0"/>
                <w:bCs/>
                <w:highlight w:val="none"/>
              </w:rPr>
              <w:t>现场负责人</w:t>
            </w:r>
          </w:p>
        </w:tc>
        <w:tc>
          <w:tcPr>
            <w:tcW w:w="1023" w:type="dxa"/>
            <w:shd w:val="clear" w:color="auto" w:fill="auto"/>
            <w:vAlign w:val="center"/>
          </w:tcPr>
          <w:p w14:paraId="10E8B6EF">
            <w:pPr>
              <w:pStyle w:val="13"/>
              <w:ind w:firstLine="0" w:firstLineChars="0"/>
              <w:rPr>
                <w:b w:val="0"/>
                <w:bCs/>
                <w:highlight w:val="none"/>
              </w:rPr>
            </w:pPr>
            <w:r>
              <w:rPr>
                <w:rFonts w:hint="eastAsia"/>
                <w:b w:val="0"/>
                <w:bCs/>
              </w:rPr>
              <w:t>彭善忠</w:t>
            </w:r>
          </w:p>
        </w:tc>
        <w:tc>
          <w:tcPr>
            <w:tcW w:w="4675" w:type="dxa"/>
            <w:shd w:val="clear" w:color="auto" w:fill="auto"/>
            <w:vAlign w:val="center"/>
          </w:tcPr>
          <w:p w14:paraId="4ABE9783">
            <w:pPr>
              <w:pStyle w:val="13"/>
              <w:ind w:firstLine="0" w:firstLineChars="0"/>
              <w:jc w:val="left"/>
              <w:rPr>
                <w:b w:val="0"/>
                <w:bCs/>
                <w:highlight w:val="none"/>
              </w:rPr>
            </w:pPr>
            <w:r>
              <w:rPr>
                <w:rFonts w:hint="eastAsia"/>
                <w:b w:val="0"/>
                <w:bCs/>
                <w:highlight w:val="none"/>
              </w:rPr>
              <w:t>负责设备</w:t>
            </w:r>
            <w:r>
              <w:rPr>
                <w:rFonts w:hint="eastAsia"/>
                <w:b w:val="0"/>
                <w:bCs/>
                <w:highlight w:val="none"/>
                <w:lang w:val="en-US" w:eastAsia="zh-CN"/>
              </w:rPr>
              <w:t>安装</w:t>
            </w:r>
            <w:r>
              <w:rPr>
                <w:rFonts w:hint="eastAsia"/>
                <w:b w:val="0"/>
                <w:bCs/>
                <w:highlight w:val="none"/>
              </w:rPr>
              <w:t>组织、实施及安全</w:t>
            </w:r>
          </w:p>
        </w:tc>
        <w:tc>
          <w:tcPr>
            <w:tcW w:w="800" w:type="dxa"/>
            <w:shd w:val="clear" w:color="auto" w:fill="auto"/>
            <w:vAlign w:val="center"/>
          </w:tcPr>
          <w:p w14:paraId="542C4413">
            <w:pPr>
              <w:pStyle w:val="13"/>
              <w:ind w:firstLine="0" w:firstLineChars="0"/>
              <w:rPr>
                <w:b w:val="0"/>
                <w:bCs/>
              </w:rPr>
            </w:pPr>
          </w:p>
        </w:tc>
      </w:tr>
      <w:tr w14:paraId="54B8E2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3" w:type="dxa"/>
            <w:shd w:val="clear" w:color="auto" w:fill="auto"/>
            <w:vAlign w:val="center"/>
          </w:tcPr>
          <w:p w14:paraId="46EAA56D">
            <w:pPr>
              <w:pStyle w:val="13"/>
              <w:numPr>
                <w:ilvl w:val="0"/>
                <w:numId w:val="35"/>
              </w:numPr>
              <w:ind w:left="0" w:leftChars="0" w:firstLine="0" w:firstLineChars="0"/>
            </w:pPr>
          </w:p>
        </w:tc>
        <w:tc>
          <w:tcPr>
            <w:tcW w:w="1311" w:type="dxa"/>
            <w:shd w:val="clear" w:color="auto" w:fill="auto"/>
            <w:vAlign w:val="center"/>
          </w:tcPr>
          <w:p w14:paraId="32D91FC3">
            <w:pPr>
              <w:pStyle w:val="13"/>
              <w:ind w:firstLine="0" w:firstLineChars="0"/>
              <w:rPr>
                <w:b w:val="0"/>
                <w:bCs/>
                <w:highlight w:val="none"/>
              </w:rPr>
            </w:pPr>
            <w:r>
              <w:rPr>
                <w:rFonts w:hint="eastAsia"/>
                <w:b w:val="0"/>
                <w:bCs/>
                <w:highlight w:val="none"/>
              </w:rPr>
              <w:t>设备安拆工</w:t>
            </w:r>
          </w:p>
        </w:tc>
        <w:tc>
          <w:tcPr>
            <w:tcW w:w="1023" w:type="dxa"/>
            <w:shd w:val="clear" w:color="auto" w:fill="auto"/>
            <w:vAlign w:val="center"/>
          </w:tcPr>
          <w:p w14:paraId="4EA45B86">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b w:val="0"/>
                <w:bCs/>
                <w:highlight w:val="none"/>
              </w:rPr>
            </w:pPr>
            <w:r>
              <w:rPr>
                <w:rFonts w:hint="eastAsia" w:ascii="Times New Roman" w:hAnsi="Times New Roman" w:eastAsia="宋体" w:cs="Times New Roman"/>
                <w:color w:val="auto"/>
                <w:sz w:val="21"/>
                <w:szCs w:val="21"/>
                <w:lang w:val="en-US" w:eastAsia="zh-CN"/>
              </w:rPr>
              <w:t>白美富</w:t>
            </w:r>
          </w:p>
        </w:tc>
        <w:tc>
          <w:tcPr>
            <w:tcW w:w="4675" w:type="dxa"/>
            <w:shd w:val="clear" w:color="auto" w:fill="auto"/>
            <w:vAlign w:val="center"/>
          </w:tcPr>
          <w:p w14:paraId="1257FBCC">
            <w:pPr>
              <w:pStyle w:val="13"/>
              <w:ind w:firstLine="0" w:firstLineChars="0"/>
              <w:jc w:val="left"/>
              <w:rPr>
                <w:b w:val="0"/>
                <w:bCs/>
                <w:highlight w:val="none"/>
              </w:rPr>
            </w:pPr>
            <w:r>
              <w:rPr>
                <w:rFonts w:hint="eastAsia"/>
                <w:b w:val="0"/>
                <w:bCs/>
                <w:highlight w:val="none"/>
              </w:rPr>
              <w:t>负责设备</w:t>
            </w:r>
            <w:r>
              <w:rPr>
                <w:rFonts w:hint="eastAsia"/>
                <w:b w:val="0"/>
                <w:bCs/>
                <w:highlight w:val="none"/>
                <w:lang w:val="en-US" w:eastAsia="zh-CN"/>
              </w:rPr>
              <w:t>安装</w:t>
            </w:r>
            <w:r>
              <w:rPr>
                <w:rFonts w:hint="eastAsia"/>
                <w:b w:val="0"/>
                <w:bCs/>
                <w:highlight w:val="none"/>
              </w:rPr>
              <w:t>技术工作以及安全工作</w:t>
            </w:r>
          </w:p>
        </w:tc>
        <w:tc>
          <w:tcPr>
            <w:tcW w:w="800" w:type="dxa"/>
            <w:shd w:val="clear" w:color="auto" w:fill="auto"/>
            <w:vAlign w:val="center"/>
          </w:tcPr>
          <w:p w14:paraId="09FD47D1">
            <w:pPr>
              <w:pStyle w:val="13"/>
              <w:ind w:firstLine="0" w:firstLineChars="0"/>
              <w:rPr>
                <w:b w:val="0"/>
                <w:bCs/>
              </w:rPr>
            </w:pPr>
          </w:p>
        </w:tc>
      </w:tr>
      <w:tr w14:paraId="7CBA8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3" w:type="dxa"/>
            <w:shd w:val="clear" w:color="auto" w:fill="auto"/>
            <w:vAlign w:val="center"/>
          </w:tcPr>
          <w:p w14:paraId="53D771CB">
            <w:pPr>
              <w:pStyle w:val="13"/>
              <w:numPr>
                <w:ilvl w:val="0"/>
                <w:numId w:val="35"/>
              </w:numPr>
              <w:ind w:left="0" w:leftChars="0" w:firstLine="0" w:firstLineChars="0"/>
            </w:pPr>
          </w:p>
        </w:tc>
        <w:tc>
          <w:tcPr>
            <w:tcW w:w="1311" w:type="dxa"/>
            <w:shd w:val="clear" w:color="auto" w:fill="auto"/>
            <w:vAlign w:val="center"/>
          </w:tcPr>
          <w:p w14:paraId="0B35524A">
            <w:pPr>
              <w:pStyle w:val="13"/>
              <w:ind w:firstLine="0" w:firstLineChars="0"/>
              <w:rPr>
                <w:b w:val="0"/>
                <w:bCs/>
                <w:highlight w:val="none"/>
              </w:rPr>
            </w:pPr>
            <w:r>
              <w:rPr>
                <w:rFonts w:hint="eastAsia"/>
                <w:b w:val="0"/>
                <w:bCs/>
                <w:highlight w:val="none"/>
              </w:rPr>
              <w:t>设备安拆工</w:t>
            </w:r>
          </w:p>
        </w:tc>
        <w:tc>
          <w:tcPr>
            <w:tcW w:w="1023" w:type="dxa"/>
            <w:shd w:val="clear" w:color="auto" w:fill="auto"/>
            <w:vAlign w:val="center"/>
          </w:tcPr>
          <w:p w14:paraId="17A296AF">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b w:val="0"/>
                <w:bCs/>
                <w:highlight w:val="none"/>
              </w:rPr>
            </w:pPr>
            <w:r>
              <w:rPr>
                <w:rFonts w:hint="eastAsia" w:ascii="Times New Roman" w:hAnsi="Times New Roman" w:eastAsia="宋体" w:cs="Times New Roman"/>
                <w:color w:val="auto"/>
                <w:sz w:val="21"/>
                <w:szCs w:val="21"/>
                <w:lang w:val="en-US" w:eastAsia="zh-CN"/>
              </w:rPr>
              <w:t>彭兴华</w:t>
            </w:r>
          </w:p>
        </w:tc>
        <w:tc>
          <w:tcPr>
            <w:tcW w:w="4675" w:type="dxa"/>
            <w:shd w:val="clear" w:color="auto" w:fill="auto"/>
            <w:vAlign w:val="center"/>
          </w:tcPr>
          <w:p w14:paraId="537B7B15">
            <w:pPr>
              <w:pStyle w:val="13"/>
              <w:ind w:firstLine="0" w:firstLineChars="0"/>
              <w:jc w:val="left"/>
              <w:rPr>
                <w:b w:val="0"/>
                <w:bCs/>
                <w:highlight w:val="none"/>
              </w:rPr>
            </w:pPr>
            <w:r>
              <w:rPr>
                <w:rFonts w:hint="eastAsia"/>
                <w:b w:val="0"/>
                <w:bCs/>
                <w:highlight w:val="none"/>
              </w:rPr>
              <w:t>负责现场的安全组织、检查、监督、纠正</w:t>
            </w:r>
          </w:p>
        </w:tc>
        <w:tc>
          <w:tcPr>
            <w:tcW w:w="800" w:type="dxa"/>
            <w:shd w:val="clear" w:color="auto" w:fill="auto"/>
            <w:vAlign w:val="center"/>
          </w:tcPr>
          <w:p w14:paraId="4E53B7AF">
            <w:pPr>
              <w:pStyle w:val="13"/>
              <w:ind w:firstLine="0" w:firstLineChars="0"/>
              <w:rPr>
                <w:b w:val="0"/>
                <w:bCs/>
              </w:rPr>
            </w:pPr>
          </w:p>
        </w:tc>
      </w:tr>
      <w:tr w14:paraId="17309E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713" w:type="dxa"/>
            <w:shd w:val="clear" w:color="auto" w:fill="auto"/>
            <w:vAlign w:val="center"/>
          </w:tcPr>
          <w:p w14:paraId="69DF43B7">
            <w:pPr>
              <w:pStyle w:val="13"/>
              <w:numPr>
                <w:ilvl w:val="0"/>
                <w:numId w:val="35"/>
              </w:numPr>
              <w:ind w:left="0" w:leftChars="0" w:firstLine="0" w:firstLineChars="0"/>
            </w:pPr>
          </w:p>
        </w:tc>
        <w:tc>
          <w:tcPr>
            <w:tcW w:w="1311" w:type="dxa"/>
            <w:shd w:val="clear" w:color="auto" w:fill="auto"/>
            <w:vAlign w:val="center"/>
          </w:tcPr>
          <w:p w14:paraId="5E8D8A17">
            <w:pPr>
              <w:pStyle w:val="13"/>
              <w:ind w:firstLine="0" w:firstLineChars="0"/>
              <w:rPr>
                <w:b w:val="0"/>
                <w:bCs/>
              </w:rPr>
            </w:pPr>
            <w:r>
              <w:rPr>
                <w:rFonts w:hint="eastAsia"/>
                <w:b w:val="0"/>
                <w:bCs/>
              </w:rPr>
              <w:t>电工</w:t>
            </w:r>
          </w:p>
        </w:tc>
        <w:tc>
          <w:tcPr>
            <w:tcW w:w="1023" w:type="dxa"/>
            <w:shd w:val="clear" w:color="auto" w:fill="auto"/>
            <w:vAlign w:val="center"/>
          </w:tcPr>
          <w:p w14:paraId="76F78D70">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b w:val="0"/>
                <w:bCs/>
              </w:rPr>
            </w:pPr>
            <w:r>
              <w:rPr>
                <w:rFonts w:hint="eastAsia" w:ascii="Times New Roman" w:hAnsi="Times New Roman" w:eastAsia="宋体" w:cs="Times New Roman"/>
                <w:color w:val="auto"/>
                <w:sz w:val="21"/>
                <w:szCs w:val="21"/>
                <w:lang w:val="en-US" w:eastAsia="zh-CN"/>
              </w:rPr>
              <w:t>陈刚</w:t>
            </w:r>
          </w:p>
        </w:tc>
        <w:tc>
          <w:tcPr>
            <w:tcW w:w="4675" w:type="dxa"/>
            <w:shd w:val="clear" w:color="auto" w:fill="auto"/>
            <w:vAlign w:val="center"/>
          </w:tcPr>
          <w:p w14:paraId="11F9EFE9">
            <w:pPr>
              <w:pStyle w:val="13"/>
              <w:ind w:firstLine="0" w:firstLineChars="0"/>
              <w:jc w:val="left"/>
              <w:rPr>
                <w:b w:val="0"/>
                <w:bCs/>
              </w:rPr>
            </w:pPr>
            <w:r>
              <w:rPr>
                <w:rFonts w:hint="eastAsia"/>
                <w:b w:val="0"/>
                <w:bCs/>
              </w:rPr>
              <w:t>负责现场设备的电气安装、恢复、调试</w:t>
            </w:r>
          </w:p>
        </w:tc>
        <w:tc>
          <w:tcPr>
            <w:tcW w:w="800" w:type="dxa"/>
            <w:shd w:val="clear" w:color="auto" w:fill="auto"/>
            <w:vAlign w:val="center"/>
          </w:tcPr>
          <w:p w14:paraId="01A0F701">
            <w:pPr>
              <w:pStyle w:val="13"/>
              <w:ind w:firstLine="0" w:firstLineChars="0"/>
              <w:rPr>
                <w:b w:val="0"/>
                <w:bCs/>
              </w:rPr>
            </w:pPr>
          </w:p>
        </w:tc>
      </w:tr>
    </w:tbl>
    <w:p w14:paraId="65024AE8">
      <w:pPr>
        <w:pStyle w:val="4"/>
        <w:rPr>
          <w:rFonts w:hint="default" w:asciiTheme="majorAscii" w:hAnsiTheme="majorAscii"/>
          <w:b/>
          <w:bCs/>
          <w:color w:val="auto"/>
          <w:sz w:val="28"/>
          <w:highlight w:val="none"/>
          <w:shd w:val="clear" w:color="auto" w:fill="auto"/>
        </w:rPr>
      </w:pPr>
      <w:bookmarkStart w:id="134" w:name="_Toc27861"/>
      <w:r>
        <w:rPr>
          <w:rFonts w:hint="default" w:asciiTheme="majorAscii" w:hAnsiTheme="majorAscii"/>
          <w:b/>
          <w:bCs/>
          <w:color w:val="auto"/>
          <w:sz w:val="28"/>
          <w:highlight w:val="none"/>
          <w:shd w:val="clear" w:color="auto" w:fill="auto"/>
        </w:rPr>
        <w:t>质量通病及质量通病预防</w:t>
      </w:r>
      <w:bookmarkEnd w:id="131"/>
      <w:bookmarkEnd w:id="134"/>
    </w:p>
    <w:p w14:paraId="6E7D8EC8">
      <w:pPr>
        <w:bidi w:val="0"/>
        <w:rPr>
          <w:rFonts w:hint="eastAsia"/>
        </w:rPr>
      </w:pPr>
      <w:r>
        <w:rPr>
          <w:rFonts w:hint="eastAsia"/>
          <w:lang w:val="en-US" w:eastAsia="zh-CN"/>
        </w:rPr>
        <w:t>施工升降机</w:t>
      </w:r>
      <w:r>
        <w:rPr>
          <w:rFonts w:hint="eastAsia"/>
        </w:rPr>
        <w:t>安装质量通病</w:t>
      </w:r>
      <w:bookmarkStart w:id="135" w:name="_Toc22190"/>
      <w:bookmarkStart w:id="136" w:name="_Toc14944"/>
      <w:bookmarkStart w:id="137" w:name="_Toc533345492"/>
      <w:r>
        <w:rPr>
          <w:rFonts w:hint="eastAsia"/>
        </w:rPr>
        <w:t>及防治措施详见表 5.2-1 所示</w:t>
      </w:r>
    </w:p>
    <w:p w14:paraId="48B8DD19">
      <w:pPr>
        <w:pStyle w:val="12"/>
        <w:jc w:val="center"/>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lang w:val="en-US" w:eastAsia="zh-CN" w:bidi="ar-SA"/>
        </w:rPr>
        <w:t xml:space="preserve">表 </w:t>
      </w:r>
      <w:r>
        <w:rPr>
          <w:rFonts w:hint="eastAsia" w:ascii="宋体" w:hAnsi="宋体" w:eastAsia="宋体" w:cs="宋体"/>
          <w:b/>
          <w:bCs/>
          <w:color w:val="auto"/>
          <w:kern w:val="0"/>
          <w:sz w:val="21"/>
          <w:szCs w:val="21"/>
          <w:lang w:val="en-US" w:eastAsia="zh-CN" w:bidi="ar-SA"/>
        </w:rPr>
        <w:fldChar w:fldCharType="begin"/>
      </w:r>
      <w:r>
        <w:rPr>
          <w:rFonts w:hint="eastAsia" w:ascii="宋体" w:hAnsi="宋体" w:eastAsia="宋体" w:cs="宋体"/>
          <w:b/>
          <w:bCs/>
          <w:color w:val="auto"/>
          <w:kern w:val="0"/>
          <w:sz w:val="21"/>
          <w:szCs w:val="21"/>
          <w:lang w:val="en-US" w:eastAsia="zh-CN" w:bidi="ar-SA"/>
        </w:rPr>
        <w:instrText xml:space="preserve"> STYLEREF 2 \s </w:instrText>
      </w:r>
      <w:r>
        <w:rPr>
          <w:rFonts w:hint="eastAsia" w:ascii="宋体" w:hAnsi="宋体" w:eastAsia="宋体" w:cs="宋体"/>
          <w:b/>
          <w:bCs/>
          <w:color w:val="auto"/>
          <w:kern w:val="0"/>
          <w:sz w:val="21"/>
          <w:szCs w:val="21"/>
          <w:lang w:val="en-US" w:eastAsia="zh-CN" w:bidi="ar-SA"/>
        </w:rPr>
        <w:fldChar w:fldCharType="separate"/>
      </w:r>
      <w:r>
        <w:rPr>
          <w:rFonts w:hint="eastAsia" w:ascii="宋体" w:hAnsi="宋体" w:eastAsia="宋体" w:cs="宋体"/>
          <w:b/>
          <w:bCs/>
          <w:color w:val="auto"/>
          <w:kern w:val="0"/>
          <w:sz w:val="21"/>
          <w:szCs w:val="21"/>
          <w:lang w:val="en-US" w:eastAsia="zh-CN" w:bidi="ar-SA"/>
        </w:rPr>
        <w:t>5.2</w:t>
      </w:r>
      <w:r>
        <w:rPr>
          <w:rFonts w:hint="eastAsia" w:ascii="宋体" w:hAnsi="宋体" w:eastAsia="宋体" w:cs="宋体"/>
          <w:b/>
          <w:bCs/>
          <w:color w:val="auto"/>
          <w:kern w:val="0"/>
          <w:sz w:val="21"/>
          <w:szCs w:val="21"/>
          <w:lang w:val="en-US" w:eastAsia="zh-CN" w:bidi="ar-SA"/>
        </w:rPr>
        <w:fldChar w:fldCharType="end"/>
      </w:r>
      <w:r>
        <w:rPr>
          <w:rFonts w:hint="eastAsia" w:ascii="宋体" w:hAnsi="宋体" w:eastAsia="宋体" w:cs="宋体"/>
          <w:b/>
          <w:bCs/>
          <w:color w:val="auto"/>
          <w:kern w:val="0"/>
          <w:sz w:val="21"/>
          <w:szCs w:val="21"/>
          <w:lang w:val="en-US" w:eastAsia="zh-CN" w:bidi="ar-SA"/>
        </w:rPr>
        <w:t>-</w:t>
      </w:r>
      <w:r>
        <w:rPr>
          <w:rFonts w:hint="eastAsia" w:ascii="宋体" w:hAnsi="宋体" w:eastAsia="宋体" w:cs="宋体"/>
          <w:b/>
          <w:bCs/>
          <w:color w:val="auto"/>
          <w:kern w:val="0"/>
          <w:sz w:val="21"/>
          <w:szCs w:val="21"/>
          <w:lang w:val="en-US" w:eastAsia="zh-CN" w:bidi="ar-SA"/>
        </w:rPr>
        <w:fldChar w:fldCharType="begin"/>
      </w:r>
      <w:r>
        <w:rPr>
          <w:rFonts w:hint="eastAsia" w:ascii="宋体" w:hAnsi="宋体" w:eastAsia="宋体" w:cs="宋体"/>
          <w:b/>
          <w:bCs/>
          <w:color w:val="auto"/>
          <w:kern w:val="0"/>
          <w:sz w:val="21"/>
          <w:szCs w:val="21"/>
          <w:lang w:val="en-US" w:eastAsia="zh-CN" w:bidi="ar-SA"/>
        </w:rPr>
        <w:instrText xml:space="preserve"> SEQ 表 \* ARABIC \s 2 </w:instrText>
      </w:r>
      <w:r>
        <w:rPr>
          <w:rFonts w:hint="eastAsia" w:ascii="宋体" w:hAnsi="宋体" w:eastAsia="宋体" w:cs="宋体"/>
          <w:b/>
          <w:bCs/>
          <w:color w:val="auto"/>
          <w:kern w:val="0"/>
          <w:sz w:val="21"/>
          <w:szCs w:val="21"/>
          <w:lang w:val="en-US" w:eastAsia="zh-CN" w:bidi="ar-SA"/>
        </w:rPr>
        <w:fldChar w:fldCharType="separate"/>
      </w:r>
      <w:r>
        <w:rPr>
          <w:rFonts w:hint="eastAsia" w:ascii="宋体" w:hAnsi="宋体" w:eastAsia="宋体" w:cs="宋体"/>
          <w:b/>
          <w:bCs/>
          <w:color w:val="auto"/>
          <w:kern w:val="0"/>
          <w:sz w:val="21"/>
          <w:szCs w:val="21"/>
          <w:lang w:val="en-US" w:eastAsia="zh-CN" w:bidi="ar-SA"/>
        </w:rPr>
        <w:t>1</w:t>
      </w:r>
      <w:r>
        <w:rPr>
          <w:rFonts w:hint="eastAsia" w:ascii="宋体" w:hAnsi="宋体" w:eastAsia="宋体" w:cs="宋体"/>
          <w:b/>
          <w:bCs/>
          <w:color w:val="auto"/>
          <w:kern w:val="0"/>
          <w:sz w:val="21"/>
          <w:szCs w:val="21"/>
          <w:lang w:val="en-US" w:eastAsia="zh-CN" w:bidi="ar-SA"/>
        </w:rPr>
        <w:fldChar w:fldCharType="end"/>
      </w:r>
      <w:r>
        <w:rPr>
          <w:rFonts w:hint="eastAsia" w:ascii="宋体" w:hAnsi="宋体" w:eastAsia="宋体" w:cs="宋体"/>
          <w:b/>
          <w:bCs/>
          <w:color w:val="auto"/>
          <w:kern w:val="0"/>
          <w:sz w:val="21"/>
          <w:szCs w:val="21"/>
          <w:lang w:val="en-US" w:eastAsia="zh-CN" w:bidi="ar-SA"/>
        </w:rPr>
        <w:t xml:space="preserve"> 质量通病及防治措施</w:t>
      </w:r>
    </w:p>
    <w:tbl>
      <w:tblPr>
        <w:tblStyle w:val="27"/>
        <w:tblW w:w="5000" w:type="pct"/>
        <w:jc w:val="center"/>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autofit"/>
        <w:tblCellMar>
          <w:top w:w="0" w:type="dxa"/>
          <w:left w:w="108" w:type="dxa"/>
          <w:bottom w:w="0" w:type="dxa"/>
          <w:right w:w="108" w:type="dxa"/>
        </w:tblCellMar>
      </w:tblPr>
      <w:tblGrid>
        <w:gridCol w:w="714"/>
        <w:gridCol w:w="1606"/>
        <w:gridCol w:w="6202"/>
      </w:tblGrid>
      <w:tr w14:paraId="332192A7">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19" w:type="pct"/>
            <w:tcBorders>
              <w:top w:val="single" w:color="000000" w:sz="12" w:space="0"/>
              <w:left w:val="single" w:color="000000" w:sz="12" w:space="0"/>
              <w:bottom w:val="single" w:color="000000" w:sz="4" w:space="0"/>
              <w:right w:val="single" w:color="000000" w:sz="4" w:space="0"/>
            </w:tcBorders>
            <w:shd w:val="clear" w:color="auto" w:fill="FFFFFF"/>
            <w:vAlign w:val="center"/>
          </w:tcPr>
          <w:p w14:paraId="04662F8E">
            <w:pPr>
              <w:pStyle w:val="13"/>
              <w:rPr>
                <w:b/>
                <w:bCs/>
              </w:rPr>
            </w:pPr>
            <w:r>
              <w:rPr>
                <w:b/>
                <w:bCs/>
              </w:rPr>
              <w:t>项次</w:t>
            </w:r>
          </w:p>
        </w:tc>
        <w:tc>
          <w:tcPr>
            <w:tcW w:w="942"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3A7CF38B">
            <w:pPr>
              <w:pStyle w:val="13"/>
              <w:rPr>
                <w:b/>
                <w:bCs/>
              </w:rPr>
            </w:pPr>
            <w:r>
              <w:rPr>
                <w:b/>
                <w:bCs/>
              </w:rPr>
              <w:t>质量通病</w:t>
            </w:r>
          </w:p>
        </w:tc>
        <w:tc>
          <w:tcPr>
            <w:tcW w:w="3639" w:type="pct"/>
            <w:tcBorders>
              <w:top w:val="single" w:color="000000" w:sz="12" w:space="0"/>
              <w:left w:val="single" w:color="000000" w:sz="4" w:space="0"/>
              <w:bottom w:val="single" w:color="000000" w:sz="4" w:space="0"/>
              <w:right w:val="single" w:color="000000" w:sz="12" w:space="0"/>
            </w:tcBorders>
            <w:shd w:val="clear" w:color="auto" w:fill="FFFFFF"/>
            <w:vAlign w:val="center"/>
          </w:tcPr>
          <w:p w14:paraId="6858BB3B">
            <w:pPr>
              <w:pStyle w:val="13"/>
              <w:rPr>
                <w:b/>
                <w:bCs/>
              </w:rPr>
            </w:pPr>
            <w:r>
              <w:rPr>
                <w:b/>
                <w:bCs/>
              </w:rPr>
              <w:t>预防措施</w:t>
            </w:r>
          </w:p>
        </w:tc>
      </w:tr>
      <w:tr w14:paraId="5EBBE05D">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19"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60278D1D">
            <w:pPr>
              <w:pStyle w:val="13"/>
              <w:numPr>
                <w:ilvl w:val="0"/>
                <w:numId w:val="36"/>
              </w:numPr>
            </w:pPr>
          </w:p>
        </w:tc>
        <w:tc>
          <w:tcPr>
            <w:tcW w:w="9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EF98E2">
            <w:pPr>
              <w:pStyle w:val="13"/>
              <w:jc w:val="left"/>
              <w:rPr>
                <w:rFonts w:ascii="Times New Roman" w:hAnsi="Times New Roman" w:eastAsia="宋体" w:cs="Times New Roman"/>
                <w:b w:val="0"/>
              </w:rPr>
            </w:pPr>
            <w:r>
              <w:rPr>
                <w:rFonts w:ascii="Times New Roman" w:hAnsi="Times New Roman" w:eastAsia="宋体" w:cs="Times New Roman"/>
                <w:b w:val="0"/>
              </w:rPr>
              <w:t>安装作业前未对设备进行全面检查</w:t>
            </w:r>
          </w:p>
        </w:tc>
        <w:tc>
          <w:tcPr>
            <w:tcW w:w="3639"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473E570E">
            <w:pPr>
              <w:pStyle w:val="13"/>
              <w:jc w:val="left"/>
              <w:rPr>
                <w:rFonts w:ascii="Times New Roman" w:hAnsi="Times New Roman" w:eastAsia="宋体" w:cs="Times New Roman"/>
                <w:b w:val="0"/>
              </w:rPr>
            </w:pPr>
            <w:r>
              <w:rPr>
                <w:rFonts w:ascii="Times New Roman" w:hAnsi="Times New Roman" w:eastAsia="宋体" w:cs="Times New Roman"/>
                <w:b w:val="0"/>
              </w:rPr>
              <w:t>在对</w:t>
            </w:r>
            <w:r>
              <w:rPr>
                <w:rFonts w:hint="eastAsia" w:ascii="Times New Roman" w:hAnsi="Times New Roman" w:eastAsia="宋体" w:cs="Times New Roman"/>
                <w:b w:val="0"/>
              </w:rPr>
              <w:t>设备</w:t>
            </w:r>
            <w:r>
              <w:rPr>
                <w:rFonts w:ascii="Times New Roman" w:hAnsi="Times New Roman" w:eastAsia="宋体" w:cs="Times New Roman"/>
                <w:b w:val="0"/>
              </w:rPr>
              <w:t>进行</w:t>
            </w:r>
            <w:r>
              <w:rPr>
                <w:rFonts w:hint="eastAsia" w:ascii="Times New Roman" w:hAnsi="Times New Roman" w:eastAsia="宋体" w:cs="Times New Roman"/>
                <w:b w:val="0"/>
              </w:rPr>
              <w:t>施工</w:t>
            </w:r>
            <w:r>
              <w:rPr>
                <w:rFonts w:ascii="Times New Roman" w:hAnsi="Times New Roman" w:eastAsia="宋体" w:cs="Times New Roman"/>
                <w:b w:val="0"/>
              </w:rPr>
              <w:t>作</w:t>
            </w:r>
            <w:r>
              <w:rPr>
                <w:rFonts w:hint="eastAsia" w:ascii="Times New Roman" w:hAnsi="Times New Roman" w:eastAsia="宋体" w:cs="Times New Roman"/>
                <w:b w:val="0"/>
              </w:rPr>
              <w:t>业</w:t>
            </w:r>
            <w:r>
              <w:rPr>
                <w:rFonts w:ascii="Times New Roman" w:hAnsi="Times New Roman" w:eastAsia="宋体" w:cs="Times New Roman"/>
                <w:b w:val="0"/>
              </w:rPr>
              <w:t>前，</w:t>
            </w:r>
            <w:r>
              <w:rPr>
                <w:rFonts w:hint="eastAsia" w:ascii="Times New Roman" w:hAnsi="Times New Roman" w:eastAsia="宋体" w:cs="Times New Roman"/>
                <w:b w:val="0"/>
              </w:rPr>
              <w:t>施工</w:t>
            </w:r>
            <w:r>
              <w:rPr>
                <w:rFonts w:ascii="Times New Roman" w:hAnsi="Times New Roman" w:eastAsia="宋体" w:cs="Times New Roman"/>
                <w:b w:val="0"/>
              </w:rPr>
              <w:t>人员，尤其是</w:t>
            </w:r>
            <w:r>
              <w:rPr>
                <w:rFonts w:hint="eastAsia" w:ascii="Times New Roman" w:hAnsi="Times New Roman" w:eastAsia="宋体" w:cs="Times New Roman"/>
                <w:b w:val="0"/>
              </w:rPr>
              <w:t>施工</w:t>
            </w:r>
            <w:r>
              <w:rPr>
                <w:rFonts w:ascii="Times New Roman" w:hAnsi="Times New Roman" w:eastAsia="宋体" w:cs="Times New Roman"/>
                <w:b w:val="0"/>
              </w:rPr>
              <w:t>队的负责人应对</w:t>
            </w:r>
            <w:r>
              <w:rPr>
                <w:rFonts w:hint="eastAsia" w:ascii="Times New Roman" w:hAnsi="Times New Roman" w:eastAsia="宋体" w:cs="Times New Roman"/>
                <w:b w:val="0"/>
              </w:rPr>
              <w:t>设备</w:t>
            </w:r>
            <w:r>
              <w:rPr>
                <w:rFonts w:ascii="Times New Roman" w:hAnsi="Times New Roman" w:eastAsia="宋体" w:cs="Times New Roman"/>
                <w:b w:val="0"/>
              </w:rPr>
              <w:t>进行全面的检查，确保钢结构无裂纹及不可恢复的塑性变形，焊缝无开裂现象，各安全装置齐全、有效，如发现问题应及时地采取措施，以免在</w:t>
            </w:r>
            <w:r>
              <w:rPr>
                <w:rFonts w:hint="eastAsia" w:ascii="Times New Roman" w:hAnsi="Times New Roman" w:eastAsia="宋体" w:cs="Times New Roman"/>
                <w:b w:val="0"/>
              </w:rPr>
              <w:t>设备施工</w:t>
            </w:r>
            <w:r>
              <w:rPr>
                <w:rFonts w:ascii="Times New Roman" w:hAnsi="Times New Roman" w:eastAsia="宋体" w:cs="Times New Roman"/>
                <w:b w:val="0"/>
              </w:rPr>
              <w:t>作</w:t>
            </w:r>
            <w:r>
              <w:rPr>
                <w:rFonts w:hint="eastAsia" w:ascii="Times New Roman" w:hAnsi="Times New Roman" w:eastAsia="宋体" w:cs="Times New Roman"/>
                <w:b w:val="0"/>
              </w:rPr>
              <w:t>业</w:t>
            </w:r>
            <w:r>
              <w:rPr>
                <w:rFonts w:ascii="Times New Roman" w:hAnsi="Times New Roman" w:eastAsia="宋体" w:cs="Times New Roman"/>
                <w:b w:val="0"/>
              </w:rPr>
              <w:t>过程中发生事故。</w:t>
            </w:r>
          </w:p>
        </w:tc>
      </w:tr>
      <w:tr w14:paraId="04D9F892">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19"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44C110C5">
            <w:pPr>
              <w:pStyle w:val="13"/>
              <w:numPr>
                <w:ilvl w:val="0"/>
                <w:numId w:val="36"/>
              </w:numPr>
            </w:pPr>
          </w:p>
        </w:tc>
        <w:tc>
          <w:tcPr>
            <w:tcW w:w="9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58CAFE">
            <w:pPr>
              <w:pStyle w:val="13"/>
              <w:jc w:val="left"/>
              <w:rPr>
                <w:rFonts w:ascii="Times New Roman" w:hAnsi="Times New Roman" w:eastAsia="宋体" w:cs="Times New Roman"/>
                <w:b w:val="0"/>
              </w:rPr>
            </w:pPr>
            <w:r>
              <w:rPr>
                <w:rFonts w:ascii="Times New Roman" w:hAnsi="Times New Roman" w:eastAsia="宋体" w:cs="Times New Roman"/>
                <w:b w:val="0"/>
              </w:rPr>
              <w:t>安装过程进行监督</w:t>
            </w:r>
          </w:p>
        </w:tc>
        <w:tc>
          <w:tcPr>
            <w:tcW w:w="3639"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7C837BF1">
            <w:pPr>
              <w:pStyle w:val="13"/>
              <w:jc w:val="left"/>
              <w:rPr>
                <w:rFonts w:ascii="Times New Roman" w:hAnsi="Times New Roman" w:eastAsia="宋体" w:cs="Times New Roman"/>
                <w:b w:val="0"/>
              </w:rPr>
            </w:pPr>
            <w:r>
              <w:rPr>
                <w:rFonts w:ascii="Times New Roman" w:hAnsi="Times New Roman" w:eastAsia="宋体" w:cs="Times New Roman"/>
                <w:b w:val="0"/>
              </w:rPr>
              <w:t>在对整机进行</w:t>
            </w:r>
            <w:r>
              <w:rPr>
                <w:rFonts w:hint="eastAsia" w:ascii="Times New Roman" w:hAnsi="Times New Roman" w:eastAsia="宋体" w:cs="Times New Roman"/>
                <w:b w:val="0"/>
              </w:rPr>
              <w:t>施工</w:t>
            </w:r>
            <w:r>
              <w:rPr>
                <w:rFonts w:ascii="Times New Roman" w:hAnsi="Times New Roman" w:eastAsia="宋体" w:cs="Times New Roman"/>
                <w:b w:val="0"/>
              </w:rPr>
              <w:t>过程中，现场管理人员及</w:t>
            </w:r>
            <w:r>
              <w:rPr>
                <w:rFonts w:hint="eastAsia" w:ascii="Times New Roman" w:hAnsi="Times New Roman" w:eastAsia="宋体" w:cs="Times New Roman"/>
                <w:b w:val="0"/>
              </w:rPr>
              <w:t>施工</w:t>
            </w:r>
            <w:r>
              <w:rPr>
                <w:rFonts w:ascii="Times New Roman" w:hAnsi="Times New Roman" w:eastAsia="宋体" w:cs="Times New Roman"/>
                <w:b w:val="0"/>
              </w:rPr>
              <w:t>队伍负责人应对</w:t>
            </w:r>
            <w:r>
              <w:rPr>
                <w:rFonts w:hint="eastAsia" w:ascii="Times New Roman" w:hAnsi="Times New Roman" w:eastAsia="宋体" w:cs="Times New Roman"/>
                <w:b w:val="0"/>
              </w:rPr>
              <w:t>施工</w:t>
            </w:r>
            <w:r>
              <w:rPr>
                <w:rFonts w:ascii="Times New Roman" w:hAnsi="Times New Roman" w:eastAsia="宋体" w:cs="Times New Roman"/>
                <w:b w:val="0"/>
              </w:rPr>
              <w:t>过程进行</w:t>
            </w:r>
            <w:r>
              <w:rPr>
                <w:rFonts w:hint="eastAsia" w:ascii="Times New Roman" w:hAnsi="Times New Roman" w:eastAsia="宋体" w:cs="Times New Roman"/>
                <w:b w:val="0"/>
              </w:rPr>
              <w:t>监督</w:t>
            </w:r>
            <w:r>
              <w:rPr>
                <w:rFonts w:ascii="Times New Roman" w:hAnsi="Times New Roman" w:eastAsia="宋体" w:cs="Times New Roman"/>
                <w:b w:val="0"/>
              </w:rPr>
              <w:t>检查，上道工序未验收通过，下道工序不得进行，确保</w:t>
            </w:r>
            <w:r>
              <w:rPr>
                <w:rFonts w:hint="eastAsia" w:ascii="Times New Roman" w:hAnsi="Times New Roman" w:eastAsia="宋体" w:cs="Times New Roman"/>
                <w:b w:val="0"/>
              </w:rPr>
              <w:t>设备</w:t>
            </w:r>
            <w:r>
              <w:rPr>
                <w:rFonts w:ascii="Times New Roman" w:hAnsi="Times New Roman" w:eastAsia="宋体" w:cs="Times New Roman"/>
                <w:b w:val="0"/>
              </w:rPr>
              <w:t>的安装的精度及偏移，保证整体钢结构无变形裂纹，焊接质量满足规范要求，发现问题及时制止采取措施，避免在</w:t>
            </w:r>
            <w:r>
              <w:rPr>
                <w:rFonts w:hint="eastAsia" w:ascii="Times New Roman" w:hAnsi="Times New Roman" w:eastAsia="宋体" w:cs="Times New Roman"/>
                <w:b w:val="0"/>
              </w:rPr>
              <w:t>设备</w:t>
            </w:r>
            <w:r>
              <w:rPr>
                <w:rFonts w:ascii="Times New Roman" w:hAnsi="Times New Roman" w:eastAsia="宋体" w:cs="Times New Roman"/>
                <w:b w:val="0"/>
              </w:rPr>
              <w:t>安装出现质量事故及安全事故。</w:t>
            </w:r>
          </w:p>
        </w:tc>
      </w:tr>
      <w:tr w14:paraId="0B3E7D77">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19" w:type="pct"/>
            <w:tcBorders>
              <w:top w:val="single" w:color="000000" w:sz="4" w:space="0"/>
              <w:left w:val="single" w:color="000000" w:sz="12" w:space="0"/>
              <w:bottom w:val="single" w:color="000000" w:sz="12" w:space="0"/>
              <w:right w:val="single" w:color="000000" w:sz="4" w:space="0"/>
            </w:tcBorders>
            <w:shd w:val="clear" w:color="auto" w:fill="FFFFFF"/>
            <w:vAlign w:val="center"/>
          </w:tcPr>
          <w:p w14:paraId="3C04C5AD">
            <w:pPr>
              <w:pStyle w:val="13"/>
              <w:numPr>
                <w:ilvl w:val="0"/>
                <w:numId w:val="36"/>
              </w:numPr>
            </w:pPr>
          </w:p>
        </w:tc>
        <w:tc>
          <w:tcPr>
            <w:tcW w:w="942"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7639F135">
            <w:pPr>
              <w:pStyle w:val="13"/>
              <w:jc w:val="left"/>
              <w:rPr>
                <w:rFonts w:ascii="Times New Roman" w:hAnsi="Times New Roman" w:eastAsia="宋体" w:cs="Times New Roman"/>
                <w:b w:val="0"/>
              </w:rPr>
            </w:pPr>
            <w:r>
              <w:rPr>
                <w:rFonts w:ascii="Times New Roman" w:hAnsi="Times New Roman" w:eastAsia="宋体" w:cs="Times New Roman"/>
                <w:b w:val="0"/>
              </w:rPr>
              <w:t>安装结束验收</w:t>
            </w:r>
          </w:p>
        </w:tc>
        <w:tc>
          <w:tcPr>
            <w:tcW w:w="3639" w:type="pct"/>
            <w:tcBorders>
              <w:top w:val="single" w:color="000000" w:sz="4" w:space="0"/>
              <w:left w:val="single" w:color="000000" w:sz="4" w:space="0"/>
              <w:bottom w:val="single" w:color="000000" w:sz="12" w:space="0"/>
              <w:right w:val="single" w:color="000000" w:sz="12" w:space="0"/>
            </w:tcBorders>
            <w:shd w:val="clear" w:color="auto" w:fill="FFFFFF"/>
            <w:vAlign w:val="center"/>
          </w:tcPr>
          <w:p w14:paraId="2EC0AC91">
            <w:pPr>
              <w:pStyle w:val="13"/>
              <w:jc w:val="left"/>
              <w:rPr>
                <w:rFonts w:ascii="Times New Roman" w:hAnsi="Times New Roman" w:eastAsia="宋体" w:cs="Times New Roman"/>
                <w:b w:val="0"/>
              </w:rPr>
            </w:pPr>
            <w:r>
              <w:rPr>
                <w:rFonts w:ascii="Times New Roman" w:hAnsi="Times New Roman" w:eastAsia="宋体" w:cs="Times New Roman"/>
                <w:b w:val="0"/>
              </w:rPr>
              <w:t>整机安装结束后，组织联合验收，对</w:t>
            </w:r>
            <w:r>
              <w:rPr>
                <w:rFonts w:hint="eastAsia" w:ascii="Times New Roman" w:hAnsi="Times New Roman" w:eastAsia="宋体" w:cs="Times New Roman"/>
                <w:b w:val="0"/>
              </w:rPr>
              <w:t>设备</w:t>
            </w:r>
            <w:r>
              <w:rPr>
                <w:rFonts w:ascii="Times New Roman" w:hAnsi="Times New Roman" w:eastAsia="宋体" w:cs="Times New Roman"/>
                <w:b w:val="0"/>
              </w:rPr>
              <w:t>的结构尺寸、焊接质量、安装精度等容易出现问题的地方进行相关数据验收，并按照相关要求进行荷载试验，确保</w:t>
            </w:r>
            <w:r>
              <w:rPr>
                <w:rFonts w:hint="eastAsia" w:ascii="Times New Roman" w:hAnsi="Times New Roman" w:eastAsia="宋体" w:cs="Times New Roman"/>
                <w:b w:val="0"/>
              </w:rPr>
              <w:t>设备</w:t>
            </w:r>
            <w:r>
              <w:rPr>
                <w:rFonts w:ascii="Times New Roman" w:hAnsi="Times New Roman" w:eastAsia="宋体" w:cs="Times New Roman"/>
                <w:b w:val="0"/>
              </w:rPr>
              <w:t>验收合格后能投入使用。</w:t>
            </w:r>
          </w:p>
        </w:tc>
      </w:tr>
    </w:tbl>
    <w:p w14:paraId="07FC1723">
      <w:pPr>
        <w:ind w:firstLine="480"/>
      </w:pPr>
      <w:r>
        <w:rPr>
          <w:rFonts w:hint="eastAsia"/>
        </w:rPr>
        <w:br w:type="page"/>
      </w:r>
    </w:p>
    <w:p w14:paraId="256D783E">
      <w:pPr>
        <w:pStyle w:val="4"/>
        <w:rPr>
          <w:color w:val="auto"/>
          <w:highlight w:val="none"/>
        </w:rPr>
      </w:pPr>
      <w:bookmarkStart w:id="138" w:name="_Toc14603"/>
      <w:r>
        <w:rPr>
          <w:rFonts w:hint="eastAsia"/>
          <w:color w:val="auto"/>
          <w:highlight w:val="none"/>
        </w:rPr>
        <w:t>质量保证措施</w:t>
      </w:r>
      <w:bookmarkEnd w:id="135"/>
      <w:bookmarkEnd w:id="136"/>
      <w:bookmarkEnd w:id="137"/>
      <w:bookmarkEnd w:id="138"/>
    </w:p>
    <w:p w14:paraId="55BEE57F">
      <w:pPr>
        <w:pStyle w:val="50"/>
        <w:numPr>
          <w:ilvl w:val="0"/>
          <w:numId w:val="37"/>
        </w:numPr>
        <w:ind w:left="-480" w:leftChars="0" w:firstLineChars="0"/>
      </w:pPr>
      <w:r>
        <w:rPr>
          <w:rFonts w:hint="eastAsia"/>
        </w:rPr>
        <w:t>严格执行国家现行制作、安装施工验收规范和施工图设计要求及设备说明书提出的有关要求，项目部拟定相应质量计划并规范操作；</w:t>
      </w:r>
    </w:p>
    <w:p w14:paraId="63CE9142">
      <w:pPr>
        <w:pStyle w:val="50"/>
        <w:numPr>
          <w:ilvl w:val="0"/>
          <w:numId w:val="37"/>
        </w:numPr>
        <w:ind w:left="-480" w:leftChars="0" w:firstLineChars="0"/>
      </w:pPr>
      <w:r>
        <w:rPr>
          <w:rFonts w:hint="eastAsia"/>
        </w:rPr>
        <w:t>项目经理对工程质量管理工作负全面领导责任，项目工程师行使施工质量控制和管理职权。各施工队进行专检、工序检、复检确认，行使质量否决权。施工队兼职质量员进行现场施工质量监督控制，并负责本队自检、互检工作；</w:t>
      </w:r>
    </w:p>
    <w:p w14:paraId="1EFB8AFA">
      <w:pPr>
        <w:pStyle w:val="50"/>
        <w:numPr>
          <w:ilvl w:val="0"/>
          <w:numId w:val="37"/>
        </w:numPr>
        <w:ind w:left="-480" w:leftChars="0" w:firstLineChars="0"/>
      </w:pPr>
      <w:r>
        <w:rPr>
          <w:rFonts w:hint="eastAsia"/>
        </w:rPr>
        <w:t>实行施工全过程的质量控制。在工程开工前，确定关键工序停工检验点，一般工序实行工序交叉检，上道工序不合格，不得转入下道工序；</w:t>
      </w:r>
    </w:p>
    <w:p w14:paraId="1A7A92A4">
      <w:pPr>
        <w:pStyle w:val="50"/>
        <w:numPr>
          <w:ilvl w:val="0"/>
          <w:numId w:val="37"/>
        </w:numPr>
        <w:ind w:left="-480" w:leftChars="0" w:firstLineChars="0"/>
      </w:pPr>
      <w:r>
        <w:rPr>
          <w:rFonts w:hint="eastAsia"/>
        </w:rPr>
        <w:t>施工队详细填写质量验收检查表，以保证质量施工原始记录的及时、完整和准确；</w:t>
      </w:r>
    </w:p>
    <w:p w14:paraId="159730E8">
      <w:pPr>
        <w:pStyle w:val="50"/>
        <w:numPr>
          <w:ilvl w:val="0"/>
          <w:numId w:val="37"/>
        </w:numPr>
        <w:ind w:left="-480" w:leftChars="0" w:firstLineChars="0"/>
      </w:pPr>
      <w:r>
        <w:rPr>
          <w:rFonts w:hint="eastAsia"/>
        </w:rPr>
        <w:t>项目工程师要按使用单位提供图纸及实测数据，编制施工方案或技术措施，施工前向施工人员作详细的技术交底；</w:t>
      </w:r>
    </w:p>
    <w:p w14:paraId="6BB34A32">
      <w:pPr>
        <w:pStyle w:val="50"/>
        <w:numPr>
          <w:ilvl w:val="0"/>
          <w:numId w:val="37"/>
        </w:numPr>
        <w:ind w:left="-480" w:leftChars="0" w:firstLineChars="0"/>
      </w:pPr>
      <w:r>
        <w:rPr>
          <w:rFonts w:hint="eastAsia"/>
        </w:rPr>
        <w:t>施工使用的水准仪、经纬仪与盒尺等检验器具，必须严格按国家有关要求定期校验和核查，未经检验或过期、失准的计量器具严禁使用；</w:t>
      </w:r>
    </w:p>
    <w:p w14:paraId="7853ADB1">
      <w:pPr>
        <w:pStyle w:val="50"/>
        <w:numPr>
          <w:ilvl w:val="0"/>
          <w:numId w:val="37"/>
        </w:numPr>
        <w:ind w:left="-480" w:leftChars="0" w:firstLineChars="0"/>
        <w:rPr>
          <w:highlight w:val="none"/>
        </w:rPr>
      </w:pPr>
      <w:r>
        <w:rPr>
          <w:rFonts w:hint="eastAsia"/>
        </w:rPr>
        <w:t>各种设备的交接、验收、保管、存放应按有关要求进行。存放保管应按设备材料就按要求进行，认真核对名称、型号、规格、</w:t>
      </w:r>
      <w:r>
        <w:rPr>
          <w:rFonts w:hint="eastAsia"/>
          <w:highlight w:val="none"/>
        </w:rPr>
        <w:t>数量</w:t>
      </w:r>
      <w:r>
        <w:rPr>
          <w:rFonts w:hint="default"/>
          <w:highlight w:val="none"/>
          <w:lang w:val="en-US"/>
        </w:rPr>
        <w:t>.</w:t>
      </w:r>
    </w:p>
    <w:p w14:paraId="5829742C">
      <w:pPr>
        <w:rPr>
          <w:highlight w:val="none"/>
        </w:rPr>
      </w:pPr>
    </w:p>
    <w:p w14:paraId="3091BA1C">
      <w:pPr>
        <w:rPr>
          <w:color w:val="auto"/>
        </w:rPr>
      </w:pPr>
      <w:r>
        <w:rPr>
          <w:rFonts w:hint="eastAsia"/>
          <w:color w:val="auto"/>
        </w:rPr>
        <w:br w:type="page"/>
      </w:r>
    </w:p>
    <w:p w14:paraId="424D2236">
      <w:pPr>
        <w:pStyle w:val="3"/>
        <w:spacing w:before="156" w:after="156"/>
        <w:rPr>
          <w:color w:val="auto"/>
        </w:rPr>
      </w:pPr>
      <w:bookmarkStart w:id="139" w:name="_Toc2057"/>
      <w:r>
        <w:rPr>
          <w:rFonts w:hint="eastAsia"/>
          <w:color w:val="auto"/>
        </w:rPr>
        <w:t>施工危险源辨识及安全保证措施</w:t>
      </w:r>
      <w:bookmarkEnd w:id="132"/>
      <w:bookmarkEnd w:id="139"/>
    </w:p>
    <w:p w14:paraId="203BDCE9">
      <w:pPr>
        <w:pStyle w:val="4"/>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color w:val="auto"/>
        </w:rPr>
      </w:pPr>
      <w:bookmarkStart w:id="140" w:name="_Toc4915"/>
      <w:bookmarkStart w:id="141" w:name="_Toc8036"/>
      <w:r>
        <w:rPr>
          <w:rFonts w:hint="eastAsia"/>
          <w:color w:val="auto"/>
        </w:rPr>
        <w:t>危险源辨识及分析</w:t>
      </w:r>
      <w:bookmarkEnd w:id="140"/>
      <w:bookmarkEnd w:id="141"/>
      <w:bookmarkStart w:id="142" w:name="_Toc1775"/>
      <w:bookmarkStart w:id="143" w:name="_Toc903"/>
    </w:p>
    <w:bookmarkEnd w:id="142"/>
    <w:bookmarkEnd w:id="143"/>
    <w:p w14:paraId="6FF1F8E6">
      <w:pPr>
        <w:pStyle w:val="5"/>
        <w:tabs>
          <w:tab w:val="left" w:pos="0"/>
        </w:tabs>
        <w:bidi w:val="0"/>
        <w:ind w:left="0" w:leftChars="0" w:firstLine="0" w:firstLineChars="0"/>
      </w:pPr>
      <w:bookmarkStart w:id="144" w:name="_Toc11379"/>
      <w:bookmarkStart w:id="145" w:name="_Toc6917"/>
      <w:bookmarkStart w:id="146" w:name="_Toc17347"/>
      <w:bookmarkStart w:id="147" w:name="_Toc5668"/>
      <w:bookmarkStart w:id="148" w:name="_Toc14971"/>
      <w:bookmarkStart w:id="149" w:name="_Toc40778445"/>
      <w:r>
        <w:rPr>
          <w:rFonts w:hint="eastAsia"/>
        </w:rPr>
        <w:t>风险源辨识与评价</w:t>
      </w:r>
    </w:p>
    <w:p w14:paraId="00D214CC">
      <w:pPr>
        <w:ind w:firstLine="480"/>
      </w:pPr>
      <w:r>
        <w:rPr>
          <w:rFonts w:hint="eastAsia"/>
        </w:rPr>
        <w:t>危险因素分析、识别表见</w:t>
      </w:r>
      <w:r>
        <w:fldChar w:fldCharType="begin"/>
      </w:r>
      <w:r>
        <w:instrText xml:space="preserve"> </w:instrText>
      </w:r>
      <w:r>
        <w:rPr>
          <w:rFonts w:hint="eastAsia"/>
        </w:rPr>
        <w:instrText xml:space="preserve">REF _Ref77863896 \h</w:instrText>
      </w:r>
      <w:r>
        <w:instrText xml:space="preserve"> </w:instrText>
      </w:r>
      <w:r>
        <w:fldChar w:fldCharType="separate"/>
      </w:r>
      <w:r>
        <w:rPr>
          <w:rFonts w:hint="eastAsia"/>
        </w:rPr>
        <w:t>表</w:t>
      </w:r>
      <w:r>
        <w:fldChar w:fldCharType="begin"/>
      </w:r>
      <w:r>
        <w:instrText xml:space="preserve"> </w:instrText>
      </w:r>
      <w:r>
        <w:rPr>
          <w:rFonts w:hint="eastAsia"/>
        </w:rPr>
        <w:instrText xml:space="preserve">STYLEREF</w:instrText>
      </w:r>
      <w:r>
        <w:instrText xml:space="preserve"> 3</w:instrText>
      </w:r>
      <w:r>
        <w:rPr>
          <w:rFonts w:hint="eastAsia"/>
        </w:rPr>
        <w:instrText xml:space="preserve"> \s</w:instrText>
      </w:r>
      <w:r>
        <w:instrText xml:space="preserve"> </w:instrText>
      </w:r>
      <w:r>
        <w:fldChar w:fldCharType="separate"/>
      </w:r>
      <w:r>
        <w:rPr>
          <w:rFonts w:hint="eastAsia"/>
        </w:rPr>
        <w:t>6.1.1</w:t>
      </w:r>
      <w:r>
        <w:fldChar w:fldCharType="end"/>
      </w:r>
      <w:r>
        <w:rPr>
          <w:rFonts w:hint="eastAsia"/>
        </w:rPr>
        <w:t>-1</w:t>
      </w:r>
      <w:r>
        <w:fldChar w:fldCharType="end"/>
      </w:r>
      <w:r>
        <w:rPr>
          <w:rFonts w:hint="eastAsia"/>
        </w:rPr>
        <w:t>所示。</w:t>
      </w:r>
    </w:p>
    <w:p w14:paraId="17B4FBE5">
      <w:pPr>
        <w:pStyle w:val="12"/>
        <w:jc w:val="center"/>
        <w:rPr>
          <w:rFonts w:hint="eastAsia" w:ascii="宋体" w:hAnsi="宋体" w:eastAsia="宋体" w:cs="宋体"/>
          <w:b/>
          <w:bCs/>
          <w:color w:val="auto"/>
          <w:kern w:val="0"/>
          <w:sz w:val="21"/>
          <w:szCs w:val="21"/>
          <w:lang w:val="en-US" w:eastAsia="zh-CN" w:bidi="ar-SA"/>
        </w:rPr>
      </w:pPr>
      <w:bookmarkStart w:id="150" w:name="_Ref77863896"/>
      <w:r>
        <w:rPr>
          <w:rFonts w:hint="eastAsia" w:ascii="宋体" w:hAnsi="宋体" w:eastAsia="宋体" w:cs="宋体"/>
          <w:b/>
          <w:bCs/>
          <w:color w:val="auto"/>
          <w:kern w:val="0"/>
          <w:sz w:val="21"/>
          <w:szCs w:val="21"/>
          <w:lang w:val="en-US" w:eastAsia="zh-CN" w:bidi="ar-SA"/>
        </w:rPr>
        <w:t>表</w:t>
      </w:r>
      <w:r>
        <w:rPr>
          <w:rFonts w:hint="eastAsia" w:ascii="宋体" w:hAnsi="宋体" w:eastAsia="宋体" w:cs="宋体"/>
          <w:b/>
          <w:bCs/>
          <w:color w:val="auto"/>
          <w:kern w:val="0"/>
          <w:sz w:val="21"/>
          <w:szCs w:val="21"/>
          <w:lang w:val="en-US" w:eastAsia="zh-CN" w:bidi="ar-SA"/>
        </w:rPr>
        <w:fldChar w:fldCharType="begin"/>
      </w:r>
      <w:r>
        <w:rPr>
          <w:rFonts w:hint="eastAsia" w:ascii="宋体" w:hAnsi="宋体" w:eastAsia="宋体" w:cs="宋体"/>
          <w:b/>
          <w:bCs/>
          <w:color w:val="auto"/>
          <w:kern w:val="0"/>
          <w:sz w:val="21"/>
          <w:szCs w:val="21"/>
          <w:lang w:val="en-US" w:eastAsia="zh-CN" w:bidi="ar-SA"/>
        </w:rPr>
        <w:instrText xml:space="preserve"> STYLEREF 3 \s </w:instrText>
      </w:r>
      <w:r>
        <w:rPr>
          <w:rFonts w:hint="eastAsia" w:ascii="宋体" w:hAnsi="宋体" w:eastAsia="宋体" w:cs="宋体"/>
          <w:b/>
          <w:bCs/>
          <w:color w:val="auto"/>
          <w:kern w:val="0"/>
          <w:sz w:val="21"/>
          <w:szCs w:val="21"/>
          <w:lang w:val="en-US" w:eastAsia="zh-CN" w:bidi="ar-SA"/>
        </w:rPr>
        <w:fldChar w:fldCharType="separate"/>
      </w:r>
      <w:r>
        <w:rPr>
          <w:rFonts w:hint="eastAsia" w:ascii="宋体" w:hAnsi="宋体" w:eastAsia="宋体" w:cs="宋体"/>
          <w:b/>
          <w:bCs/>
          <w:color w:val="auto"/>
          <w:kern w:val="0"/>
          <w:sz w:val="21"/>
          <w:szCs w:val="21"/>
          <w:lang w:val="en-US" w:eastAsia="zh-CN" w:bidi="ar-SA"/>
        </w:rPr>
        <w:t>6.1.1</w:t>
      </w:r>
      <w:r>
        <w:rPr>
          <w:rFonts w:hint="eastAsia" w:ascii="宋体" w:hAnsi="宋体" w:eastAsia="宋体" w:cs="宋体"/>
          <w:b/>
          <w:bCs/>
          <w:color w:val="auto"/>
          <w:kern w:val="0"/>
          <w:sz w:val="21"/>
          <w:szCs w:val="21"/>
          <w:lang w:val="en-US" w:eastAsia="zh-CN" w:bidi="ar-SA"/>
        </w:rPr>
        <w:fldChar w:fldCharType="end"/>
      </w:r>
      <w:r>
        <w:rPr>
          <w:rFonts w:hint="eastAsia" w:ascii="宋体" w:hAnsi="宋体" w:eastAsia="宋体" w:cs="宋体"/>
          <w:b/>
          <w:bCs/>
          <w:color w:val="auto"/>
          <w:kern w:val="0"/>
          <w:sz w:val="21"/>
          <w:szCs w:val="21"/>
          <w:lang w:val="en-US" w:eastAsia="zh-CN" w:bidi="ar-SA"/>
        </w:rPr>
        <w:t>-</w:t>
      </w:r>
      <w:r>
        <w:rPr>
          <w:rFonts w:hint="eastAsia" w:ascii="宋体" w:hAnsi="宋体" w:eastAsia="宋体" w:cs="宋体"/>
          <w:b/>
          <w:bCs/>
          <w:color w:val="auto"/>
          <w:kern w:val="0"/>
          <w:sz w:val="21"/>
          <w:szCs w:val="21"/>
          <w:lang w:val="en-US" w:eastAsia="zh-CN" w:bidi="ar-SA"/>
        </w:rPr>
        <w:fldChar w:fldCharType="begin"/>
      </w:r>
      <w:r>
        <w:rPr>
          <w:rFonts w:hint="eastAsia" w:ascii="宋体" w:hAnsi="宋体" w:eastAsia="宋体" w:cs="宋体"/>
          <w:b/>
          <w:bCs/>
          <w:color w:val="auto"/>
          <w:kern w:val="0"/>
          <w:sz w:val="21"/>
          <w:szCs w:val="21"/>
          <w:lang w:val="en-US" w:eastAsia="zh-CN" w:bidi="ar-SA"/>
        </w:rPr>
        <w:instrText xml:space="preserve"> SEQ 表 \* ARABIC \s 3 </w:instrText>
      </w:r>
      <w:r>
        <w:rPr>
          <w:rFonts w:hint="eastAsia" w:ascii="宋体" w:hAnsi="宋体" w:eastAsia="宋体" w:cs="宋体"/>
          <w:b/>
          <w:bCs/>
          <w:color w:val="auto"/>
          <w:kern w:val="0"/>
          <w:sz w:val="21"/>
          <w:szCs w:val="21"/>
          <w:lang w:val="en-US" w:eastAsia="zh-CN" w:bidi="ar-SA"/>
        </w:rPr>
        <w:fldChar w:fldCharType="separate"/>
      </w:r>
      <w:r>
        <w:rPr>
          <w:rFonts w:hint="eastAsia" w:ascii="宋体" w:hAnsi="宋体" w:eastAsia="宋体" w:cs="宋体"/>
          <w:b/>
          <w:bCs/>
          <w:color w:val="auto"/>
          <w:kern w:val="0"/>
          <w:sz w:val="21"/>
          <w:szCs w:val="21"/>
          <w:lang w:val="en-US" w:eastAsia="zh-CN" w:bidi="ar-SA"/>
        </w:rPr>
        <w:t>1</w:t>
      </w:r>
      <w:r>
        <w:rPr>
          <w:rFonts w:hint="eastAsia" w:ascii="宋体" w:hAnsi="宋体" w:eastAsia="宋体" w:cs="宋体"/>
          <w:b/>
          <w:bCs/>
          <w:color w:val="auto"/>
          <w:kern w:val="0"/>
          <w:sz w:val="21"/>
          <w:szCs w:val="21"/>
          <w:lang w:val="en-US" w:eastAsia="zh-CN" w:bidi="ar-SA"/>
        </w:rPr>
        <w:fldChar w:fldCharType="end"/>
      </w:r>
      <w:bookmarkEnd w:id="150"/>
      <w:r>
        <w:rPr>
          <w:rFonts w:hint="eastAsia" w:ascii="宋体" w:hAnsi="宋体" w:eastAsia="宋体" w:cs="宋体"/>
          <w:b/>
          <w:bCs/>
          <w:color w:val="auto"/>
          <w:kern w:val="0"/>
          <w:sz w:val="21"/>
          <w:szCs w:val="21"/>
          <w:lang w:val="en-US" w:eastAsia="zh-CN" w:bidi="ar-SA"/>
        </w:rPr>
        <w:t xml:space="preserve"> 风险因素分析、识别表</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190"/>
        <w:gridCol w:w="4961"/>
        <w:gridCol w:w="1487"/>
      </w:tblGrid>
      <w:tr w14:paraId="20C831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0" w:type="auto"/>
            <w:shd w:val="clear" w:color="auto" w:fill="auto"/>
            <w:noWrap/>
            <w:vAlign w:val="center"/>
          </w:tcPr>
          <w:p w14:paraId="0F2D2616">
            <w:pPr>
              <w:pStyle w:val="13"/>
              <w:rPr>
                <w:b/>
                <w:bCs/>
              </w:rPr>
            </w:pPr>
            <w:r>
              <w:rPr>
                <w:rFonts w:hint="eastAsia"/>
                <w:b/>
                <w:bCs/>
              </w:rPr>
              <w:t>序号</w:t>
            </w:r>
          </w:p>
        </w:tc>
        <w:tc>
          <w:tcPr>
            <w:tcW w:w="1190" w:type="dxa"/>
            <w:shd w:val="clear" w:color="auto" w:fill="auto"/>
            <w:vAlign w:val="center"/>
          </w:tcPr>
          <w:p w14:paraId="279602F5">
            <w:pPr>
              <w:pStyle w:val="13"/>
              <w:rPr>
                <w:b/>
                <w:bCs/>
              </w:rPr>
            </w:pPr>
            <w:r>
              <w:rPr>
                <w:rFonts w:hint="eastAsia"/>
                <w:b/>
                <w:bCs/>
              </w:rPr>
              <w:t>活动内容</w:t>
            </w:r>
          </w:p>
        </w:tc>
        <w:tc>
          <w:tcPr>
            <w:tcW w:w="4961" w:type="dxa"/>
            <w:shd w:val="clear" w:color="auto" w:fill="auto"/>
            <w:vAlign w:val="center"/>
          </w:tcPr>
          <w:p w14:paraId="4291AB27">
            <w:pPr>
              <w:pStyle w:val="13"/>
              <w:rPr>
                <w:b/>
                <w:bCs/>
              </w:rPr>
            </w:pPr>
            <w:r>
              <w:rPr>
                <w:rFonts w:hint="eastAsia"/>
                <w:b/>
                <w:bCs/>
              </w:rPr>
              <w:t>危害因素</w:t>
            </w:r>
          </w:p>
        </w:tc>
        <w:tc>
          <w:tcPr>
            <w:tcW w:w="1487" w:type="dxa"/>
            <w:shd w:val="clear" w:color="auto" w:fill="auto"/>
            <w:vAlign w:val="center"/>
          </w:tcPr>
          <w:p w14:paraId="3B9A05E0">
            <w:pPr>
              <w:pStyle w:val="13"/>
              <w:rPr>
                <w:b/>
                <w:bCs/>
              </w:rPr>
            </w:pPr>
            <w:r>
              <w:rPr>
                <w:rFonts w:hint="eastAsia"/>
                <w:b/>
                <w:bCs/>
              </w:rPr>
              <w:t>潜在事故类型</w:t>
            </w:r>
          </w:p>
        </w:tc>
      </w:tr>
      <w:tr w14:paraId="221D6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6A02D2B">
            <w:pPr>
              <w:pStyle w:val="13"/>
              <w:numPr>
                <w:ilvl w:val="0"/>
                <w:numId w:val="38"/>
              </w:numPr>
              <w:rPr>
                <w:b w:val="0"/>
                <w:bCs/>
              </w:rPr>
            </w:pPr>
          </w:p>
        </w:tc>
        <w:tc>
          <w:tcPr>
            <w:tcW w:w="1190" w:type="dxa"/>
            <w:vMerge w:val="restart"/>
            <w:shd w:val="clear" w:color="auto" w:fill="auto"/>
            <w:vAlign w:val="center"/>
          </w:tcPr>
          <w:p w14:paraId="47EC8657">
            <w:pPr>
              <w:pStyle w:val="13"/>
              <w:rPr>
                <w:b w:val="0"/>
                <w:bCs/>
              </w:rPr>
            </w:pPr>
            <w:r>
              <w:rPr>
                <w:rFonts w:hint="eastAsia"/>
                <w:b w:val="0"/>
                <w:bCs/>
              </w:rPr>
              <w:t>施工准备</w:t>
            </w:r>
          </w:p>
        </w:tc>
        <w:tc>
          <w:tcPr>
            <w:tcW w:w="4961" w:type="dxa"/>
            <w:shd w:val="clear" w:color="auto" w:fill="auto"/>
            <w:vAlign w:val="center"/>
          </w:tcPr>
          <w:p w14:paraId="7D77E6EA">
            <w:pPr>
              <w:pStyle w:val="13"/>
              <w:rPr>
                <w:b w:val="0"/>
                <w:bCs/>
              </w:rPr>
            </w:pPr>
            <w:r>
              <w:rPr>
                <w:rFonts w:hint="eastAsia"/>
                <w:b w:val="0"/>
                <w:bCs/>
              </w:rPr>
              <w:t>作业人员进场未进行安全培训教育和风险告知；未对作业人员进行安全技术交底或交底不充分</w:t>
            </w:r>
          </w:p>
        </w:tc>
        <w:tc>
          <w:tcPr>
            <w:tcW w:w="1487" w:type="dxa"/>
            <w:vMerge w:val="restart"/>
            <w:shd w:val="clear" w:color="auto" w:fill="auto"/>
            <w:vAlign w:val="center"/>
          </w:tcPr>
          <w:p w14:paraId="7E64BA3E">
            <w:pPr>
              <w:pStyle w:val="13"/>
              <w:rPr>
                <w:b w:val="0"/>
                <w:bCs/>
              </w:rPr>
            </w:pPr>
            <w:r>
              <w:rPr>
                <w:rFonts w:hint="eastAsia"/>
                <w:b w:val="0"/>
                <w:bCs/>
              </w:rPr>
              <w:t>物体打击、起重伤害、高处坠落、车辆伤害、触电等</w:t>
            </w:r>
          </w:p>
        </w:tc>
      </w:tr>
      <w:tr w14:paraId="4FFCCA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00F7BF2">
            <w:pPr>
              <w:pStyle w:val="13"/>
              <w:numPr>
                <w:ilvl w:val="0"/>
                <w:numId w:val="38"/>
              </w:numPr>
              <w:rPr>
                <w:b w:val="0"/>
                <w:bCs/>
              </w:rPr>
            </w:pPr>
          </w:p>
        </w:tc>
        <w:tc>
          <w:tcPr>
            <w:tcW w:w="1190" w:type="dxa"/>
            <w:vMerge w:val="continue"/>
            <w:shd w:val="clear" w:color="auto" w:fill="auto"/>
            <w:vAlign w:val="center"/>
          </w:tcPr>
          <w:p w14:paraId="12A55919">
            <w:pPr>
              <w:pStyle w:val="13"/>
              <w:rPr>
                <w:b w:val="0"/>
                <w:bCs/>
              </w:rPr>
            </w:pPr>
          </w:p>
        </w:tc>
        <w:tc>
          <w:tcPr>
            <w:tcW w:w="4961" w:type="dxa"/>
            <w:shd w:val="clear" w:color="auto" w:fill="auto"/>
            <w:vAlign w:val="center"/>
          </w:tcPr>
          <w:p w14:paraId="02FB9898">
            <w:pPr>
              <w:pStyle w:val="13"/>
              <w:rPr>
                <w:b w:val="0"/>
                <w:bCs/>
              </w:rPr>
            </w:pPr>
            <w:r>
              <w:rPr>
                <w:rFonts w:hint="eastAsia"/>
                <w:b w:val="0"/>
                <w:bCs/>
              </w:rPr>
              <w:t>作业人员未进行体检或带病作业</w:t>
            </w:r>
          </w:p>
        </w:tc>
        <w:tc>
          <w:tcPr>
            <w:tcW w:w="1487" w:type="dxa"/>
            <w:vMerge w:val="continue"/>
            <w:shd w:val="clear" w:color="auto" w:fill="auto"/>
            <w:vAlign w:val="center"/>
          </w:tcPr>
          <w:p w14:paraId="50E18C51">
            <w:pPr>
              <w:pStyle w:val="13"/>
              <w:rPr>
                <w:b w:val="0"/>
                <w:bCs/>
              </w:rPr>
            </w:pPr>
          </w:p>
        </w:tc>
      </w:tr>
      <w:tr w14:paraId="1A7FA8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38418DB">
            <w:pPr>
              <w:pStyle w:val="13"/>
              <w:numPr>
                <w:ilvl w:val="0"/>
                <w:numId w:val="38"/>
              </w:numPr>
              <w:rPr>
                <w:b w:val="0"/>
                <w:bCs/>
              </w:rPr>
            </w:pPr>
          </w:p>
        </w:tc>
        <w:tc>
          <w:tcPr>
            <w:tcW w:w="1190" w:type="dxa"/>
            <w:vMerge w:val="continue"/>
            <w:shd w:val="clear" w:color="auto" w:fill="auto"/>
            <w:vAlign w:val="center"/>
          </w:tcPr>
          <w:p w14:paraId="40E5ED4C">
            <w:pPr>
              <w:pStyle w:val="13"/>
              <w:rPr>
                <w:b w:val="0"/>
                <w:bCs/>
              </w:rPr>
            </w:pPr>
          </w:p>
        </w:tc>
        <w:tc>
          <w:tcPr>
            <w:tcW w:w="4961" w:type="dxa"/>
            <w:shd w:val="clear" w:color="auto" w:fill="auto"/>
            <w:vAlign w:val="center"/>
          </w:tcPr>
          <w:p w14:paraId="07C84652">
            <w:pPr>
              <w:pStyle w:val="13"/>
              <w:rPr>
                <w:b w:val="0"/>
                <w:bCs/>
              </w:rPr>
            </w:pPr>
            <w:r>
              <w:rPr>
                <w:rFonts w:hint="eastAsia"/>
                <w:b w:val="0"/>
                <w:bCs/>
              </w:rPr>
              <w:t>作业人员未正确佩戴和使用安全防护用品</w:t>
            </w:r>
          </w:p>
        </w:tc>
        <w:tc>
          <w:tcPr>
            <w:tcW w:w="1487" w:type="dxa"/>
            <w:vMerge w:val="continue"/>
            <w:shd w:val="clear" w:color="auto" w:fill="auto"/>
            <w:vAlign w:val="center"/>
          </w:tcPr>
          <w:p w14:paraId="2C8C1235">
            <w:pPr>
              <w:pStyle w:val="13"/>
              <w:rPr>
                <w:b w:val="0"/>
                <w:bCs/>
              </w:rPr>
            </w:pPr>
          </w:p>
        </w:tc>
      </w:tr>
      <w:tr w14:paraId="709589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E4619BA">
            <w:pPr>
              <w:pStyle w:val="13"/>
              <w:numPr>
                <w:ilvl w:val="0"/>
                <w:numId w:val="38"/>
              </w:numPr>
              <w:rPr>
                <w:b w:val="0"/>
                <w:bCs/>
              </w:rPr>
            </w:pPr>
          </w:p>
        </w:tc>
        <w:tc>
          <w:tcPr>
            <w:tcW w:w="1190" w:type="dxa"/>
            <w:vMerge w:val="continue"/>
            <w:shd w:val="clear" w:color="auto" w:fill="auto"/>
            <w:vAlign w:val="center"/>
          </w:tcPr>
          <w:p w14:paraId="5312D82F">
            <w:pPr>
              <w:pStyle w:val="13"/>
              <w:rPr>
                <w:b w:val="0"/>
                <w:bCs/>
              </w:rPr>
            </w:pPr>
          </w:p>
        </w:tc>
        <w:tc>
          <w:tcPr>
            <w:tcW w:w="4961" w:type="dxa"/>
            <w:shd w:val="clear" w:color="auto" w:fill="auto"/>
            <w:vAlign w:val="center"/>
          </w:tcPr>
          <w:p w14:paraId="33C4BF77">
            <w:pPr>
              <w:pStyle w:val="13"/>
              <w:rPr>
                <w:b w:val="0"/>
                <w:bCs/>
              </w:rPr>
            </w:pPr>
            <w:r>
              <w:rPr>
                <w:rFonts w:hint="eastAsia"/>
                <w:b w:val="0"/>
                <w:bCs/>
              </w:rPr>
              <w:t>特种作业人员未持证上岗或证件过期</w:t>
            </w:r>
          </w:p>
        </w:tc>
        <w:tc>
          <w:tcPr>
            <w:tcW w:w="1487" w:type="dxa"/>
            <w:vMerge w:val="continue"/>
            <w:shd w:val="clear" w:color="auto" w:fill="auto"/>
            <w:vAlign w:val="center"/>
          </w:tcPr>
          <w:p w14:paraId="68CBE2EA">
            <w:pPr>
              <w:pStyle w:val="13"/>
              <w:rPr>
                <w:b w:val="0"/>
                <w:bCs/>
              </w:rPr>
            </w:pPr>
          </w:p>
        </w:tc>
      </w:tr>
      <w:tr w14:paraId="73780D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0A3A20A">
            <w:pPr>
              <w:pStyle w:val="13"/>
              <w:numPr>
                <w:ilvl w:val="0"/>
                <w:numId w:val="38"/>
              </w:numPr>
              <w:rPr>
                <w:b w:val="0"/>
                <w:bCs/>
              </w:rPr>
            </w:pPr>
          </w:p>
        </w:tc>
        <w:tc>
          <w:tcPr>
            <w:tcW w:w="1190" w:type="dxa"/>
            <w:vMerge w:val="continue"/>
            <w:shd w:val="clear" w:color="auto" w:fill="auto"/>
            <w:vAlign w:val="center"/>
          </w:tcPr>
          <w:p w14:paraId="042C654A">
            <w:pPr>
              <w:pStyle w:val="13"/>
              <w:rPr>
                <w:b w:val="0"/>
                <w:bCs/>
              </w:rPr>
            </w:pPr>
          </w:p>
        </w:tc>
        <w:tc>
          <w:tcPr>
            <w:tcW w:w="4961" w:type="dxa"/>
            <w:shd w:val="clear" w:color="auto" w:fill="auto"/>
            <w:vAlign w:val="center"/>
          </w:tcPr>
          <w:p w14:paraId="1D27338A">
            <w:pPr>
              <w:pStyle w:val="13"/>
              <w:rPr>
                <w:b w:val="0"/>
                <w:bCs/>
              </w:rPr>
            </w:pPr>
            <w:r>
              <w:rPr>
                <w:rFonts w:hint="eastAsia"/>
                <w:b w:val="0"/>
                <w:bCs/>
              </w:rPr>
              <w:t>材料、设备不合格，存在缺陷</w:t>
            </w:r>
          </w:p>
        </w:tc>
        <w:tc>
          <w:tcPr>
            <w:tcW w:w="1487" w:type="dxa"/>
            <w:vMerge w:val="continue"/>
            <w:shd w:val="clear" w:color="auto" w:fill="auto"/>
            <w:vAlign w:val="center"/>
          </w:tcPr>
          <w:p w14:paraId="0229B953">
            <w:pPr>
              <w:pStyle w:val="13"/>
              <w:rPr>
                <w:b w:val="0"/>
                <w:bCs/>
              </w:rPr>
            </w:pPr>
          </w:p>
        </w:tc>
      </w:tr>
      <w:tr w14:paraId="33ADE6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8F3DCEA">
            <w:pPr>
              <w:pStyle w:val="13"/>
              <w:numPr>
                <w:ilvl w:val="0"/>
                <w:numId w:val="38"/>
              </w:numPr>
              <w:rPr>
                <w:b w:val="0"/>
                <w:bCs/>
              </w:rPr>
            </w:pPr>
          </w:p>
        </w:tc>
        <w:tc>
          <w:tcPr>
            <w:tcW w:w="1190" w:type="dxa"/>
            <w:vMerge w:val="continue"/>
            <w:shd w:val="clear" w:color="auto" w:fill="auto"/>
            <w:vAlign w:val="center"/>
          </w:tcPr>
          <w:p w14:paraId="750BF451">
            <w:pPr>
              <w:pStyle w:val="13"/>
              <w:rPr>
                <w:b w:val="0"/>
                <w:bCs/>
              </w:rPr>
            </w:pPr>
          </w:p>
        </w:tc>
        <w:tc>
          <w:tcPr>
            <w:tcW w:w="4961" w:type="dxa"/>
            <w:shd w:val="clear" w:color="auto" w:fill="auto"/>
            <w:vAlign w:val="center"/>
          </w:tcPr>
          <w:p w14:paraId="1012B16C">
            <w:pPr>
              <w:pStyle w:val="13"/>
              <w:rPr>
                <w:b w:val="0"/>
                <w:bCs/>
              </w:rPr>
            </w:pPr>
            <w:r>
              <w:rPr>
                <w:rFonts w:hint="eastAsia"/>
                <w:b w:val="0"/>
                <w:bCs/>
              </w:rPr>
              <w:t>气象跟踪不及时，恶劣天气施工</w:t>
            </w:r>
          </w:p>
        </w:tc>
        <w:tc>
          <w:tcPr>
            <w:tcW w:w="1487" w:type="dxa"/>
            <w:vMerge w:val="continue"/>
            <w:shd w:val="clear" w:color="auto" w:fill="auto"/>
            <w:vAlign w:val="center"/>
          </w:tcPr>
          <w:p w14:paraId="4A097084">
            <w:pPr>
              <w:pStyle w:val="13"/>
              <w:rPr>
                <w:b w:val="0"/>
                <w:bCs/>
              </w:rPr>
            </w:pPr>
          </w:p>
        </w:tc>
      </w:tr>
      <w:tr w14:paraId="37ACC9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FE02C78">
            <w:pPr>
              <w:pStyle w:val="13"/>
              <w:numPr>
                <w:ilvl w:val="0"/>
                <w:numId w:val="38"/>
              </w:numPr>
              <w:rPr>
                <w:b w:val="0"/>
                <w:bCs/>
              </w:rPr>
            </w:pPr>
          </w:p>
        </w:tc>
        <w:tc>
          <w:tcPr>
            <w:tcW w:w="1190" w:type="dxa"/>
            <w:vMerge w:val="continue"/>
            <w:shd w:val="clear" w:color="auto" w:fill="auto"/>
            <w:vAlign w:val="center"/>
          </w:tcPr>
          <w:p w14:paraId="1273EC16">
            <w:pPr>
              <w:pStyle w:val="13"/>
              <w:rPr>
                <w:b w:val="0"/>
                <w:bCs/>
              </w:rPr>
            </w:pPr>
          </w:p>
        </w:tc>
        <w:tc>
          <w:tcPr>
            <w:tcW w:w="4961" w:type="dxa"/>
            <w:shd w:val="clear" w:color="auto" w:fill="auto"/>
            <w:vAlign w:val="center"/>
          </w:tcPr>
          <w:p w14:paraId="46AD866F">
            <w:pPr>
              <w:pStyle w:val="13"/>
              <w:rPr>
                <w:b w:val="0"/>
                <w:bCs/>
              </w:rPr>
            </w:pPr>
            <w:r>
              <w:rPr>
                <w:rFonts w:hint="eastAsia"/>
                <w:b w:val="0"/>
                <w:bCs/>
              </w:rPr>
              <w:t>辅助钢管附墙未安装或者安装不牢靠</w:t>
            </w:r>
          </w:p>
        </w:tc>
        <w:tc>
          <w:tcPr>
            <w:tcW w:w="1487" w:type="dxa"/>
            <w:shd w:val="clear" w:color="auto" w:fill="auto"/>
            <w:vAlign w:val="center"/>
          </w:tcPr>
          <w:p w14:paraId="4C914403">
            <w:pPr>
              <w:pStyle w:val="13"/>
              <w:rPr>
                <w:b w:val="0"/>
                <w:bCs/>
              </w:rPr>
            </w:pPr>
            <w:r>
              <w:rPr>
                <w:rFonts w:hint="eastAsia"/>
                <w:b w:val="0"/>
                <w:bCs/>
              </w:rPr>
              <w:t>高处坠落</w:t>
            </w:r>
          </w:p>
        </w:tc>
      </w:tr>
      <w:tr w14:paraId="668A5F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B669D5C">
            <w:pPr>
              <w:pStyle w:val="13"/>
              <w:numPr>
                <w:ilvl w:val="0"/>
                <w:numId w:val="38"/>
              </w:numPr>
              <w:rPr>
                <w:b w:val="0"/>
                <w:bCs/>
              </w:rPr>
            </w:pPr>
          </w:p>
        </w:tc>
        <w:tc>
          <w:tcPr>
            <w:tcW w:w="1190" w:type="dxa"/>
            <w:vMerge w:val="continue"/>
            <w:shd w:val="clear" w:color="auto" w:fill="auto"/>
            <w:vAlign w:val="center"/>
          </w:tcPr>
          <w:p w14:paraId="2A7BAC14">
            <w:pPr>
              <w:pStyle w:val="13"/>
              <w:rPr>
                <w:b w:val="0"/>
                <w:bCs/>
              </w:rPr>
            </w:pPr>
          </w:p>
        </w:tc>
        <w:tc>
          <w:tcPr>
            <w:tcW w:w="4961" w:type="dxa"/>
            <w:shd w:val="clear" w:color="auto" w:fill="auto"/>
            <w:vAlign w:val="center"/>
          </w:tcPr>
          <w:p w14:paraId="043D9120">
            <w:pPr>
              <w:pStyle w:val="13"/>
              <w:rPr>
                <w:b w:val="0"/>
                <w:bCs/>
              </w:rPr>
            </w:pPr>
            <w:r>
              <w:rPr>
                <w:rFonts w:hint="eastAsia"/>
                <w:b w:val="0"/>
                <w:bCs/>
              </w:rPr>
              <w:t>未设置附墙安拆时的施工操作平台</w:t>
            </w:r>
          </w:p>
          <w:p w14:paraId="1A707B3B">
            <w:pPr>
              <w:pStyle w:val="13"/>
              <w:rPr>
                <w:b w:val="0"/>
                <w:bCs/>
              </w:rPr>
            </w:pPr>
            <w:r>
              <w:rPr>
                <w:rFonts w:hint="eastAsia"/>
                <w:b w:val="0"/>
                <w:bCs/>
              </w:rPr>
              <w:t>或操作平台不牢靠</w:t>
            </w:r>
          </w:p>
        </w:tc>
        <w:tc>
          <w:tcPr>
            <w:tcW w:w="1487" w:type="dxa"/>
            <w:shd w:val="clear" w:color="auto" w:fill="auto"/>
            <w:vAlign w:val="center"/>
          </w:tcPr>
          <w:p w14:paraId="41C0BC0B">
            <w:pPr>
              <w:pStyle w:val="13"/>
              <w:rPr>
                <w:b w:val="0"/>
                <w:bCs/>
              </w:rPr>
            </w:pPr>
            <w:r>
              <w:rPr>
                <w:rFonts w:hint="eastAsia"/>
                <w:b w:val="0"/>
                <w:bCs/>
              </w:rPr>
              <w:t>高处坠落</w:t>
            </w:r>
          </w:p>
        </w:tc>
      </w:tr>
      <w:tr w14:paraId="7B2240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61AE662">
            <w:pPr>
              <w:pStyle w:val="13"/>
              <w:numPr>
                <w:ilvl w:val="0"/>
                <w:numId w:val="38"/>
              </w:numPr>
              <w:rPr>
                <w:b w:val="0"/>
                <w:bCs/>
              </w:rPr>
            </w:pPr>
          </w:p>
        </w:tc>
        <w:tc>
          <w:tcPr>
            <w:tcW w:w="1190" w:type="dxa"/>
            <w:vMerge w:val="continue"/>
            <w:shd w:val="clear" w:color="auto" w:fill="auto"/>
            <w:vAlign w:val="center"/>
          </w:tcPr>
          <w:p w14:paraId="4014A3A5">
            <w:pPr>
              <w:pStyle w:val="13"/>
              <w:rPr>
                <w:b w:val="0"/>
                <w:bCs/>
              </w:rPr>
            </w:pPr>
          </w:p>
        </w:tc>
        <w:tc>
          <w:tcPr>
            <w:tcW w:w="4961" w:type="dxa"/>
            <w:shd w:val="clear" w:color="auto" w:fill="auto"/>
            <w:vAlign w:val="center"/>
          </w:tcPr>
          <w:p w14:paraId="7D5F8FD7">
            <w:pPr>
              <w:pStyle w:val="13"/>
              <w:rPr>
                <w:b w:val="0"/>
                <w:bCs/>
              </w:rPr>
            </w:pPr>
            <w:r>
              <w:rPr>
                <w:rFonts w:hint="eastAsia"/>
                <w:b w:val="0"/>
                <w:bCs/>
              </w:rPr>
              <w:t>施工升降机安装或拆卸队伍无资质证书或不符合要求</w:t>
            </w:r>
          </w:p>
        </w:tc>
        <w:tc>
          <w:tcPr>
            <w:tcW w:w="1487" w:type="dxa"/>
            <w:shd w:val="clear" w:color="auto" w:fill="auto"/>
            <w:vAlign w:val="center"/>
          </w:tcPr>
          <w:p w14:paraId="79F4F6C0">
            <w:pPr>
              <w:pStyle w:val="13"/>
              <w:rPr>
                <w:b w:val="0"/>
                <w:bCs/>
              </w:rPr>
            </w:pPr>
            <w:r>
              <w:rPr>
                <w:rFonts w:hint="eastAsia"/>
                <w:b w:val="0"/>
                <w:bCs/>
              </w:rPr>
              <w:t>高处坠落、物体打击</w:t>
            </w:r>
          </w:p>
        </w:tc>
      </w:tr>
      <w:tr w14:paraId="27E54C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617ABD3">
            <w:pPr>
              <w:pStyle w:val="13"/>
              <w:numPr>
                <w:ilvl w:val="0"/>
                <w:numId w:val="38"/>
              </w:numPr>
              <w:rPr>
                <w:b w:val="0"/>
                <w:bCs/>
              </w:rPr>
            </w:pPr>
          </w:p>
        </w:tc>
        <w:tc>
          <w:tcPr>
            <w:tcW w:w="1190" w:type="dxa"/>
            <w:vMerge w:val="restart"/>
            <w:shd w:val="clear" w:color="auto" w:fill="auto"/>
            <w:vAlign w:val="center"/>
          </w:tcPr>
          <w:p w14:paraId="69435C3A">
            <w:pPr>
              <w:pStyle w:val="13"/>
              <w:rPr>
                <w:b w:val="0"/>
                <w:bCs/>
              </w:rPr>
            </w:pPr>
            <w:r>
              <w:rPr>
                <w:rFonts w:hint="eastAsia"/>
                <w:b w:val="0"/>
                <w:bCs/>
              </w:rPr>
              <w:t>底架及标准节安装</w:t>
            </w:r>
          </w:p>
        </w:tc>
        <w:tc>
          <w:tcPr>
            <w:tcW w:w="4961" w:type="dxa"/>
            <w:shd w:val="clear" w:color="auto" w:fill="auto"/>
            <w:vAlign w:val="center"/>
          </w:tcPr>
          <w:p w14:paraId="1B963264">
            <w:pPr>
              <w:pStyle w:val="13"/>
              <w:rPr>
                <w:b w:val="0"/>
                <w:bCs/>
              </w:rPr>
            </w:pPr>
            <w:r>
              <w:rPr>
                <w:rFonts w:hint="eastAsia"/>
                <w:b w:val="0"/>
                <w:bCs/>
              </w:rPr>
              <w:t>底架固定不牢固、底架底部脱空、底架安装</w:t>
            </w:r>
          </w:p>
          <w:p w14:paraId="07AF3C6B">
            <w:pPr>
              <w:pStyle w:val="13"/>
              <w:rPr>
                <w:b w:val="0"/>
                <w:bCs/>
              </w:rPr>
            </w:pPr>
            <w:r>
              <w:rPr>
                <w:rFonts w:hint="eastAsia"/>
                <w:b w:val="0"/>
                <w:bCs/>
              </w:rPr>
              <w:t>角度以及平面位置偏差较大</w:t>
            </w:r>
          </w:p>
        </w:tc>
        <w:tc>
          <w:tcPr>
            <w:tcW w:w="1487" w:type="dxa"/>
            <w:shd w:val="clear" w:color="auto" w:fill="auto"/>
            <w:vAlign w:val="center"/>
          </w:tcPr>
          <w:p w14:paraId="7FA2F130">
            <w:pPr>
              <w:pStyle w:val="13"/>
              <w:rPr>
                <w:b w:val="0"/>
                <w:bCs/>
              </w:rPr>
            </w:pPr>
            <w:r>
              <w:rPr>
                <w:rFonts w:hint="eastAsia"/>
                <w:b w:val="0"/>
                <w:bCs/>
              </w:rPr>
              <w:t>坍塌</w:t>
            </w:r>
          </w:p>
        </w:tc>
      </w:tr>
      <w:tr w14:paraId="082270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A9014A1">
            <w:pPr>
              <w:pStyle w:val="13"/>
              <w:numPr>
                <w:ilvl w:val="0"/>
                <w:numId w:val="38"/>
              </w:numPr>
              <w:rPr>
                <w:b w:val="0"/>
                <w:bCs/>
              </w:rPr>
            </w:pPr>
          </w:p>
        </w:tc>
        <w:tc>
          <w:tcPr>
            <w:tcW w:w="1190" w:type="dxa"/>
            <w:vMerge w:val="continue"/>
            <w:shd w:val="clear" w:color="auto" w:fill="auto"/>
            <w:vAlign w:val="center"/>
          </w:tcPr>
          <w:p w14:paraId="049FA8D6">
            <w:pPr>
              <w:pStyle w:val="13"/>
              <w:rPr>
                <w:b w:val="0"/>
                <w:bCs/>
              </w:rPr>
            </w:pPr>
          </w:p>
        </w:tc>
        <w:tc>
          <w:tcPr>
            <w:tcW w:w="4961" w:type="dxa"/>
            <w:shd w:val="clear" w:color="auto" w:fill="auto"/>
            <w:vAlign w:val="center"/>
          </w:tcPr>
          <w:p w14:paraId="707F6EF5">
            <w:pPr>
              <w:pStyle w:val="13"/>
              <w:rPr>
                <w:b w:val="0"/>
                <w:bCs/>
              </w:rPr>
            </w:pPr>
            <w:r>
              <w:rPr>
                <w:rFonts w:hint="eastAsia"/>
                <w:b w:val="0"/>
                <w:bCs/>
              </w:rPr>
              <w:t>标准节型号不对、标准节安装连接螺栓未拧紧到位</w:t>
            </w:r>
          </w:p>
          <w:p w14:paraId="72121EB2">
            <w:pPr>
              <w:pStyle w:val="13"/>
              <w:rPr>
                <w:b w:val="0"/>
                <w:bCs/>
              </w:rPr>
            </w:pPr>
            <w:r>
              <w:rPr>
                <w:rFonts w:hint="eastAsia"/>
                <w:b w:val="0"/>
                <w:bCs/>
              </w:rPr>
              <w:t>或者螺栓数量不足</w:t>
            </w:r>
          </w:p>
        </w:tc>
        <w:tc>
          <w:tcPr>
            <w:tcW w:w="1487" w:type="dxa"/>
            <w:shd w:val="clear" w:color="auto" w:fill="auto"/>
            <w:vAlign w:val="center"/>
          </w:tcPr>
          <w:p w14:paraId="10C744B7">
            <w:pPr>
              <w:pStyle w:val="13"/>
              <w:rPr>
                <w:b w:val="0"/>
                <w:bCs/>
              </w:rPr>
            </w:pPr>
            <w:r>
              <w:rPr>
                <w:rFonts w:hint="eastAsia"/>
                <w:b w:val="0"/>
                <w:bCs/>
              </w:rPr>
              <w:t>坍塌</w:t>
            </w:r>
          </w:p>
        </w:tc>
      </w:tr>
      <w:tr w14:paraId="38F691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DB1B57B">
            <w:pPr>
              <w:pStyle w:val="13"/>
              <w:numPr>
                <w:ilvl w:val="0"/>
                <w:numId w:val="38"/>
              </w:numPr>
              <w:rPr>
                <w:b w:val="0"/>
                <w:bCs/>
              </w:rPr>
            </w:pPr>
          </w:p>
        </w:tc>
        <w:tc>
          <w:tcPr>
            <w:tcW w:w="1190" w:type="dxa"/>
            <w:vMerge w:val="continue"/>
            <w:shd w:val="clear" w:color="auto" w:fill="auto"/>
            <w:vAlign w:val="center"/>
          </w:tcPr>
          <w:p w14:paraId="28E01EDF">
            <w:pPr>
              <w:pStyle w:val="13"/>
              <w:rPr>
                <w:b w:val="0"/>
                <w:bCs/>
              </w:rPr>
            </w:pPr>
          </w:p>
        </w:tc>
        <w:tc>
          <w:tcPr>
            <w:tcW w:w="4961" w:type="dxa"/>
            <w:shd w:val="clear" w:color="auto" w:fill="auto"/>
            <w:vAlign w:val="center"/>
          </w:tcPr>
          <w:p w14:paraId="49C94921">
            <w:pPr>
              <w:pStyle w:val="13"/>
              <w:rPr>
                <w:b w:val="0"/>
                <w:bCs/>
              </w:rPr>
            </w:pPr>
            <w:r>
              <w:rPr>
                <w:rFonts w:hint="eastAsia"/>
                <w:b w:val="0"/>
                <w:bCs/>
              </w:rPr>
              <w:t>标准节有可见裂纹、严重锈蚀、严重磨损、整体</w:t>
            </w:r>
          </w:p>
          <w:p w14:paraId="429A4442">
            <w:pPr>
              <w:pStyle w:val="13"/>
              <w:rPr>
                <w:b w:val="0"/>
                <w:bCs/>
              </w:rPr>
            </w:pPr>
            <w:r>
              <w:rPr>
                <w:rFonts w:hint="eastAsia"/>
                <w:b w:val="0"/>
                <w:bCs/>
              </w:rPr>
              <w:t>或局部变形</w:t>
            </w:r>
          </w:p>
        </w:tc>
        <w:tc>
          <w:tcPr>
            <w:tcW w:w="1487" w:type="dxa"/>
            <w:shd w:val="clear" w:color="auto" w:fill="auto"/>
            <w:vAlign w:val="center"/>
          </w:tcPr>
          <w:p w14:paraId="515DF1C1">
            <w:pPr>
              <w:pStyle w:val="13"/>
              <w:rPr>
                <w:b w:val="0"/>
                <w:bCs/>
              </w:rPr>
            </w:pPr>
            <w:r>
              <w:rPr>
                <w:rFonts w:hint="eastAsia"/>
                <w:b w:val="0"/>
                <w:bCs/>
              </w:rPr>
              <w:t>坍塌</w:t>
            </w:r>
          </w:p>
        </w:tc>
      </w:tr>
      <w:tr w14:paraId="05D14F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856AEED">
            <w:pPr>
              <w:pStyle w:val="13"/>
              <w:numPr>
                <w:ilvl w:val="0"/>
                <w:numId w:val="38"/>
              </w:numPr>
              <w:rPr>
                <w:b w:val="0"/>
                <w:bCs/>
              </w:rPr>
            </w:pPr>
          </w:p>
        </w:tc>
        <w:tc>
          <w:tcPr>
            <w:tcW w:w="1190" w:type="dxa"/>
            <w:vMerge w:val="continue"/>
            <w:shd w:val="clear" w:color="auto" w:fill="auto"/>
            <w:vAlign w:val="center"/>
          </w:tcPr>
          <w:p w14:paraId="3472DA6C">
            <w:pPr>
              <w:pStyle w:val="13"/>
              <w:rPr>
                <w:b w:val="0"/>
                <w:bCs/>
              </w:rPr>
            </w:pPr>
          </w:p>
        </w:tc>
        <w:tc>
          <w:tcPr>
            <w:tcW w:w="4961" w:type="dxa"/>
            <w:shd w:val="clear" w:color="auto" w:fill="auto"/>
            <w:vAlign w:val="center"/>
          </w:tcPr>
          <w:p w14:paraId="40463892">
            <w:pPr>
              <w:pStyle w:val="13"/>
              <w:rPr>
                <w:b w:val="0"/>
                <w:bCs/>
              </w:rPr>
            </w:pPr>
            <w:r>
              <w:rPr>
                <w:rFonts w:hint="eastAsia"/>
                <w:b w:val="0"/>
                <w:bCs/>
              </w:rPr>
              <w:t>当需安装导轨架加厚标准节时，没有确保普通标准节和加厚标准节的安装部位正确，存在用普通标准节替代加厚标准节现象。</w:t>
            </w:r>
          </w:p>
        </w:tc>
        <w:tc>
          <w:tcPr>
            <w:tcW w:w="1487" w:type="dxa"/>
            <w:shd w:val="clear" w:color="auto" w:fill="auto"/>
            <w:vAlign w:val="center"/>
          </w:tcPr>
          <w:p w14:paraId="0DE0B107">
            <w:pPr>
              <w:pStyle w:val="13"/>
              <w:rPr>
                <w:b w:val="0"/>
                <w:bCs/>
              </w:rPr>
            </w:pPr>
            <w:r>
              <w:rPr>
                <w:rFonts w:hint="eastAsia"/>
                <w:b w:val="0"/>
                <w:bCs/>
              </w:rPr>
              <w:t>坍塌</w:t>
            </w:r>
          </w:p>
        </w:tc>
      </w:tr>
      <w:tr w14:paraId="196C52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021A8CA">
            <w:pPr>
              <w:pStyle w:val="13"/>
              <w:numPr>
                <w:ilvl w:val="0"/>
                <w:numId w:val="38"/>
              </w:numPr>
              <w:rPr>
                <w:b w:val="0"/>
                <w:bCs/>
              </w:rPr>
            </w:pPr>
          </w:p>
        </w:tc>
        <w:tc>
          <w:tcPr>
            <w:tcW w:w="1190" w:type="dxa"/>
            <w:vMerge w:val="continue"/>
            <w:shd w:val="clear" w:color="auto" w:fill="auto"/>
            <w:vAlign w:val="center"/>
          </w:tcPr>
          <w:p w14:paraId="227961A6">
            <w:pPr>
              <w:pStyle w:val="13"/>
              <w:rPr>
                <w:b w:val="0"/>
                <w:bCs/>
              </w:rPr>
            </w:pPr>
          </w:p>
        </w:tc>
        <w:tc>
          <w:tcPr>
            <w:tcW w:w="4961" w:type="dxa"/>
            <w:shd w:val="clear" w:color="auto" w:fill="auto"/>
            <w:vAlign w:val="center"/>
          </w:tcPr>
          <w:p w14:paraId="115D2530">
            <w:pPr>
              <w:pStyle w:val="13"/>
              <w:rPr>
                <w:b w:val="0"/>
                <w:bCs/>
              </w:rPr>
            </w:pPr>
            <w:r>
              <w:rPr>
                <w:rFonts w:hint="eastAsia"/>
                <w:b w:val="0"/>
                <w:bCs/>
              </w:rPr>
              <w:t>导轨架与底座连接不牢固</w:t>
            </w:r>
          </w:p>
        </w:tc>
        <w:tc>
          <w:tcPr>
            <w:tcW w:w="1487" w:type="dxa"/>
            <w:shd w:val="clear" w:color="auto" w:fill="auto"/>
            <w:vAlign w:val="center"/>
          </w:tcPr>
          <w:p w14:paraId="59999317">
            <w:pPr>
              <w:pStyle w:val="13"/>
              <w:rPr>
                <w:b w:val="0"/>
                <w:bCs/>
              </w:rPr>
            </w:pPr>
            <w:r>
              <w:rPr>
                <w:rFonts w:hint="eastAsia"/>
                <w:b w:val="0"/>
                <w:bCs/>
              </w:rPr>
              <w:t>坍塌</w:t>
            </w:r>
          </w:p>
        </w:tc>
      </w:tr>
      <w:tr w14:paraId="60BFCE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6126FE9">
            <w:pPr>
              <w:pStyle w:val="13"/>
              <w:numPr>
                <w:ilvl w:val="0"/>
                <w:numId w:val="38"/>
              </w:numPr>
              <w:rPr>
                <w:b w:val="0"/>
                <w:bCs/>
              </w:rPr>
            </w:pPr>
          </w:p>
        </w:tc>
        <w:tc>
          <w:tcPr>
            <w:tcW w:w="1190" w:type="dxa"/>
            <w:vMerge w:val="restart"/>
            <w:shd w:val="clear" w:color="auto" w:fill="auto"/>
            <w:vAlign w:val="center"/>
          </w:tcPr>
          <w:p w14:paraId="1E91CF12">
            <w:pPr>
              <w:pStyle w:val="13"/>
              <w:rPr>
                <w:b w:val="0"/>
                <w:bCs/>
              </w:rPr>
            </w:pPr>
            <w:r>
              <w:rPr>
                <w:rFonts w:hint="eastAsia"/>
                <w:b w:val="0"/>
                <w:bCs/>
              </w:rPr>
              <w:t>外笼安装</w:t>
            </w:r>
          </w:p>
        </w:tc>
        <w:tc>
          <w:tcPr>
            <w:tcW w:w="4961" w:type="dxa"/>
            <w:shd w:val="clear" w:color="auto" w:fill="auto"/>
            <w:vAlign w:val="center"/>
          </w:tcPr>
          <w:p w14:paraId="1F1810A2">
            <w:pPr>
              <w:pStyle w:val="13"/>
              <w:rPr>
                <w:b w:val="0"/>
                <w:bCs/>
              </w:rPr>
            </w:pPr>
            <w:r>
              <w:rPr>
                <w:rFonts w:hint="eastAsia"/>
                <w:b w:val="0"/>
                <w:bCs/>
              </w:rPr>
              <w:t>外笼分片安装时，未加临时支撑，或支撑不牢靠</w:t>
            </w:r>
          </w:p>
        </w:tc>
        <w:tc>
          <w:tcPr>
            <w:tcW w:w="1487" w:type="dxa"/>
            <w:shd w:val="clear" w:color="auto" w:fill="auto"/>
            <w:vAlign w:val="center"/>
          </w:tcPr>
          <w:p w14:paraId="77A85988">
            <w:pPr>
              <w:pStyle w:val="13"/>
              <w:rPr>
                <w:b w:val="0"/>
                <w:bCs/>
              </w:rPr>
            </w:pPr>
            <w:r>
              <w:rPr>
                <w:rFonts w:hint="eastAsia"/>
                <w:b w:val="0"/>
                <w:bCs/>
              </w:rPr>
              <w:t>坍塌</w:t>
            </w:r>
          </w:p>
        </w:tc>
      </w:tr>
      <w:tr w14:paraId="155DD4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A96CBAF">
            <w:pPr>
              <w:pStyle w:val="13"/>
              <w:numPr>
                <w:ilvl w:val="0"/>
                <w:numId w:val="38"/>
              </w:numPr>
              <w:rPr>
                <w:b w:val="0"/>
                <w:bCs/>
              </w:rPr>
            </w:pPr>
          </w:p>
        </w:tc>
        <w:tc>
          <w:tcPr>
            <w:tcW w:w="1190" w:type="dxa"/>
            <w:vMerge w:val="continue"/>
            <w:shd w:val="clear" w:color="auto" w:fill="auto"/>
            <w:vAlign w:val="center"/>
          </w:tcPr>
          <w:p w14:paraId="413E99F5">
            <w:pPr>
              <w:pStyle w:val="13"/>
              <w:rPr>
                <w:b w:val="0"/>
                <w:bCs/>
              </w:rPr>
            </w:pPr>
          </w:p>
        </w:tc>
        <w:tc>
          <w:tcPr>
            <w:tcW w:w="4961" w:type="dxa"/>
            <w:shd w:val="clear" w:color="auto" w:fill="auto"/>
            <w:vAlign w:val="center"/>
          </w:tcPr>
          <w:p w14:paraId="0AC2D673">
            <w:pPr>
              <w:pStyle w:val="13"/>
              <w:rPr>
                <w:b w:val="0"/>
                <w:bCs/>
              </w:rPr>
            </w:pPr>
            <w:r>
              <w:rPr>
                <w:rFonts w:hint="eastAsia"/>
                <w:b w:val="0"/>
                <w:bCs/>
              </w:rPr>
              <w:t>外笼分片安装时，未及时将相邻其连成整体</w:t>
            </w:r>
          </w:p>
          <w:p w14:paraId="07F7D41B">
            <w:pPr>
              <w:pStyle w:val="13"/>
              <w:rPr>
                <w:b w:val="0"/>
                <w:bCs/>
              </w:rPr>
            </w:pPr>
            <w:r>
              <w:rPr>
                <w:rFonts w:hint="eastAsia"/>
                <w:b w:val="0"/>
                <w:bCs/>
              </w:rPr>
              <w:t>或连接不牢靠</w:t>
            </w:r>
          </w:p>
        </w:tc>
        <w:tc>
          <w:tcPr>
            <w:tcW w:w="1487" w:type="dxa"/>
            <w:shd w:val="clear" w:color="auto" w:fill="auto"/>
            <w:vAlign w:val="center"/>
          </w:tcPr>
          <w:p w14:paraId="30995124">
            <w:pPr>
              <w:pStyle w:val="13"/>
              <w:rPr>
                <w:b w:val="0"/>
                <w:bCs/>
              </w:rPr>
            </w:pPr>
            <w:r>
              <w:rPr>
                <w:rFonts w:hint="eastAsia"/>
                <w:b w:val="0"/>
                <w:bCs/>
              </w:rPr>
              <w:t>坍塌</w:t>
            </w:r>
          </w:p>
        </w:tc>
      </w:tr>
      <w:tr w14:paraId="52A0BA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8D66F05">
            <w:pPr>
              <w:pStyle w:val="13"/>
              <w:numPr>
                <w:ilvl w:val="0"/>
                <w:numId w:val="38"/>
              </w:numPr>
              <w:rPr>
                <w:b w:val="0"/>
                <w:bCs/>
              </w:rPr>
            </w:pPr>
          </w:p>
        </w:tc>
        <w:tc>
          <w:tcPr>
            <w:tcW w:w="1190" w:type="dxa"/>
            <w:vMerge w:val="restart"/>
            <w:shd w:val="clear" w:color="auto" w:fill="auto"/>
            <w:vAlign w:val="center"/>
          </w:tcPr>
          <w:p w14:paraId="3C2F0434">
            <w:pPr>
              <w:pStyle w:val="13"/>
              <w:rPr>
                <w:b w:val="0"/>
                <w:bCs/>
              </w:rPr>
            </w:pPr>
            <w:r>
              <w:rPr>
                <w:rFonts w:hint="eastAsia"/>
                <w:b w:val="0"/>
                <w:bCs/>
              </w:rPr>
              <w:t>吊笼及其顶部围栏及传动机构安装</w:t>
            </w:r>
          </w:p>
        </w:tc>
        <w:tc>
          <w:tcPr>
            <w:tcW w:w="4961" w:type="dxa"/>
            <w:shd w:val="clear" w:color="auto" w:fill="auto"/>
            <w:vAlign w:val="center"/>
          </w:tcPr>
          <w:p w14:paraId="75315541">
            <w:pPr>
              <w:pStyle w:val="13"/>
              <w:rPr>
                <w:b w:val="0"/>
                <w:bCs/>
              </w:rPr>
            </w:pPr>
            <w:r>
              <w:rPr>
                <w:rFonts w:hint="eastAsia"/>
                <w:b w:val="0"/>
                <w:bCs/>
              </w:rPr>
              <w:t>吊笼导轮未准确卡入导轨内</w:t>
            </w:r>
          </w:p>
        </w:tc>
        <w:tc>
          <w:tcPr>
            <w:tcW w:w="1487" w:type="dxa"/>
            <w:shd w:val="clear" w:color="auto" w:fill="auto"/>
            <w:vAlign w:val="center"/>
          </w:tcPr>
          <w:p w14:paraId="65DAF95C">
            <w:pPr>
              <w:pStyle w:val="13"/>
              <w:rPr>
                <w:b w:val="0"/>
                <w:bCs/>
              </w:rPr>
            </w:pPr>
            <w:r>
              <w:rPr>
                <w:rFonts w:hint="eastAsia"/>
                <w:b w:val="0"/>
                <w:bCs/>
              </w:rPr>
              <w:t>坍塌</w:t>
            </w:r>
          </w:p>
        </w:tc>
      </w:tr>
      <w:tr w14:paraId="107B85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C742AC0">
            <w:pPr>
              <w:pStyle w:val="13"/>
              <w:numPr>
                <w:ilvl w:val="0"/>
                <w:numId w:val="38"/>
              </w:numPr>
              <w:rPr>
                <w:b w:val="0"/>
                <w:bCs/>
              </w:rPr>
            </w:pPr>
          </w:p>
        </w:tc>
        <w:tc>
          <w:tcPr>
            <w:tcW w:w="1190" w:type="dxa"/>
            <w:vMerge w:val="continue"/>
            <w:shd w:val="clear" w:color="auto" w:fill="auto"/>
            <w:vAlign w:val="center"/>
          </w:tcPr>
          <w:p w14:paraId="7ED443EC">
            <w:pPr>
              <w:pStyle w:val="13"/>
              <w:rPr>
                <w:b w:val="0"/>
                <w:bCs/>
              </w:rPr>
            </w:pPr>
          </w:p>
        </w:tc>
        <w:tc>
          <w:tcPr>
            <w:tcW w:w="4961" w:type="dxa"/>
            <w:shd w:val="clear" w:color="auto" w:fill="auto"/>
            <w:vAlign w:val="center"/>
          </w:tcPr>
          <w:p w14:paraId="5F235B0D">
            <w:pPr>
              <w:pStyle w:val="13"/>
              <w:rPr>
                <w:b w:val="0"/>
                <w:bCs/>
              </w:rPr>
            </w:pPr>
            <w:r>
              <w:rPr>
                <w:rFonts w:hint="eastAsia"/>
                <w:b w:val="0"/>
                <w:bCs/>
              </w:rPr>
              <w:t>安装围栏时，作业人员未系挂安全带</w:t>
            </w:r>
          </w:p>
          <w:p w14:paraId="133F6816">
            <w:pPr>
              <w:pStyle w:val="13"/>
              <w:rPr>
                <w:b w:val="0"/>
                <w:bCs/>
              </w:rPr>
            </w:pPr>
            <w:r>
              <w:rPr>
                <w:rFonts w:hint="eastAsia"/>
                <w:b w:val="0"/>
                <w:bCs/>
              </w:rPr>
              <w:t>或者将安全带系挂在不稳固处</w:t>
            </w:r>
          </w:p>
        </w:tc>
        <w:tc>
          <w:tcPr>
            <w:tcW w:w="1487" w:type="dxa"/>
            <w:shd w:val="clear" w:color="auto" w:fill="auto"/>
            <w:vAlign w:val="center"/>
          </w:tcPr>
          <w:p w14:paraId="53935CF9">
            <w:pPr>
              <w:pStyle w:val="13"/>
              <w:rPr>
                <w:b w:val="0"/>
                <w:bCs/>
              </w:rPr>
            </w:pPr>
            <w:r>
              <w:rPr>
                <w:rFonts w:hint="eastAsia"/>
                <w:b w:val="0"/>
                <w:bCs/>
              </w:rPr>
              <w:t>坍塌</w:t>
            </w:r>
          </w:p>
        </w:tc>
      </w:tr>
      <w:tr w14:paraId="2CCB37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450A43B">
            <w:pPr>
              <w:pStyle w:val="13"/>
              <w:numPr>
                <w:ilvl w:val="0"/>
                <w:numId w:val="38"/>
              </w:numPr>
              <w:rPr>
                <w:b w:val="0"/>
                <w:bCs/>
              </w:rPr>
            </w:pPr>
          </w:p>
        </w:tc>
        <w:tc>
          <w:tcPr>
            <w:tcW w:w="1190" w:type="dxa"/>
            <w:vMerge w:val="continue"/>
            <w:shd w:val="clear" w:color="auto" w:fill="auto"/>
            <w:vAlign w:val="center"/>
          </w:tcPr>
          <w:p w14:paraId="15459300">
            <w:pPr>
              <w:pStyle w:val="13"/>
              <w:rPr>
                <w:b w:val="0"/>
                <w:bCs/>
              </w:rPr>
            </w:pPr>
          </w:p>
        </w:tc>
        <w:tc>
          <w:tcPr>
            <w:tcW w:w="4961" w:type="dxa"/>
            <w:shd w:val="clear" w:color="auto" w:fill="auto"/>
            <w:vAlign w:val="center"/>
          </w:tcPr>
          <w:p w14:paraId="3E075CAC">
            <w:pPr>
              <w:pStyle w:val="13"/>
              <w:rPr>
                <w:b w:val="0"/>
                <w:bCs/>
              </w:rPr>
            </w:pPr>
            <w:r>
              <w:rPr>
                <w:rFonts w:hint="eastAsia"/>
                <w:b w:val="0"/>
                <w:bCs/>
              </w:rPr>
              <w:t>吊笼顶部的耳板锈蚀、变形严重</w:t>
            </w:r>
          </w:p>
        </w:tc>
        <w:tc>
          <w:tcPr>
            <w:tcW w:w="1487" w:type="dxa"/>
            <w:shd w:val="clear" w:color="auto" w:fill="auto"/>
            <w:vAlign w:val="center"/>
          </w:tcPr>
          <w:p w14:paraId="7F6E3F40">
            <w:pPr>
              <w:pStyle w:val="13"/>
              <w:rPr>
                <w:b w:val="0"/>
                <w:bCs/>
              </w:rPr>
            </w:pPr>
            <w:r>
              <w:rPr>
                <w:rFonts w:hint="eastAsia"/>
                <w:b w:val="0"/>
                <w:bCs/>
              </w:rPr>
              <w:t>高处坠落</w:t>
            </w:r>
          </w:p>
        </w:tc>
      </w:tr>
      <w:tr w14:paraId="1173A4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AF44842">
            <w:pPr>
              <w:pStyle w:val="13"/>
              <w:numPr>
                <w:ilvl w:val="0"/>
                <w:numId w:val="38"/>
              </w:numPr>
              <w:rPr>
                <w:b w:val="0"/>
                <w:bCs/>
              </w:rPr>
            </w:pPr>
          </w:p>
        </w:tc>
        <w:tc>
          <w:tcPr>
            <w:tcW w:w="1190" w:type="dxa"/>
            <w:vMerge w:val="continue"/>
            <w:shd w:val="clear" w:color="auto" w:fill="auto"/>
            <w:vAlign w:val="center"/>
          </w:tcPr>
          <w:p w14:paraId="46CAA3E2">
            <w:pPr>
              <w:pStyle w:val="13"/>
              <w:rPr>
                <w:b w:val="0"/>
                <w:bCs/>
              </w:rPr>
            </w:pPr>
          </w:p>
        </w:tc>
        <w:tc>
          <w:tcPr>
            <w:tcW w:w="4961" w:type="dxa"/>
            <w:shd w:val="clear" w:color="auto" w:fill="auto"/>
            <w:vAlign w:val="center"/>
          </w:tcPr>
          <w:p w14:paraId="3FF1D623">
            <w:pPr>
              <w:pStyle w:val="13"/>
              <w:rPr>
                <w:b w:val="0"/>
                <w:bCs/>
              </w:rPr>
            </w:pPr>
            <w:r>
              <w:rPr>
                <w:rFonts w:hint="eastAsia"/>
                <w:b w:val="0"/>
                <w:bCs/>
              </w:rPr>
              <w:t>未使用配备的专用爬梯，或者爬梯未安装稳固</w:t>
            </w:r>
          </w:p>
        </w:tc>
        <w:tc>
          <w:tcPr>
            <w:tcW w:w="1487" w:type="dxa"/>
            <w:shd w:val="clear" w:color="auto" w:fill="auto"/>
            <w:vAlign w:val="center"/>
          </w:tcPr>
          <w:p w14:paraId="31064101">
            <w:pPr>
              <w:pStyle w:val="13"/>
              <w:rPr>
                <w:b w:val="0"/>
                <w:bCs/>
              </w:rPr>
            </w:pPr>
            <w:r>
              <w:rPr>
                <w:rFonts w:hint="eastAsia"/>
                <w:b w:val="0"/>
                <w:bCs/>
              </w:rPr>
              <w:t>坍塌</w:t>
            </w:r>
          </w:p>
        </w:tc>
      </w:tr>
      <w:tr w14:paraId="3A67B4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2388C68">
            <w:pPr>
              <w:pStyle w:val="13"/>
              <w:numPr>
                <w:ilvl w:val="0"/>
                <w:numId w:val="38"/>
              </w:numPr>
              <w:rPr>
                <w:b w:val="0"/>
                <w:bCs/>
              </w:rPr>
            </w:pPr>
          </w:p>
        </w:tc>
        <w:tc>
          <w:tcPr>
            <w:tcW w:w="1190" w:type="dxa"/>
            <w:vMerge w:val="continue"/>
            <w:shd w:val="clear" w:color="auto" w:fill="auto"/>
            <w:vAlign w:val="center"/>
          </w:tcPr>
          <w:p w14:paraId="334F70A5">
            <w:pPr>
              <w:pStyle w:val="13"/>
              <w:rPr>
                <w:b w:val="0"/>
                <w:bCs/>
              </w:rPr>
            </w:pPr>
          </w:p>
        </w:tc>
        <w:tc>
          <w:tcPr>
            <w:tcW w:w="4961" w:type="dxa"/>
            <w:shd w:val="clear" w:color="auto" w:fill="auto"/>
            <w:vAlign w:val="center"/>
          </w:tcPr>
          <w:p w14:paraId="69F9DD48">
            <w:pPr>
              <w:pStyle w:val="13"/>
              <w:rPr>
                <w:b w:val="0"/>
                <w:bCs/>
              </w:rPr>
            </w:pPr>
            <w:r>
              <w:rPr>
                <w:rFonts w:hint="eastAsia"/>
                <w:b w:val="0"/>
                <w:bCs/>
              </w:rPr>
              <w:t>吊笼安装时，倾斜导轨架发生倾覆</w:t>
            </w:r>
          </w:p>
        </w:tc>
        <w:tc>
          <w:tcPr>
            <w:tcW w:w="1487" w:type="dxa"/>
            <w:shd w:val="clear" w:color="auto" w:fill="auto"/>
            <w:vAlign w:val="center"/>
          </w:tcPr>
          <w:p w14:paraId="3E75C308">
            <w:pPr>
              <w:pStyle w:val="13"/>
              <w:rPr>
                <w:b w:val="0"/>
                <w:bCs/>
              </w:rPr>
            </w:pPr>
            <w:r>
              <w:rPr>
                <w:rFonts w:hint="eastAsia"/>
                <w:b w:val="0"/>
                <w:bCs/>
              </w:rPr>
              <w:t>坍塌</w:t>
            </w:r>
          </w:p>
        </w:tc>
      </w:tr>
      <w:tr w14:paraId="504930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3322CF4">
            <w:pPr>
              <w:pStyle w:val="13"/>
              <w:numPr>
                <w:ilvl w:val="0"/>
                <w:numId w:val="38"/>
              </w:numPr>
              <w:rPr>
                <w:b w:val="0"/>
                <w:bCs/>
              </w:rPr>
            </w:pPr>
          </w:p>
        </w:tc>
        <w:tc>
          <w:tcPr>
            <w:tcW w:w="1190" w:type="dxa"/>
            <w:vMerge w:val="restart"/>
            <w:shd w:val="clear" w:color="auto" w:fill="auto"/>
            <w:vAlign w:val="center"/>
          </w:tcPr>
          <w:p w14:paraId="1B5A909A">
            <w:pPr>
              <w:pStyle w:val="13"/>
              <w:rPr>
                <w:b w:val="0"/>
                <w:bCs/>
              </w:rPr>
            </w:pPr>
            <w:r>
              <w:rPr>
                <w:rFonts w:hint="eastAsia"/>
                <w:b w:val="0"/>
                <w:bCs/>
              </w:rPr>
              <w:t>吊杆安装</w:t>
            </w:r>
          </w:p>
        </w:tc>
        <w:tc>
          <w:tcPr>
            <w:tcW w:w="4961" w:type="dxa"/>
            <w:shd w:val="clear" w:color="auto" w:fill="auto"/>
            <w:vAlign w:val="center"/>
          </w:tcPr>
          <w:p w14:paraId="76D69468">
            <w:pPr>
              <w:pStyle w:val="13"/>
              <w:rPr>
                <w:b w:val="0"/>
                <w:bCs/>
              </w:rPr>
            </w:pPr>
            <w:r>
              <w:rPr>
                <w:rFonts w:hint="eastAsia"/>
                <w:b w:val="0"/>
                <w:bCs/>
              </w:rPr>
              <w:t>吊杆对接偏位或者连接处不牢靠</w:t>
            </w:r>
          </w:p>
        </w:tc>
        <w:tc>
          <w:tcPr>
            <w:tcW w:w="1487" w:type="dxa"/>
            <w:shd w:val="clear" w:color="auto" w:fill="auto"/>
            <w:vAlign w:val="center"/>
          </w:tcPr>
          <w:p w14:paraId="2B1B520D">
            <w:pPr>
              <w:pStyle w:val="13"/>
              <w:rPr>
                <w:b w:val="0"/>
                <w:bCs/>
              </w:rPr>
            </w:pPr>
            <w:r>
              <w:rPr>
                <w:rFonts w:hint="eastAsia"/>
                <w:b w:val="0"/>
                <w:bCs/>
              </w:rPr>
              <w:t>坍塌</w:t>
            </w:r>
          </w:p>
        </w:tc>
      </w:tr>
      <w:tr w14:paraId="15C75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32AAE80">
            <w:pPr>
              <w:pStyle w:val="13"/>
              <w:numPr>
                <w:ilvl w:val="0"/>
                <w:numId w:val="38"/>
              </w:numPr>
              <w:rPr>
                <w:b w:val="0"/>
                <w:bCs/>
              </w:rPr>
            </w:pPr>
          </w:p>
        </w:tc>
        <w:tc>
          <w:tcPr>
            <w:tcW w:w="1190" w:type="dxa"/>
            <w:vMerge w:val="continue"/>
            <w:shd w:val="clear" w:color="auto" w:fill="auto"/>
            <w:vAlign w:val="center"/>
          </w:tcPr>
          <w:p w14:paraId="711CE77C">
            <w:pPr>
              <w:pStyle w:val="13"/>
              <w:rPr>
                <w:b w:val="0"/>
                <w:bCs/>
              </w:rPr>
            </w:pPr>
          </w:p>
        </w:tc>
        <w:tc>
          <w:tcPr>
            <w:tcW w:w="4961" w:type="dxa"/>
            <w:shd w:val="clear" w:color="auto" w:fill="auto"/>
            <w:vAlign w:val="center"/>
          </w:tcPr>
          <w:p w14:paraId="76F8141E">
            <w:pPr>
              <w:pStyle w:val="13"/>
              <w:rPr>
                <w:b w:val="0"/>
                <w:bCs/>
              </w:rPr>
            </w:pPr>
            <w:r>
              <w:rPr>
                <w:rFonts w:hint="eastAsia"/>
                <w:b w:val="0"/>
                <w:bCs/>
              </w:rPr>
              <w:t>吊杆质量不合格</w:t>
            </w:r>
          </w:p>
        </w:tc>
        <w:tc>
          <w:tcPr>
            <w:tcW w:w="1487" w:type="dxa"/>
            <w:shd w:val="clear" w:color="auto" w:fill="auto"/>
            <w:vAlign w:val="center"/>
          </w:tcPr>
          <w:p w14:paraId="6B419884">
            <w:pPr>
              <w:pStyle w:val="13"/>
              <w:rPr>
                <w:b w:val="0"/>
                <w:bCs/>
              </w:rPr>
            </w:pPr>
            <w:r>
              <w:rPr>
                <w:rFonts w:hint="eastAsia"/>
                <w:b w:val="0"/>
                <w:bCs/>
              </w:rPr>
              <w:t>坍塌</w:t>
            </w:r>
          </w:p>
        </w:tc>
      </w:tr>
      <w:tr w14:paraId="623030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CCC9B41">
            <w:pPr>
              <w:pStyle w:val="13"/>
              <w:numPr>
                <w:ilvl w:val="0"/>
                <w:numId w:val="38"/>
              </w:numPr>
              <w:rPr>
                <w:b w:val="0"/>
                <w:bCs/>
              </w:rPr>
            </w:pPr>
          </w:p>
        </w:tc>
        <w:tc>
          <w:tcPr>
            <w:tcW w:w="1190" w:type="dxa"/>
            <w:vMerge w:val="restart"/>
            <w:shd w:val="clear" w:color="auto" w:fill="auto"/>
            <w:vAlign w:val="center"/>
          </w:tcPr>
          <w:p w14:paraId="23F80783">
            <w:pPr>
              <w:pStyle w:val="13"/>
              <w:rPr>
                <w:b w:val="0"/>
                <w:bCs/>
              </w:rPr>
            </w:pPr>
            <w:r>
              <w:rPr>
                <w:rFonts w:hint="eastAsia"/>
                <w:b w:val="0"/>
                <w:bCs/>
              </w:rPr>
              <w:t>电气设备和控制系统安装</w:t>
            </w:r>
          </w:p>
        </w:tc>
        <w:tc>
          <w:tcPr>
            <w:tcW w:w="4961" w:type="dxa"/>
            <w:shd w:val="clear" w:color="auto" w:fill="auto"/>
            <w:vAlign w:val="center"/>
          </w:tcPr>
          <w:p w14:paraId="45E740D0">
            <w:pPr>
              <w:pStyle w:val="13"/>
              <w:rPr>
                <w:b w:val="0"/>
                <w:bCs/>
              </w:rPr>
            </w:pPr>
            <w:r>
              <w:rPr>
                <w:rFonts w:hint="eastAsia"/>
                <w:b w:val="0"/>
                <w:bCs/>
              </w:rPr>
              <w:t>各类安全控制开关质量不合格</w:t>
            </w:r>
          </w:p>
        </w:tc>
        <w:tc>
          <w:tcPr>
            <w:tcW w:w="1487" w:type="dxa"/>
            <w:shd w:val="clear" w:color="auto" w:fill="auto"/>
            <w:vAlign w:val="center"/>
          </w:tcPr>
          <w:p w14:paraId="214957C5">
            <w:pPr>
              <w:pStyle w:val="13"/>
              <w:rPr>
                <w:b w:val="0"/>
                <w:bCs/>
              </w:rPr>
            </w:pPr>
            <w:r>
              <w:rPr>
                <w:rFonts w:hint="eastAsia"/>
                <w:b w:val="0"/>
                <w:bCs/>
              </w:rPr>
              <w:t>高处坠落</w:t>
            </w:r>
          </w:p>
        </w:tc>
      </w:tr>
      <w:tr w14:paraId="2D8FF6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92298A1">
            <w:pPr>
              <w:pStyle w:val="13"/>
              <w:numPr>
                <w:ilvl w:val="0"/>
                <w:numId w:val="38"/>
              </w:numPr>
              <w:rPr>
                <w:b w:val="0"/>
                <w:bCs/>
              </w:rPr>
            </w:pPr>
          </w:p>
        </w:tc>
        <w:tc>
          <w:tcPr>
            <w:tcW w:w="1190" w:type="dxa"/>
            <w:vMerge w:val="continue"/>
            <w:shd w:val="clear" w:color="auto" w:fill="auto"/>
            <w:vAlign w:val="center"/>
          </w:tcPr>
          <w:p w14:paraId="7FADDC90">
            <w:pPr>
              <w:pStyle w:val="13"/>
              <w:rPr>
                <w:b w:val="0"/>
                <w:bCs/>
              </w:rPr>
            </w:pPr>
          </w:p>
        </w:tc>
        <w:tc>
          <w:tcPr>
            <w:tcW w:w="4961" w:type="dxa"/>
            <w:shd w:val="clear" w:color="auto" w:fill="auto"/>
            <w:vAlign w:val="center"/>
          </w:tcPr>
          <w:p w14:paraId="5EE5A577">
            <w:pPr>
              <w:pStyle w:val="13"/>
              <w:rPr>
                <w:b w:val="0"/>
                <w:bCs/>
              </w:rPr>
            </w:pPr>
            <w:r>
              <w:rPr>
                <w:rFonts w:hint="eastAsia"/>
                <w:b w:val="0"/>
                <w:bCs/>
              </w:rPr>
              <w:t>部分安全控制开关或者控制系统漏安或者缺失</w:t>
            </w:r>
          </w:p>
        </w:tc>
        <w:tc>
          <w:tcPr>
            <w:tcW w:w="1487" w:type="dxa"/>
            <w:shd w:val="clear" w:color="auto" w:fill="auto"/>
            <w:vAlign w:val="center"/>
          </w:tcPr>
          <w:p w14:paraId="563ADD33">
            <w:pPr>
              <w:pStyle w:val="13"/>
              <w:rPr>
                <w:b w:val="0"/>
                <w:bCs/>
              </w:rPr>
            </w:pPr>
            <w:r>
              <w:rPr>
                <w:rFonts w:hint="eastAsia"/>
                <w:b w:val="0"/>
                <w:bCs/>
              </w:rPr>
              <w:t>高处坠落</w:t>
            </w:r>
          </w:p>
        </w:tc>
      </w:tr>
      <w:tr w14:paraId="3CDB28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42285C0">
            <w:pPr>
              <w:pStyle w:val="13"/>
              <w:numPr>
                <w:ilvl w:val="0"/>
                <w:numId w:val="38"/>
              </w:numPr>
              <w:rPr>
                <w:b w:val="0"/>
                <w:bCs/>
              </w:rPr>
            </w:pPr>
          </w:p>
        </w:tc>
        <w:tc>
          <w:tcPr>
            <w:tcW w:w="1190" w:type="dxa"/>
            <w:vMerge w:val="continue"/>
            <w:shd w:val="clear" w:color="auto" w:fill="auto"/>
            <w:vAlign w:val="center"/>
          </w:tcPr>
          <w:p w14:paraId="32945880">
            <w:pPr>
              <w:pStyle w:val="13"/>
              <w:rPr>
                <w:b w:val="0"/>
                <w:bCs/>
              </w:rPr>
            </w:pPr>
          </w:p>
        </w:tc>
        <w:tc>
          <w:tcPr>
            <w:tcW w:w="4961" w:type="dxa"/>
            <w:shd w:val="clear" w:color="auto" w:fill="auto"/>
            <w:vAlign w:val="center"/>
          </w:tcPr>
          <w:p w14:paraId="32F2C45E">
            <w:pPr>
              <w:pStyle w:val="13"/>
              <w:rPr>
                <w:b w:val="0"/>
                <w:bCs/>
              </w:rPr>
            </w:pPr>
            <w:r>
              <w:rPr>
                <w:rFonts w:hint="eastAsia"/>
                <w:b w:val="0"/>
                <w:bCs/>
              </w:rPr>
              <w:t>施工升降机未安装超载保护装置。</w:t>
            </w:r>
          </w:p>
        </w:tc>
        <w:tc>
          <w:tcPr>
            <w:tcW w:w="1487" w:type="dxa"/>
            <w:shd w:val="clear" w:color="auto" w:fill="auto"/>
            <w:vAlign w:val="center"/>
          </w:tcPr>
          <w:p w14:paraId="5B438623">
            <w:pPr>
              <w:pStyle w:val="13"/>
              <w:rPr>
                <w:b w:val="0"/>
                <w:bCs/>
              </w:rPr>
            </w:pPr>
            <w:r>
              <w:rPr>
                <w:rFonts w:hint="eastAsia"/>
                <w:b w:val="0"/>
                <w:bCs/>
              </w:rPr>
              <w:t>高处坠落</w:t>
            </w:r>
          </w:p>
        </w:tc>
      </w:tr>
      <w:tr w14:paraId="44E291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EEDAF28">
            <w:pPr>
              <w:pStyle w:val="13"/>
              <w:numPr>
                <w:ilvl w:val="0"/>
                <w:numId w:val="38"/>
              </w:numPr>
              <w:rPr>
                <w:b w:val="0"/>
                <w:bCs/>
              </w:rPr>
            </w:pPr>
          </w:p>
        </w:tc>
        <w:tc>
          <w:tcPr>
            <w:tcW w:w="1190" w:type="dxa"/>
            <w:vMerge w:val="restart"/>
            <w:shd w:val="clear" w:color="auto" w:fill="auto"/>
            <w:vAlign w:val="center"/>
          </w:tcPr>
          <w:p w14:paraId="2B93F21B">
            <w:pPr>
              <w:pStyle w:val="13"/>
              <w:rPr>
                <w:b w:val="0"/>
                <w:bCs/>
              </w:rPr>
            </w:pPr>
            <w:r>
              <w:rPr>
                <w:rFonts w:hint="eastAsia"/>
                <w:b w:val="0"/>
                <w:bCs/>
              </w:rPr>
              <w:t>导轨架加高以及附墙架安装</w:t>
            </w:r>
          </w:p>
        </w:tc>
        <w:tc>
          <w:tcPr>
            <w:tcW w:w="4961" w:type="dxa"/>
            <w:shd w:val="clear" w:color="auto" w:fill="auto"/>
            <w:vAlign w:val="center"/>
          </w:tcPr>
          <w:p w14:paraId="52409090">
            <w:pPr>
              <w:pStyle w:val="13"/>
              <w:rPr>
                <w:b w:val="0"/>
                <w:bCs/>
              </w:rPr>
            </w:pPr>
            <w:r>
              <w:rPr>
                <w:rFonts w:hint="eastAsia"/>
                <w:b w:val="0"/>
                <w:bCs/>
              </w:rPr>
              <w:t>导轨架间连接不牢固</w:t>
            </w:r>
          </w:p>
        </w:tc>
        <w:tc>
          <w:tcPr>
            <w:tcW w:w="1487" w:type="dxa"/>
            <w:shd w:val="clear" w:color="auto" w:fill="auto"/>
            <w:vAlign w:val="center"/>
          </w:tcPr>
          <w:p w14:paraId="6A91E541">
            <w:pPr>
              <w:pStyle w:val="13"/>
              <w:rPr>
                <w:b w:val="0"/>
                <w:bCs/>
              </w:rPr>
            </w:pPr>
            <w:r>
              <w:rPr>
                <w:rFonts w:hint="eastAsia"/>
                <w:b w:val="0"/>
                <w:bCs/>
              </w:rPr>
              <w:t>高处坠落</w:t>
            </w:r>
          </w:p>
        </w:tc>
      </w:tr>
      <w:tr w14:paraId="576AC4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EACC6BE">
            <w:pPr>
              <w:pStyle w:val="13"/>
              <w:numPr>
                <w:ilvl w:val="0"/>
                <w:numId w:val="38"/>
              </w:numPr>
              <w:rPr>
                <w:b w:val="0"/>
                <w:bCs/>
              </w:rPr>
            </w:pPr>
          </w:p>
        </w:tc>
        <w:tc>
          <w:tcPr>
            <w:tcW w:w="1190" w:type="dxa"/>
            <w:vMerge w:val="continue"/>
            <w:shd w:val="clear" w:color="auto" w:fill="auto"/>
            <w:vAlign w:val="center"/>
          </w:tcPr>
          <w:p w14:paraId="02B9385E">
            <w:pPr>
              <w:pStyle w:val="13"/>
              <w:rPr>
                <w:b w:val="0"/>
                <w:bCs/>
              </w:rPr>
            </w:pPr>
          </w:p>
        </w:tc>
        <w:tc>
          <w:tcPr>
            <w:tcW w:w="4961" w:type="dxa"/>
            <w:shd w:val="clear" w:color="auto" w:fill="auto"/>
            <w:vAlign w:val="center"/>
          </w:tcPr>
          <w:p w14:paraId="59D66D4C">
            <w:pPr>
              <w:pStyle w:val="13"/>
              <w:rPr>
                <w:b w:val="0"/>
                <w:bCs/>
              </w:rPr>
            </w:pPr>
            <w:r>
              <w:rPr>
                <w:rFonts w:hint="eastAsia"/>
                <w:b w:val="0"/>
                <w:bCs/>
              </w:rPr>
              <w:t>附墙未按要求进行验算或计算取值不合理</w:t>
            </w:r>
          </w:p>
        </w:tc>
        <w:tc>
          <w:tcPr>
            <w:tcW w:w="1487" w:type="dxa"/>
            <w:shd w:val="clear" w:color="auto" w:fill="auto"/>
            <w:vAlign w:val="center"/>
          </w:tcPr>
          <w:p w14:paraId="4D6A2CAD">
            <w:pPr>
              <w:pStyle w:val="13"/>
              <w:rPr>
                <w:b w:val="0"/>
                <w:bCs/>
              </w:rPr>
            </w:pPr>
            <w:r>
              <w:rPr>
                <w:rFonts w:hint="eastAsia"/>
                <w:b w:val="0"/>
                <w:bCs/>
              </w:rPr>
              <w:t>坍塌</w:t>
            </w:r>
          </w:p>
        </w:tc>
      </w:tr>
      <w:tr w14:paraId="35C6CB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CC5ECDA">
            <w:pPr>
              <w:pStyle w:val="13"/>
              <w:numPr>
                <w:ilvl w:val="0"/>
                <w:numId w:val="38"/>
              </w:numPr>
              <w:rPr>
                <w:b w:val="0"/>
                <w:bCs/>
              </w:rPr>
            </w:pPr>
          </w:p>
        </w:tc>
        <w:tc>
          <w:tcPr>
            <w:tcW w:w="1190" w:type="dxa"/>
            <w:vMerge w:val="continue"/>
            <w:shd w:val="clear" w:color="auto" w:fill="auto"/>
            <w:vAlign w:val="center"/>
          </w:tcPr>
          <w:p w14:paraId="445C8DF7">
            <w:pPr>
              <w:pStyle w:val="13"/>
              <w:rPr>
                <w:b w:val="0"/>
                <w:bCs/>
              </w:rPr>
            </w:pPr>
          </w:p>
        </w:tc>
        <w:tc>
          <w:tcPr>
            <w:tcW w:w="4961" w:type="dxa"/>
            <w:shd w:val="clear" w:color="auto" w:fill="auto"/>
            <w:vAlign w:val="center"/>
          </w:tcPr>
          <w:p w14:paraId="22427520">
            <w:pPr>
              <w:pStyle w:val="13"/>
              <w:rPr>
                <w:b w:val="0"/>
                <w:bCs/>
              </w:rPr>
            </w:pPr>
            <w:r>
              <w:rPr>
                <w:rFonts w:hint="eastAsia"/>
                <w:b w:val="0"/>
                <w:bCs/>
              </w:rPr>
              <w:t>附墙架附着点处的结构承载力不满足</w:t>
            </w:r>
          </w:p>
          <w:p w14:paraId="14B97EFC">
            <w:pPr>
              <w:pStyle w:val="13"/>
              <w:rPr>
                <w:b w:val="0"/>
                <w:bCs/>
              </w:rPr>
            </w:pPr>
            <w:r>
              <w:rPr>
                <w:rFonts w:hint="eastAsia"/>
                <w:b w:val="0"/>
                <w:bCs/>
              </w:rPr>
              <w:t>施工升降机使用说明书的要求。</w:t>
            </w:r>
          </w:p>
        </w:tc>
        <w:tc>
          <w:tcPr>
            <w:tcW w:w="1487" w:type="dxa"/>
            <w:shd w:val="clear" w:color="auto" w:fill="auto"/>
            <w:vAlign w:val="center"/>
          </w:tcPr>
          <w:p w14:paraId="17B1D4E1">
            <w:pPr>
              <w:pStyle w:val="13"/>
              <w:rPr>
                <w:b w:val="0"/>
                <w:bCs/>
              </w:rPr>
            </w:pPr>
            <w:r>
              <w:rPr>
                <w:rFonts w:hint="eastAsia"/>
                <w:b w:val="0"/>
                <w:bCs/>
              </w:rPr>
              <w:t>高处坠落</w:t>
            </w:r>
          </w:p>
        </w:tc>
      </w:tr>
      <w:tr w14:paraId="666D2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6064153">
            <w:pPr>
              <w:pStyle w:val="13"/>
              <w:numPr>
                <w:ilvl w:val="0"/>
                <w:numId w:val="38"/>
              </w:numPr>
              <w:rPr>
                <w:b w:val="0"/>
                <w:bCs/>
              </w:rPr>
            </w:pPr>
          </w:p>
        </w:tc>
        <w:tc>
          <w:tcPr>
            <w:tcW w:w="1190" w:type="dxa"/>
            <w:vMerge w:val="continue"/>
            <w:shd w:val="clear" w:color="auto" w:fill="auto"/>
            <w:vAlign w:val="center"/>
          </w:tcPr>
          <w:p w14:paraId="08213882">
            <w:pPr>
              <w:pStyle w:val="13"/>
              <w:rPr>
                <w:b w:val="0"/>
                <w:bCs/>
              </w:rPr>
            </w:pPr>
          </w:p>
        </w:tc>
        <w:tc>
          <w:tcPr>
            <w:tcW w:w="4961" w:type="dxa"/>
            <w:shd w:val="clear" w:color="auto" w:fill="auto"/>
            <w:vAlign w:val="center"/>
          </w:tcPr>
          <w:p w14:paraId="0BC2465B">
            <w:pPr>
              <w:pStyle w:val="13"/>
              <w:rPr>
                <w:b w:val="0"/>
                <w:bCs/>
              </w:rPr>
            </w:pPr>
            <w:r>
              <w:rPr>
                <w:rFonts w:hint="eastAsia"/>
                <w:b w:val="0"/>
                <w:bCs/>
              </w:rPr>
              <w:t>施工升降机的附墙架形式、附着高度、垂直间距、附着点水平距离、附墙架与水平面之间的夹角、导轨架自由端高度和导轨架与主体结构间水平距离等不符合使用说明书的要求。</w:t>
            </w:r>
          </w:p>
        </w:tc>
        <w:tc>
          <w:tcPr>
            <w:tcW w:w="1487" w:type="dxa"/>
            <w:shd w:val="clear" w:color="auto" w:fill="auto"/>
            <w:vAlign w:val="center"/>
          </w:tcPr>
          <w:p w14:paraId="51FB2427">
            <w:pPr>
              <w:pStyle w:val="13"/>
              <w:rPr>
                <w:b w:val="0"/>
                <w:bCs/>
              </w:rPr>
            </w:pPr>
            <w:r>
              <w:rPr>
                <w:rFonts w:hint="eastAsia"/>
                <w:b w:val="0"/>
                <w:bCs/>
              </w:rPr>
              <w:t>物体打击</w:t>
            </w:r>
          </w:p>
        </w:tc>
      </w:tr>
      <w:tr w14:paraId="34796B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7188F91">
            <w:pPr>
              <w:pStyle w:val="13"/>
              <w:numPr>
                <w:ilvl w:val="0"/>
                <w:numId w:val="38"/>
              </w:numPr>
              <w:rPr>
                <w:b w:val="0"/>
                <w:bCs/>
              </w:rPr>
            </w:pPr>
          </w:p>
        </w:tc>
        <w:tc>
          <w:tcPr>
            <w:tcW w:w="1190" w:type="dxa"/>
            <w:vMerge w:val="continue"/>
            <w:shd w:val="clear" w:color="auto" w:fill="auto"/>
            <w:vAlign w:val="center"/>
          </w:tcPr>
          <w:p w14:paraId="17C6F935">
            <w:pPr>
              <w:pStyle w:val="13"/>
              <w:rPr>
                <w:b w:val="0"/>
                <w:bCs/>
              </w:rPr>
            </w:pPr>
          </w:p>
        </w:tc>
        <w:tc>
          <w:tcPr>
            <w:tcW w:w="4961" w:type="dxa"/>
            <w:shd w:val="clear" w:color="auto" w:fill="auto"/>
            <w:vAlign w:val="center"/>
          </w:tcPr>
          <w:p w14:paraId="59380DB4">
            <w:pPr>
              <w:pStyle w:val="13"/>
              <w:rPr>
                <w:b w:val="0"/>
                <w:bCs/>
              </w:rPr>
            </w:pPr>
            <w:r>
              <w:rPr>
                <w:rFonts w:hint="eastAsia"/>
                <w:b w:val="0"/>
                <w:bCs/>
              </w:rPr>
              <w:t>施工升降机导轨架安装角度偏差不符合规定。</w:t>
            </w:r>
          </w:p>
        </w:tc>
        <w:tc>
          <w:tcPr>
            <w:tcW w:w="1487" w:type="dxa"/>
            <w:shd w:val="clear" w:color="auto" w:fill="auto"/>
            <w:vAlign w:val="center"/>
          </w:tcPr>
          <w:p w14:paraId="76E12379">
            <w:pPr>
              <w:pStyle w:val="13"/>
              <w:rPr>
                <w:b w:val="0"/>
                <w:bCs/>
              </w:rPr>
            </w:pPr>
            <w:r>
              <w:rPr>
                <w:rFonts w:hint="eastAsia"/>
                <w:b w:val="0"/>
                <w:bCs/>
              </w:rPr>
              <w:t>坍塌</w:t>
            </w:r>
          </w:p>
        </w:tc>
      </w:tr>
      <w:tr w14:paraId="4C1DFD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0EC81DE">
            <w:pPr>
              <w:pStyle w:val="13"/>
              <w:numPr>
                <w:ilvl w:val="0"/>
                <w:numId w:val="38"/>
              </w:numPr>
              <w:rPr>
                <w:b w:val="0"/>
                <w:bCs/>
              </w:rPr>
            </w:pPr>
          </w:p>
        </w:tc>
        <w:tc>
          <w:tcPr>
            <w:tcW w:w="1190" w:type="dxa"/>
            <w:vMerge w:val="continue"/>
            <w:shd w:val="clear" w:color="auto" w:fill="auto"/>
            <w:vAlign w:val="center"/>
          </w:tcPr>
          <w:p w14:paraId="690EEC91">
            <w:pPr>
              <w:pStyle w:val="13"/>
              <w:rPr>
                <w:b w:val="0"/>
                <w:bCs/>
              </w:rPr>
            </w:pPr>
          </w:p>
        </w:tc>
        <w:tc>
          <w:tcPr>
            <w:tcW w:w="4961" w:type="dxa"/>
            <w:shd w:val="clear" w:color="auto" w:fill="auto"/>
            <w:vAlign w:val="center"/>
          </w:tcPr>
          <w:p w14:paraId="363D66AF">
            <w:pPr>
              <w:pStyle w:val="13"/>
              <w:rPr>
                <w:b w:val="0"/>
                <w:bCs/>
              </w:rPr>
            </w:pPr>
            <w:r>
              <w:rPr>
                <w:rFonts w:hint="eastAsia"/>
                <w:b w:val="0"/>
                <w:bCs/>
              </w:rPr>
              <w:t>接高导轨架标准节时，未按使用说明书的规定进行附墙连接。</w:t>
            </w:r>
          </w:p>
        </w:tc>
        <w:tc>
          <w:tcPr>
            <w:tcW w:w="1487" w:type="dxa"/>
            <w:shd w:val="clear" w:color="auto" w:fill="auto"/>
            <w:vAlign w:val="center"/>
          </w:tcPr>
          <w:p w14:paraId="6CED48B8">
            <w:pPr>
              <w:pStyle w:val="13"/>
              <w:rPr>
                <w:b w:val="0"/>
                <w:bCs/>
              </w:rPr>
            </w:pPr>
            <w:r>
              <w:rPr>
                <w:rFonts w:hint="eastAsia"/>
                <w:b w:val="0"/>
                <w:bCs/>
              </w:rPr>
              <w:t>坍塌</w:t>
            </w:r>
          </w:p>
        </w:tc>
      </w:tr>
      <w:tr w14:paraId="4760D1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D80081B">
            <w:pPr>
              <w:pStyle w:val="13"/>
              <w:numPr>
                <w:ilvl w:val="0"/>
                <w:numId w:val="38"/>
              </w:numPr>
              <w:rPr>
                <w:b w:val="0"/>
                <w:bCs/>
              </w:rPr>
            </w:pPr>
          </w:p>
        </w:tc>
        <w:tc>
          <w:tcPr>
            <w:tcW w:w="1190" w:type="dxa"/>
            <w:vMerge w:val="continue"/>
            <w:shd w:val="clear" w:color="auto" w:fill="auto"/>
            <w:vAlign w:val="center"/>
          </w:tcPr>
          <w:p w14:paraId="348768AF">
            <w:pPr>
              <w:pStyle w:val="13"/>
              <w:rPr>
                <w:b w:val="0"/>
                <w:bCs/>
              </w:rPr>
            </w:pPr>
          </w:p>
        </w:tc>
        <w:tc>
          <w:tcPr>
            <w:tcW w:w="4961" w:type="dxa"/>
            <w:shd w:val="clear" w:color="auto" w:fill="auto"/>
            <w:vAlign w:val="center"/>
          </w:tcPr>
          <w:p w14:paraId="66A753CA">
            <w:pPr>
              <w:pStyle w:val="13"/>
              <w:rPr>
                <w:b w:val="0"/>
                <w:bCs/>
              </w:rPr>
            </w:pPr>
            <w:r>
              <w:rPr>
                <w:rFonts w:hint="eastAsia"/>
                <w:b w:val="0"/>
                <w:bCs/>
              </w:rPr>
              <w:t>施工升降机、笼梯安装时未及时安装附墙杆</w:t>
            </w:r>
          </w:p>
        </w:tc>
        <w:tc>
          <w:tcPr>
            <w:tcW w:w="1487" w:type="dxa"/>
            <w:shd w:val="clear" w:color="auto" w:fill="auto"/>
            <w:vAlign w:val="center"/>
          </w:tcPr>
          <w:p w14:paraId="4073674F">
            <w:pPr>
              <w:pStyle w:val="13"/>
              <w:rPr>
                <w:b w:val="0"/>
                <w:bCs/>
              </w:rPr>
            </w:pPr>
            <w:r>
              <w:rPr>
                <w:rFonts w:hint="eastAsia"/>
                <w:b w:val="0"/>
                <w:bCs/>
              </w:rPr>
              <w:t>高处坠落、物体打击</w:t>
            </w:r>
          </w:p>
        </w:tc>
      </w:tr>
      <w:tr w14:paraId="7EC40E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FD43218">
            <w:pPr>
              <w:pStyle w:val="13"/>
              <w:numPr>
                <w:ilvl w:val="0"/>
                <w:numId w:val="38"/>
              </w:numPr>
              <w:rPr>
                <w:b w:val="0"/>
                <w:bCs/>
              </w:rPr>
            </w:pPr>
          </w:p>
        </w:tc>
        <w:tc>
          <w:tcPr>
            <w:tcW w:w="1190" w:type="dxa"/>
            <w:vMerge w:val="continue"/>
            <w:shd w:val="clear" w:color="auto" w:fill="auto"/>
            <w:vAlign w:val="center"/>
          </w:tcPr>
          <w:p w14:paraId="720D06DA">
            <w:pPr>
              <w:pStyle w:val="13"/>
              <w:rPr>
                <w:b w:val="0"/>
                <w:bCs/>
              </w:rPr>
            </w:pPr>
          </w:p>
        </w:tc>
        <w:tc>
          <w:tcPr>
            <w:tcW w:w="4961" w:type="dxa"/>
            <w:shd w:val="clear" w:color="auto" w:fill="auto"/>
            <w:vAlign w:val="center"/>
          </w:tcPr>
          <w:p w14:paraId="09E6C9D7">
            <w:pPr>
              <w:pStyle w:val="13"/>
              <w:rPr>
                <w:b w:val="0"/>
                <w:bCs/>
              </w:rPr>
            </w:pPr>
            <w:r>
              <w:rPr>
                <w:rFonts w:hint="eastAsia"/>
                <w:b w:val="0"/>
                <w:bCs/>
              </w:rPr>
              <w:t>附墙架安装作业时，未设置操作平台或平台不合理</w:t>
            </w:r>
          </w:p>
        </w:tc>
        <w:tc>
          <w:tcPr>
            <w:tcW w:w="1487" w:type="dxa"/>
            <w:shd w:val="clear" w:color="auto" w:fill="auto"/>
            <w:vAlign w:val="center"/>
          </w:tcPr>
          <w:p w14:paraId="2960B388">
            <w:pPr>
              <w:pStyle w:val="13"/>
              <w:rPr>
                <w:b w:val="0"/>
                <w:bCs/>
              </w:rPr>
            </w:pPr>
            <w:r>
              <w:rPr>
                <w:rFonts w:hint="eastAsia"/>
                <w:b w:val="0"/>
                <w:bCs/>
              </w:rPr>
              <w:t>高处坠落、物体打击</w:t>
            </w:r>
          </w:p>
        </w:tc>
      </w:tr>
      <w:tr w14:paraId="5E5AE8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41CCDCB">
            <w:pPr>
              <w:pStyle w:val="13"/>
              <w:numPr>
                <w:ilvl w:val="0"/>
                <w:numId w:val="38"/>
              </w:numPr>
              <w:rPr>
                <w:b w:val="0"/>
                <w:bCs/>
              </w:rPr>
            </w:pPr>
          </w:p>
        </w:tc>
        <w:tc>
          <w:tcPr>
            <w:tcW w:w="1190" w:type="dxa"/>
            <w:vMerge w:val="restart"/>
            <w:shd w:val="clear" w:color="auto" w:fill="auto"/>
            <w:vAlign w:val="center"/>
          </w:tcPr>
          <w:p w14:paraId="5633DAAA">
            <w:pPr>
              <w:pStyle w:val="13"/>
              <w:rPr>
                <w:b w:val="0"/>
                <w:bCs/>
              </w:rPr>
            </w:pPr>
            <w:r>
              <w:rPr>
                <w:rFonts w:hint="eastAsia"/>
                <w:b w:val="0"/>
                <w:bCs/>
              </w:rPr>
              <w:t>电缆导向装置安装</w:t>
            </w:r>
          </w:p>
        </w:tc>
        <w:tc>
          <w:tcPr>
            <w:tcW w:w="4961" w:type="dxa"/>
            <w:shd w:val="clear" w:color="auto" w:fill="auto"/>
            <w:vAlign w:val="center"/>
          </w:tcPr>
          <w:p w14:paraId="21BBF17D">
            <w:pPr>
              <w:pStyle w:val="13"/>
              <w:rPr>
                <w:b w:val="0"/>
                <w:bCs/>
              </w:rPr>
            </w:pPr>
            <w:r>
              <w:rPr>
                <w:rFonts w:hint="eastAsia"/>
                <w:b w:val="0"/>
                <w:bCs/>
              </w:rPr>
              <w:t>滑触线质量不合格</w:t>
            </w:r>
          </w:p>
        </w:tc>
        <w:tc>
          <w:tcPr>
            <w:tcW w:w="1487" w:type="dxa"/>
            <w:shd w:val="clear" w:color="auto" w:fill="auto"/>
            <w:vAlign w:val="center"/>
          </w:tcPr>
          <w:p w14:paraId="05D26785">
            <w:pPr>
              <w:pStyle w:val="13"/>
              <w:rPr>
                <w:b w:val="0"/>
                <w:bCs/>
              </w:rPr>
            </w:pPr>
            <w:r>
              <w:rPr>
                <w:rFonts w:hint="eastAsia"/>
                <w:b w:val="0"/>
                <w:bCs/>
              </w:rPr>
              <w:t>触电</w:t>
            </w:r>
          </w:p>
        </w:tc>
      </w:tr>
      <w:tr w14:paraId="22607C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C4F67CF">
            <w:pPr>
              <w:pStyle w:val="13"/>
              <w:numPr>
                <w:ilvl w:val="0"/>
                <w:numId w:val="38"/>
              </w:numPr>
              <w:rPr>
                <w:b w:val="0"/>
                <w:bCs/>
              </w:rPr>
            </w:pPr>
          </w:p>
        </w:tc>
        <w:tc>
          <w:tcPr>
            <w:tcW w:w="1190" w:type="dxa"/>
            <w:vMerge w:val="continue"/>
            <w:shd w:val="clear" w:color="auto" w:fill="auto"/>
            <w:vAlign w:val="center"/>
          </w:tcPr>
          <w:p w14:paraId="6906CAC6">
            <w:pPr>
              <w:pStyle w:val="13"/>
              <w:rPr>
                <w:b w:val="0"/>
                <w:bCs/>
              </w:rPr>
            </w:pPr>
          </w:p>
        </w:tc>
        <w:tc>
          <w:tcPr>
            <w:tcW w:w="4961" w:type="dxa"/>
            <w:shd w:val="clear" w:color="auto" w:fill="auto"/>
            <w:vAlign w:val="center"/>
          </w:tcPr>
          <w:p w14:paraId="23DBC77B">
            <w:pPr>
              <w:pStyle w:val="13"/>
              <w:rPr>
                <w:b w:val="0"/>
                <w:bCs/>
              </w:rPr>
            </w:pPr>
            <w:r>
              <w:rPr>
                <w:rFonts w:hint="eastAsia"/>
                <w:b w:val="0"/>
                <w:bCs/>
              </w:rPr>
              <w:t>滑触线接头质量不合格、间隙过大</w:t>
            </w:r>
          </w:p>
        </w:tc>
        <w:tc>
          <w:tcPr>
            <w:tcW w:w="1487" w:type="dxa"/>
            <w:shd w:val="clear" w:color="auto" w:fill="auto"/>
            <w:vAlign w:val="center"/>
          </w:tcPr>
          <w:p w14:paraId="4BF32BBD">
            <w:pPr>
              <w:pStyle w:val="13"/>
              <w:rPr>
                <w:b w:val="0"/>
                <w:bCs/>
              </w:rPr>
            </w:pPr>
            <w:r>
              <w:rPr>
                <w:rFonts w:hint="eastAsia"/>
                <w:b w:val="0"/>
                <w:bCs/>
              </w:rPr>
              <w:t>触电</w:t>
            </w:r>
          </w:p>
        </w:tc>
      </w:tr>
      <w:tr w14:paraId="094DC9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09489BF">
            <w:pPr>
              <w:pStyle w:val="13"/>
              <w:numPr>
                <w:ilvl w:val="0"/>
                <w:numId w:val="38"/>
              </w:numPr>
              <w:rPr>
                <w:b w:val="0"/>
                <w:bCs/>
              </w:rPr>
            </w:pPr>
          </w:p>
        </w:tc>
        <w:tc>
          <w:tcPr>
            <w:tcW w:w="1190" w:type="dxa"/>
            <w:vMerge w:val="continue"/>
            <w:shd w:val="clear" w:color="auto" w:fill="auto"/>
            <w:vAlign w:val="center"/>
          </w:tcPr>
          <w:p w14:paraId="4BBC5E40">
            <w:pPr>
              <w:pStyle w:val="13"/>
              <w:rPr>
                <w:b w:val="0"/>
                <w:bCs/>
              </w:rPr>
            </w:pPr>
          </w:p>
        </w:tc>
        <w:tc>
          <w:tcPr>
            <w:tcW w:w="4961" w:type="dxa"/>
            <w:shd w:val="clear" w:color="auto" w:fill="auto"/>
            <w:vAlign w:val="center"/>
          </w:tcPr>
          <w:p w14:paraId="2B81477B">
            <w:pPr>
              <w:pStyle w:val="13"/>
              <w:rPr>
                <w:b w:val="0"/>
                <w:bCs/>
              </w:rPr>
            </w:pPr>
            <w:r>
              <w:rPr>
                <w:rFonts w:hint="eastAsia"/>
                <w:b w:val="0"/>
                <w:bCs/>
              </w:rPr>
              <w:t>滑触线接头及进线接头与标准节的斜撑相互干涉</w:t>
            </w:r>
          </w:p>
        </w:tc>
        <w:tc>
          <w:tcPr>
            <w:tcW w:w="1487" w:type="dxa"/>
            <w:shd w:val="clear" w:color="auto" w:fill="auto"/>
            <w:vAlign w:val="center"/>
          </w:tcPr>
          <w:p w14:paraId="34A66070">
            <w:pPr>
              <w:pStyle w:val="13"/>
              <w:rPr>
                <w:b w:val="0"/>
                <w:bCs/>
              </w:rPr>
            </w:pPr>
            <w:r>
              <w:rPr>
                <w:rFonts w:hint="eastAsia"/>
                <w:b w:val="0"/>
                <w:bCs/>
              </w:rPr>
              <w:t>高处坠落、物体打击</w:t>
            </w:r>
          </w:p>
        </w:tc>
      </w:tr>
      <w:tr w14:paraId="673580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44C2786">
            <w:pPr>
              <w:pStyle w:val="13"/>
              <w:numPr>
                <w:ilvl w:val="0"/>
                <w:numId w:val="38"/>
              </w:numPr>
              <w:rPr>
                <w:b w:val="0"/>
                <w:bCs/>
              </w:rPr>
            </w:pPr>
          </w:p>
        </w:tc>
        <w:tc>
          <w:tcPr>
            <w:tcW w:w="1190" w:type="dxa"/>
            <w:vMerge w:val="continue"/>
            <w:shd w:val="clear" w:color="auto" w:fill="auto"/>
            <w:vAlign w:val="center"/>
          </w:tcPr>
          <w:p w14:paraId="5CAD5E4A">
            <w:pPr>
              <w:pStyle w:val="13"/>
              <w:rPr>
                <w:b w:val="0"/>
                <w:bCs/>
              </w:rPr>
            </w:pPr>
          </w:p>
        </w:tc>
        <w:tc>
          <w:tcPr>
            <w:tcW w:w="4961" w:type="dxa"/>
            <w:shd w:val="clear" w:color="auto" w:fill="auto"/>
            <w:vAlign w:val="center"/>
          </w:tcPr>
          <w:p w14:paraId="45A1664B">
            <w:pPr>
              <w:pStyle w:val="13"/>
              <w:rPr>
                <w:b w:val="0"/>
                <w:bCs/>
              </w:rPr>
            </w:pPr>
            <w:r>
              <w:rPr>
                <w:rFonts w:hint="eastAsia"/>
                <w:b w:val="0"/>
                <w:bCs/>
              </w:rPr>
              <w:t>未及时安装防坠挂件</w:t>
            </w:r>
          </w:p>
        </w:tc>
        <w:tc>
          <w:tcPr>
            <w:tcW w:w="1487" w:type="dxa"/>
            <w:shd w:val="clear" w:color="auto" w:fill="auto"/>
            <w:vAlign w:val="center"/>
          </w:tcPr>
          <w:p w14:paraId="37942A9B">
            <w:pPr>
              <w:pStyle w:val="13"/>
              <w:rPr>
                <w:b w:val="0"/>
                <w:bCs/>
              </w:rPr>
            </w:pPr>
            <w:r>
              <w:rPr>
                <w:rFonts w:hint="eastAsia"/>
                <w:b w:val="0"/>
                <w:bCs/>
              </w:rPr>
              <w:t>物体打击</w:t>
            </w:r>
          </w:p>
        </w:tc>
      </w:tr>
      <w:tr w14:paraId="232902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10CD597">
            <w:pPr>
              <w:pStyle w:val="13"/>
              <w:numPr>
                <w:ilvl w:val="0"/>
                <w:numId w:val="38"/>
              </w:numPr>
              <w:rPr>
                <w:b w:val="0"/>
                <w:bCs/>
              </w:rPr>
            </w:pPr>
          </w:p>
        </w:tc>
        <w:tc>
          <w:tcPr>
            <w:tcW w:w="1190" w:type="dxa"/>
            <w:vMerge w:val="restart"/>
            <w:shd w:val="clear" w:color="auto" w:fill="auto"/>
            <w:noWrap/>
            <w:vAlign w:val="center"/>
          </w:tcPr>
          <w:p w14:paraId="076E9ADA">
            <w:pPr>
              <w:pStyle w:val="13"/>
              <w:rPr>
                <w:b w:val="0"/>
                <w:bCs/>
              </w:rPr>
            </w:pPr>
            <w:r>
              <w:rPr>
                <w:rFonts w:hint="eastAsia"/>
                <w:b w:val="0"/>
                <w:bCs/>
              </w:rPr>
              <w:t>升降机运行作业</w:t>
            </w:r>
          </w:p>
        </w:tc>
        <w:tc>
          <w:tcPr>
            <w:tcW w:w="4961" w:type="dxa"/>
            <w:shd w:val="clear" w:color="auto" w:fill="auto"/>
            <w:vAlign w:val="center"/>
          </w:tcPr>
          <w:p w14:paraId="0C40FA73">
            <w:pPr>
              <w:pStyle w:val="13"/>
              <w:rPr>
                <w:b w:val="0"/>
                <w:bCs/>
              </w:rPr>
            </w:pPr>
            <w:r>
              <w:rPr>
                <w:rFonts w:hint="eastAsia"/>
                <w:b w:val="0"/>
                <w:bCs/>
              </w:rPr>
              <w:t>施工升降机运行通道内有障碍物</w:t>
            </w:r>
          </w:p>
        </w:tc>
        <w:tc>
          <w:tcPr>
            <w:tcW w:w="1487" w:type="dxa"/>
            <w:shd w:val="clear" w:color="auto" w:fill="auto"/>
            <w:vAlign w:val="center"/>
          </w:tcPr>
          <w:p w14:paraId="3B947CD1">
            <w:pPr>
              <w:pStyle w:val="13"/>
              <w:rPr>
                <w:b w:val="0"/>
                <w:bCs/>
              </w:rPr>
            </w:pPr>
            <w:r>
              <w:rPr>
                <w:rFonts w:hint="eastAsia"/>
                <w:b w:val="0"/>
                <w:bCs/>
              </w:rPr>
              <w:t>物体打击</w:t>
            </w:r>
          </w:p>
        </w:tc>
      </w:tr>
      <w:tr w14:paraId="32202A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1ED7F0C">
            <w:pPr>
              <w:pStyle w:val="13"/>
              <w:numPr>
                <w:ilvl w:val="0"/>
                <w:numId w:val="38"/>
              </w:numPr>
              <w:rPr>
                <w:b w:val="0"/>
                <w:bCs/>
              </w:rPr>
            </w:pPr>
          </w:p>
        </w:tc>
        <w:tc>
          <w:tcPr>
            <w:tcW w:w="1190" w:type="dxa"/>
            <w:vMerge w:val="continue"/>
            <w:shd w:val="clear" w:color="auto" w:fill="auto"/>
            <w:vAlign w:val="center"/>
          </w:tcPr>
          <w:p w14:paraId="6EBCAB43">
            <w:pPr>
              <w:pStyle w:val="13"/>
              <w:rPr>
                <w:b w:val="0"/>
                <w:bCs/>
              </w:rPr>
            </w:pPr>
          </w:p>
        </w:tc>
        <w:tc>
          <w:tcPr>
            <w:tcW w:w="4961" w:type="dxa"/>
            <w:shd w:val="clear" w:color="auto" w:fill="auto"/>
            <w:vAlign w:val="center"/>
          </w:tcPr>
          <w:p w14:paraId="4470621C">
            <w:pPr>
              <w:pStyle w:val="13"/>
              <w:rPr>
                <w:b w:val="0"/>
                <w:bCs/>
              </w:rPr>
            </w:pPr>
            <w:r>
              <w:rPr>
                <w:rFonts w:hint="eastAsia"/>
                <w:b w:val="0"/>
                <w:bCs/>
              </w:rPr>
              <w:t>施工升降机额定载重量、额定乘员数标牌未置于吊笼醒目位置。</w:t>
            </w:r>
          </w:p>
        </w:tc>
        <w:tc>
          <w:tcPr>
            <w:tcW w:w="1487" w:type="dxa"/>
            <w:shd w:val="clear" w:color="auto" w:fill="auto"/>
            <w:vAlign w:val="center"/>
          </w:tcPr>
          <w:p w14:paraId="7D2CA5FD">
            <w:pPr>
              <w:pStyle w:val="13"/>
              <w:rPr>
                <w:b w:val="0"/>
                <w:bCs/>
              </w:rPr>
            </w:pPr>
            <w:r>
              <w:rPr>
                <w:rFonts w:hint="eastAsia"/>
                <w:b w:val="0"/>
                <w:bCs/>
              </w:rPr>
              <w:t>高处坠落</w:t>
            </w:r>
          </w:p>
        </w:tc>
      </w:tr>
      <w:tr w14:paraId="1FD163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0A29F48">
            <w:pPr>
              <w:pStyle w:val="13"/>
              <w:numPr>
                <w:ilvl w:val="0"/>
                <w:numId w:val="38"/>
              </w:numPr>
              <w:rPr>
                <w:b w:val="0"/>
                <w:bCs/>
              </w:rPr>
            </w:pPr>
          </w:p>
        </w:tc>
        <w:tc>
          <w:tcPr>
            <w:tcW w:w="1190" w:type="dxa"/>
            <w:vMerge w:val="continue"/>
            <w:shd w:val="clear" w:color="auto" w:fill="auto"/>
            <w:vAlign w:val="center"/>
          </w:tcPr>
          <w:p w14:paraId="29E26925">
            <w:pPr>
              <w:pStyle w:val="13"/>
              <w:rPr>
                <w:b w:val="0"/>
                <w:bCs/>
              </w:rPr>
            </w:pPr>
          </w:p>
        </w:tc>
        <w:tc>
          <w:tcPr>
            <w:tcW w:w="4961" w:type="dxa"/>
            <w:shd w:val="clear" w:color="auto" w:fill="auto"/>
            <w:vAlign w:val="center"/>
          </w:tcPr>
          <w:p w14:paraId="546E3390">
            <w:pPr>
              <w:pStyle w:val="13"/>
              <w:rPr>
                <w:b w:val="0"/>
                <w:bCs/>
              </w:rPr>
            </w:pPr>
            <w:r>
              <w:rPr>
                <w:rFonts w:hint="eastAsia"/>
                <w:b w:val="0"/>
                <w:bCs/>
              </w:rPr>
              <w:t>施工升降机作业范围内未设置明显的安全警示标志</w:t>
            </w:r>
          </w:p>
        </w:tc>
        <w:tc>
          <w:tcPr>
            <w:tcW w:w="1487" w:type="dxa"/>
            <w:shd w:val="clear" w:color="auto" w:fill="auto"/>
            <w:vAlign w:val="center"/>
          </w:tcPr>
          <w:p w14:paraId="1878F92C">
            <w:pPr>
              <w:pStyle w:val="13"/>
              <w:rPr>
                <w:b w:val="0"/>
                <w:bCs/>
              </w:rPr>
            </w:pPr>
            <w:r>
              <w:rPr>
                <w:rFonts w:hint="eastAsia"/>
                <w:b w:val="0"/>
                <w:bCs/>
              </w:rPr>
              <w:t>物体打击</w:t>
            </w:r>
          </w:p>
        </w:tc>
      </w:tr>
      <w:tr w14:paraId="6480E4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553D915">
            <w:pPr>
              <w:pStyle w:val="13"/>
              <w:numPr>
                <w:ilvl w:val="0"/>
                <w:numId w:val="38"/>
              </w:numPr>
              <w:rPr>
                <w:b w:val="0"/>
                <w:bCs/>
              </w:rPr>
            </w:pPr>
          </w:p>
        </w:tc>
        <w:tc>
          <w:tcPr>
            <w:tcW w:w="1190" w:type="dxa"/>
            <w:vMerge w:val="continue"/>
            <w:shd w:val="clear" w:color="auto" w:fill="auto"/>
            <w:vAlign w:val="center"/>
          </w:tcPr>
          <w:p w14:paraId="6300A9F3">
            <w:pPr>
              <w:pStyle w:val="13"/>
              <w:rPr>
                <w:b w:val="0"/>
                <w:bCs/>
              </w:rPr>
            </w:pPr>
          </w:p>
        </w:tc>
        <w:tc>
          <w:tcPr>
            <w:tcW w:w="4961" w:type="dxa"/>
            <w:shd w:val="clear" w:color="auto" w:fill="auto"/>
            <w:vAlign w:val="center"/>
          </w:tcPr>
          <w:p w14:paraId="61F86D23">
            <w:pPr>
              <w:pStyle w:val="13"/>
              <w:rPr>
                <w:b w:val="0"/>
                <w:bCs/>
              </w:rPr>
            </w:pPr>
            <w:r>
              <w:rPr>
                <w:rFonts w:hint="eastAsia"/>
                <w:b w:val="0"/>
                <w:bCs/>
              </w:rPr>
              <w:t>施工升降机运行过程中脱离轨道</w:t>
            </w:r>
          </w:p>
        </w:tc>
        <w:tc>
          <w:tcPr>
            <w:tcW w:w="1487" w:type="dxa"/>
            <w:shd w:val="clear" w:color="auto" w:fill="auto"/>
            <w:vAlign w:val="center"/>
          </w:tcPr>
          <w:p w14:paraId="7AE36E66">
            <w:pPr>
              <w:pStyle w:val="13"/>
              <w:rPr>
                <w:b w:val="0"/>
                <w:bCs/>
              </w:rPr>
            </w:pPr>
            <w:r>
              <w:rPr>
                <w:rFonts w:hint="eastAsia"/>
                <w:b w:val="0"/>
                <w:bCs/>
              </w:rPr>
              <w:t>高处坠落</w:t>
            </w:r>
          </w:p>
        </w:tc>
      </w:tr>
      <w:tr w14:paraId="48A53B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4207173">
            <w:pPr>
              <w:pStyle w:val="13"/>
              <w:numPr>
                <w:ilvl w:val="0"/>
                <w:numId w:val="38"/>
              </w:numPr>
              <w:rPr>
                <w:b w:val="0"/>
                <w:bCs/>
              </w:rPr>
            </w:pPr>
          </w:p>
        </w:tc>
        <w:tc>
          <w:tcPr>
            <w:tcW w:w="1190" w:type="dxa"/>
            <w:vMerge w:val="continue"/>
            <w:shd w:val="clear" w:color="auto" w:fill="auto"/>
            <w:vAlign w:val="center"/>
          </w:tcPr>
          <w:p w14:paraId="4327CDDE">
            <w:pPr>
              <w:pStyle w:val="13"/>
              <w:rPr>
                <w:b w:val="0"/>
                <w:bCs/>
              </w:rPr>
            </w:pPr>
          </w:p>
        </w:tc>
        <w:tc>
          <w:tcPr>
            <w:tcW w:w="4961" w:type="dxa"/>
            <w:shd w:val="clear" w:color="auto" w:fill="auto"/>
            <w:vAlign w:val="center"/>
          </w:tcPr>
          <w:p w14:paraId="25743F6D">
            <w:pPr>
              <w:pStyle w:val="13"/>
              <w:rPr>
                <w:b w:val="0"/>
                <w:bCs/>
              </w:rPr>
            </w:pPr>
            <w:r>
              <w:rPr>
                <w:rFonts w:hint="eastAsia"/>
                <w:b w:val="0"/>
                <w:bCs/>
              </w:rPr>
              <w:t>施工升降机地面通道上方未搭设防护棚（安全通道），或者安全通道长度不足。</w:t>
            </w:r>
          </w:p>
        </w:tc>
        <w:tc>
          <w:tcPr>
            <w:tcW w:w="1487" w:type="dxa"/>
            <w:shd w:val="clear" w:color="auto" w:fill="auto"/>
            <w:vAlign w:val="center"/>
          </w:tcPr>
          <w:p w14:paraId="00C3E2A8">
            <w:pPr>
              <w:pStyle w:val="13"/>
              <w:rPr>
                <w:b w:val="0"/>
                <w:bCs/>
              </w:rPr>
            </w:pPr>
            <w:r>
              <w:rPr>
                <w:rFonts w:hint="eastAsia"/>
                <w:b w:val="0"/>
                <w:bCs/>
              </w:rPr>
              <w:t>物体打击</w:t>
            </w:r>
          </w:p>
        </w:tc>
      </w:tr>
      <w:tr w14:paraId="398E94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3345BE9">
            <w:pPr>
              <w:pStyle w:val="13"/>
              <w:numPr>
                <w:ilvl w:val="0"/>
                <w:numId w:val="38"/>
              </w:numPr>
              <w:rPr>
                <w:b w:val="0"/>
                <w:bCs/>
              </w:rPr>
            </w:pPr>
          </w:p>
        </w:tc>
        <w:tc>
          <w:tcPr>
            <w:tcW w:w="1190" w:type="dxa"/>
            <w:vMerge w:val="restart"/>
            <w:shd w:val="clear" w:color="auto" w:fill="auto"/>
            <w:vAlign w:val="center"/>
          </w:tcPr>
          <w:p w14:paraId="2DEED5DE">
            <w:pPr>
              <w:pStyle w:val="13"/>
              <w:rPr>
                <w:b w:val="0"/>
                <w:bCs/>
              </w:rPr>
            </w:pPr>
            <w:r>
              <w:rPr>
                <w:rFonts w:hint="eastAsia"/>
                <w:b w:val="0"/>
                <w:bCs/>
              </w:rPr>
              <w:t>临时用电</w:t>
            </w:r>
          </w:p>
        </w:tc>
        <w:tc>
          <w:tcPr>
            <w:tcW w:w="4961" w:type="dxa"/>
            <w:shd w:val="clear" w:color="auto" w:fill="auto"/>
            <w:vAlign w:val="center"/>
          </w:tcPr>
          <w:p w14:paraId="651EA7BE">
            <w:pPr>
              <w:pStyle w:val="13"/>
              <w:rPr>
                <w:b w:val="0"/>
                <w:bCs/>
              </w:rPr>
            </w:pPr>
            <w:r>
              <w:rPr>
                <w:rFonts w:hint="eastAsia"/>
                <w:b w:val="0"/>
                <w:bCs/>
              </w:rPr>
              <w:t>配电箱配置不符合要求，固定不牢</w:t>
            </w:r>
          </w:p>
        </w:tc>
        <w:tc>
          <w:tcPr>
            <w:tcW w:w="1487" w:type="dxa"/>
            <w:shd w:val="clear" w:color="auto" w:fill="auto"/>
            <w:vAlign w:val="center"/>
          </w:tcPr>
          <w:p w14:paraId="07E3B277">
            <w:pPr>
              <w:pStyle w:val="13"/>
              <w:rPr>
                <w:b w:val="0"/>
                <w:bCs/>
              </w:rPr>
            </w:pPr>
            <w:r>
              <w:rPr>
                <w:rFonts w:hint="eastAsia"/>
                <w:b w:val="0"/>
                <w:bCs/>
              </w:rPr>
              <w:t>触电</w:t>
            </w:r>
          </w:p>
        </w:tc>
      </w:tr>
      <w:tr w14:paraId="7844FB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28FCE59">
            <w:pPr>
              <w:pStyle w:val="13"/>
              <w:numPr>
                <w:ilvl w:val="0"/>
                <w:numId w:val="38"/>
              </w:numPr>
              <w:rPr>
                <w:b w:val="0"/>
                <w:bCs/>
              </w:rPr>
            </w:pPr>
          </w:p>
        </w:tc>
        <w:tc>
          <w:tcPr>
            <w:tcW w:w="1190" w:type="dxa"/>
            <w:vMerge w:val="continue"/>
            <w:shd w:val="clear" w:color="auto" w:fill="auto"/>
            <w:vAlign w:val="center"/>
          </w:tcPr>
          <w:p w14:paraId="207B347C">
            <w:pPr>
              <w:pStyle w:val="13"/>
              <w:rPr>
                <w:b w:val="0"/>
                <w:bCs/>
              </w:rPr>
            </w:pPr>
          </w:p>
        </w:tc>
        <w:tc>
          <w:tcPr>
            <w:tcW w:w="4961" w:type="dxa"/>
            <w:shd w:val="clear" w:color="auto" w:fill="auto"/>
            <w:vAlign w:val="center"/>
          </w:tcPr>
          <w:p w14:paraId="0F451A15">
            <w:pPr>
              <w:pStyle w:val="13"/>
              <w:rPr>
                <w:b w:val="0"/>
                <w:bCs/>
              </w:rPr>
            </w:pPr>
            <w:r>
              <w:rPr>
                <w:rFonts w:hint="eastAsia"/>
                <w:b w:val="0"/>
                <w:bCs/>
              </w:rPr>
              <w:t>配电系统未按</w:t>
            </w:r>
            <w:r>
              <w:rPr>
                <w:b w:val="0"/>
                <w:bCs/>
              </w:rPr>
              <w:t>“</w:t>
            </w:r>
            <w:r>
              <w:rPr>
                <w:rFonts w:hint="eastAsia"/>
                <w:b w:val="0"/>
                <w:bCs/>
              </w:rPr>
              <w:t>三级配电、二级防护</w:t>
            </w:r>
            <w:r>
              <w:rPr>
                <w:b w:val="0"/>
                <w:bCs/>
              </w:rPr>
              <w:t>”</w:t>
            </w:r>
            <w:r>
              <w:rPr>
                <w:rFonts w:hint="eastAsia"/>
                <w:b w:val="0"/>
                <w:bCs/>
              </w:rPr>
              <w:t>进行设置</w:t>
            </w:r>
          </w:p>
        </w:tc>
        <w:tc>
          <w:tcPr>
            <w:tcW w:w="1487" w:type="dxa"/>
            <w:shd w:val="clear" w:color="auto" w:fill="auto"/>
            <w:vAlign w:val="center"/>
          </w:tcPr>
          <w:p w14:paraId="4214EACC">
            <w:pPr>
              <w:pStyle w:val="13"/>
              <w:rPr>
                <w:b w:val="0"/>
                <w:bCs/>
              </w:rPr>
            </w:pPr>
            <w:r>
              <w:rPr>
                <w:rFonts w:hint="eastAsia"/>
                <w:b w:val="0"/>
                <w:bCs/>
              </w:rPr>
              <w:t>触电</w:t>
            </w:r>
          </w:p>
        </w:tc>
      </w:tr>
      <w:tr w14:paraId="783456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F64DA42">
            <w:pPr>
              <w:pStyle w:val="13"/>
              <w:numPr>
                <w:ilvl w:val="0"/>
                <w:numId w:val="38"/>
              </w:numPr>
              <w:rPr>
                <w:b w:val="0"/>
                <w:bCs/>
              </w:rPr>
            </w:pPr>
          </w:p>
        </w:tc>
        <w:tc>
          <w:tcPr>
            <w:tcW w:w="1190" w:type="dxa"/>
            <w:vMerge w:val="continue"/>
            <w:shd w:val="clear" w:color="auto" w:fill="auto"/>
            <w:vAlign w:val="center"/>
          </w:tcPr>
          <w:p w14:paraId="0130B97B">
            <w:pPr>
              <w:pStyle w:val="13"/>
              <w:rPr>
                <w:b w:val="0"/>
                <w:bCs/>
              </w:rPr>
            </w:pPr>
          </w:p>
        </w:tc>
        <w:tc>
          <w:tcPr>
            <w:tcW w:w="4961" w:type="dxa"/>
            <w:shd w:val="clear" w:color="auto" w:fill="auto"/>
            <w:vAlign w:val="center"/>
          </w:tcPr>
          <w:p w14:paraId="0F9FF51B">
            <w:pPr>
              <w:pStyle w:val="13"/>
              <w:rPr>
                <w:b w:val="0"/>
                <w:bCs/>
              </w:rPr>
            </w:pPr>
            <w:r>
              <w:rPr>
                <w:rFonts w:hint="eastAsia"/>
                <w:b w:val="0"/>
                <w:bCs/>
              </w:rPr>
              <w:t>用电设备未做到</w:t>
            </w:r>
            <w:r>
              <w:rPr>
                <w:b w:val="0"/>
                <w:bCs/>
              </w:rPr>
              <w:t>“</w:t>
            </w:r>
            <w:r>
              <w:rPr>
                <w:rFonts w:hint="eastAsia"/>
                <w:b w:val="0"/>
                <w:bCs/>
              </w:rPr>
              <w:t>一机一闸一漏一箱</w:t>
            </w:r>
            <w:r>
              <w:rPr>
                <w:b w:val="0"/>
                <w:bCs/>
              </w:rPr>
              <w:t>”</w:t>
            </w:r>
          </w:p>
        </w:tc>
        <w:tc>
          <w:tcPr>
            <w:tcW w:w="1487" w:type="dxa"/>
            <w:shd w:val="clear" w:color="auto" w:fill="auto"/>
            <w:vAlign w:val="center"/>
          </w:tcPr>
          <w:p w14:paraId="27D3DCD0">
            <w:pPr>
              <w:pStyle w:val="13"/>
              <w:rPr>
                <w:b w:val="0"/>
                <w:bCs/>
              </w:rPr>
            </w:pPr>
            <w:r>
              <w:rPr>
                <w:rFonts w:hint="eastAsia"/>
                <w:b w:val="0"/>
                <w:bCs/>
              </w:rPr>
              <w:t>触电</w:t>
            </w:r>
          </w:p>
        </w:tc>
      </w:tr>
      <w:tr w14:paraId="2BA9A5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AAC3F6A">
            <w:pPr>
              <w:pStyle w:val="13"/>
              <w:numPr>
                <w:ilvl w:val="0"/>
                <w:numId w:val="38"/>
              </w:numPr>
              <w:rPr>
                <w:b w:val="0"/>
                <w:bCs/>
              </w:rPr>
            </w:pPr>
          </w:p>
        </w:tc>
        <w:tc>
          <w:tcPr>
            <w:tcW w:w="1190" w:type="dxa"/>
            <w:vMerge w:val="continue"/>
            <w:shd w:val="clear" w:color="auto" w:fill="auto"/>
            <w:vAlign w:val="center"/>
          </w:tcPr>
          <w:p w14:paraId="1A3DAA06">
            <w:pPr>
              <w:pStyle w:val="13"/>
              <w:rPr>
                <w:b w:val="0"/>
                <w:bCs/>
              </w:rPr>
            </w:pPr>
          </w:p>
        </w:tc>
        <w:tc>
          <w:tcPr>
            <w:tcW w:w="4961" w:type="dxa"/>
            <w:shd w:val="clear" w:color="auto" w:fill="auto"/>
            <w:vAlign w:val="center"/>
          </w:tcPr>
          <w:p w14:paraId="41FB7B88">
            <w:pPr>
              <w:pStyle w:val="13"/>
              <w:rPr>
                <w:b w:val="0"/>
                <w:bCs/>
              </w:rPr>
            </w:pPr>
            <w:r>
              <w:rPr>
                <w:rFonts w:hint="eastAsia"/>
                <w:b w:val="0"/>
                <w:bCs/>
              </w:rPr>
              <w:t>非专业电工进行操作</w:t>
            </w:r>
          </w:p>
        </w:tc>
        <w:tc>
          <w:tcPr>
            <w:tcW w:w="1487" w:type="dxa"/>
            <w:shd w:val="clear" w:color="auto" w:fill="auto"/>
            <w:vAlign w:val="center"/>
          </w:tcPr>
          <w:p w14:paraId="09BD8312">
            <w:pPr>
              <w:pStyle w:val="13"/>
              <w:rPr>
                <w:b w:val="0"/>
                <w:bCs/>
              </w:rPr>
            </w:pPr>
            <w:r>
              <w:rPr>
                <w:rFonts w:hint="eastAsia"/>
                <w:b w:val="0"/>
                <w:bCs/>
              </w:rPr>
              <w:t>触电</w:t>
            </w:r>
          </w:p>
        </w:tc>
      </w:tr>
      <w:tr w14:paraId="4E821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83758FD">
            <w:pPr>
              <w:pStyle w:val="13"/>
              <w:numPr>
                <w:ilvl w:val="0"/>
                <w:numId w:val="38"/>
              </w:numPr>
              <w:rPr>
                <w:b w:val="0"/>
                <w:bCs/>
              </w:rPr>
            </w:pPr>
          </w:p>
        </w:tc>
        <w:tc>
          <w:tcPr>
            <w:tcW w:w="1190" w:type="dxa"/>
            <w:vMerge w:val="continue"/>
            <w:shd w:val="clear" w:color="auto" w:fill="auto"/>
            <w:vAlign w:val="center"/>
          </w:tcPr>
          <w:p w14:paraId="2F2B96DD">
            <w:pPr>
              <w:pStyle w:val="13"/>
              <w:rPr>
                <w:b w:val="0"/>
                <w:bCs/>
              </w:rPr>
            </w:pPr>
          </w:p>
        </w:tc>
        <w:tc>
          <w:tcPr>
            <w:tcW w:w="4961" w:type="dxa"/>
            <w:shd w:val="clear" w:color="auto" w:fill="auto"/>
            <w:vAlign w:val="center"/>
          </w:tcPr>
          <w:p w14:paraId="10F723A8">
            <w:pPr>
              <w:pStyle w:val="13"/>
              <w:rPr>
                <w:b w:val="0"/>
                <w:bCs/>
              </w:rPr>
            </w:pPr>
            <w:r>
              <w:rPr>
                <w:rFonts w:hint="eastAsia"/>
                <w:b w:val="0"/>
                <w:bCs/>
              </w:rPr>
              <w:t>电路配置与用电设备功率不匹配；使用非标电缆线或电缆绝缘强度不够，线路老化或电缆线破损</w:t>
            </w:r>
          </w:p>
        </w:tc>
        <w:tc>
          <w:tcPr>
            <w:tcW w:w="1487" w:type="dxa"/>
            <w:shd w:val="clear" w:color="auto" w:fill="auto"/>
            <w:vAlign w:val="center"/>
          </w:tcPr>
          <w:p w14:paraId="48802C65">
            <w:pPr>
              <w:pStyle w:val="13"/>
              <w:rPr>
                <w:b w:val="0"/>
                <w:bCs/>
              </w:rPr>
            </w:pPr>
            <w:r>
              <w:rPr>
                <w:rFonts w:hint="eastAsia"/>
                <w:b w:val="0"/>
                <w:bCs/>
              </w:rPr>
              <w:t>触电</w:t>
            </w:r>
          </w:p>
        </w:tc>
      </w:tr>
      <w:tr w14:paraId="59C5A6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7A12FDB">
            <w:pPr>
              <w:pStyle w:val="13"/>
              <w:numPr>
                <w:ilvl w:val="0"/>
                <w:numId w:val="38"/>
              </w:numPr>
              <w:rPr>
                <w:b w:val="0"/>
                <w:bCs/>
              </w:rPr>
            </w:pPr>
          </w:p>
        </w:tc>
        <w:tc>
          <w:tcPr>
            <w:tcW w:w="1190" w:type="dxa"/>
            <w:vMerge w:val="continue"/>
            <w:shd w:val="clear" w:color="auto" w:fill="auto"/>
            <w:vAlign w:val="center"/>
          </w:tcPr>
          <w:p w14:paraId="641EB719">
            <w:pPr>
              <w:pStyle w:val="13"/>
              <w:rPr>
                <w:b w:val="0"/>
                <w:bCs/>
              </w:rPr>
            </w:pPr>
          </w:p>
        </w:tc>
        <w:tc>
          <w:tcPr>
            <w:tcW w:w="4961" w:type="dxa"/>
            <w:shd w:val="clear" w:color="auto" w:fill="auto"/>
            <w:vAlign w:val="center"/>
          </w:tcPr>
          <w:p w14:paraId="66BE2227">
            <w:pPr>
              <w:pStyle w:val="13"/>
              <w:rPr>
                <w:b w:val="0"/>
                <w:bCs/>
              </w:rPr>
            </w:pPr>
            <w:r>
              <w:rPr>
                <w:rFonts w:hint="eastAsia"/>
                <w:b w:val="0"/>
                <w:bCs/>
              </w:rPr>
              <w:t>电缆线未按规范要求敷设或架起；随意拖拽电缆，物料随意压盖电缆；用电设备雨天未防雨遮盖，雨后未检查就使用</w:t>
            </w:r>
          </w:p>
        </w:tc>
        <w:tc>
          <w:tcPr>
            <w:tcW w:w="1487" w:type="dxa"/>
            <w:shd w:val="clear" w:color="auto" w:fill="auto"/>
            <w:vAlign w:val="center"/>
          </w:tcPr>
          <w:p w14:paraId="221DEA2F">
            <w:pPr>
              <w:pStyle w:val="13"/>
              <w:rPr>
                <w:b w:val="0"/>
                <w:bCs/>
              </w:rPr>
            </w:pPr>
            <w:r>
              <w:rPr>
                <w:rFonts w:hint="eastAsia"/>
                <w:b w:val="0"/>
                <w:bCs/>
              </w:rPr>
              <w:t>触电</w:t>
            </w:r>
          </w:p>
        </w:tc>
      </w:tr>
      <w:tr w14:paraId="4FE218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493253D">
            <w:pPr>
              <w:pStyle w:val="13"/>
              <w:numPr>
                <w:ilvl w:val="0"/>
                <w:numId w:val="38"/>
              </w:numPr>
              <w:rPr>
                <w:b w:val="0"/>
                <w:bCs/>
              </w:rPr>
            </w:pPr>
          </w:p>
        </w:tc>
        <w:tc>
          <w:tcPr>
            <w:tcW w:w="1190" w:type="dxa"/>
            <w:vMerge w:val="restart"/>
            <w:shd w:val="clear" w:color="auto" w:fill="auto"/>
            <w:vAlign w:val="center"/>
          </w:tcPr>
          <w:p w14:paraId="033F9619">
            <w:pPr>
              <w:pStyle w:val="13"/>
              <w:rPr>
                <w:b w:val="0"/>
                <w:bCs/>
              </w:rPr>
            </w:pPr>
            <w:r>
              <w:rPr>
                <w:rFonts w:hint="eastAsia"/>
                <w:b w:val="0"/>
                <w:bCs/>
              </w:rPr>
              <w:t>起重作业</w:t>
            </w:r>
          </w:p>
        </w:tc>
        <w:tc>
          <w:tcPr>
            <w:tcW w:w="4961" w:type="dxa"/>
            <w:shd w:val="clear" w:color="auto" w:fill="auto"/>
            <w:vAlign w:val="center"/>
          </w:tcPr>
          <w:p w14:paraId="45C82CCA">
            <w:pPr>
              <w:pStyle w:val="13"/>
              <w:rPr>
                <w:b w:val="0"/>
                <w:bCs/>
              </w:rPr>
            </w:pPr>
            <w:r>
              <w:rPr>
                <w:rFonts w:hint="eastAsia"/>
                <w:b w:val="0"/>
                <w:bCs/>
              </w:rPr>
              <w:t>起重作业无专人指挥</w:t>
            </w:r>
          </w:p>
        </w:tc>
        <w:tc>
          <w:tcPr>
            <w:tcW w:w="1487" w:type="dxa"/>
            <w:shd w:val="clear" w:color="auto" w:fill="auto"/>
            <w:vAlign w:val="center"/>
          </w:tcPr>
          <w:p w14:paraId="453A9FA1">
            <w:pPr>
              <w:pStyle w:val="13"/>
              <w:rPr>
                <w:b w:val="0"/>
                <w:bCs/>
              </w:rPr>
            </w:pPr>
            <w:r>
              <w:rPr>
                <w:rFonts w:hint="eastAsia"/>
                <w:b w:val="0"/>
                <w:bCs/>
              </w:rPr>
              <w:t>起重伤害、物体打击</w:t>
            </w:r>
          </w:p>
        </w:tc>
      </w:tr>
      <w:tr w14:paraId="387573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7C9C35A">
            <w:pPr>
              <w:pStyle w:val="13"/>
              <w:numPr>
                <w:ilvl w:val="0"/>
                <w:numId w:val="38"/>
              </w:numPr>
              <w:rPr>
                <w:b w:val="0"/>
                <w:bCs/>
              </w:rPr>
            </w:pPr>
          </w:p>
        </w:tc>
        <w:tc>
          <w:tcPr>
            <w:tcW w:w="1190" w:type="dxa"/>
            <w:vMerge w:val="continue"/>
            <w:shd w:val="clear" w:color="auto" w:fill="auto"/>
            <w:vAlign w:val="center"/>
          </w:tcPr>
          <w:p w14:paraId="63E390E5">
            <w:pPr>
              <w:pStyle w:val="13"/>
              <w:rPr>
                <w:b w:val="0"/>
                <w:bCs/>
              </w:rPr>
            </w:pPr>
          </w:p>
        </w:tc>
        <w:tc>
          <w:tcPr>
            <w:tcW w:w="4961" w:type="dxa"/>
            <w:shd w:val="clear" w:color="auto" w:fill="auto"/>
            <w:vAlign w:val="center"/>
          </w:tcPr>
          <w:p w14:paraId="26AB3DDC">
            <w:pPr>
              <w:pStyle w:val="13"/>
              <w:rPr>
                <w:b w:val="0"/>
                <w:bCs/>
              </w:rPr>
            </w:pPr>
            <w:r>
              <w:rPr>
                <w:rFonts w:hint="eastAsia"/>
                <w:b w:val="0"/>
                <w:bCs/>
              </w:rPr>
              <w:t>起重吊装工索具选型有误、现场混用或连接不牢靠</w:t>
            </w:r>
          </w:p>
        </w:tc>
        <w:tc>
          <w:tcPr>
            <w:tcW w:w="1487" w:type="dxa"/>
            <w:shd w:val="clear" w:color="auto" w:fill="auto"/>
            <w:vAlign w:val="center"/>
          </w:tcPr>
          <w:p w14:paraId="0C14CC54">
            <w:pPr>
              <w:pStyle w:val="13"/>
              <w:rPr>
                <w:b w:val="0"/>
                <w:bCs/>
              </w:rPr>
            </w:pPr>
            <w:r>
              <w:rPr>
                <w:rFonts w:hint="eastAsia"/>
                <w:b w:val="0"/>
                <w:bCs/>
              </w:rPr>
              <w:t>起重伤害、物体打击</w:t>
            </w:r>
          </w:p>
        </w:tc>
      </w:tr>
      <w:tr w14:paraId="39CE30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D6C28A0">
            <w:pPr>
              <w:pStyle w:val="13"/>
              <w:numPr>
                <w:ilvl w:val="0"/>
                <w:numId w:val="38"/>
              </w:numPr>
              <w:rPr>
                <w:b w:val="0"/>
                <w:bCs/>
              </w:rPr>
            </w:pPr>
          </w:p>
        </w:tc>
        <w:tc>
          <w:tcPr>
            <w:tcW w:w="1190" w:type="dxa"/>
            <w:vMerge w:val="continue"/>
            <w:shd w:val="clear" w:color="auto" w:fill="auto"/>
            <w:vAlign w:val="center"/>
          </w:tcPr>
          <w:p w14:paraId="7F3AE495">
            <w:pPr>
              <w:pStyle w:val="13"/>
              <w:rPr>
                <w:b w:val="0"/>
                <w:bCs/>
              </w:rPr>
            </w:pPr>
          </w:p>
        </w:tc>
        <w:tc>
          <w:tcPr>
            <w:tcW w:w="4961" w:type="dxa"/>
            <w:shd w:val="clear" w:color="auto" w:fill="auto"/>
            <w:vAlign w:val="center"/>
          </w:tcPr>
          <w:p w14:paraId="4F0AB0F0">
            <w:pPr>
              <w:pStyle w:val="13"/>
              <w:rPr>
                <w:b w:val="0"/>
                <w:bCs/>
              </w:rPr>
            </w:pPr>
            <w:r>
              <w:rPr>
                <w:rFonts w:hint="eastAsia"/>
                <w:b w:val="0"/>
                <w:bCs/>
              </w:rPr>
              <w:t>不同起重设备共同作业时，操作不协调</w:t>
            </w:r>
          </w:p>
        </w:tc>
        <w:tc>
          <w:tcPr>
            <w:tcW w:w="1487" w:type="dxa"/>
            <w:shd w:val="clear" w:color="auto" w:fill="auto"/>
            <w:vAlign w:val="center"/>
          </w:tcPr>
          <w:p w14:paraId="78851EED">
            <w:pPr>
              <w:pStyle w:val="13"/>
              <w:rPr>
                <w:b w:val="0"/>
                <w:bCs/>
              </w:rPr>
            </w:pPr>
            <w:r>
              <w:rPr>
                <w:rFonts w:hint="eastAsia"/>
                <w:b w:val="0"/>
                <w:bCs/>
              </w:rPr>
              <w:t>起重伤害</w:t>
            </w:r>
          </w:p>
        </w:tc>
      </w:tr>
      <w:tr w14:paraId="53C7B4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38C1BD5">
            <w:pPr>
              <w:pStyle w:val="13"/>
              <w:numPr>
                <w:ilvl w:val="0"/>
                <w:numId w:val="38"/>
              </w:numPr>
              <w:rPr>
                <w:b w:val="0"/>
                <w:bCs/>
              </w:rPr>
            </w:pPr>
          </w:p>
        </w:tc>
        <w:tc>
          <w:tcPr>
            <w:tcW w:w="1190" w:type="dxa"/>
            <w:vMerge w:val="continue"/>
            <w:shd w:val="clear" w:color="auto" w:fill="auto"/>
            <w:vAlign w:val="center"/>
          </w:tcPr>
          <w:p w14:paraId="71C9DC08">
            <w:pPr>
              <w:pStyle w:val="13"/>
              <w:rPr>
                <w:b w:val="0"/>
                <w:bCs/>
              </w:rPr>
            </w:pPr>
          </w:p>
        </w:tc>
        <w:tc>
          <w:tcPr>
            <w:tcW w:w="4961" w:type="dxa"/>
            <w:shd w:val="clear" w:color="auto" w:fill="auto"/>
            <w:vAlign w:val="center"/>
          </w:tcPr>
          <w:p w14:paraId="2BB03DC3">
            <w:pPr>
              <w:pStyle w:val="13"/>
              <w:rPr>
                <w:b w:val="0"/>
                <w:bCs/>
              </w:rPr>
            </w:pPr>
            <w:r>
              <w:rPr>
                <w:rFonts w:hint="eastAsia"/>
                <w:b w:val="0"/>
                <w:bCs/>
                <w:lang w:eastAsia="zh-CN"/>
              </w:rPr>
              <w:t>塔机</w:t>
            </w:r>
            <w:r>
              <w:rPr>
                <w:rFonts w:hint="eastAsia"/>
                <w:b w:val="0"/>
                <w:bCs/>
              </w:rPr>
              <w:t>上部未装测风仪，</w:t>
            </w:r>
            <w:r>
              <w:rPr>
                <w:b w:val="0"/>
                <w:bCs/>
              </w:rPr>
              <w:t>6</w:t>
            </w:r>
            <w:r>
              <w:rPr>
                <w:rFonts w:hint="eastAsia"/>
                <w:b w:val="0"/>
                <w:bCs/>
              </w:rPr>
              <w:t>级以上风未停止作业</w:t>
            </w:r>
          </w:p>
        </w:tc>
        <w:tc>
          <w:tcPr>
            <w:tcW w:w="1487" w:type="dxa"/>
            <w:shd w:val="clear" w:color="auto" w:fill="auto"/>
            <w:vAlign w:val="center"/>
          </w:tcPr>
          <w:p w14:paraId="033E0123">
            <w:pPr>
              <w:pStyle w:val="13"/>
              <w:rPr>
                <w:b w:val="0"/>
                <w:bCs/>
              </w:rPr>
            </w:pPr>
            <w:r>
              <w:rPr>
                <w:rFonts w:hint="eastAsia"/>
                <w:b w:val="0"/>
                <w:bCs/>
              </w:rPr>
              <w:t>起重伤害</w:t>
            </w:r>
          </w:p>
        </w:tc>
      </w:tr>
      <w:tr w14:paraId="17E06E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06C1E9C">
            <w:pPr>
              <w:pStyle w:val="13"/>
              <w:numPr>
                <w:ilvl w:val="0"/>
                <w:numId w:val="38"/>
              </w:numPr>
              <w:rPr>
                <w:b w:val="0"/>
                <w:bCs/>
              </w:rPr>
            </w:pPr>
          </w:p>
        </w:tc>
        <w:tc>
          <w:tcPr>
            <w:tcW w:w="1190" w:type="dxa"/>
            <w:vMerge w:val="continue"/>
            <w:shd w:val="clear" w:color="auto" w:fill="auto"/>
            <w:vAlign w:val="center"/>
          </w:tcPr>
          <w:p w14:paraId="18E157A6">
            <w:pPr>
              <w:pStyle w:val="13"/>
              <w:rPr>
                <w:b w:val="0"/>
                <w:bCs/>
              </w:rPr>
            </w:pPr>
          </w:p>
        </w:tc>
        <w:tc>
          <w:tcPr>
            <w:tcW w:w="4961" w:type="dxa"/>
            <w:shd w:val="clear" w:color="auto" w:fill="auto"/>
            <w:vAlign w:val="center"/>
          </w:tcPr>
          <w:p w14:paraId="6C4B7C4F">
            <w:pPr>
              <w:pStyle w:val="13"/>
              <w:rPr>
                <w:b w:val="0"/>
                <w:bCs/>
              </w:rPr>
            </w:pPr>
            <w:r>
              <w:rPr>
                <w:rFonts w:hint="eastAsia"/>
                <w:b w:val="0"/>
                <w:bCs/>
              </w:rPr>
              <w:t>未进行定期检查、维护、保养</w:t>
            </w:r>
          </w:p>
        </w:tc>
        <w:tc>
          <w:tcPr>
            <w:tcW w:w="1487" w:type="dxa"/>
            <w:shd w:val="clear" w:color="auto" w:fill="auto"/>
            <w:vAlign w:val="center"/>
          </w:tcPr>
          <w:p w14:paraId="2EF4032B">
            <w:pPr>
              <w:pStyle w:val="13"/>
              <w:rPr>
                <w:b w:val="0"/>
                <w:bCs/>
              </w:rPr>
            </w:pPr>
            <w:r>
              <w:rPr>
                <w:rFonts w:hint="eastAsia"/>
                <w:b w:val="0"/>
                <w:bCs/>
              </w:rPr>
              <w:t>起重伤害</w:t>
            </w:r>
          </w:p>
        </w:tc>
      </w:tr>
      <w:tr w14:paraId="71D06C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4BE97EA">
            <w:pPr>
              <w:pStyle w:val="13"/>
              <w:numPr>
                <w:ilvl w:val="0"/>
                <w:numId w:val="38"/>
              </w:numPr>
              <w:rPr>
                <w:b w:val="0"/>
                <w:bCs/>
              </w:rPr>
            </w:pPr>
          </w:p>
        </w:tc>
        <w:tc>
          <w:tcPr>
            <w:tcW w:w="1190" w:type="dxa"/>
            <w:vMerge w:val="continue"/>
            <w:shd w:val="clear" w:color="auto" w:fill="auto"/>
            <w:vAlign w:val="center"/>
          </w:tcPr>
          <w:p w14:paraId="2073B180">
            <w:pPr>
              <w:pStyle w:val="13"/>
              <w:rPr>
                <w:b w:val="0"/>
                <w:bCs/>
              </w:rPr>
            </w:pPr>
          </w:p>
        </w:tc>
        <w:tc>
          <w:tcPr>
            <w:tcW w:w="4961" w:type="dxa"/>
            <w:shd w:val="clear" w:color="auto" w:fill="auto"/>
            <w:vAlign w:val="center"/>
          </w:tcPr>
          <w:p w14:paraId="72194D41">
            <w:pPr>
              <w:pStyle w:val="13"/>
              <w:rPr>
                <w:b w:val="0"/>
                <w:bCs/>
              </w:rPr>
            </w:pPr>
            <w:r>
              <w:rPr>
                <w:rFonts w:hint="eastAsia"/>
                <w:b w:val="0"/>
                <w:bCs/>
              </w:rPr>
              <w:t>起重设备未检验或检验证书过期</w:t>
            </w:r>
          </w:p>
        </w:tc>
        <w:tc>
          <w:tcPr>
            <w:tcW w:w="1487" w:type="dxa"/>
            <w:shd w:val="clear" w:color="auto" w:fill="auto"/>
            <w:vAlign w:val="center"/>
          </w:tcPr>
          <w:p w14:paraId="77660C30">
            <w:pPr>
              <w:pStyle w:val="13"/>
              <w:rPr>
                <w:b w:val="0"/>
                <w:bCs/>
              </w:rPr>
            </w:pPr>
            <w:r>
              <w:rPr>
                <w:rFonts w:hint="eastAsia"/>
                <w:b w:val="0"/>
                <w:bCs/>
              </w:rPr>
              <w:t>起重伤害</w:t>
            </w:r>
          </w:p>
        </w:tc>
      </w:tr>
      <w:tr w14:paraId="2C6693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E91BA49">
            <w:pPr>
              <w:pStyle w:val="13"/>
              <w:numPr>
                <w:ilvl w:val="0"/>
                <w:numId w:val="38"/>
              </w:numPr>
              <w:rPr>
                <w:b w:val="0"/>
                <w:bCs/>
              </w:rPr>
            </w:pPr>
          </w:p>
        </w:tc>
        <w:tc>
          <w:tcPr>
            <w:tcW w:w="1190" w:type="dxa"/>
            <w:vMerge w:val="continue"/>
            <w:shd w:val="clear" w:color="auto" w:fill="auto"/>
            <w:vAlign w:val="center"/>
          </w:tcPr>
          <w:p w14:paraId="11368643">
            <w:pPr>
              <w:pStyle w:val="13"/>
              <w:rPr>
                <w:b w:val="0"/>
                <w:bCs/>
              </w:rPr>
            </w:pPr>
          </w:p>
        </w:tc>
        <w:tc>
          <w:tcPr>
            <w:tcW w:w="4961" w:type="dxa"/>
            <w:shd w:val="clear" w:color="auto" w:fill="auto"/>
            <w:vAlign w:val="center"/>
          </w:tcPr>
          <w:p w14:paraId="14B1A786">
            <w:pPr>
              <w:pStyle w:val="13"/>
              <w:rPr>
                <w:b w:val="0"/>
                <w:bCs/>
              </w:rPr>
            </w:pPr>
            <w:r>
              <w:rPr>
                <w:rFonts w:hint="eastAsia"/>
                <w:b w:val="0"/>
                <w:bCs/>
              </w:rPr>
              <w:t>起重设备吊钩安全销损坏、吊钩限位器损坏、钢丝绳磨损或连接销轴松动</w:t>
            </w:r>
          </w:p>
        </w:tc>
        <w:tc>
          <w:tcPr>
            <w:tcW w:w="1487" w:type="dxa"/>
            <w:shd w:val="clear" w:color="auto" w:fill="auto"/>
            <w:vAlign w:val="center"/>
          </w:tcPr>
          <w:p w14:paraId="3F4B99F6">
            <w:pPr>
              <w:pStyle w:val="13"/>
              <w:rPr>
                <w:b w:val="0"/>
                <w:bCs/>
              </w:rPr>
            </w:pPr>
            <w:r>
              <w:rPr>
                <w:rFonts w:hint="eastAsia"/>
                <w:b w:val="0"/>
                <w:bCs/>
              </w:rPr>
              <w:t>起重伤害</w:t>
            </w:r>
          </w:p>
        </w:tc>
      </w:tr>
      <w:tr w14:paraId="0A0946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DAD4017">
            <w:pPr>
              <w:pStyle w:val="13"/>
              <w:numPr>
                <w:ilvl w:val="0"/>
                <w:numId w:val="38"/>
              </w:numPr>
              <w:rPr>
                <w:b w:val="0"/>
                <w:bCs/>
              </w:rPr>
            </w:pPr>
          </w:p>
        </w:tc>
        <w:tc>
          <w:tcPr>
            <w:tcW w:w="1190" w:type="dxa"/>
            <w:vMerge w:val="continue"/>
            <w:shd w:val="clear" w:color="auto" w:fill="auto"/>
            <w:vAlign w:val="center"/>
          </w:tcPr>
          <w:p w14:paraId="169228B1">
            <w:pPr>
              <w:pStyle w:val="13"/>
              <w:rPr>
                <w:b w:val="0"/>
                <w:bCs/>
              </w:rPr>
            </w:pPr>
          </w:p>
        </w:tc>
        <w:tc>
          <w:tcPr>
            <w:tcW w:w="4961" w:type="dxa"/>
            <w:shd w:val="clear" w:color="auto" w:fill="auto"/>
            <w:vAlign w:val="center"/>
          </w:tcPr>
          <w:p w14:paraId="466F1567">
            <w:pPr>
              <w:pStyle w:val="13"/>
              <w:rPr>
                <w:b w:val="0"/>
                <w:bCs/>
              </w:rPr>
            </w:pPr>
            <w:r>
              <w:rPr>
                <w:rFonts w:hint="eastAsia"/>
                <w:b w:val="0"/>
                <w:bCs/>
              </w:rPr>
              <w:t>起重指挥信号不明</w:t>
            </w:r>
          </w:p>
        </w:tc>
        <w:tc>
          <w:tcPr>
            <w:tcW w:w="1487" w:type="dxa"/>
            <w:shd w:val="clear" w:color="auto" w:fill="auto"/>
            <w:vAlign w:val="center"/>
          </w:tcPr>
          <w:p w14:paraId="59D6C3FA">
            <w:pPr>
              <w:pStyle w:val="13"/>
              <w:rPr>
                <w:b w:val="0"/>
                <w:bCs/>
              </w:rPr>
            </w:pPr>
            <w:r>
              <w:rPr>
                <w:rFonts w:hint="eastAsia"/>
                <w:b w:val="0"/>
                <w:bCs/>
              </w:rPr>
              <w:t>起重伤害</w:t>
            </w:r>
          </w:p>
        </w:tc>
      </w:tr>
      <w:tr w14:paraId="183CF9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3B97BA0">
            <w:pPr>
              <w:pStyle w:val="13"/>
              <w:numPr>
                <w:ilvl w:val="0"/>
                <w:numId w:val="38"/>
              </w:numPr>
              <w:rPr>
                <w:b w:val="0"/>
                <w:bCs/>
              </w:rPr>
            </w:pPr>
          </w:p>
        </w:tc>
        <w:tc>
          <w:tcPr>
            <w:tcW w:w="1190" w:type="dxa"/>
            <w:vMerge w:val="continue"/>
            <w:shd w:val="clear" w:color="auto" w:fill="auto"/>
            <w:vAlign w:val="center"/>
          </w:tcPr>
          <w:p w14:paraId="4007AEE3">
            <w:pPr>
              <w:pStyle w:val="13"/>
              <w:rPr>
                <w:b w:val="0"/>
                <w:bCs/>
              </w:rPr>
            </w:pPr>
          </w:p>
        </w:tc>
        <w:tc>
          <w:tcPr>
            <w:tcW w:w="4961" w:type="dxa"/>
            <w:shd w:val="clear" w:color="auto" w:fill="auto"/>
            <w:vAlign w:val="center"/>
          </w:tcPr>
          <w:p w14:paraId="22D39307">
            <w:pPr>
              <w:pStyle w:val="13"/>
              <w:rPr>
                <w:b w:val="0"/>
                <w:bCs/>
              </w:rPr>
            </w:pPr>
            <w:r>
              <w:rPr>
                <w:rFonts w:hint="eastAsia"/>
                <w:b w:val="0"/>
                <w:bCs/>
              </w:rPr>
              <w:t>起重违章指挥</w:t>
            </w:r>
          </w:p>
        </w:tc>
        <w:tc>
          <w:tcPr>
            <w:tcW w:w="1487" w:type="dxa"/>
            <w:shd w:val="clear" w:color="auto" w:fill="auto"/>
            <w:vAlign w:val="center"/>
          </w:tcPr>
          <w:p w14:paraId="4B194BF4">
            <w:pPr>
              <w:pStyle w:val="13"/>
              <w:rPr>
                <w:b w:val="0"/>
                <w:bCs/>
              </w:rPr>
            </w:pPr>
            <w:r>
              <w:rPr>
                <w:rFonts w:hint="eastAsia"/>
                <w:b w:val="0"/>
                <w:bCs/>
              </w:rPr>
              <w:t>起重伤害</w:t>
            </w:r>
          </w:p>
        </w:tc>
      </w:tr>
      <w:tr w14:paraId="69E9DE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72254E1">
            <w:pPr>
              <w:pStyle w:val="13"/>
              <w:numPr>
                <w:ilvl w:val="0"/>
                <w:numId w:val="38"/>
              </w:numPr>
              <w:rPr>
                <w:b w:val="0"/>
                <w:bCs/>
              </w:rPr>
            </w:pPr>
          </w:p>
        </w:tc>
        <w:tc>
          <w:tcPr>
            <w:tcW w:w="1190" w:type="dxa"/>
            <w:vMerge w:val="continue"/>
            <w:shd w:val="clear" w:color="auto" w:fill="auto"/>
            <w:vAlign w:val="center"/>
          </w:tcPr>
          <w:p w14:paraId="2C4F74DA">
            <w:pPr>
              <w:pStyle w:val="13"/>
              <w:rPr>
                <w:b w:val="0"/>
                <w:bCs/>
              </w:rPr>
            </w:pPr>
          </w:p>
        </w:tc>
        <w:tc>
          <w:tcPr>
            <w:tcW w:w="4961" w:type="dxa"/>
            <w:shd w:val="clear" w:color="auto" w:fill="auto"/>
            <w:vAlign w:val="center"/>
          </w:tcPr>
          <w:p w14:paraId="7E8B4F82">
            <w:pPr>
              <w:pStyle w:val="13"/>
              <w:rPr>
                <w:b w:val="0"/>
                <w:bCs/>
              </w:rPr>
            </w:pPr>
            <w:r>
              <w:rPr>
                <w:rFonts w:hint="eastAsia"/>
                <w:b w:val="0"/>
                <w:bCs/>
              </w:rPr>
              <w:t>起重违章操作</w:t>
            </w:r>
          </w:p>
        </w:tc>
        <w:tc>
          <w:tcPr>
            <w:tcW w:w="1487" w:type="dxa"/>
            <w:shd w:val="clear" w:color="auto" w:fill="auto"/>
            <w:vAlign w:val="center"/>
          </w:tcPr>
          <w:p w14:paraId="280006AA">
            <w:pPr>
              <w:pStyle w:val="13"/>
              <w:rPr>
                <w:b w:val="0"/>
                <w:bCs/>
              </w:rPr>
            </w:pPr>
            <w:r>
              <w:rPr>
                <w:rFonts w:hint="eastAsia"/>
                <w:b w:val="0"/>
                <w:bCs/>
              </w:rPr>
              <w:t>起重伤害</w:t>
            </w:r>
          </w:p>
        </w:tc>
      </w:tr>
      <w:tr w14:paraId="56C2E2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7EDA5C8">
            <w:pPr>
              <w:pStyle w:val="13"/>
              <w:numPr>
                <w:ilvl w:val="0"/>
                <w:numId w:val="38"/>
              </w:numPr>
              <w:rPr>
                <w:b w:val="0"/>
                <w:bCs/>
              </w:rPr>
            </w:pPr>
          </w:p>
        </w:tc>
        <w:tc>
          <w:tcPr>
            <w:tcW w:w="1190" w:type="dxa"/>
            <w:vMerge w:val="continue"/>
            <w:shd w:val="clear" w:color="auto" w:fill="auto"/>
            <w:vAlign w:val="center"/>
          </w:tcPr>
          <w:p w14:paraId="3179F39F">
            <w:pPr>
              <w:pStyle w:val="13"/>
              <w:rPr>
                <w:b w:val="0"/>
                <w:bCs/>
              </w:rPr>
            </w:pPr>
          </w:p>
        </w:tc>
        <w:tc>
          <w:tcPr>
            <w:tcW w:w="4961" w:type="dxa"/>
            <w:shd w:val="clear" w:color="auto" w:fill="auto"/>
            <w:vAlign w:val="center"/>
          </w:tcPr>
          <w:p w14:paraId="39EF7531">
            <w:pPr>
              <w:pStyle w:val="13"/>
              <w:rPr>
                <w:b w:val="0"/>
                <w:bCs/>
              </w:rPr>
            </w:pPr>
            <w:r>
              <w:rPr>
                <w:rFonts w:hint="eastAsia"/>
                <w:b w:val="0"/>
                <w:bCs/>
              </w:rPr>
              <w:t>起重吊装未设置警戒区，人员在起吊物、臂杆下方停留、作业</w:t>
            </w:r>
          </w:p>
        </w:tc>
        <w:tc>
          <w:tcPr>
            <w:tcW w:w="1487" w:type="dxa"/>
            <w:shd w:val="clear" w:color="auto" w:fill="auto"/>
            <w:vAlign w:val="center"/>
          </w:tcPr>
          <w:p w14:paraId="5BDDFCD4">
            <w:pPr>
              <w:pStyle w:val="13"/>
              <w:rPr>
                <w:b w:val="0"/>
                <w:bCs/>
              </w:rPr>
            </w:pPr>
            <w:r>
              <w:rPr>
                <w:rFonts w:hint="eastAsia"/>
                <w:b w:val="0"/>
                <w:bCs/>
              </w:rPr>
              <w:t>起重伤害、物体打击</w:t>
            </w:r>
          </w:p>
        </w:tc>
      </w:tr>
      <w:tr w14:paraId="307196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125DD04">
            <w:pPr>
              <w:pStyle w:val="13"/>
              <w:numPr>
                <w:ilvl w:val="0"/>
                <w:numId w:val="38"/>
              </w:numPr>
              <w:rPr>
                <w:b w:val="0"/>
                <w:bCs/>
              </w:rPr>
            </w:pPr>
          </w:p>
        </w:tc>
        <w:tc>
          <w:tcPr>
            <w:tcW w:w="1190" w:type="dxa"/>
            <w:vMerge w:val="continue"/>
            <w:shd w:val="clear" w:color="auto" w:fill="auto"/>
            <w:vAlign w:val="center"/>
          </w:tcPr>
          <w:p w14:paraId="3835252B">
            <w:pPr>
              <w:pStyle w:val="13"/>
              <w:rPr>
                <w:b w:val="0"/>
                <w:bCs/>
              </w:rPr>
            </w:pPr>
          </w:p>
        </w:tc>
        <w:tc>
          <w:tcPr>
            <w:tcW w:w="4961" w:type="dxa"/>
            <w:shd w:val="clear" w:color="auto" w:fill="auto"/>
            <w:vAlign w:val="center"/>
          </w:tcPr>
          <w:p w14:paraId="2DD34679">
            <w:pPr>
              <w:pStyle w:val="13"/>
              <w:rPr>
                <w:b w:val="0"/>
                <w:bCs/>
              </w:rPr>
            </w:pPr>
            <w:r>
              <w:rPr>
                <w:rFonts w:hint="eastAsia"/>
                <w:b w:val="0"/>
                <w:bCs/>
              </w:rPr>
              <w:t>吊物捆扎或连接不牢固；</w:t>
            </w:r>
          </w:p>
        </w:tc>
        <w:tc>
          <w:tcPr>
            <w:tcW w:w="1487" w:type="dxa"/>
            <w:shd w:val="clear" w:color="auto" w:fill="auto"/>
            <w:vAlign w:val="center"/>
          </w:tcPr>
          <w:p w14:paraId="15A7A6E8">
            <w:pPr>
              <w:pStyle w:val="13"/>
              <w:rPr>
                <w:b w:val="0"/>
                <w:bCs/>
              </w:rPr>
            </w:pPr>
            <w:r>
              <w:rPr>
                <w:rFonts w:hint="eastAsia"/>
                <w:b w:val="0"/>
                <w:bCs/>
              </w:rPr>
              <w:t>起重伤害</w:t>
            </w:r>
          </w:p>
        </w:tc>
      </w:tr>
      <w:tr w14:paraId="2BEF25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BA67F80">
            <w:pPr>
              <w:pStyle w:val="13"/>
              <w:numPr>
                <w:ilvl w:val="0"/>
                <w:numId w:val="38"/>
              </w:numPr>
              <w:rPr>
                <w:b w:val="0"/>
                <w:bCs/>
              </w:rPr>
            </w:pPr>
          </w:p>
        </w:tc>
        <w:tc>
          <w:tcPr>
            <w:tcW w:w="1190" w:type="dxa"/>
            <w:vMerge w:val="continue"/>
            <w:shd w:val="clear" w:color="auto" w:fill="auto"/>
            <w:vAlign w:val="center"/>
          </w:tcPr>
          <w:p w14:paraId="55B396C5">
            <w:pPr>
              <w:pStyle w:val="13"/>
              <w:rPr>
                <w:b w:val="0"/>
                <w:bCs/>
              </w:rPr>
            </w:pPr>
          </w:p>
        </w:tc>
        <w:tc>
          <w:tcPr>
            <w:tcW w:w="4961" w:type="dxa"/>
            <w:shd w:val="clear" w:color="auto" w:fill="auto"/>
            <w:vAlign w:val="center"/>
          </w:tcPr>
          <w:p w14:paraId="06745EE5">
            <w:pPr>
              <w:pStyle w:val="13"/>
              <w:rPr>
                <w:b w:val="0"/>
                <w:bCs/>
              </w:rPr>
            </w:pPr>
            <w:r>
              <w:rPr>
                <w:rFonts w:hint="eastAsia"/>
                <w:b w:val="0"/>
                <w:bCs/>
              </w:rPr>
              <w:t>吊物未设置揽风绳固定；</w:t>
            </w:r>
          </w:p>
        </w:tc>
        <w:tc>
          <w:tcPr>
            <w:tcW w:w="1487" w:type="dxa"/>
            <w:shd w:val="clear" w:color="auto" w:fill="auto"/>
            <w:vAlign w:val="center"/>
          </w:tcPr>
          <w:p w14:paraId="5C3AECE8">
            <w:pPr>
              <w:pStyle w:val="13"/>
              <w:rPr>
                <w:b w:val="0"/>
                <w:bCs/>
              </w:rPr>
            </w:pPr>
            <w:r>
              <w:rPr>
                <w:rFonts w:hint="eastAsia"/>
                <w:b w:val="0"/>
                <w:bCs/>
              </w:rPr>
              <w:t>起重伤害</w:t>
            </w:r>
          </w:p>
        </w:tc>
      </w:tr>
      <w:tr w14:paraId="0DABE8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7510646">
            <w:pPr>
              <w:pStyle w:val="13"/>
              <w:numPr>
                <w:ilvl w:val="0"/>
                <w:numId w:val="38"/>
              </w:numPr>
              <w:rPr>
                <w:b w:val="0"/>
                <w:bCs/>
              </w:rPr>
            </w:pPr>
          </w:p>
        </w:tc>
        <w:tc>
          <w:tcPr>
            <w:tcW w:w="1190" w:type="dxa"/>
            <w:vMerge w:val="continue"/>
            <w:shd w:val="clear" w:color="auto" w:fill="auto"/>
            <w:vAlign w:val="center"/>
          </w:tcPr>
          <w:p w14:paraId="2EADFEA1">
            <w:pPr>
              <w:pStyle w:val="13"/>
              <w:rPr>
                <w:b w:val="0"/>
                <w:bCs/>
              </w:rPr>
            </w:pPr>
          </w:p>
        </w:tc>
        <w:tc>
          <w:tcPr>
            <w:tcW w:w="4961" w:type="dxa"/>
            <w:shd w:val="clear" w:color="auto" w:fill="auto"/>
            <w:vAlign w:val="center"/>
          </w:tcPr>
          <w:p w14:paraId="6657C5F6">
            <w:pPr>
              <w:pStyle w:val="13"/>
              <w:rPr>
                <w:b w:val="0"/>
                <w:bCs/>
              </w:rPr>
            </w:pPr>
            <w:r>
              <w:rPr>
                <w:rFonts w:hint="eastAsia"/>
                <w:b w:val="0"/>
                <w:bCs/>
              </w:rPr>
              <w:t>吊物重量不明或未进行试吊就直接吊装，起吊钢丝绳规格未经验算、超负荷起吊</w:t>
            </w:r>
          </w:p>
        </w:tc>
        <w:tc>
          <w:tcPr>
            <w:tcW w:w="1487" w:type="dxa"/>
            <w:shd w:val="clear" w:color="auto" w:fill="auto"/>
            <w:vAlign w:val="center"/>
          </w:tcPr>
          <w:p w14:paraId="3C347236">
            <w:pPr>
              <w:pStyle w:val="13"/>
              <w:rPr>
                <w:b w:val="0"/>
                <w:bCs/>
              </w:rPr>
            </w:pPr>
            <w:r>
              <w:rPr>
                <w:rFonts w:hint="eastAsia"/>
                <w:b w:val="0"/>
                <w:bCs/>
              </w:rPr>
              <w:t>起重伤害</w:t>
            </w:r>
          </w:p>
        </w:tc>
      </w:tr>
      <w:tr w14:paraId="0BD0A8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877C422">
            <w:pPr>
              <w:pStyle w:val="13"/>
              <w:numPr>
                <w:ilvl w:val="0"/>
                <w:numId w:val="38"/>
              </w:numPr>
              <w:rPr>
                <w:b w:val="0"/>
                <w:bCs/>
              </w:rPr>
            </w:pPr>
          </w:p>
        </w:tc>
        <w:tc>
          <w:tcPr>
            <w:tcW w:w="1190" w:type="dxa"/>
            <w:vMerge w:val="continue"/>
            <w:shd w:val="clear" w:color="auto" w:fill="auto"/>
            <w:vAlign w:val="center"/>
          </w:tcPr>
          <w:p w14:paraId="0155DBE2">
            <w:pPr>
              <w:pStyle w:val="13"/>
              <w:rPr>
                <w:b w:val="0"/>
                <w:bCs/>
              </w:rPr>
            </w:pPr>
          </w:p>
        </w:tc>
        <w:tc>
          <w:tcPr>
            <w:tcW w:w="4961" w:type="dxa"/>
            <w:shd w:val="clear" w:color="auto" w:fill="auto"/>
            <w:vAlign w:val="center"/>
          </w:tcPr>
          <w:p w14:paraId="46B4599E">
            <w:pPr>
              <w:pStyle w:val="13"/>
              <w:rPr>
                <w:b w:val="0"/>
                <w:bCs/>
              </w:rPr>
            </w:pPr>
            <w:r>
              <w:rPr>
                <w:rFonts w:hint="eastAsia"/>
                <w:b w:val="0"/>
                <w:bCs/>
              </w:rPr>
              <w:t>起吊前未对钢丝绳及连接部位和吊具进行检查</w:t>
            </w:r>
          </w:p>
        </w:tc>
        <w:tc>
          <w:tcPr>
            <w:tcW w:w="1487" w:type="dxa"/>
            <w:shd w:val="clear" w:color="auto" w:fill="auto"/>
            <w:vAlign w:val="center"/>
          </w:tcPr>
          <w:p w14:paraId="2387DF3F">
            <w:pPr>
              <w:pStyle w:val="13"/>
              <w:rPr>
                <w:b w:val="0"/>
                <w:bCs/>
              </w:rPr>
            </w:pPr>
            <w:r>
              <w:rPr>
                <w:rFonts w:hint="eastAsia"/>
                <w:b w:val="0"/>
                <w:bCs/>
              </w:rPr>
              <w:t>起重伤害</w:t>
            </w:r>
          </w:p>
        </w:tc>
      </w:tr>
      <w:tr w14:paraId="600D8B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F73E86C">
            <w:pPr>
              <w:pStyle w:val="13"/>
              <w:numPr>
                <w:ilvl w:val="0"/>
                <w:numId w:val="38"/>
              </w:numPr>
              <w:rPr>
                <w:b w:val="0"/>
                <w:bCs/>
              </w:rPr>
            </w:pPr>
          </w:p>
        </w:tc>
        <w:tc>
          <w:tcPr>
            <w:tcW w:w="1190" w:type="dxa"/>
            <w:vMerge w:val="continue"/>
            <w:shd w:val="clear" w:color="auto" w:fill="auto"/>
            <w:vAlign w:val="center"/>
          </w:tcPr>
          <w:p w14:paraId="757533C5">
            <w:pPr>
              <w:pStyle w:val="13"/>
              <w:rPr>
                <w:b w:val="0"/>
                <w:bCs/>
              </w:rPr>
            </w:pPr>
          </w:p>
        </w:tc>
        <w:tc>
          <w:tcPr>
            <w:tcW w:w="4961" w:type="dxa"/>
            <w:shd w:val="clear" w:color="auto" w:fill="auto"/>
            <w:vAlign w:val="center"/>
          </w:tcPr>
          <w:p w14:paraId="223EF481">
            <w:pPr>
              <w:pStyle w:val="13"/>
              <w:rPr>
                <w:b w:val="0"/>
                <w:bCs/>
              </w:rPr>
            </w:pPr>
            <w:r>
              <w:rPr>
                <w:rFonts w:hint="eastAsia"/>
                <w:b w:val="0"/>
                <w:bCs/>
              </w:rPr>
              <w:t>大雨、雾、大雪及六级以上大风等恶劣天气</w:t>
            </w:r>
          </w:p>
          <w:p w14:paraId="1336AF13">
            <w:pPr>
              <w:pStyle w:val="13"/>
              <w:rPr>
                <w:b w:val="0"/>
                <w:bCs/>
              </w:rPr>
            </w:pPr>
            <w:r>
              <w:rPr>
                <w:rFonts w:hint="eastAsia"/>
                <w:b w:val="0"/>
                <w:bCs/>
              </w:rPr>
              <w:t>进行吊装作业</w:t>
            </w:r>
          </w:p>
        </w:tc>
        <w:tc>
          <w:tcPr>
            <w:tcW w:w="1487" w:type="dxa"/>
            <w:shd w:val="clear" w:color="auto" w:fill="auto"/>
            <w:vAlign w:val="center"/>
          </w:tcPr>
          <w:p w14:paraId="40AD5B08">
            <w:pPr>
              <w:pStyle w:val="13"/>
              <w:rPr>
                <w:b w:val="0"/>
                <w:bCs/>
              </w:rPr>
            </w:pPr>
            <w:r>
              <w:rPr>
                <w:rFonts w:hint="eastAsia"/>
                <w:b w:val="0"/>
                <w:bCs/>
              </w:rPr>
              <w:t>起重伤害</w:t>
            </w:r>
          </w:p>
        </w:tc>
      </w:tr>
      <w:tr w14:paraId="67C6B7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7E4BD23">
            <w:pPr>
              <w:pStyle w:val="13"/>
              <w:numPr>
                <w:ilvl w:val="0"/>
                <w:numId w:val="38"/>
              </w:numPr>
              <w:rPr>
                <w:b w:val="0"/>
                <w:bCs/>
              </w:rPr>
            </w:pPr>
          </w:p>
        </w:tc>
        <w:tc>
          <w:tcPr>
            <w:tcW w:w="1190" w:type="dxa"/>
            <w:vMerge w:val="continue"/>
            <w:shd w:val="clear" w:color="auto" w:fill="auto"/>
            <w:vAlign w:val="center"/>
          </w:tcPr>
          <w:p w14:paraId="0543C6F6">
            <w:pPr>
              <w:pStyle w:val="13"/>
              <w:rPr>
                <w:b w:val="0"/>
                <w:bCs/>
              </w:rPr>
            </w:pPr>
          </w:p>
        </w:tc>
        <w:tc>
          <w:tcPr>
            <w:tcW w:w="4961" w:type="dxa"/>
            <w:shd w:val="clear" w:color="auto" w:fill="auto"/>
            <w:vAlign w:val="center"/>
          </w:tcPr>
          <w:p w14:paraId="7E92C270">
            <w:pPr>
              <w:pStyle w:val="13"/>
              <w:rPr>
                <w:b w:val="0"/>
                <w:bCs/>
              </w:rPr>
            </w:pPr>
            <w:r>
              <w:rPr>
                <w:rFonts w:hint="eastAsia"/>
                <w:b w:val="0"/>
                <w:bCs/>
              </w:rPr>
              <w:t>起吊构件未解除连接，便开始起吊</w:t>
            </w:r>
          </w:p>
        </w:tc>
        <w:tc>
          <w:tcPr>
            <w:tcW w:w="1487" w:type="dxa"/>
            <w:shd w:val="clear" w:color="auto" w:fill="auto"/>
            <w:vAlign w:val="center"/>
          </w:tcPr>
          <w:p w14:paraId="6B959D97">
            <w:pPr>
              <w:pStyle w:val="13"/>
              <w:rPr>
                <w:b w:val="0"/>
                <w:bCs/>
              </w:rPr>
            </w:pPr>
            <w:r>
              <w:rPr>
                <w:rFonts w:hint="eastAsia"/>
                <w:b w:val="0"/>
                <w:bCs/>
              </w:rPr>
              <w:t>起重伤害</w:t>
            </w:r>
          </w:p>
        </w:tc>
      </w:tr>
      <w:tr w14:paraId="36E5BA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8260F69">
            <w:pPr>
              <w:pStyle w:val="13"/>
              <w:numPr>
                <w:ilvl w:val="0"/>
                <w:numId w:val="38"/>
              </w:numPr>
              <w:rPr>
                <w:b w:val="0"/>
                <w:bCs/>
              </w:rPr>
            </w:pPr>
          </w:p>
        </w:tc>
        <w:tc>
          <w:tcPr>
            <w:tcW w:w="1190" w:type="dxa"/>
            <w:vMerge w:val="continue"/>
            <w:shd w:val="clear" w:color="auto" w:fill="auto"/>
            <w:vAlign w:val="center"/>
          </w:tcPr>
          <w:p w14:paraId="37818C92">
            <w:pPr>
              <w:pStyle w:val="13"/>
              <w:rPr>
                <w:b w:val="0"/>
                <w:bCs/>
              </w:rPr>
            </w:pPr>
          </w:p>
        </w:tc>
        <w:tc>
          <w:tcPr>
            <w:tcW w:w="4961" w:type="dxa"/>
            <w:shd w:val="clear" w:color="auto" w:fill="auto"/>
            <w:vAlign w:val="center"/>
          </w:tcPr>
          <w:p w14:paraId="36562A66">
            <w:pPr>
              <w:pStyle w:val="13"/>
              <w:rPr>
                <w:b w:val="0"/>
                <w:bCs/>
              </w:rPr>
            </w:pPr>
            <w:r>
              <w:rPr>
                <w:rFonts w:hint="eastAsia"/>
                <w:b w:val="0"/>
                <w:bCs/>
              </w:rPr>
              <w:t>未按规定要求安装安全监控系统</w:t>
            </w:r>
          </w:p>
        </w:tc>
        <w:tc>
          <w:tcPr>
            <w:tcW w:w="1487" w:type="dxa"/>
            <w:shd w:val="clear" w:color="auto" w:fill="auto"/>
            <w:vAlign w:val="center"/>
          </w:tcPr>
          <w:p w14:paraId="280F8E8B">
            <w:pPr>
              <w:pStyle w:val="13"/>
              <w:rPr>
                <w:b w:val="0"/>
                <w:bCs/>
              </w:rPr>
            </w:pPr>
            <w:r>
              <w:rPr>
                <w:rFonts w:hint="eastAsia"/>
                <w:b w:val="0"/>
                <w:bCs/>
              </w:rPr>
              <w:t>起重伤害</w:t>
            </w:r>
          </w:p>
        </w:tc>
      </w:tr>
      <w:tr w14:paraId="7AA4F4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2BA894A">
            <w:pPr>
              <w:pStyle w:val="13"/>
              <w:numPr>
                <w:ilvl w:val="0"/>
                <w:numId w:val="38"/>
              </w:numPr>
              <w:rPr>
                <w:b w:val="0"/>
                <w:bCs/>
              </w:rPr>
            </w:pPr>
          </w:p>
        </w:tc>
        <w:tc>
          <w:tcPr>
            <w:tcW w:w="1190" w:type="dxa"/>
            <w:vMerge w:val="continue"/>
            <w:shd w:val="clear" w:color="auto" w:fill="auto"/>
            <w:vAlign w:val="center"/>
          </w:tcPr>
          <w:p w14:paraId="45DF37BD">
            <w:pPr>
              <w:pStyle w:val="13"/>
              <w:rPr>
                <w:b w:val="0"/>
                <w:bCs/>
              </w:rPr>
            </w:pPr>
          </w:p>
        </w:tc>
        <w:tc>
          <w:tcPr>
            <w:tcW w:w="4961" w:type="dxa"/>
            <w:shd w:val="clear" w:color="auto" w:fill="auto"/>
            <w:vAlign w:val="center"/>
          </w:tcPr>
          <w:p w14:paraId="335CFBFA">
            <w:pPr>
              <w:pStyle w:val="13"/>
              <w:rPr>
                <w:b w:val="0"/>
                <w:bCs/>
              </w:rPr>
            </w:pPr>
            <w:r>
              <w:rPr>
                <w:rFonts w:hint="eastAsia"/>
                <w:b w:val="0"/>
                <w:bCs/>
              </w:rPr>
              <w:t>单个主塔的两台</w:t>
            </w:r>
            <w:r>
              <w:rPr>
                <w:rFonts w:hint="eastAsia"/>
                <w:b w:val="0"/>
                <w:bCs/>
                <w:lang w:eastAsia="zh-CN"/>
              </w:rPr>
              <w:t>塔机</w:t>
            </w:r>
            <w:r>
              <w:rPr>
                <w:rFonts w:hint="eastAsia"/>
                <w:b w:val="0"/>
                <w:bCs/>
              </w:rPr>
              <w:t>吊装时相互之间的安全距离小于</w:t>
            </w:r>
            <w:r>
              <w:rPr>
                <w:b w:val="0"/>
                <w:bCs/>
              </w:rPr>
              <w:t>2</w:t>
            </w:r>
            <w:r>
              <w:rPr>
                <w:rFonts w:hint="eastAsia"/>
                <w:b w:val="0"/>
                <w:bCs/>
              </w:rPr>
              <w:t>米</w:t>
            </w:r>
          </w:p>
        </w:tc>
        <w:tc>
          <w:tcPr>
            <w:tcW w:w="1487" w:type="dxa"/>
            <w:shd w:val="clear" w:color="auto" w:fill="auto"/>
            <w:vAlign w:val="center"/>
          </w:tcPr>
          <w:p w14:paraId="24FD08BD">
            <w:pPr>
              <w:pStyle w:val="13"/>
              <w:rPr>
                <w:b w:val="0"/>
                <w:bCs/>
              </w:rPr>
            </w:pPr>
            <w:r>
              <w:rPr>
                <w:rFonts w:hint="eastAsia"/>
                <w:b w:val="0"/>
                <w:bCs/>
              </w:rPr>
              <w:t>起重伤害</w:t>
            </w:r>
          </w:p>
        </w:tc>
      </w:tr>
      <w:tr w14:paraId="08F385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37EAD00">
            <w:pPr>
              <w:pStyle w:val="13"/>
              <w:numPr>
                <w:ilvl w:val="0"/>
                <w:numId w:val="38"/>
              </w:numPr>
              <w:rPr>
                <w:b w:val="0"/>
                <w:bCs/>
              </w:rPr>
            </w:pPr>
          </w:p>
        </w:tc>
        <w:tc>
          <w:tcPr>
            <w:tcW w:w="1190" w:type="dxa"/>
            <w:vMerge w:val="restart"/>
            <w:shd w:val="clear" w:color="auto" w:fill="auto"/>
            <w:vAlign w:val="center"/>
          </w:tcPr>
          <w:p w14:paraId="68CB2314">
            <w:pPr>
              <w:pStyle w:val="13"/>
              <w:rPr>
                <w:b w:val="0"/>
                <w:bCs/>
              </w:rPr>
            </w:pPr>
            <w:r>
              <w:rPr>
                <w:rFonts w:hint="eastAsia"/>
                <w:b w:val="0"/>
                <w:bCs/>
              </w:rPr>
              <w:t>气割电焊作业</w:t>
            </w:r>
          </w:p>
        </w:tc>
        <w:tc>
          <w:tcPr>
            <w:tcW w:w="4961" w:type="dxa"/>
            <w:shd w:val="clear" w:color="auto" w:fill="auto"/>
            <w:vAlign w:val="center"/>
          </w:tcPr>
          <w:p w14:paraId="083768E7">
            <w:pPr>
              <w:pStyle w:val="13"/>
              <w:rPr>
                <w:b w:val="0"/>
                <w:bCs/>
              </w:rPr>
            </w:pPr>
            <w:r>
              <w:rPr>
                <w:rFonts w:hint="eastAsia"/>
                <w:b w:val="0"/>
                <w:bCs/>
              </w:rPr>
              <w:t>动火作业无审批手续</w:t>
            </w:r>
          </w:p>
        </w:tc>
        <w:tc>
          <w:tcPr>
            <w:tcW w:w="1487" w:type="dxa"/>
            <w:shd w:val="clear" w:color="auto" w:fill="auto"/>
            <w:vAlign w:val="center"/>
          </w:tcPr>
          <w:p w14:paraId="67497D62">
            <w:pPr>
              <w:pStyle w:val="13"/>
              <w:rPr>
                <w:b w:val="0"/>
                <w:bCs/>
              </w:rPr>
            </w:pPr>
            <w:r>
              <w:rPr>
                <w:rFonts w:hint="eastAsia"/>
                <w:b w:val="0"/>
                <w:bCs/>
              </w:rPr>
              <w:t>火灾等</w:t>
            </w:r>
          </w:p>
        </w:tc>
      </w:tr>
      <w:tr w14:paraId="0B75D2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CA369C9">
            <w:pPr>
              <w:pStyle w:val="13"/>
              <w:numPr>
                <w:ilvl w:val="0"/>
                <w:numId w:val="38"/>
              </w:numPr>
              <w:rPr>
                <w:b w:val="0"/>
                <w:bCs/>
              </w:rPr>
            </w:pPr>
          </w:p>
        </w:tc>
        <w:tc>
          <w:tcPr>
            <w:tcW w:w="1190" w:type="dxa"/>
            <w:vMerge w:val="continue"/>
            <w:shd w:val="clear" w:color="auto" w:fill="auto"/>
            <w:vAlign w:val="center"/>
          </w:tcPr>
          <w:p w14:paraId="210EB74E">
            <w:pPr>
              <w:pStyle w:val="13"/>
              <w:rPr>
                <w:b w:val="0"/>
                <w:bCs/>
              </w:rPr>
            </w:pPr>
          </w:p>
        </w:tc>
        <w:tc>
          <w:tcPr>
            <w:tcW w:w="4961" w:type="dxa"/>
            <w:shd w:val="clear" w:color="auto" w:fill="auto"/>
            <w:vAlign w:val="center"/>
          </w:tcPr>
          <w:p w14:paraId="238D1580">
            <w:pPr>
              <w:pStyle w:val="13"/>
              <w:rPr>
                <w:b w:val="0"/>
                <w:bCs/>
              </w:rPr>
            </w:pPr>
            <w:r>
              <w:rPr>
                <w:rFonts w:hint="eastAsia"/>
                <w:b w:val="0"/>
                <w:bCs/>
              </w:rPr>
              <w:t>氧气、乙炔气瓶混放或安全间距不足，固定不牢固；在气瓶附近吸烟或动火</w:t>
            </w:r>
          </w:p>
        </w:tc>
        <w:tc>
          <w:tcPr>
            <w:tcW w:w="1487" w:type="dxa"/>
            <w:shd w:val="clear" w:color="auto" w:fill="auto"/>
            <w:vAlign w:val="center"/>
          </w:tcPr>
          <w:p w14:paraId="1FB0485D">
            <w:pPr>
              <w:pStyle w:val="13"/>
              <w:rPr>
                <w:b w:val="0"/>
                <w:bCs/>
              </w:rPr>
            </w:pPr>
            <w:r>
              <w:rPr>
                <w:rFonts w:hint="eastAsia"/>
                <w:b w:val="0"/>
                <w:bCs/>
              </w:rPr>
              <w:t>容器爆炸、火灾</w:t>
            </w:r>
          </w:p>
        </w:tc>
      </w:tr>
      <w:tr w14:paraId="52E46F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3968514">
            <w:pPr>
              <w:pStyle w:val="13"/>
              <w:numPr>
                <w:ilvl w:val="0"/>
                <w:numId w:val="38"/>
              </w:numPr>
              <w:rPr>
                <w:b w:val="0"/>
                <w:bCs/>
              </w:rPr>
            </w:pPr>
          </w:p>
        </w:tc>
        <w:tc>
          <w:tcPr>
            <w:tcW w:w="1190" w:type="dxa"/>
            <w:vMerge w:val="continue"/>
            <w:shd w:val="clear" w:color="auto" w:fill="auto"/>
            <w:vAlign w:val="center"/>
          </w:tcPr>
          <w:p w14:paraId="44A1D0BF">
            <w:pPr>
              <w:pStyle w:val="13"/>
              <w:rPr>
                <w:b w:val="0"/>
                <w:bCs/>
              </w:rPr>
            </w:pPr>
          </w:p>
        </w:tc>
        <w:tc>
          <w:tcPr>
            <w:tcW w:w="4961" w:type="dxa"/>
            <w:shd w:val="clear" w:color="auto" w:fill="auto"/>
            <w:vAlign w:val="center"/>
          </w:tcPr>
          <w:p w14:paraId="46D9F2D2">
            <w:pPr>
              <w:pStyle w:val="13"/>
              <w:rPr>
                <w:b w:val="0"/>
                <w:bCs/>
              </w:rPr>
            </w:pPr>
            <w:r>
              <w:rPr>
                <w:rFonts w:hint="eastAsia"/>
                <w:b w:val="0"/>
                <w:bCs/>
              </w:rPr>
              <w:t>气瓶未安装防回火装置或装置失效；</w:t>
            </w:r>
          </w:p>
          <w:p w14:paraId="19A4D433">
            <w:pPr>
              <w:pStyle w:val="13"/>
              <w:rPr>
                <w:b w:val="0"/>
                <w:bCs/>
              </w:rPr>
            </w:pPr>
            <w:r>
              <w:rPr>
                <w:rFonts w:hint="eastAsia"/>
                <w:b w:val="0"/>
                <w:bCs/>
              </w:rPr>
              <w:t>高温天气气瓶未遮盖</w:t>
            </w:r>
          </w:p>
        </w:tc>
        <w:tc>
          <w:tcPr>
            <w:tcW w:w="1487" w:type="dxa"/>
            <w:shd w:val="clear" w:color="auto" w:fill="auto"/>
            <w:vAlign w:val="center"/>
          </w:tcPr>
          <w:p w14:paraId="7E190101">
            <w:pPr>
              <w:pStyle w:val="13"/>
              <w:rPr>
                <w:b w:val="0"/>
                <w:bCs/>
              </w:rPr>
            </w:pPr>
            <w:r>
              <w:rPr>
                <w:rFonts w:hint="eastAsia"/>
                <w:b w:val="0"/>
                <w:bCs/>
              </w:rPr>
              <w:t>容器爆炸</w:t>
            </w:r>
          </w:p>
        </w:tc>
      </w:tr>
      <w:tr w14:paraId="308CB7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1FD1DD0">
            <w:pPr>
              <w:pStyle w:val="13"/>
              <w:numPr>
                <w:ilvl w:val="0"/>
                <w:numId w:val="38"/>
              </w:numPr>
              <w:rPr>
                <w:b w:val="0"/>
                <w:bCs/>
              </w:rPr>
            </w:pPr>
          </w:p>
        </w:tc>
        <w:tc>
          <w:tcPr>
            <w:tcW w:w="1190" w:type="dxa"/>
            <w:vMerge w:val="continue"/>
            <w:shd w:val="clear" w:color="auto" w:fill="auto"/>
            <w:vAlign w:val="center"/>
          </w:tcPr>
          <w:p w14:paraId="1F290880">
            <w:pPr>
              <w:pStyle w:val="13"/>
              <w:rPr>
                <w:b w:val="0"/>
                <w:bCs/>
              </w:rPr>
            </w:pPr>
          </w:p>
        </w:tc>
        <w:tc>
          <w:tcPr>
            <w:tcW w:w="4961" w:type="dxa"/>
            <w:shd w:val="clear" w:color="auto" w:fill="auto"/>
            <w:vAlign w:val="center"/>
          </w:tcPr>
          <w:p w14:paraId="47F4FCD7">
            <w:pPr>
              <w:pStyle w:val="13"/>
              <w:rPr>
                <w:b w:val="0"/>
                <w:bCs/>
              </w:rPr>
            </w:pPr>
            <w:r>
              <w:rPr>
                <w:rFonts w:hint="eastAsia"/>
                <w:b w:val="0"/>
                <w:bCs/>
              </w:rPr>
              <w:t>气瓶阀门或压力表坏损</w:t>
            </w:r>
          </w:p>
        </w:tc>
        <w:tc>
          <w:tcPr>
            <w:tcW w:w="1487" w:type="dxa"/>
            <w:shd w:val="clear" w:color="auto" w:fill="auto"/>
            <w:vAlign w:val="center"/>
          </w:tcPr>
          <w:p w14:paraId="47B5E197">
            <w:pPr>
              <w:pStyle w:val="13"/>
              <w:rPr>
                <w:b w:val="0"/>
                <w:bCs/>
              </w:rPr>
            </w:pPr>
            <w:r>
              <w:rPr>
                <w:rFonts w:hint="eastAsia"/>
                <w:b w:val="0"/>
                <w:bCs/>
              </w:rPr>
              <w:t>容器爆炸、火灾</w:t>
            </w:r>
          </w:p>
        </w:tc>
      </w:tr>
      <w:tr w14:paraId="64D943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28C5C0C">
            <w:pPr>
              <w:pStyle w:val="13"/>
              <w:numPr>
                <w:ilvl w:val="0"/>
                <w:numId w:val="38"/>
              </w:numPr>
              <w:rPr>
                <w:b w:val="0"/>
                <w:bCs/>
              </w:rPr>
            </w:pPr>
          </w:p>
        </w:tc>
        <w:tc>
          <w:tcPr>
            <w:tcW w:w="1190" w:type="dxa"/>
            <w:vMerge w:val="continue"/>
            <w:shd w:val="clear" w:color="auto" w:fill="auto"/>
            <w:vAlign w:val="center"/>
          </w:tcPr>
          <w:p w14:paraId="4DF39C03">
            <w:pPr>
              <w:pStyle w:val="13"/>
              <w:rPr>
                <w:b w:val="0"/>
                <w:bCs/>
              </w:rPr>
            </w:pPr>
          </w:p>
        </w:tc>
        <w:tc>
          <w:tcPr>
            <w:tcW w:w="4961" w:type="dxa"/>
            <w:shd w:val="clear" w:color="auto" w:fill="auto"/>
            <w:vAlign w:val="center"/>
          </w:tcPr>
          <w:p w14:paraId="365494DB">
            <w:pPr>
              <w:pStyle w:val="13"/>
              <w:rPr>
                <w:b w:val="0"/>
                <w:bCs/>
              </w:rPr>
            </w:pPr>
            <w:r>
              <w:rPr>
                <w:rFonts w:hint="eastAsia"/>
                <w:b w:val="0"/>
                <w:bCs/>
              </w:rPr>
              <w:t>气割割枪或软管坏损、漏气</w:t>
            </w:r>
          </w:p>
        </w:tc>
        <w:tc>
          <w:tcPr>
            <w:tcW w:w="1487" w:type="dxa"/>
            <w:shd w:val="clear" w:color="auto" w:fill="auto"/>
            <w:vAlign w:val="center"/>
          </w:tcPr>
          <w:p w14:paraId="6F6C3541">
            <w:pPr>
              <w:pStyle w:val="13"/>
              <w:rPr>
                <w:b w:val="0"/>
                <w:bCs/>
              </w:rPr>
            </w:pPr>
            <w:r>
              <w:rPr>
                <w:rFonts w:hint="eastAsia"/>
                <w:b w:val="0"/>
                <w:bCs/>
              </w:rPr>
              <w:t>火灾</w:t>
            </w:r>
          </w:p>
        </w:tc>
      </w:tr>
      <w:tr w14:paraId="473253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C8C16D4">
            <w:pPr>
              <w:pStyle w:val="13"/>
              <w:numPr>
                <w:ilvl w:val="0"/>
                <w:numId w:val="38"/>
              </w:numPr>
              <w:rPr>
                <w:b w:val="0"/>
                <w:bCs/>
              </w:rPr>
            </w:pPr>
          </w:p>
        </w:tc>
        <w:tc>
          <w:tcPr>
            <w:tcW w:w="1190" w:type="dxa"/>
            <w:vMerge w:val="continue"/>
            <w:shd w:val="clear" w:color="auto" w:fill="auto"/>
            <w:vAlign w:val="center"/>
          </w:tcPr>
          <w:p w14:paraId="5677ABAE">
            <w:pPr>
              <w:pStyle w:val="13"/>
              <w:rPr>
                <w:b w:val="0"/>
                <w:bCs/>
              </w:rPr>
            </w:pPr>
          </w:p>
        </w:tc>
        <w:tc>
          <w:tcPr>
            <w:tcW w:w="4961" w:type="dxa"/>
            <w:shd w:val="clear" w:color="auto" w:fill="auto"/>
            <w:vAlign w:val="center"/>
          </w:tcPr>
          <w:p w14:paraId="2B62A7A3">
            <w:pPr>
              <w:pStyle w:val="13"/>
              <w:rPr>
                <w:b w:val="0"/>
                <w:bCs/>
              </w:rPr>
            </w:pPr>
            <w:r>
              <w:rPr>
                <w:rFonts w:hint="eastAsia"/>
                <w:b w:val="0"/>
                <w:bCs/>
              </w:rPr>
              <w:t>电焊机使用前未检验或出现故障；未规范有效接地</w:t>
            </w:r>
          </w:p>
        </w:tc>
        <w:tc>
          <w:tcPr>
            <w:tcW w:w="1487" w:type="dxa"/>
            <w:shd w:val="clear" w:color="auto" w:fill="auto"/>
            <w:vAlign w:val="center"/>
          </w:tcPr>
          <w:p w14:paraId="6524EDB0">
            <w:pPr>
              <w:pStyle w:val="13"/>
              <w:rPr>
                <w:b w:val="0"/>
                <w:bCs/>
              </w:rPr>
            </w:pPr>
            <w:r>
              <w:rPr>
                <w:rFonts w:hint="eastAsia"/>
                <w:b w:val="0"/>
                <w:bCs/>
              </w:rPr>
              <w:t>触电</w:t>
            </w:r>
          </w:p>
        </w:tc>
      </w:tr>
      <w:tr w14:paraId="64F85B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B8DBDC9">
            <w:pPr>
              <w:pStyle w:val="13"/>
              <w:numPr>
                <w:ilvl w:val="0"/>
                <w:numId w:val="38"/>
              </w:numPr>
              <w:rPr>
                <w:b w:val="0"/>
                <w:bCs/>
              </w:rPr>
            </w:pPr>
          </w:p>
        </w:tc>
        <w:tc>
          <w:tcPr>
            <w:tcW w:w="1190" w:type="dxa"/>
            <w:vMerge w:val="continue"/>
            <w:shd w:val="clear" w:color="auto" w:fill="auto"/>
            <w:vAlign w:val="center"/>
          </w:tcPr>
          <w:p w14:paraId="6413AF3C">
            <w:pPr>
              <w:pStyle w:val="13"/>
              <w:rPr>
                <w:b w:val="0"/>
                <w:bCs/>
              </w:rPr>
            </w:pPr>
          </w:p>
        </w:tc>
        <w:tc>
          <w:tcPr>
            <w:tcW w:w="4961" w:type="dxa"/>
            <w:shd w:val="clear" w:color="auto" w:fill="auto"/>
            <w:vAlign w:val="center"/>
          </w:tcPr>
          <w:p w14:paraId="0A061CC5">
            <w:pPr>
              <w:pStyle w:val="13"/>
              <w:rPr>
                <w:b w:val="0"/>
                <w:bCs/>
              </w:rPr>
            </w:pPr>
            <w:r>
              <w:rPr>
                <w:rFonts w:hint="eastAsia"/>
                <w:b w:val="0"/>
                <w:bCs/>
              </w:rPr>
              <w:t>电焊机无二级保护或保护装置失效</w:t>
            </w:r>
          </w:p>
        </w:tc>
        <w:tc>
          <w:tcPr>
            <w:tcW w:w="1487" w:type="dxa"/>
            <w:shd w:val="clear" w:color="auto" w:fill="auto"/>
            <w:vAlign w:val="center"/>
          </w:tcPr>
          <w:p w14:paraId="3126FE64">
            <w:pPr>
              <w:pStyle w:val="13"/>
              <w:rPr>
                <w:b w:val="0"/>
                <w:bCs/>
              </w:rPr>
            </w:pPr>
            <w:r>
              <w:rPr>
                <w:rFonts w:hint="eastAsia"/>
                <w:b w:val="0"/>
                <w:bCs/>
              </w:rPr>
              <w:t>触电</w:t>
            </w:r>
          </w:p>
        </w:tc>
      </w:tr>
      <w:tr w14:paraId="55016D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0005FF5">
            <w:pPr>
              <w:pStyle w:val="13"/>
              <w:numPr>
                <w:ilvl w:val="0"/>
                <w:numId w:val="38"/>
              </w:numPr>
              <w:rPr>
                <w:b w:val="0"/>
                <w:bCs/>
              </w:rPr>
            </w:pPr>
          </w:p>
        </w:tc>
        <w:tc>
          <w:tcPr>
            <w:tcW w:w="1190" w:type="dxa"/>
            <w:vMerge w:val="continue"/>
            <w:shd w:val="clear" w:color="auto" w:fill="auto"/>
            <w:vAlign w:val="center"/>
          </w:tcPr>
          <w:p w14:paraId="156FBF60">
            <w:pPr>
              <w:pStyle w:val="13"/>
              <w:rPr>
                <w:b w:val="0"/>
                <w:bCs/>
              </w:rPr>
            </w:pPr>
          </w:p>
        </w:tc>
        <w:tc>
          <w:tcPr>
            <w:tcW w:w="4961" w:type="dxa"/>
            <w:shd w:val="clear" w:color="auto" w:fill="auto"/>
            <w:vAlign w:val="center"/>
          </w:tcPr>
          <w:p w14:paraId="2CF7C133">
            <w:pPr>
              <w:pStyle w:val="13"/>
              <w:rPr>
                <w:b w:val="0"/>
                <w:bCs/>
              </w:rPr>
            </w:pPr>
            <w:r>
              <w:rPr>
                <w:rFonts w:hint="eastAsia"/>
                <w:b w:val="0"/>
                <w:bCs/>
              </w:rPr>
              <w:t>电焊机检修时未切断电源</w:t>
            </w:r>
          </w:p>
        </w:tc>
        <w:tc>
          <w:tcPr>
            <w:tcW w:w="1487" w:type="dxa"/>
            <w:shd w:val="clear" w:color="auto" w:fill="auto"/>
            <w:vAlign w:val="center"/>
          </w:tcPr>
          <w:p w14:paraId="36B62AC7">
            <w:pPr>
              <w:pStyle w:val="13"/>
              <w:rPr>
                <w:b w:val="0"/>
                <w:bCs/>
              </w:rPr>
            </w:pPr>
            <w:r>
              <w:rPr>
                <w:rFonts w:hint="eastAsia"/>
                <w:b w:val="0"/>
                <w:bCs/>
              </w:rPr>
              <w:t>触电</w:t>
            </w:r>
          </w:p>
        </w:tc>
      </w:tr>
      <w:tr w14:paraId="389C4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C18D816">
            <w:pPr>
              <w:pStyle w:val="13"/>
              <w:numPr>
                <w:ilvl w:val="0"/>
                <w:numId w:val="38"/>
              </w:numPr>
              <w:rPr>
                <w:b w:val="0"/>
                <w:bCs/>
              </w:rPr>
            </w:pPr>
          </w:p>
        </w:tc>
        <w:tc>
          <w:tcPr>
            <w:tcW w:w="1190" w:type="dxa"/>
            <w:vMerge w:val="continue"/>
            <w:shd w:val="clear" w:color="auto" w:fill="auto"/>
            <w:vAlign w:val="center"/>
          </w:tcPr>
          <w:p w14:paraId="7688DD4A">
            <w:pPr>
              <w:pStyle w:val="13"/>
              <w:rPr>
                <w:b w:val="0"/>
                <w:bCs/>
              </w:rPr>
            </w:pPr>
          </w:p>
        </w:tc>
        <w:tc>
          <w:tcPr>
            <w:tcW w:w="4961" w:type="dxa"/>
            <w:shd w:val="clear" w:color="auto" w:fill="auto"/>
            <w:vAlign w:val="center"/>
          </w:tcPr>
          <w:p w14:paraId="47771C52">
            <w:pPr>
              <w:pStyle w:val="13"/>
              <w:rPr>
                <w:b w:val="0"/>
                <w:bCs/>
              </w:rPr>
            </w:pPr>
            <w:r>
              <w:rPr>
                <w:rFonts w:hint="eastAsia"/>
                <w:b w:val="0"/>
                <w:bCs/>
              </w:rPr>
              <w:t>雨天进行露天电焊作业，潮湿区域作业人员未置于干燥绝缘物体上焊接作业</w:t>
            </w:r>
          </w:p>
        </w:tc>
        <w:tc>
          <w:tcPr>
            <w:tcW w:w="1487" w:type="dxa"/>
            <w:shd w:val="clear" w:color="auto" w:fill="auto"/>
            <w:vAlign w:val="center"/>
          </w:tcPr>
          <w:p w14:paraId="128753CF">
            <w:pPr>
              <w:pStyle w:val="13"/>
              <w:rPr>
                <w:b w:val="0"/>
                <w:bCs/>
              </w:rPr>
            </w:pPr>
            <w:r>
              <w:rPr>
                <w:rFonts w:hint="eastAsia"/>
                <w:b w:val="0"/>
                <w:bCs/>
              </w:rPr>
              <w:t>触电</w:t>
            </w:r>
          </w:p>
        </w:tc>
      </w:tr>
      <w:tr w14:paraId="0A1767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7225FCA">
            <w:pPr>
              <w:pStyle w:val="13"/>
              <w:numPr>
                <w:ilvl w:val="0"/>
                <w:numId w:val="38"/>
              </w:numPr>
              <w:rPr>
                <w:b w:val="0"/>
                <w:bCs/>
              </w:rPr>
            </w:pPr>
          </w:p>
        </w:tc>
        <w:tc>
          <w:tcPr>
            <w:tcW w:w="1190" w:type="dxa"/>
            <w:vMerge w:val="continue"/>
            <w:shd w:val="clear" w:color="auto" w:fill="auto"/>
            <w:vAlign w:val="center"/>
          </w:tcPr>
          <w:p w14:paraId="5ACC19B3">
            <w:pPr>
              <w:pStyle w:val="13"/>
              <w:rPr>
                <w:b w:val="0"/>
                <w:bCs/>
              </w:rPr>
            </w:pPr>
          </w:p>
        </w:tc>
        <w:tc>
          <w:tcPr>
            <w:tcW w:w="4961" w:type="dxa"/>
            <w:shd w:val="clear" w:color="auto" w:fill="auto"/>
            <w:vAlign w:val="center"/>
          </w:tcPr>
          <w:p w14:paraId="4B18DF7A">
            <w:pPr>
              <w:pStyle w:val="13"/>
              <w:rPr>
                <w:b w:val="0"/>
                <w:bCs/>
              </w:rPr>
            </w:pPr>
            <w:r>
              <w:rPr>
                <w:rFonts w:hint="eastAsia"/>
                <w:b w:val="0"/>
                <w:bCs/>
              </w:rPr>
              <w:t>切割及焊接作业未设置挡火板</w:t>
            </w:r>
          </w:p>
        </w:tc>
        <w:tc>
          <w:tcPr>
            <w:tcW w:w="1487" w:type="dxa"/>
            <w:shd w:val="clear" w:color="auto" w:fill="auto"/>
            <w:vAlign w:val="center"/>
          </w:tcPr>
          <w:p w14:paraId="588D9A65">
            <w:pPr>
              <w:pStyle w:val="13"/>
              <w:rPr>
                <w:b w:val="0"/>
                <w:bCs/>
              </w:rPr>
            </w:pPr>
            <w:r>
              <w:rPr>
                <w:rFonts w:hint="eastAsia"/>
                <w:b w:val="0"/>
                <w:bCs/>
              </w:rPr>
              <w:t>火灾</w:t>
            </w:r>
          </w:p>
        </w:tc>
      </w:tr>
      <w:tr w14:paraId="6F91C7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EE3E0DC">
            <w:pPr>
              <w:pStyle w:val="13"/>
              <w:numPr>
                <w:ilvl w:val="0"/>
                <w:numId w:val="38"/>
              </w:numPr>
              <w:rPr>
                <w:b w:val="0"/>
                <w:bCs/>
              </w:rPr>
            </w:pPr>
          </w:p>
        </w:tc>
        <w:tc>
          <w:tcPr>
            <w:tcW w:w="1190" w:type="dxa"/>
            <w:vMerge w:val="continue"/>
            <w:shd w:val="clear" w:color="auto" w:fill="auto"/>
            <w:vAlign w:val="center"/>
          </w:tcPr>
          <w:p w14:paraId="5021CE3F">
            <w:pPr>
              <w:pStyle w:val="13"/>
              <w:rPr>
                <w:b w:val="0"/>
                <w:bCs/>
              </w:rPr>
            </w:pPr>
          </w:p>
        </w:tc>
        <w:tc>
          <w:tcPr>
            <w:tcW w:w="4961" w:type="dxa"/>
            <w:shd w:val="clear" w:color="auto" w:fill="auto"/>
            <w:vAlign w:val="center"/>
          </w:tcPr>
          <w:p w14:paraId="775D523D">
            <w:pPr>
              <w:pStyle w:val="13"/>
              <w:rPr>
                <w:b w:val="0"/>
                <w:bCs/>
              </w:rPr>
            </w:pPr>
            <w:r>
              <w:rPr>
                <w:rFonts w:hint="eastAsia"/>
                <w:b w:val="0"/>
                <w:bCs/>
              </w:rPr>
              <w:t>焊工和切割工没有佩戴耐火的防护手套</w:t>
            </w:r>
          </w:p>
        </w:tc>
        <w:tc>
          <w:tcPr>
            <w:tcW w:w="1487" w:type="dxa"/>
            <w:shd w:val="clear" w:color="auto" w:fill="auto"/>
            <w:vAlign w:val="center"/>
          </w:tcPr>
          <w:p w14:paraId="1BADA917">
            <w:pPr>
              <w:pStyle w:val="13"/>
              <w:rPr>
                <w:b w:val="0"/>
                <w:bCs/>
              </w:rPr>
            </w:pPr>
            <w:r>
              <w:rPr>
                <w:rFonts w:hint="eastAsia"/>
                <w:b w:val="0"/>
                <w:bCs/>
              </w:rPr>
              <w:t>灼烫</w:t>
            </w:r>
          </w:p>
        </w:tc>
      </w:tr>
      <w:tr w14:paraId="166723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BDA558A">
            <w:pPr>
              <w:pStyle w:val="13"/>
              <w:numPr>
                <w:ilvl w:val="0"/>
                <w:numId w:val="38"/>
              </w:numPr>
              <w:rPr>
                <w:b w:val="0"/>
                <w:bCs/>
              </w:rPr>
            </w:pPr>
          </w:p>
        </w:tc>
        <w:tc>
          <w:tcPr>
            <w:tcW w:w="1190" w:type="dxa"/>
            <w:vMerge w:val="continue"/>
            <w:shd w:val="clear" w:color="auto" w:fill="auto"/>
            <w:vAlign w:val="center"/>
          </w:tcPr>
          <w:p w14:paraId="7B8C4891">
            <w:pPr>
              <w:pStyle w:val="13"/>
              <w:rPr>
                <w:b w:val="0"/>
                <w:bCs/>
              </w:rPr>
            </w:pPr>
          </w:p>
        </w:tc>
        <w:tc>
          <w:tcPr>
            <w:tcW w:w="4961" w:type="dxa"/>
            <w:shd w:val="clear" w:color="auto" w:fill="auto"/>
            <w:vAlign w:val="center"/>
          </w:tcPr>
          <w:p w14:paraId="2AA5969C">
            <w:pPr>
              <w:pStyle w:val="13"/>
              <w:rPr>
                <w:b w:val="0"/>
                <w:bCs/>
              </w:rPr>
            </w:pPr>
            <w:r>
              <w:rPr>
                <w:rFonts w:hint="eastAsia"/>
                <w:b w:val="0"/>
                <w:bCs/>
              </w:rPr>
              <w:t>焊接时未使用带有滤光镜的头罩或手持面罩，</w:t>
            </w:r>
          </w:p>
          <w:p w14:paraId="6A604AA3">
            <w:pPr>
              <w:pStyle w:val="13"/>
              <w:rPr>
                <w:b w:val="0"/>
                <w:bCs/>
              </w:rPr>
            </w:pPr>
            <w:r>
              <w:rPr>
                <w:rFonts w:hint="eastAsia"/>
                <w:b w:val="0"/>
                <w:bCs/>
              </w:rPr>
              <w:t>或佩戴安全镜、护目镜或其它合适的眼镜</w:t>
            </w:r>
          </w:p>
        </w:tc>
        <w:tc>
          <w:tcPr>
            <w:tcW w:w="1487" w:type="dxa"/>
            <w:shd w:val="clear" w:color="auto" w:fill="auto"/>
            <w:vAlign w:val="center"/>
          </w:tcPr>
          <w:p w14:paraId="4B7B3EFC">
            <w:pPr>
              <w:pStyle w:val="13"/>
              <w:rPr>
                <w:b w:val="0"/>
                <w:bCs/>
              </w:rPr>
            </w:pPr>
            <w:r>
              <w:rPr>
                <w:rFonts w:hint="eastAsia"/>
                <w:b w:val="0"/>
                <w:bCs/>
              </w:rPr>
              <w:t>灼烫</w:t>
            </w:r>
          </w:p>
        </w:tc>
      </w:tr>
      <w:tr w14:paraId="52401C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168634E">
            <w:pPr>
              <w:pStyle w:val="13"/>
              <w:numPr>
                <w:ilvl w:val="0"/>
                <w:numId w:val="38"/>
              </w:numPr>
              <w:rPr>
                <w:b w:val="0"/>
                <w:bCs/>
              </w:rPr>
            </w:pPr>
          </w:p>
        </w:tc>
        <w:tc>
          <w:tcPr>
            <w:tcW w:w="1190" w:type="dxa"/>
            <w:vMerge w:val="continue"/>
            <w:shd w:val="clear" w:color="auto" w:fill="auto"/>
            <w:vAlign w:val="center"/>
          </w:tcPr>
          <w:p w14:paraId="02956196">
            <w:pPr>
              <w:pStyle w:val="13"/>
              <w:rPr>
                <w:b w:val="0"/>
                <w:bCs/>
              </w:rPr>
            </w:pPr>
          </w:p>
        </w:tc>
        <w:tc>
          <w:tcPr>
            <w:tcW w:w="4961" w:type="dxa"/>
            <w:shd w:val="clear" w:color="auto" w:fill="auto"/>
            <w:vAlign w:val="center"/>
          </w:tcPr>
          <w:p w14:paraId="04D85E43">
            <w:pPr>
              <w:pStyle w:val="13"/>
              <w:rPr>
                <w:b w:val="0"/>
                <w:bCs/>
              </w:rPr>
            </w:pPr>
            <w:r>
              <w:rPr>
                <w:rFonts w:hint="eastAsia"/>
                <w:b w:val="0"/>
                <w:bCs/>
              </w:rPr>
              <w:t>电焊、气割作业环境通风条件不良</w:t>
            </w:r>
          </w:p>
        </w:tc>
        <w:tc>
          <w:tcPr>
            <w:tcW w:w="1487" w:type="dxa"/>
            <w:shd w:val="clear" w:color="auto" w:fill="auto"/>
            <w:vAlign w:val="center"/>
          </w:tcPr>
          <w:p w14:paraId="72A1442D">
            <w:pPr>
              <w:pStyle w:val="13"/>
              <w:rPr>
                <w:b w:val="0"/>
                <w:bCs/>
              </w:rPr>
            </w:pPr>
            <w:r>
              <w:rPr>
                <w:rFonts w:hint="eastAsia"/>
                <w:b w:val="0"/>
                <w:bCs/>
              </w:rPr>
              <w:t>中毒、窒息</w:t>
            </w:r>
          </w:p>
        </w:tc>
      </w:tr>
      <w:tr w14:paraId="41499C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1F34DD7">
            <w:pPr>
              <w:pStyle w:val="13"/>
              <w:numPr>
                <w:ilvl w:val="0"/>
                <w:numId w:val="38"/>
              </w:numPr>
              <w:rPr>
                <w:b w:val="0"/>
                <w:bCs/>
              </w:rPr>
            </w:pPr>
          </w:p>
        </w:tc>
        <w:tc>
          <w:tcPr>
            <w:tcW w:w="1190" w:type="dxa"/>
            <w:vMerge w:val="continue"/>
            <w:shd w:val="clear" w:color="auto" w:fill="auto"/>
            <w:vAlign w:val="center"/>
          </w:tcPr>
          <w:p w14:paraId="5CE623B2">
            <w:pPr>
              <w:pStyle w:val="13"/>
              <w:rPr>
                <w:b w:val="0"/>
                <w:bCs/>
              </w:rPr>
            </w:pPr>
          </w:p>
        </w:tc>
        <w:tc>
          <w:tcPr>
            <w:tcW w:w="4961" w:type="dxa"/>
            <w:shd w:val="clear" w:color="auto" w:fill="auto"/>
            <w:vAlign w:val="center"/>
          </w:tcPr>
          <w:p w14:paraId="7B8923DE">
            <w:pPr>
              <w:pStyle w:val="13"/>
              <w:rPr>
                <w:b w:val="0"/>
                <w:bCs/>
              </w:rPr>
            </w:pPr>
            <w:r>
              <w:rPr>
                <w:rFonts w:hint="eastAsia"/>
                <w:b w:val="0"/>
                <w:bCs/>
              </w:rPr>
              <w:t>电焊、气割作业区域未设置警示标志，电焊、气割作业地点未配备灭火器</w:t>
            </w:r>
          </w:p>
        </w:tc>
        <w:tc>
          <w:tcPr>
            <w:tcW w:w="1487" w:type="dxa"/>
            <w:shd w:val="clear" w:color="auto" w:fill="auto"/>
            <w:vAlign w:val="center"/>
          </w:tcPr>
          <w:p w14:paraId="074546DD">
            <w:pPr>
              <w:pStyle w:val="13"/>
              <w:rPr>
                <w:b w:val="0"/>
                <w:bCs/>
              </w:rPr>
            </w:pPr>
            <w:r>
              <w:rPr>
                <w:rFonts w:hint="eastAsia"/>
                <w:b w:val="0"/>
                <w:bCs/>
              </w:rPr>
              <w:t>火灾等</w:t>
            </w:r>
          </w:p>
        </w:tc>
      </w:tr>
    </w:tbl>
    <w:p w14:paraId="5FA4800C">
      <w:pPr>
        <w:pStyle w:val="5"/>
        <w:tabs>
          <w:tab w:val="left" w:pos="0"/>
        </w:tabs>
        <w:bidi w:val="0"/>
        <w:ind w:left="0" w:leftChars="0" w:firstLine="0" w:firstLineChars="0"/>
      </w:pPr>
      <w:r>
        <w:rPr>
          <w:rFonts w:hint="eastAsia"/>
        </w:rPr>
        <w:t>风险分析结论</w:t>
      </w:r>
    </w:p>
    <w:p w14:paraId="58965E15">
      <w:pPr>
        <w:ind w:firstLine="480"/>
      </w:pPr>
      <w:r>
        <w:rPr>
          <w:rFonts w:hint="eastAsia"/>
        </w:rPr>
        <w:t>根据风险因素分析、识别表，显著危险的有</w:t>
      </w:r>
      <w:r>
        <w:rPr>
          <w:rFonts w:hint="eastAsia"/>
          <w:lang w:val="en-US" w:eastAsia="zh-CN"/>
        </w:rPr>
        <w:t>82</w:t>
      </w:r>
      <w:r>
        <w:rPr>
          <w:rFonts w:hint="eastAsia"/>
        </w:rPr>
        <w:t>项：包括高处坠落、起重伤害、物体打击、触电、机械伤害、火灾、坍塌和容器爆炸，需要制定针对性安全措施，具体措施详见6</w:t>
      </w:r>
      <w:r>
        <w:t>.3</w:t>
      </w:r>
      <w:r>
        <w:rPr>
          <w:rFonts w:hint="eastAsia"/>
        </w:rPr>
        <w:t>节。</w:t>
      </w:r>
    </w:p>
    <w:p w14:paraId="35B1EAE1">
      <w:pPr>
        <w:pStyle w:val="4"/>
        <w:tabs>
          <w:tab w:val="left" w:pos="0"/>
        </w:tabs>
        <w:bidi w:val="0"/>
        <w:ind w:left="0" w:leftChars="0" w:firstLine="0" w:firstLineChars="0"/>
      </w:pPr>
      <w:bookmarkStart w:id="151" w:name="_Toc11967"/>
      <w:bookmarkStart w:id="152" w:name="_Toc10205"/>
      <w:r>
        <w:rPr>
          <w:rFonts w:hint="eastAsia"/>
        </w:rPr>
        <w:t>组织保障措施</w:t>
      </w:r>
      <w:bookmarkEnd w:id="151"/>
      <w:bookmarkEnd w:id="152"/>
    </w:p>
    <w:p w14:paraId="3FFD3382">
      <w:pPr>
        <w:pStyle w:val="5"/>
        <w:tabs>
          <w:tab w:val="left" w:pos="0"/>
        </w:tabs>
        <w:bidi w:val="0"/>
        <w:ind w:left="0" w:leftChars="0" w:firstLine="0" w:firstLineChars="0"/>
      </w:pPr>
      <w:r>
        <w:rPr>
          <w:rFonts w:hint="eastAsia"/>
        </w:rPr>
        <w:t>安全管理组织机构与职责</w:t>
      </w:r>
    </w:p>
    <w:p w14:paraId="68A4656E">
      <w:pPr>
        <w:ind w:firstLine="480"/>
      </w:pPr>
      <w:r>
        <w:rPr>
          <w:rFonts w:hint="eastAsia"/>
        </w:rPr>
        <w:t>根据本施工工程成立安全管理组织机构，其人员组成、工作职责详见</w:t>
      </w:r>
      <w:r>
        <w:fldChar w:fldCharType="begin"/>
      </w:r>
      <w:r>
        <w:instrText xml:space="preserve"> </w:instrText>
      </w:r>
      <w:r>
        <w:rPr>
          <w:rFonts w:hint="eastAsia"/>
        </w:rPr>
        <w:instrText xml:space="preserve">REF _Ref124509381 \h</w:instrText>
      </w:r>
      <w:r>
        <w:instrText xml:space="preserve"> </w:instrText>
      </w:r>
      <w:r>
        <w:fldChar w:fldCharType="separate"/>
      </w:r>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rPr>
          <w:rFonts w:hint="eastAsia"/>
        </w:rPr>
        <w:t>6.2</w:t>
      </w:r>
      <w:r>
        <w:fldChar w:fldCharType="end"/>
      </w:r>
      <w:r>
        <w:rPr>
          <w:rFonts w:hint="eastAsia"/>
        </w:rPr>
        <w:t>-1</w:t>
      </w:r>
      <w:r>
        <w:fldChar w:fldCharType="end"/>
      </w:r>
      <w:r>
        <w:rPr>
          <w:rFonts w:hint="eastAsia"/>
        </w:rPr>
        <w:t>所示。</w:t>
      </w:r>
    </w:p>
    <w:p w14:paraId="753FA9E4">
      <w:pPr>
        <w:pStyle w:val="12"/>
        <w:jc w:val="center"/>
        <w:rPr>
          <w:rFonts w:hint="eastAsia" w:ascii="宋体" w:hAnsi="宋体" w:eastAsia="宋体" w:cs="宋体"/>
          <w:b/>
          <w:bCs/>
          <w:color w:val="auto"/>
          <w:kern w:val="0"/>
          <w:sz w:val="21"/>
          <w:szCs w:val="21"/>
          <w:lang w:val="en-US" w:eastAsia="zh-CN" w:bidi="ar-SA"/>
        </w:rPr>
      </w:pPr>
      <w:bookmarkStart w:id="153" w:name="_Ref124509381"/>
      <w:r>
        <w:rPr>
          <w:rFonts w:hint="eastAsia" w:ascii="宋体" w:hAnsi="宋体" w:eastAsia="宋体" w:cs="宋体"/>
          <w:b/>
          <w:bCs/>
          <w:color w:val="auto"/>
          <w:kern w:val="0"/>
          <w:sz w:val="21"/>
          <w:szCs w:val="21"/>
          <w:lang w:val="en-US" w:eastAsia="zh-CN" w:bidi="ar-SA"/>
        </w:rPr>
        <w:t>表</w:t>
      </w:r>
      <w:r>
        <w:rPr>
          <w:rFonts w:hint="eastAsia" w:ascii="宋体" w:hAnsi="宋体" w:eastAsia="宋体" w:cs="宋体"/>
          <w:b/>
          <w:bCs/>
          <w:color w:val="auto"/>
          <w:kern w:val="0"/>
          <w:sz w:val="21"/>
          <w:szCs w:val="21"/>
          <w:lang w:val="en-US" w:eastAsia="zh-CN" w:bidi="ar-SA"/>
        </w:rPr>
        <w:fldChar w:fldCharType="begin"/>
      </w:r>
      <w:r>
        <w:rPr>
          <w:rFonts w:hint="eastAsia" w:ascii="宋体" w:hAnsi="宋体" w:eastAsia="宋体" w:cs="宋体"/>
          <w:b/>
          <w:bCs/>
          <w:color w:val="auto"/>
          <w:kern w:val="0"/>
          <w:sz w:val="21"/>
          <w:szCs w:val="21"/>
          <w:lang w:val="en-US" w:eastAsia="zh-CN" w:bidi="ar-SA"/>
        </w:rPr>
        <w:instrText xml:space="preserve"> STYLEREF 2 \s </w:instrText>
      </w:r>
      <w:r>
        <w:rPr>
          <w:rFonts w:hint="eastAsia" w:ascii="宋体" w:hAnsi="宋体" w:eastAsia="宋体" w:cs="宋体"/>
          <w:b/>
          <w:bCs/>
          <w:color w:val="auto"/>
          <w:kern w:val="0"/>
          <w:sz w:val="21"/>
          <w:szCs w:val="21"/>
          <w:lang w:val="en-US" w:eastAsia="zh-CN" w:bidi="ar-SA"/>
        </w:rPr>
        <w:fldChar w:fldCharType="separate"/>
      </w:r>
      <w:r>
        <w:rPr>
          <w:rFonts w:hint="eastAsia" w:ascii="宋体" w:hAnsi="宋体" w:eastAsia="宋体" w:cs="宋体"/>
          <w:b/>
          <w:bCs/>
          <w:color w:val="auto"/>
          <w:kern w:val="0"/>
          <w:sz w:val="21"/>
          <w:szCs w:val="21"/>
          <w:lang w:val="en-US" w:eastAsia="zh-CN" w:bidi="ar-SA"/>
        </w:rPr>
        <w:t>6.2</w:t>
      </w:r>
      <w:r>
        <w:rPr>
          <w:rFonts w:hint="eastAsia" w:ascii="宋体" w:hAnsi="宋体" w:eastAsia="宋体" w:cs="宋体"/>
          <w:b/>
          <w:bCs/>
          <w:color w:val="auto"/>
          <w:kern w:val="0"/>
          <w:sz w:val="21"/>
          <w:szCs w:val="21"/>
          <w:lang w:val="en-US" w:eastAsia="zh-CN" w:bidi="ar-SA"/>
        </w:rPr>
        <w:fldChar w:fldCharType="end"/>
      </w:r>
      <w:r>
        <w:rPr>
          <w:rFonts w:hint="eastAsia" w:ascii="宋体" w:hAnsi="宋体" w:eastAsia="宋体" w:cs="宋体"/>
          <w:b/>
          <w:bCs/>
          <w:color w:val="auto"/>
          <w:kern w:val="0"/>
          <w:sz w:val="21"/>
          <w:szCs w:val="21"/>
          <w:lang w:val="en-US" w:eastAsia="zh-CN" w:bidi="ar-SA"/>
        </w:rPr>
        <w:t>-</w:t>
      </w:r>
      <w:r>
        <w:rPr>
          <w:rFonts w:hint="eastAsia" w:ascii="宋体" w:hAnsi="宋体" w:eastAsia="宋体" w:cs="宋体"/>
          <w:b/>
          <w:bCs/>
          <w:color w:val="auto"/>
          <w:kern w:val="0"/>
          <w:sz w:val="21"/>
          <w:szCs w:val="21"/>
          <w:lang w:val="en-US" w:eastAsia="zh-CN" w:bidi="ar-SA"/>
        </w:rPr>
        <w:fldChar w:fldCharType="begin"/>
      </w:r>
      <w:r>
        <w:rPr>
          <w:rFonts w:hint="eastAsia" w:ascii="宋体" w:hAnsi="宋体" w:eastAsia="宋体" w:cs="宋体"/>
          <w:b/>
          <w:bCs/>
          <w:color w:val="auto"/>
          <w:kern w:val="0"/>
          <w:sz w:val="21"/>
          <w:szCs w:val="21"/>
          <w:lang w:val="en-US" w:eastAsia="zh-CN" w:bidi="ar-SA"/>
        </w:rPr>
        <w:instrText xml:space="preserve"> SEQ 表 \* ARABIC \s 2 </w:instrText>
      </w:r>
      <w:r>
        <w:rPr>
          <w:rFonts w:hint="eastAsia" w:ascii="宋体" w:hAnsi="宋体" w:eastAsia="宋体" w:cs="宋体"/>
          <w:b/>
          <w:bCs/>
          <w:color w:val="auto"/>
          <w:kern w:val="0"/>
          <w:sz w:val="21"/>
          <w:szCs w:val="21"/>
          <w:lang w:val="en-US" w:eastAsia="zh-CN" w:bidi="ar-SA"/>
        </w:rPr>
        <w:fldChar w:fldCharType="separate"/>
      </w:r>
      <w:r>
        <w:rPr>
          <w:rFonts w:hint="eastAsia" w:ascii="宋体" w:hAnsi="宋体" w:eastAsia="宋体" w:cs="宋体"/>
          <w:b/>
          <w:bCs/>
          <w:color w:val="auto"/>
          <w:kern w:val="0"/>
          <w:sz w:val="21"/>
          <w:szCs w:val="21"/>
          <w:lang w:val="en-US" w:eastAsia="zh-CN" w:bidi="ar-SA"/>
        </w:rPr>
        <w:t>1</w:t>
      </w:r>
      <w:r>
        <w:rPr>
          <w:rFonts w:hint="eastAsia" w:ascii="宋体" w:hAnsi="宋体" w:eastAsia="宋体" w:cs="宋体"/>
          <w:b/>
          <w:bCs/>
          <w:color w:val="auto"/>
          <w:kern w:val="0"/>
          <w:sz w:val="21"/>
          <w:szCs w:val="21"/>
          <w:lang w:val="en-US" w:eastAsia="zh-CN" w:bidi="ar-SA"/>
        </w:rPr>
        <w:fldChar w:fldCharType="end"/>
      </w:r>
      <w:bookmarkEnd w:id="153"/>
      <w:r>
        <w:rPr>
          <w:rFonts w:hint="eastAsia" w:ascii="宋体" w:hAnsi="宋体" w:eastAsia="宋体" w:cs="宋体"/>
          <w:b/>
          <w:bCs/>
          <w:color w:val="auto"/>
          <w:kern w:val="0"/>
          <w:sz w:val="21"/>
          <w:szCs w:val="21"/>
          <w:lang w:val="en-US" w:eastAsia="zh-CN" w:bidi="ar-SA"/>
        </w:rPr>
        <w:t xml:space="preserve"> 质量管理组织机构</w:t>
      </w:r>
    </w:p>
    <w:tbl>
      <w:tblPr>
        <w:tblStyle w:val="9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312"/>
        <w:gridCol w:w="875"/>
        <w:gridCol w:w="4821"/>
        <w:gridCol w:w="802"/>
      </w:tblGrid>
      <w:tr w14:paraId="38BA2A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blHeader/>
        </w:trPr>
        <w:tc>
          <w:tcPr>
            <w:tcW w:w="418" w:type="pct"/>
            <w:shd w:val="clear" w:color="auto" w:fill="auto"/>
            <w:vAlign w:val="center"/>
          </w:tcPr>
          <w:p w14:paraId="3F3D547C">
            <w:pPr>
              <w:pStyle w:val="13"/>
              <w:rPr>
                <w:b/>
              </w:rPr>
            </w:pPr>
            <w:r>
              <w:rPr>
                <w:rFonts w:hint="eastAsia"/>
                <w:b/>
              </w:rPr>
              <w:t>序号</w:t>
            </w:r>
          </w:p>
        </w:tc>
        <w:tc>
          <w:tcPr>
            <w:tcW w:w="769" w:type="pct"/>
            <w:shd w:val="clear" w:color="auto" w:fill="auto"/>
            <w:vAlign w:val="center"/>
          </w:tcPr>
          <w:p w14:paraId="227C2BFB">
            <w:pPr>
              <w:pStyle w:val="13"/>
              <w:rPr>
                <w:b/>
              </w:rPr>
            </w:pPr>
            <w:r>
              <w:rPr>
                <w:rFonts w:hint="eastAsia"/>
                <w:b/>
              </w:rPr>
              <w:t>岗位</w:t>
            </w:r>
          </w:p>
        </w:tc>
        <w:tc>
          <w:tcPr>
            <w:tcW w:w="513" w:type="pct"/>
            <w:shd w:val="clear" w:color="auto" w:fill="auto"/>
            <w:vAlign w:val="center"/>
          </w:tcPr>
          <w:p w14:paraId="3543F347">
            <w:pPr>
              <w:pStyle w:val="13"/>
              <w:rPr>
                <w:b/>
              </w:rPr>
            </w:pPr>
            <w:r>
              <w:rPr>
                <w:rFonts w:hint="eastAsia"/>
                <w:b/>
              </w:rPr>
              <w:t>姓名</w:t>
            </w:r>
          </w:p>
        </w:tc>
        <w:tc>
          <w:tcPr>
            <w:tcW w:w="2826" w:type="pct"/>
            <w:shd w:val="clear" w:color="auto" w:fill="auto"/>
            <w:vAlign w:val="center"/>
          </w:tcPr>
          <w:p w14:paraId="0DCD2B6E">
            <w:pPr>
              <w:pStyle w:val="13"/>
              <w:rPr>
                <w:b/>
              </w:rPr>
            </w:pPr>
            <w:r>
              <w:rPr>
                <w:rFonts w:hint="eastAsia"/>
                <w:b/>
              </w:rPr>
              <w:t>工作职责</w:t>
            </w:r>
          </w:p>
        </w:tc>
        <w:tc>
          <w:tcPr>
            <w:tcW w:w="470" w:type="pct"/>
            <w:shd w:val="clear" w:color="auto" w:fill="auto"/>
            <w:vAlign w:val="center"/>
          </w:tcPr>
          <w:p w14:paraId="45146D3F">
            <w:pPr>
              <w:pStyle w:val="13"/>
              <w:rPr>
                <w:b/>
              </w:rPr>
            </w:pPr>
            <w:r>
              <w:rPr>
                <w:rFonts w:hint="eastAsia"/>
                <w:b/>
              </w:rPr>
              <w:t>备注</w:t>
            </w:r>
          </w:p>
        </w:tc>
      </w:tr>
      <w:tr w14:paraId="2E1374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8" w:type="pct"/>
            <w:shd w:val="clear" w:color="auto" w:fill="auto"/>
            <w:vAlign w:val="center"/>
          </w:tcPr>
          <w:p w14:paraId="4A25ED95">
            <w:pPr>
              <w:pStyle w:val="13"/>
              <w:numPr>
                <w:ilvl w:val="0"/>
                <w:numId w:val="39"/>
              </w:numPr>
            </w:pPr>
          </w:p>
        </w:tc>
        <w:tc>
          <w:tcPr>
            <w:tcW w:w="769" w:type="pct"/>
            <w:shd w:val="clear" w:color="auto" w:fill="auto"/>
            <w:vAlign w:val="center"/>
          </w:tcPr>
          <w:p w14:paraId="2A4857B9">
            <w:pPr>
              <w:pStyle w:val="13"/>
              <w:rPr>
                <w:b w:val="0"/>
                <w:bCs/>
              </w:rPr>
            </w:pPr>
            <w:r>
              <w:rPr>
                <w:rFonts w:hint="eastAsia"/>
                <w:b w:val="0"/>
                <w:bCs/>
              </w:rPr>
              <w:t>现场负责人</w:t>
            </w:r>
          </w:p>
        </w:tc>
        <w:tc>
          <w:tcPr>
            <w:tcW w:w="513" w:type="pct"/>
            <w:shd w:val="clear" w:color="auto" w:fill="auto"/>
            <w:vAlign w:val="center"/>
          </w:tcPr>
          <w:p w14:paraId="07E77978">
            <w:pPr>
              <w:pStyle w:val="13"/>
              <w:ind w:firstLine="0" w:firstLineChars="0"/>
              <w:rPr>
                <w:b w:val="0"/>
                <w:bCs/>
              </w:rPr>
            </w:pPr>
            <w:r>
              <w:rPr>
                <w:rFonts w:hint="eastAsia"/>
                <w:b w:val="0"/>
                <w:bCs/>
              </w:rPr>
              <w:t>彭善忠</w:t>
            </w:r>
          </w:p>
        </w:tc>
        <w:tc>
          <w:tcPr>
            <w:tcW w:w="2826" w:type="pct"/>
            <w:shd w:val="clear" w:color="auto" w:fill="auto"/>
            <w:vAlign w:val="center"/>
          </w:tcPr>
          <w:p w14:paraId="782A66E2">
            <w:pPr>
              <w:pStyle w:val="13"/>
              <w:jc w:val="left"/>
              <w:rPr>
                <w:b w:val="0"/>
                <w:bCs/>
              </w:rPr>
            </w:pPr>
            <w:r>
              <w:rPr>
                <w:rFonts w:hint="eastAsia"/>
                <w:b w:val="0"/>
                <w:bCs/>
              </w:rPr>
              <w:t>负责设备安装组织、实施及安全</w:t>
            </w:r>
          </w:p>
        </w:tc>
        <w:tc>
          <w:tcPr>
            <w:tcW w:w="470" w:type="pct"/>
            <w:shd w:val="clear" w:color="auto" w:fill="auto"/>
            <w:vAlign w:val="center"/>
          </w:tcPr>
          <w:p w14:paraId="1DAB4907">
            <w:pPr>
              <w:pStyle w:val="13"/>
            </w:pPr>
          </w:p>
        </w:tc>
      </w:tr>
      <w:tr w14:paraId="6534BF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8" w:type="pct"/>
            <w:shd w:val="clear" w:color="auto" w:fill="auto"/>
            <w:vAlign w:val="center"/>
          </w:tcPr>
          <w:p w14:paraId="40CDEDE1">
            <w:pPr>
              <w:pStyle w:val="13"/>
              <w:numPr>
                <w:ilvl w:val="0"/>
                <w:numId w:val="39"/>
              </w:numPr>
            </w:pPr>
          </w:p>
        </w:tc>
        <w:tc>
          <w:tcPr>
            <w:tcW w:w="769" w:type="pct"/>
            <w:shd w:val="clear" w:color="auto" w:fill="auto"/>
            <w:vAlign w:val="center"/>
          </w:tcPr>
          <w:p w14:paraId="1F0C4905">
            <w:pPr>
              <w:pStyle w:val="13"/>
              <w:rPr>
                <w:b w:val="0"/>
                <w:bCs/>
              </w:rPr>
            </w:pPr>
            <w:r>
              <w:rPr>
                <w:rFonts w:hint="eastAsia"/>
                <w:b w:val="0"/>
                <w:bCs/>
              </w:rPr>
              <w:t>设备安拆工</w:t>
            </w:r>
          </w:p>
        </w:tc>
        <w:tc>
          <w:tcPr>
            <w:tcW w:w="513" w:type="pct"/>
            <w:shd w:val="clear" w:color="auto" w:fill="auto"/>
            <w:vAlign w:val="center"/>
          </w:tcPr>
          <w:p w14:paraId="3340F1A2">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b w:val="0"/>
                <w:bCs/>
              </w:rPr>
            </w:pPr>
            <w:r>
              <w:rPr>
                <w:rFonts w:hint="eastAsia" w:ascii="Times New Roman" w:hAnsi="Times New Roman" w:eastAsia="宋体" w:cs="Times New Roman"/>
                <w:color w:val="auto"/>
                <w:sz w:val="21"/>
                <w:szCs w:val="21"/>
                <w:lang w:val="en-US" w:eastAsia="zh-CN"/>
              </w:rPr>
              <w:t>白美富</w:t>
            </w:r>
          </w:p>
        </w:tc>
        <w:tc>
          <w:tcPr>
            <w:tcW w:w="2826" w:type="pct"/>
            <w:shd w:val="clear" w:color="auto" w:fill="auto"/>
            <w:vAlign w:val="center"/>
          </w:tcPr>
          <w:p w14:paraId="4195204C">
            <w:pPr>
              <w:pStyle w:val="13"/>
              <w:jc w:val="left"/>
              <w:rPr>
                <w:b w:val="0"/>
                <w:bCs/>
              </w:rPr>
            </w:pPr>
            <w:r>
              <w:rPr>
                <w:rFonts w:hint="eastAsia"/>
                <w:b w:val="0"/>
                <w:bCs/>
              </w:rPr>
              <w:t>负责设备安装技术工作以及安全工作</w:t>
            </w:r>
          </w:p>
        </w:tc>
        <w:tc>
          <w:tcPr>
            <w:tcW w:w="470" w:type="pct"/>
            <w:shd w:val="clear" w:color="auto" w:fill="auto"/>
            <w:vAlign w:val="center"/>
          </w:tcPr>
          <w:p w14:paraId="6DD04075">
            <w:pPr>
              <w:pStyle w:val="13"/>
            </w:pPr>
          </w:p>
        </w:tc>
      </w:tr>
      <w:tr w14:paraId="08F22D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8" w:type="pct"/>
            <w:shd w:val="clear" w:color="auto" w:fill="auto"/>
            <w:vAlign w:val="center"/>
          </w:tcPr>
          <w:p w14:paraId="510C0564">
            <w:pPr>
              <w:pStyle w:val="13"/>
              <w:numPr>
                <w:ilvl w:val="0"/>
                <w:numId w:val="39"/>
              </w:numPr>
            </w:pPr>
          </w:p>
        </w:tc>
        <w:tc>
          <w:tcPr>
            <w:tcW w:w="769" w:type="pct"/>
            <w:shd w:val="clear" w:color="auto" w:fill="auto"/>
            <w:vAlign w:val="center"/>
          </w:tcPr>
          <w:p w14:paraId="21369A2A">
            <w:pPr>
              <w:pStyle w:val="13"/>
              <w:rPr>
                <w:b w:val="0"/>
                <w:bCs/>
              </w:rPr>
            </w:pPr>
            <w:r>
              <w:rPr>
                <w:rFonts w:hint="eastAsia"/>
                <w:b w:val="0"/>
                <w:bCs/>
              </w:rPr>
              <w:t>设备安拆工</w:t>
            </w:r>
          </w:p>
        </w:tc>
        <w:tc>
          <w:tcPr>
            <w:tcW w:w="513" w:type="pct"/>
            <w:shd w:val="clear" w:color="auto" w:fill="auto"/>
            <w:vAlign w:val="center"/>
          </w:tcPr>
          <w:p w14:paraId="554D949B">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b w:val="0"/>
                <w:bCs/>
              </w:rPr>
            </w:pPr>
            <w:r>
              <w:rPr>
                <w:rFonts w:hint="eastAsia" w:ascii="Times New Roman" w:hAnsi="Times New Roman" w:eastAsia="宋体" w:cs="Times New Roman"/>
                <w:color w:val="auto"/>
                <w:sz w:val="21"/>
                <w:szCs w:val="21"/>
                <w:lang w:val="en-US" w:eastAsia="zh-CN"/>
              </w:rPr>
              <w:t>彭兴华</w:t>
            </w:r>
          </w:p>
        </w:tc>
        <w:tc>
          <w:tcPr>
            <w:tcW w:w="2826" w:type="pct"/>
            <w:shd w:val="clear" w:color="auto" w:fill="auto"/>
            <w:vAlign w:val="center"/>
          </w:tcPr>
          <w:p w14:paraId="3BE4B4FA">
            <w:pPr>
              <w:pStyle w:val="13"/>
              <w:jc w:val="left"/>
              <w:rPr>
                <w:b w:val="0"/>
                <w:bCs/>
              </w:rPr>
            </w:pPr>
            <w:r>
              <w:rPr>
                <w:rFonts w:hint="eastAsia"/>
                <w:b w:val="0"/>
                <w:bCs/>
              </w:rPr>
              <w:t>负责现场的安全组织、检查、监督、纠正</w:t>
            </w:r>
          </w:p>
        </w:tc>
        <w:tc>
          <w:tcPr>
            <w:tcW w:w="470" w:type="pct"/>
            <w:shd w:val="clear" w:color="auto" w:fill="auto"/>
            <w:vAlign w:val="center"/>
          </w:tcPr>
          <w:p w14:paraId="711FEC36">
            <w:pPr>
              <w:pStyle w:val="13"/>
            </w:pPr>
          </w:p>
        </w:tc>
      </w:tr>
      <w:tr w14:paraId="587F25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8" w:type="pct"/>
            <w:shd w:val="clear" w:color="auto" w:fill="auto"/>
            <w:vAlign w:val="center"/>
          </w:tcPr>
          <w:p w14:paraId="680E8DD7">
            <w:pPr>
              <w:pStyle w:val="13"/>
              <w:numPr>
                <w:ilvl w:val="0"/>
                <w:numId w:val="39"/>
              </w:numPr>
            </w:pPr>
          </w:p>
        </w:tc>
        <w:tc>
          <w:tcPr>
            <w:tcW w:w="769" w:type="pct"/>
            <w:shd w:val="clear" w:color="auto" w:fill="auto"/>
            <w:vAlign w:val="center"/>
          </w:tcPr>
          <w:p w14:paraId="11CFEFF8">
            <w:pPr>
              <w:pStyle w:val="13"/>
              <w:rPr>
                <w:b w:val="0"/>
                <w:bCs/>
              </w:rPr>
            </w:pPr>
            <w:r>
              <w:rPr>
                <w:rFonts w:hint="eastAsia"/>
                <w:b w:val="0"/>
                <w:bCs/>
              </w:rPr>
              <w:t>电工</w:t>
            </w:r>
          </w:p>
        </w:tc>
        <w:tc>
          <w:tcPr>
            <w:tcW w:w="513" w:type="pct"/>
            <w:shd w:val="clear" w:color="auto" w:fill="auto"/>
            <w:vAlign w:val="center"/>
          </w:tcPr>
          <w:p w14:paraId="4480C01F">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b w:val="0"/>
                <w:bCs/>
              </w:rPr>
            </w:pPr>
            <w:r>
              <w:rPr>
                <w:rFonts w:hint="eastAsia" w:ascii="Times New Roman" w:hAnsi="Times New Roman" w:eastAsia="宋体" w:cs="Times New Roman"/>
                <w:color w:val="auto"/>
                <w:sz w:val="21"/>
                <w:szCs w:val="21"/>
                <w:lang w:val="en-US" w:eastAsia="zh-CN"/>
              </w:rPr>
              <w:t>陈刚</w:t>
            </w:r>
          </w:p>
        </w:tc>
        <w:tc>
          <w:tcPr>
            <w:tcW w:w="2826" w:type="pct"/>
            <w:shd w:val="clear" w:color="auto" w:fill="auto"/>
            <w:vAlign w:val="center"/>
          </w:tcPr>
          <w:p w14:paraId="341038FA">
            <w:pPr>
              <w:pStyle w:val="13"/>
              <w:jc w:val="left"/>
              <w:rPr>
                <w:b w:val="0"/>
                <w:bCs/>
              </w:rPr>
            </w:pPr>
            <w:r>
              <w:rPr>
                <w:rFonts w:hint="eastAsia"/>
                <w:b w:val="0"/>
                <w:bCs/>
              </w:rPr>
              <w:t>负责现场设备的电气安装、恢复、调试</w:t>
            </w:r>
          </w:p>
        </w:tc>
        <w:tc>
          <w:tcPr>
            <w:tcW w:w="470" w:type="pct"/>
            <w:shd w:val="clear" w:color="auto" w:fill="auto"/>
            <w:vAlign w:val="center"/>
          </w:tcPr>
          <w:p w14:paraId="60627E6B">
            <w:pPr>
              <w:pStyle w:val="13"/>
            </w:pPr>
          </w:p>
        </w:tc>
      </w:tr>
    </w:tbl>
    <w:p w14:paraId="0547E8ED">
      <w:pPr>
        <w:pStyle w:val="5"/>
        <w:tabs>
          <w:tab w:val="left" w:pos="0"/>
        </w:tabs>
        <w:bidi w:val="0"/>
        <w:ind w:left="0" w:leftChars="0" w:firstLine="0" w:firstLineChars="0"/>
      </w:pPr>
      <w:r>
        <w:rPr>
          <w:rFonts w:hint="eastAsia"/>
        </w:rPr>
        <w:t>安全管理保证措施</w:t>
      </w:r>
    </w:p>
    <w:p w14:paraId="343B22FF">
      <w:pPr>
        <w:pStyle w:val="6"/>
        <w:numPr>
          <w:ilvl w:val="3"/>
          <w:numId w:val="1"/>
        </w:numPr>
        <w:bidi w:val="0"/>
        <w:ind w:left="0" w:leftChars="0" w:firstLine="0" w:firstLineChars="0"/>
        <w:rPr>
          <w:rFonts w:hint="eastAsia" w:ascii="Times New Roman" w:hAnsi="Times New Roman" w:eastAsia="宋体" w:cstheme="majorBidi"/>
          <w:b/>
          <w:bCs/>
          <w:color w:val="auto"/>
          <w:kern w:val="2"/>
          <w:sz w:val="24"/>
          <w:szCs w:val="28"/>
          <w:lang w:val="en-US" w:eastAsia="zh-CN" w:bidi="ar-SA"/>
        </w:rPr>
      </w:pPr>
      <w:r>
        <w:rPr>
          <w:rFonts w:hint="eastAsia" w:ascii="Times New Roman" w:hAnsi="Times New Roman" w:eastAsia="宋体" w:cstheme="majorBidi"/>
          <w:b/>
          <w:bCs/>
          <w:color w:val="auto"/>
          <w:kern w:val="2"/>
          <w:sz w:val="24"/>
          <w:szCs w:val="28"/>
          <w:lang w:val="en-US" w:eastAsia="zh-CN" w:bidi="ar-SA"/>
        </w:rPr>
        <w:t>思想保证</w:t>
      </w:r>
    </w:p>
    <w:p w14:paraId="53346E47">
      <w:pPr>
        <w:numPr>
          <w:ilvl w:val="1"/>
          <w:numId w:val="40"/>
        </w:numPr>
        <w:ind w:firstLineChars="0"/>
      </w:pPr>
      <w:r>
        <w:rPr>
          <w:rFonts w:hint="eastAsia"/>
        </w:rPr>
        <w:t>认真贯彻执行“安全第一、预防为主、综合治理”的方针，增强全员安全意识，使全员都能明确自己的安全目标和职责，达到全员参加，全员实施的目的，体现“安全生产、人人有责”的原则；</w:t>
      </w:r>
    </w:p>
    <w:p w14:paraId="714FFEAC">
      <w:pPr>
        <w:numPr>
          <w:ilvl w:val="1"/>
          <w:numId w:val="40"/>
        </w:numPr>
        <w:ind w:firstLineChars="0"/>
      </w:pPr>
      <w:r>
        <w:rPr>
          <w:rFonts w:hint="eastAsia"/>
          <w:lang w:val="en-US" w:eastAsia="zh-CN"/>
        </w:rPr>
        <w:t>安装</w:t>
      </w:r>
      <w:r>
        <w:rPr>
          <w:rFonts w:hint="eastAsia"/>
        </w:rPr>
        <w:t>施工开工前，对所有上岗人员进行安全教育培训，使全员都能遵守生产必须安全，安全才能生产的原则，严格执行安全操作规程，持证上岗；</w:t>
      </w:r>
    </w:p>
    <w:p w14:paraId="3FB660E8">
      <w:pPr>
        <w:numPr>
          <w:ilvl w:val="1"/>
          <w:numId w:val="40"/>
        </w:numPr>
        <w:ind w:firstLineChars="0"/>
      </w:pPr>
      <w:r>
        <w:rPr>
          <w:rFonts w:hint="eastAsia"/>
        </w:rPr>
        <w:t>组织安全宣传活动，对全体施工人员进行安全警示教育；</w:t>
      </w:r>
    </w:p>
    <w:p w14:paraId="2DF11B4B">
      <w:pPr>
        <w:numPr>
          <w:ilvl w:val="1"/>
          <w:numId w:val="40"/>
        </w:numPr>
        <w:ind w:firstLineChars="0"/>
      </w:pPr>
      <w:r>
        <w:rPr>
          <w:rFonts w:hint="eastAsia"/>
        </w:rPr>
        <w:t>随时接受业主、监理单位及项目部对安全生产的督促、检查、考评，对提出的问题，立即落实方案组织实施，确保安全生产。</w:t>
      </w:r>
    </w:p>
    <w:p w14:paraId="30B36475">
      <w:pPr>
        <w:pStyle w:val="6"/>
        <w:numPr>
          <w:ilvl w:val="3"/>
          <w:numId w:val="1"/>
        </w:numPr>
        <w:bidi w:val="0"/>
        <w:ind w:left="0" w:leftChars="0" w:firstLine="0" w:firstLineChars="0"/>
        <w:rPr>
          <w:rFonts w:hint="eastAsia" w:ascii="Times New Roman" w:hAnsi="Times New Roman" w:eastAsia="宋体" w:cstheme="majorBidi"/>
          <w:b/>
          <w:bCs/>
          <w:color w:val="auto"/>
          <w:kern w:val="2"/>
          <w:sz w:val="24"/>
          <w:szCs w:val="28"/>
          <w:lang w:val="en-US" w:eastAsia="zh-CN" w:bidi="ar-SA"/>
        </w:rPr>
      </w:pPr>
      <w:r>
        <w:rPr>
          <w:rFonts w:hint="eastAsia" w:ascii="Times New Roman" w:hAnsi="Times New Roman" w:eastAsia="宋体" w:cstheme="majorBidi"/>
          <w:b/>
          <w:bCs/>
          <w:color w:val="auto"/>
          <w:kern w:val="2"/>
          <w:sz w:val="24"/>
          <w:szCs w:val="28"/>
          <w:lang w:val="en-US" w:eastAsia="zh-CN" w:bidi="ar-SA"/>
        </w:rPr>
        <w:t>制度保证</w:t>
      </w:r>
    </w:p>
    <w:p w14:paraId="404886E3">
      <w:pPr>
        <w:numPr>
          <w:ilvl w:val="1"/>
          <w:numId w:val="41"/>
        </w:numPr>
        <w:ind w:firstLineChars="0"/>
      </w:pPr>
      <w:r>
        <w:rPr>
          <w:rFonts w:hint="eastAsia"/>
        </w:rPr>
        <w:t>全体参建人员严格执行党和国家有关安全生产法律、法规和安全生产规程，自觉遵守国家、行业、地方及业主的有关安全生产管理规定；</w:t>
      </w:r>
    </w:p>
    <w:p w14:paraId="512BD553">
      <w:pPr>
        <w:numPr>
          <w:ilvl w:val="1"/>
          <w:numId w:val="41"/>
        </w:numPr>
        <w:ind w:firstLineChars="0"/>
      </w:pPr>
      <w:r>
        <w:rPr>
          <w:rFonts w:hint="eastAsia"/>
        </w:rPr>
        <w:t>严格执行本单位的安全生产管理相关的制度和文件；</w:t>
      </w:r>
    </w:p>
    <w:p w14:paraId="146260EB">
      <w:pPr>
        <w:numPr>
          <w:ilvl w:val="1"/>
          <w:numId w:val="41"/>
        </w:numPr>
        <w:ind w:firstLineChars="0"/>
      </w:pPr>
      <w:r>
        <w:rPr>
          <w:rFonts w:hint="eastAsia"/>
        </w:rPr>
        <w:t>严格执行安全生产教育与培训制度，安拆施工开工前，对参建人员进行岗前安全教育培训，经培训考试合格后方可上岗；</w:t>
      </w:r>
    </w:p>
    <w:p w14:paraId="2D730E03">
      <w:pPr>
        <w:numPr>
          <w:ilvl w:val="1"/>
          <w:numId w:val="41"/>
        </w:numPr>
        <w:ind w:firstLineChars="0"/>
      </w:pPr>
      <w:r>
        <w:rPr>
          <w:rFonts w:hint="eastAsia"/>
        </w:rPr>
        <w:t>严格执行特殊工种持证上岗制度，安拆施工开工前，对特种作业人员进行专业安全培训，取得《安全操作合格证》后，持证上岗；</w:t>
      </w:r>
    </w:p>
    <w:p w14:paraId="430C887C">
      <w:pPr>
        <w:numPr>
          <w:ilvl w:val="1"/>
          <w:numId w:val="41"/>
        </w:numPr>
        <w:ind w:firstLineChars="0"/>
      </w:pPr>
      <w:r>
        <w:rPr>
          <w:rFonts w:hint="eastAsia"/>
        </w:rPr>
        <w:t>严格执行安全技术交底制度，使作业人员能了解作业过程中可能存在的事故隐患，交底采用书面安全交底和现场安全交底相结合的方式；</w:t>
      </w:r>
    </w:p>
    <w:p w14:paraId="2B718B71">
      <w:pPr>
        <w:numPr>
          <w:ilvl w:val="1"/>
          <w:numId w:val="41"/>
        </w:numPr>
        <w:ind w:firstLineChars="0"/>
      </w:pPr>
      <w:r>
        <w:rPr>
          <w:rFonts w:hint="eastAsia"/>
        </w:rPr>
        <w:t>安全负责人持证上岗，负责现场安全管理、指导、监督、制止违章，在危险时采取紧急措施；</w:t>
      </w:r>
    </w:p>
    <w:p w14:paraId="1A35EE10">
      <w:pPr>
        <w:numPr>
          <w:ilvl w:val="1"/>
          <w:numId w:val="41"/>
        </w:numPr>
        <w:ind w:firstLineChars="0"/>
      </w:pPr>
      <w:r>
        <w:rPr>
          <w:rFonts w:hint="eastAsia"/>
        </w:rPr>
        <w:t>安拆施工开工前，针对工程实际编制切实可行的安全措施计划，并限期实施，没有安全保障措施时工程不得开工；</w:t>
      </w:r>
    </w:p>
    <w:p w14:paraId="30FAA927">
      <w:pPr>
        <w:numPr>
          <w:ilvl w:val="1"/>
          <w:numId w:val="41"/>
        </w:numPr>
        <w:ind w:firstLineChars="0"/>
      </w:pPr>
      <w:r>
        <w:rPr>
          <w:rFonts w:hint="eastAsia"/>
        </w:rPr>
        <w:t>完善并执行安全目标管理制度，其中包括：禁酒令，安全生产带班管理制度，事故报告制度等。</w:t>
      </w:r>
    </w:p>
    <w:p w14:paraId="59BDC5B2">
      <w:pPr>
        <w:pStyle w:val="4"/>
        <w:tabs>
          <w:tab w:val="left" w:pos="0"/>
        </w:tabs>
        <w:bidi w:val="0"/>
        <w:ind w:left="0" w:leftChars="0" w:firstLine="0" w:firstLineChars="0"/>
      </w:pPr>
      <w:bookmarkStart w:id="154" w:name="_Toc23683"/>
      <w:bookmarkStart w:id="155" w:name="_Toc66805128"/>
      <w:bookmarkStart w:id="156" w:name="_Toc6419"/>
      <w:bookmarkStart w:id="157" w:name="_Toc101443770"/>
      <w:bookmarkStart w:id="158" w:name="_Toc85112007"/>
      <w:r>
        <w:rPr>
          <w:rFonts w:hint="eastAsia"/>
        </w:rPr>
        <w:t>施工安全技术控制措施</w:t>
      </w:r>
      <w:bookmarkEnd w:id="154"/>
      <w:bookmarkEnd w:id="155"/>
      <w:bookmarkEnd w:id="156"/>
      <w:bookmarkEnd w:id="157"/>
      <w:bookmarkEnd w:id="158"/>
    </w:p>
    <w:p w14:paraId="6E6A5DD1">
      <w:pPr>
        <w:pStyle w:val="5"/>
        <w:tabs>
          <w:tab w:val="left" w:pos="0"/>
        </w:tabs>
        <w:bidi w:val="0"/>
        <w:ind w:left="0" w:leftChars="0" w:firstLine="0" w:firstLineChars="0"/>
      </w:pPr>
      <w:r>
        <w:rPr>
          <w:rFonts w:hint="eastAsia"/>
        </w:rPr>
        <w:t>底盘及标准节的</w:t>
      </w:r>
      <w:r>
        <w:rPr>
          <w:rFonts w:hint="eastAsia"/>
          <w:lang w:val="en-US" w:eastAsia="zh-CN"/>
        </w:rPr>
        <w:t>安装</w:t>
      </w:r>
      <w:r>
        <w:rPr>
          <w:rFonts w:hint="eastAsia"/>
        </w:rPr>
        <w:t>安全措施</w:t>
      </w:r>
    </w:p>
    <w:p w14:paraId="1128D5BC">
      <w:pPr>
        <w:ind w:firstLine="480"/>
      </w:pPr>
      <w:r>
        <w:rPr>
          <w:rFonts w:hint="eastAsia"/>
        </w:rPr>
        <w:t>（1）通过塞垫薄钢板确保底盘倾斜角度与设计一致，要确保导轨架中轴线与底架轴线垂直，随后</w:t>
      </w:r>
      <w:r>
        <w:rPr>
          <w:rFonts w:hint="eastAsia"/>
          <w:lang w:eastAsia="zh-CN"/>
        </w:rPr>
        <w:t>作业人员</w:t>
      </w:r>
      <w:r>
        <w:rPr>
          <w:rFonts w:hint="eastAsia"/>
        </w:rPr>
        <w:t>将底盘与型钢基础焊接牢靠。</w:t>
      </w:r>
    </w:p>
    <w:p w14:paraId="4171009B">
      <w:pPr>
        <w:ind w:firstLine="480"/>
      </w:pPr>
      <w:r>
        <w:rPr>
          <w:rFonts w:hint="eastAsia"/>
        </w:rPr>
        <w:t>（2）标准节吊装时，专业安装人员要采用牵引绳牵引标准节进行对中就位。</w:t>
      </w:r>
    </w:p>
    <w:p w14:paraId="216AD681">
      <w:pPr>
        <w:pStyle w:val="5"/>
        <w:tabs>
          <w:tab w:val="left" w:pos="0"/>
        </w:tabs>
        <w:bidi w:val="0"/>
        <w:ind w:left="0" w:leftChars="0" w:firstLine="0" w:firstLineChars="0"/>
      </w:pPr>
      <w:r>
        <w:rPr>
          <w:rFonts w:hint="eastAsia"/>
        </w:rPr>
        <w:t>外笼（围栏门支撑和电源柜等）及缓冲弹簧</w:t>
      </w:r>
      <w:r>
        <w:rPr>
          <w:rFonts w:hint="eastAsia"/>
          <w:lang w:eastAsia="zh-CN"/>
        </w:rPr>
        <w:t>安装</w:t>
      </w:r>
      <w:r>
        <w:rPr>
          <w:rFonts w:hint="eastAsia"/>
        </w:rPr>
        <w:t>安全措施</w:t>
      </w:r>
    </w:p>
    <w:p w14:paraId="7970588A">
      <w:pPr>
        <w:ind w:firstLine="480"/>
      </w:pPr>
      <w:r>
        <w:rPr>
          <w:rFonts w:hint="eastAsia"/>
        </w:rPr>
        <w:t>（1）吊装四周围栏时，要按照顺序逐块吊装，每吊装一块要及时做好支撑，防止四周围栏在未连成整体前发生倾覆。</w:t>
      </w:r>
    </w:p>
    <w:p w14:paraId="16476875">
      <w:pPr>
        <w:ind w:firstLine="480"/>
      </w:pPr>
      <w:r>
        <w:rPr>
          <w:rFonts w:hint="eastAsia"/>
        </w:rPr>
        <w:t>（2）吊装围栏时，围栏顶部两端焊接的吊耳要确保焊接可靠，卸扣与之连接后，要进行检查，连接稳固后方可进行吊装。</w:t>
      </w:r>
    </w:p>
    <w:p w14:paraId="29A4E617">
      <w:pPr>
        <w:pStyle w:val="5"/>
        <w:tabs>
          <w:tab w:val="left" w:pos="0"/>
        </w:tabs>
        <w:bidi w:val="0"/>
        <w:ind w:left="0" w:leftChars="0" w:firstLine="0" w:firstLineChars="0"/>
      </w:pPr>
      <w:r>
        <w:rPr>
          <w:rFonts w:hint="eastAsia"/>
        </w:rPr>
        <w:t>吊笼及其顶部围栏和传动机构</w:t>
      </w:r>
      <w:r>
        <w:rPr>
          <w:rFonts w:hint="eastAsia"/>
          <w:lang w:eastAsia="zh-CN"/>
        </w:rPr>
        <w:t>安装</w:t>
      </w:r>
      <w:r>
        <w:rPr>
          <w:rFonts w:hint="eastAsia"/>
        </w:rPr>
        <w:t>安全措施</w:t>
      </w:r>
    </w:p>
    <w:p w14:paraId="39D19E32">
      <w:pPr>
        <w:ind w:firstLine="480"/>
      </w:pPr>
      <w:r>
        <w:rPr>
          <w:rFonts w:hint="eastAsia"/>
        </w:rPr>
        <w:t>（1）吊笼吊装下放或拆除时，</w:t>
      </w:r>
      <w:r>
        <w:rPr>
          <w:rFonts w:hint="eastAsia"/>
          <w:lang w:eastAsia="zh-CN"/>
        </w:rPr>
        <w:t>塔机</w:t>
      </w:r>
      <w:r>
        <w:rPr>
          <w:rFonts w:hint="eastAsia"/>
        </w:rPr>
        <w:t>操作人员要听从指令缓慢操作，防止突然下放或上提撞击</w:t>
      </w:r>
      <w:r>
        <w:rPr>
          <w:rFonts w:hint="eastAsia"/>
          <w:lang w:eastAsia="zh-CN"/>
        </w:rPr>
        <w:t>作业人员</w:t>
      </w:r>
      <w:r>
        <w:rPr>
          <w:rFonts w:hint="eastAsia"/>
        </w:rPr>
        <w:t>。</w:t>
      </w:r>
    </w:p>
    <w:p w14:paraId="73521A12">
      <w:pPr>
        <w:ind w:firstLine="480"/>
      </w:pPr>
      <w:r>
        <w:rPr>
          <w:rFonts w:hint="eastAsia"/>
        </w:rPr>
        <w:t>（2）待吊笼下放就位后，</w:t>
      </w:r>
      <w:r>
        <w:rPr>
          <w:rFonts w:hint="eastAsia"/>
          <w:lang w:eastAsia="zh-CN"/>
        </w:rPr>
        <w:t>作业人员</w:t>
      </w:r>
      <w:r>
        <w:rPr>
          <w:rFonts w:hint="eastAsia"/>
        </w:rPr>
        <w:t>方可解除钢丝绳两端的连接。</w:t>
      </w:r>
    </w:p>
    <w:p w14:paraId="24AD5978">
      <w:pPr>
        <w:ind w:firstLine="480"/>
      </w:pPr>
      <w:r>
        <w:rPr>
          <w:rFonts w:hint="eastAsia"/>
        </w:rPr>
        <w:t>（3）传动机构</w:t>
      </w:r>
      <w:r>
        <w:rPr>
          <w:rFonts w:hint="eastAsia"/>
          <w:lang w:eastAsia="zh-CN"/>
        </w:rPr>
        <w:t>安装</w:t>
      </w:r>
      <w:r>
        <w:rPr>
          <w:rFonts w:hint="eastAsia"/>
        </w:rPr>
        <w:t>时，必须检查各连接孔之间有无堵塞，电源系统是否断开。</w:t>
      </w:r>
    </w:p>
    <w:p w14:paraId="10351F02">
      <w:pPr>
        <w:ind w:firstLine="480"/>
      </w:pPr>
      <w:r>
        <w:rPr>
          <w:rFonts w:hint="eastAsia"/>
        </w:rPr>
        <w:t>（4）吊笼顶部的围栏安装时，要拧紧连接螺栓，</w:t>
      </w:r>
      <w:r>
        <w:rPr>
          <w:rFonts w:hint="eastAsia"/>
          <w:lang w:eastAsia="zh-CN"/>
        </w:rPr>
        <w:t>安装</w:t>
      </w:r>
      <w:r>
        <w:rPr>
          <w:rFonts w:hint="eastAsia"/>
        </w:rPr>
        <w:t>作业时，施工人员要将安全带系挂在导轨架上的安全可靠处。</w:t>
      </w:r>
    </w:p>
    <w:p w14:paraId="6968B7D6">
      <w:pPr>
        <w:pStyle w:val="5"/>
        <w:tabs>
          <w:tab w:val="left" w:pos="0"/>
        </w:tabs>
        <w:bidi w:val="0"/>
        <w:ind w:left="0" w:leftChars="0" w:firstLine="0" w:firstLineChars="0"/>
      </w:pPr>
      <w:r>
        <w:rPr>
          <w:rFonts w:hint="eastAsia"/>
        </w:rPr>
        <w:t>吊杆</w:t>
      </w:r>
      <w:r>
        <w:rPr>
          <w:rFonts w:hint="eastAsia"/>
          <w:lang w:eastAsia="zh-CN"/>
        </w:rPr>
        <w:t>安装</w:t>
      </w:r>
      <w:r>
        <w:rPr>
          <w:rFonts w:hint="eastAsia"/>
        </w:rPr>
        <w:t>安全措施</w:t>
      </w:r>
    </w:p>
    <w:p w14:paraId="1AF5C58D">
      <w:pPr>
        <w:ind w:firstLine="480"/>
      </w:pPr>
      <w:r>
        <w:rPr>
          <w:rFonts w:hint="eastAsia"/>
        </w:rPr>
        <w:t>（1）吊杆安装前要对其质量和外形尺寸进行检查，安装完成后要确保吊杆对接没有偏位并连接牢靠。</w:t>
      </w:r>
    </w:p>
    <w:p w14:paraId="4D1334C4">
      <w:pPr>
        <w:pStyle w:val="5"/>
        <w:tabs>
          <w:tab w:val="left" w:pos="0"/>
        </w:tabs>
        <w:bidi w:val="0"/>
        <w:ind w:left="0" w:leftChars="0" w:firstLine="0" w:firstLineChars="0"/>
      </w:pPr>
      <w:r>
        <w:rPr>
          <w:rFonts w:hint="eastAsia"/>
        </w:rPr>
        <w:t>安全电控系统</w:t>
      </w:r>
      <w:r>
        <w:rPr>
          <w:rFonts w:hint="eastAsia"/>
          <w:lang w:eastAsia="zh-CN"/>
        </w:rPr>
        <w:t>安装</w:t>
      </w:r>
      <w:r>
        <w:rPr>
          <w:rFonts w:hint="eastAsia"/>
        </w:rPr>
        <w:t>安全措施</w:t>
      </w:r>
    </w:p>
    <w:p w14:paraId="73D99B3A">
      <w:pPr>
        <w:ind w:firstLine="480"/>
      </w:pPr>
      <w:r>
        <w:rPr>
          <w:rFonts w:hint="eastAsia"/>
        </w:rPr>
        <w:t>（1）检查各类安全控制开关的质量是否合格。</w:t>
      </w:r>
    </w:p>
    <w:p w14:paraId="2BB2D0FA">
      <w:pPr>
        <w:ind w:firstLine="480"/>
      </w:pPr>
      <w:r>
        <w:rPr>
          <w:rFonts w:hint="eastAsia"/>
        </w:rPr>
        <w:t>（2）安装完成后，检查安全控制开关或者控制系统是否有漏安或者缺失。</w:t>
      </w:r>
    </w:p>
    <w:p w14:paraId="19D14A1F">
      <w:pPr>
        <w:ind w:firstLine="480"/>
      </w:pPr>
      <w:r>
        <w:rPr>
          <w:rFonts w:hint="eastAsia"/>
        </w:rPr>
        <w:t>（3）派专人检查施工升降机是否安装超载保护装置，且检查施工升降机防坠安全器是否在有效标定期内。</w:t>
      </w:r>
    </w:p>
    <w:p w14:paraId="3E256FF1">
      <w:pPr>
        <w:ind w:firstLine="480"/>
      </w:pPr>
      <w:r>
        <w:rPr>
          <w:rFonts w:hint="eastAsia"/>
        </w:rPr>
        <w:t>（4）各类安全控制开关或系统在安装或者拆除时，要必须确保其处于断电状态，方可进行相关操作。</w:t>
      </w:r>
    </w:p>
    <w:p w14:paraId="6FFA2566">
      <w:pPr>
        <w:pStyle w:val="5"/>
        <w:tabs>
          <w:tab w:val="left" w:pos="0"/>
        </w:tabs>
        <w:bidi w:val="0"/>
        <w:ind w:left="0" w:leftChars="0" w:firstLine="0" w:firstLineChars="0"/>
      </w:pPr>
      <w:r>
        <w:rPr>
          <w:rFonts w:hint="eastAsia"/>
        </w:rPr>
        <w:t>导轨架</w:t>
      </w:r>
      <w:r>
        <w:rPr>
          <w:rFonts w:hint="eastAsia"/>
          <w:lang w:eastAsia="zh-CN"/>
        </w:rPr>
        <w:t>安装</w:t>
      </w:r>
      <w:r>
        <w:rPr>
          <w:rFonts w:hint="eastAsia"/>
        </w:rPr>
        <w:t>安全措施</w:t>
      </w:r>
    </w:p>
    <w:p w14:paraId="323315CA">
      <w:pPr>
        <w:ind w:firstLine="480"/>
      </w:pPr>
      <w:r>
        <w:rPr>
          <w:rFonts w:hint="eastAsia"/>
        </w:rPr>
        <w:t>（1）导轨架进场后由专人进行质量验收并签字确认合格，按规格分类存放、标识，避免混用。</w:t>
      </w:r>
    </w:p>
    <w:p w14:paraId="3062D9D6">
      <w:pPr>
        <w:ind w:firstLine="480"/>
      </w:pPr>
      <w:r>
        <w:rPr>
          <w:rFonts w:hint="eastAsia"/>
        </w:rPr>
        <w:t>（2）导轨架接长后，要检查其连接螺栓是否安装并拧紧到位。</w:t>
      </w:r>
    </w:p>
    <w:p w14:paraId="4EFE05CF">
      <w:pPr>
        <w:ind w:firstLine="480"/>
      </w:pPr>
      <w:r>
        <w:rPr>
          <w:rFonts w:hint="eastAsia"/>
        </w:rPr>
        <w:t>（3）导轨架接长或后期拆除施工时，要确保最大自由高度不超过7.5m。</w:t>
      </w:r>
    </w:p>
    <w:p w14:paraId="54A6B550">
      <w:pPr>
        <w:ind w:firstLine="480"/>
      </w:pPr>
      <w:r>
        <w:rPr>
          <w:rFonts w:hint="eastAsia"/>
        </w:rPr>
        <w:t>（4）导轨架安装时，要派专人对其倾斜度偏差进行校核。</w:t>
      </w:r>
    </w:p>
    <w:p w14:paraId="3E3E0535">
      <w:pPr>
        <w:ind w:firstLine="480"/>
      </w:pPr>
      <w:r>
        <w:rPr>
          <w:rFonts w:hint="eastAsia"/>
        </w:rPr>
        <w:t>（5）导轨架接长施工时，要及时安装附墙件，并检查附墙件的平面位置以及高程偏差是否满足设计要求。</w:t>
      </w:r>
    </w:p>
    <w:p w14:paraId="58E7CA65">
      <w:pPr>
        <w:pStyle w:val="5"/>
        <w:tabs>
          <w:tab w:val="left" w:pos="0"/>
        </w:tabs>
        <w:bidi w:val="0"/>
        <w:ind w:left="0" w:leftChars="0" w:firstLine="0" w:firstLineChars="0"/>
      </w:pPr>
      <w:r>
        <w:rPr>
          <w:rFonts w:hint="eastAsia"/>
        </w:rPr>
        <w:t>附墙安装安全措施</w:t>
      </w:r>
    </w:p>
    <w:p w14:paraId="3964DE2B">
      <w:pPr>
        <w:ind w:firstLine="480"/>
      </w:pPr>
      <w:r>
        <w:rPr>
          <w:rFonts w:hint="eastAsia"/>
        </w:rPr>
        <w:t>（1）附墙所用的材料进场后由专人进行质量验收并签字确认合格，按规格分类存放、标识，避免混用。</w:t>
      </w:r>
    </w:p>
    <w:p w14:paraId="1CF81822">
      <w:pPr>
        <w:ind w:firstLine="480"/>
      </w:pPr>
      <w:r>
        <w:rPr>
          <w:rFonts w:hint="eastAsia"/>
        </w:rPr>
        <w:t>（2）</w:t>
      </w:r>
      <w:r>
        <w:rPr>
          <w:rFonts w:hint="eastAsia"/>
          <w:lang w:val="en-US" w:eastAsia="zh-CN"/>
        </w:rPr>
        <w:t>墩柱</w:t>
      </w:r>
      <w:r>
        <w:rPr>
          <w:rFonts w:hint="eastAsia"/>
        </w:rPr>
        <w:t>节段混凝土浇筑过程中，确保附墙预埋件位置及标高设置准确，满足附墙安装精度要求。</w:t>
      </w:r>
    </w:p>
    <w:p w14:paraId="61EC7CD6">
      <w:pPr>
        <w:ind w:firstLine="480"/>
      </w:pPr>
      <w:r>
        <w:rPr>
          <w:rFonts w:hint="eastAsia"/>
        </w:rPr>
        <w:t>（3）附墙应进行专项设计，使其的强度、刚度、稳定性满足要求。</w:t>
      </w:r>
    </w:p>
    <w:p w14:paraId="119B48D1">
      <w:pPr>
        <w:ind w:firstLine="480"/>
      </w:pPr>
      <w:r>
        <w:rPr>
          <w:rFonts w:hint="eastAsia"/>
        </w:rPr>
        <w:t>（4）附墙安装时，指定专人测量复核其安装标高、水平度以及平面位置。</w:t>
      </w:r>
    </w:p>
    <w:p w14:paraId="24D3E5D6">
      <w:pPr>
        <w:ind w:firstLine="480"/>
      </w:pPr>
      <w:r>
        <w:rPr>
          <w:rFonts w:hint="eastAsia"/>
        </w:rPr>
        <w:t>（5）附墙安装完成后，及时安装连接螺栓以及开口销，并指定专人进行检查复核验收。</w:t>
      </w:r>
    </w:p>
    <w:p w14:paraId="1E952276">
      <w:pPr>
        <w:ind w:firstLine="480"/>
      </w:pPr>
      <w:r>
        <w:rPr>
          <w:rFonts w:hint="eastAsia"/>
        </w:rPr>
        <w:t>（6）附墙安装前，必须在</w:t>
      </w:r>
      <w:r>
        <w:rPr>
          <w:rFonts w:hint="eastAsia"/>
          <w:lang w:eastAsia="zh-CN"/>
        </w:rPr>
        <w:t>墩柱</w:t>
      </w:r>
      <w:r>
        <w:rPr>
          <w:rFonts w:hint="eastAsia"/>
        </w:rPr>
        <w:t>外侧设置施工操作平台，施工操作平台应进行专项设计，使其的强度、刚度、稳定性满足要求，且需验收合格后方可投入使用。</w:t>
      </w:r>
    </w:p>
    <w:p w14:paraId="229D6392">
      <w:pPr>
        <w:ind w:firstLine="480"/>
      </w:pPr>
      <w:r>
        <w:rPr>
          <w:rFonts w:hint="eastAsia"/>
        </w:rPr>
        <w:t>（7）附墙</w:t>
      </w:r>
      <w:r>
        <w:rPr>
          <w:rFonts w:hint="eastAsia"/>
          <w:lang w:eastAsia="zh-CN"/>
        </w:rPr>
        <w:t>安装</w:t>
      </w:r>
      <w:r>
        <w:rPr>
          <w:rFonts w:hint="eastAsia"/>
        </w:rPr>
        <w:t>施工作业时，作业人员需站在</w:t>
      </w:r>
      <w:r>
        <w:rPr>
          <w:rFonts w:hint="eastAsia"/>
          <w:lang w:eastAsia="zh-CN"/>
        </w:rPr>
        <w:t>墩柱</w:t>
      </w:r>
      <w:r>
        <w:rPr>
          <w:rFonts w:hint="eastAsia"/>
        </w:rPr>
        <w:t>外侧的施工操作平台上进行作业，同时需佩戴好安全带并将安全带挂在操作平台上安全稳固处。</w:t>
      </w:r>
    </w:p>
    <w:p w14:paraId="377DDFA6">
      <w:pPr>
        <w:pStyle w:val="5"/>
        <w:tabs>
          <w:tab w:val="left" w:pos="0"/>
        </w:tabs>
        <w:bidi w:val="0"/>
        <w:ind w:left="0" w:leftChars="0" w:firstLine="0" w:firstLineChars="0"/>
      </w:pPr>
      <w:r>
        <w:rPr>
          <w:rFonts w:hint="eastAsia"/>
        </w:rPr>
        <w:t>试验安全技术措施</w:t>
      </w:r>
    </w:p>
    <w:p w14:paraId="73A20DFB">
      <w:pPr>
        <w:numPr>
          <w:ilvl w:val="0"/>
          <w:numId w:val="42"/>
        </w:numPr>
        <w:ind w:firstLineChars="0"/>
      </w:pPr>
      <w:r>
        <w:rPr>
          <w:rFonts w:hint="eastAsia"/>
        </w:rPr>
        <w:t>试运行要求风速在规定的范围内，6级以上大风禁止起重吊装；</w:t>
      </w:r>
    </w:p>
    <w:p w14:paraId="644A11CB">
      <w:pPr>
        <w:numPr>
          <w:ilvl w:val="0"/>
          <w:numId w:val="42"/>
        </w:numPr>
        <w:ind w:firstLineChars="0"/>
      </w:pPr>
      <w:r>
        <w:rPr>
          <w:rFonts w:hint="eastAsia"/>
        </w:rPr>
        <w:t>设备试运行前，对电气设备的连接做全面检查，检查合格后方可进行试运行；</w:t>
      </w:r>
    </w:p>
    <w:p w14:paraId="6D9B4880">
      <w:pPr>
        <w:numPr>
          <w:ilvl w:val="0"/>
          <w:numId w:val="42"/>
        </w:numPr>
        <w:ind w:firstLineChars="0"/>
      </w:pPr>
      <w:r>
        <w:rPr>
          <w:rFonts w:hint="eastAsia"/>
        </w:rPr>
        <w:t>设备试运行前，进行一般技术检查如检查调试好各部位限位器等；</w:t>
      </w:r>
    </w:p>
    <w:p w14:paraId="53EE7110">
      <w:pPr>
        <w:numPr>
          <w:ilvl w:val="0"/>
          <w:numId w:val="42"/>
        </w:numPr>
        <w:ind w:firstLineChars="0"/>
      </w:pPr>
      <w:r>
        <w:rPr>
          <w:rFonts w:hint="eastAsia"/>
        </w:rPr>
        <w:t>试运行期间形成试运行验收记录。</w:t>
      </w:r>
    </w:p>
    <w:p w14:paraId="40F8A9D0">
      <w:pPr>
        <w:pStyle w:val="5"/>
        <w:tabs>
          <w:tab w:val="left" w:pos="0"/>
        </w:tabs>
        <w:bidi w:val="0"/>
        <w:ind w:left="0" w:leftChars="0" w:firstLine="0" w:firstLineChars="0"/>
      </w:pPr>
      <w:r>
        <w:rPr>
          <w:rFonts w:hint="eastAsia"/>
        </w:rPr>
        <w:t>起重作业安全技术措施</w:t>
      </w:r>
    </w:p>
    <w:p w14:paraId="1A9C718A">
      <w:pPr>
        <w:numPr>
          <w:ilvl w:val="0"/>
          <w:numId w:val="43"/>
        </w:numPr>
        <w:ind w:firstLineChars="0"/>
      </w:pPr>
      <w:r>
        <w:rPr>
          <w:rFonts w:hint="eastAsia"/>
        </w:rPr>
        <w:t>作业人员的安全规章制度的学习，提高安全防范意识；</w:t>
      </w:r>
    </w:p>
    <w:p w14:paraId="59645181">
      <w:pPr>
        <w:numPr>
          <w:ilvl w:val="0"/>
          <w:numId w:val="43"/>
        </w:numPr>
        <w:ind w:firstLineChars="0"/>
      </w:pPr>
      <w:r>
        <w:rPr>
          <w:rFonts w:hint="eastAsia"/>
        </w:rPr>
        <w:t>严禁酒后作业，严格遵守项目部相关规定安全施工；</w:t>
      </w:r>
    </w:p>
    <w:p w14:paraId="20F30DC9">
      <w:pPr>
        <w:numPr>
          <w:ilvl w:val="0"/>
          <w:numId w:val="43"/>
        </w:numPr>
        <w:ind w:firstLineChars="0"/>
      </w:pPr>
      <w:r>
        <w:rPr>
          <w:rFonts w:hint="eastAsia"/>
        </w:rPr>
        <w:t>吊装作业人员统一配戴我项目部的安全帽，进入施工现场遵守我公司的规定；</w:t>
      </w:r>
    </w:p>
    <w:p w14:paraId="789D3FE5">
      <w:pPr>
        <w:numPr>
          <w:ilvl w:val="0"/>
          <w:numId w:val="43"/>
        </w:numPr>
        <w:ind w:firstLineChars="0"/>
      </w:pPr>
      <w:r>
        <w:rPr>
          <w:rFonts w:hint="eastAsia"/>
        </w:rPr>
        <w:t>作业时必须执行安全技术交底，听从统一指挥；</w:t>
      </w:r>
    </w:p>
    <w:p w14:paraId="4BAED879">
      <w:pPr>
        <w:numPr>
          <w:ilvl w:val="0"/>
          <w:numId w:val="43"/>
        </w:numPr>
        <w:ind w:firstLineChars="0"/>
      </w:pPr>
      <w:r>
        <w:rPr>
          <w:rFonts w:hint="eastAsia"/>
        </w:rPr>
        <w:t>起重工、信号工必须经专门安全技术培训，持证上岗；</w:t>
      </w:r>
    </w:p>
    <w:p w14:paraId="2BD5D05F">
      <w:pPr>
        <w:numPr>
          <w:ilvl w:val="0"/>
          <w:numId w:val="43"/>
        </w:numPr>
        <w:ind w:firstLineChars="0"/>
      </w:pPr>
      <w:r>
        <w:rPr>
          <w:rFonts w:hint="eastAsia"/>
        </w:rPr>
        <w:t>信号工要穿有明显标识的衣服，两眼视力不得低于1.0，无色盲、听力障碍、高血压、心脏病等生理缺陷；</w:t>
      </w:r>
    </w:p>
    <w:p w14:paraId="5A8E6973">
      <w:pPr>
        <w:numPr>
          <w:ilvl w:val="0"/>
          <w:numId w:val="43"/>
        </w:numPr>
        <w:ind w:firstLineChars="0"/>
      </w:pPr>
      <w:r>
        <w:rPr>
          <w:rFonts w:hint="eastAsia"/>
        </w:rPr>
        <w:t>信号工高空指挥时，需戴安全带，脚穿防滑鞋；</w:t>
      </w:r>
    </w:p>
    <w:p w14:paraId="61AA0164">
      <w:pPr>
        <w:numPr>
          <w:ilvl w:val="0"/>
          <w:numId w:val="43"/>
        </w:numPr>
        <w:ind w:firstLineChars="0"/>
      </w:pPr>
      <w:r>
        <w:rPr>
          <w:rFonts w:hint="eastAsia"/>
        </w:rPr>
        <w:t>吊车尾部为司机盲区，工作人员注意吊车尾部的旋转动态；</w:t>
      </w:r>
    </w:p>
    <w:p w14:paraId="1AD6E982">
      <w:pPr>
        <w:numPr>
          <w:ilvl w:val="0"/>
          <w:numId w:val="43"/>
        </w:numPr>
        <w:ind w:firstLineChars="0"/>
      </w:pPr>
      <w:r>
        <w:rPr>
          <w:rFonts w:hint="eastAsia"/>
        </w:rPr>
        <w:t>起重大件时，严禁任何人员乘坐大件；</w:t>
      </w:r>
    </w:p>
    <w:p w14:paraId="51B1BC72">
      <w:pPr>
        <w:numPr>
          <w:ilvl w:val="0"/>
          <w:numId w:val="43"/>
        </w:numPr>
        <w:ind w:firstLineChars="0"/>
      </w:pPr>
      <w:r>
        <w:rPr>
          <w:rFonts w:hint="eastAsia"/>
        </w:rPr>
        <w:t>司机作业时，严禁收听任何有声电器及电话（除指挥使用对讲机除外），严禁和其他人员交谈；</w:t>
      </w:r>
    </w:p>
    <w:p w14:paraId="0036FFDC">
      <w:pPr>
        <w:numPr>
          <w:ilvl w:val="0"/>
          <w:numId w:val="43"/>
        </w:numPr>
        <w:ind w:firstLineChars="0"/>
      </w:pPr>
      <w:r>
        <w:rPr>
          <w:rFonts w:hint="eastAsia"/>
        </w:rPr>
        <w:t>司机和信号工必须使用对讲机进行指令的接受和发出，确保对讲机的音质清晰，调频无干扰；</w:t>
      </w:r>
    </w:p>
    <w:p w14:paraId="13BF41D8">
      <w:pPr>
        <w:numPr>
          <w:ilvl w:val="0"/>
          <w:numId w:val="43"/>
        </w:numPr>
        <w:ind w:firstLineChars="0"/>
      </w:pPr>
      <w:r>
        <w:rPr>
          <w:rFonts w:hint="eastAsia"/>
        </w:rPr>
        <w:t>作业前必须检查作业环境、吊索具、防护用品。吊装区域无闲散人员，障碍已排除。吊具无缺陷，捆绑正确牢固。在信号不明和作业现场光线阴暗时，严禁进行起吊作业；</w:t>
      </w:r>
    </w:p>
    <w:p w14:paraId="2FF8BC34">
      <w:pPr>
        <w:numPr>
          <w:ilvl w:val="0"/>
          <w:numId w:val="43"/>
        </w:numPr>
        <w:ind w:firstLineChars="0"/>
      </w:pPr>
      <w:r>
        <w:rPr>
          <w:rFonts w:hint="eastAsia"/>
        </w:rPr>
        <w:t>起重作业时，必须正确选择吊点的位置，合理穿挂索具，试吊；</w:t>
      </w:r>
    </w:p>
    <w:p w14:paraId="7AAD9C93">
      <w:pPr>
        <w:numPr>
          <w:ilvl w:val="0"/>
          <w:numId w:val="43"/>
        </w:numPr>
        <w:ind w:firstLineChars="0"/>
      </w:pPr>
      <w:r>
        <w:rPr>
          <w:rFonts w:hint="eastAsia"/>
        </w:rPr>
        <w:t>试吊：吊绳套挂牢固，起重机缓缓起升，将吊绳绷直稍停，试吊高度为100mm～200mm。试吊中，指挥信号工、挂钩工、司机必须协调配合。如发现吊物重心滑移或其他物件粘连等情况时，必须立即停止起吊，采取措施并确认安全后方可起吊；</w:t>
      </w:r>
    </w:p>
    <w:p w14:paraId="69F108FB">
      <w:pPr>
        <w:numPr>
          <w:ilvl w:val="0"/>
          <w:numId w:val="43"/>
        </w:numPr>
        <w:ind w:firstLineChars="0"/>
      </w:pPr>
      <w:r>
        <w:rPr>
          <w:rFonts w:hint="eastAsia"/>
        </w:rPr>
        <w:t>大雨、风力在6级以上等恶劣天气，必须停止露天起重吊装作业。严禁在带电的高压线或一侧作业；</w:t>
      </w:r>
    </w:p>
    <w:p w14:paraId="4378168E">
      <w:pPr>
        <w:numPr>
          <w:ilvl w:val="0"/>
          <w:numId w:val="43"/>
        </w:numPr>
        <w:ind w:firstLineChars="0"/>
      </w:pPr>
      <w:r>
        <w:rPr>
          <w:rFonts w:hint="eastAsia"/>
        </w:rPr>
        <w:t>严格执行“十不吊”的原则。即：超负荷不吊；无专人指挥或指挥信号不明，重量不明，光线暗淡不吊；安全装置，机械设备有异常或有故障不吊；在重物上加工或埋入土中物件以及歪拉斜挂不吊；物件捆绑不牢不平或活动零件不固定，不清除不吊；吊物上站人或从人头上越过及垂臂下站人不吊；氧气瓶、乙炔发生器等易爆器械无安全措施不吊；棱角缺口未垫好不吊；</w:t>
      </w:r>
      <w:r>
        <w:t>6</w:t>
      </w:r>
      <w:r>
        <w:rPr>
          <w:rFonts w:hint="eastAsia"/>
        </w:rPr>
        <w:t>级以上大风和雷暴雨时不吊；在斜坡上或坑沿，堤岸不填实不吊；</w:t>
      </w:r>
    </w:p>
    <w:p w14:paraId="5476997D">
      <w:pPr>
        <w:numPr>
          <w:ilvl w:val="0"/>
          <w:numId w:val="43"/>
        </w:numPr>
        <w:ind w:firstLineChars="0"/>
      </w:pPr>
      <w:r>
        <w:rPr>
          <w:rFonts w:hint="eastAsia"/>
        </w:rPr>
        <w:t>使用起重作业时，必须正确选择吊点的位置，合理穿挂索具，试吊；</w:t>
      </w:r>
    </w:p>
    <w:p w14:paraId="78D72319">
      <w:pPr>
        <w:numPr>
          <w:ilvl w:val="0"/>
          <w:numId w:val="43"/>
        </w:numPr>
        <w:ind w:firstLineChars="0"/>
      </w:pPr>
      <w:r>
        <w:rPr>
          <w:rFonts w:hint="eastAsia"/>
        </w:rPr>
        <w:t>机械设备要摆放整齐，用倒链拴牢固。放在高处的货物要有防护措施。</w:t>
      </w:r>
    </w:p>
    <w:p w14:paraId="500424C2">
      <w:pPr>
        <w:numPr>
          <w:ilvl w:val="0"/>
          <w:numId w:val="43"/>
        </w:numPr>
        <w:ind w:right="261" w:firstLineChars="0"/>
        <w:rPr>
          <w:rFonts w:ascii="宋体" w:hAnsi="宋体"/>
        </w:rPr>
      </w:pPr>
      <w:r>
        <w:rPr>
          <w:rFonts w:hint="eastAsia" w:ascii="宋体" w:hAnsi="宋体"/>
        </w:rPr>
        <w:t>当需要在夜间进行</w:t>
      </w:r>
      <w:r>
        <w:rPr>
          <w:rFonts w:hint="eastAsia" w:ascii="宋体" w:hAnsi="宋体"/>
          <w:lang w:eastAsia="zh-CN"/>
        </w:rPr>
        <w:t>安装</w:t>
      </w:r>
      <w:r>
        <w:rPr>
          <w:rFonts w:hint="eastAsia" w:ascii="宋体" w:hAnsi="宋体"/>
        </w:rPr>
        <w:t>作业时，应保证提供足够的照明；当遇特殊情况安装作业不能连续进行时，应将已安装的部位固定牢靠并达到安全状态；安装完成后应组织人员验收与试吊；安装单位自检合格后，应上报有关部门检测合格；</w:t>
      </w:r>
    </w:p>
    <w:p w14:paraId="751F09E2">
      <w:pPr>
        <w:pStyle w:val="5"/>
        <w:tabs>
          <w:tab w:val="left" w:pos="0"/>
        </w:tabs>
        <w:bidi w:val="0"/>
        <w:ind w:left="0" w:leftChars="0" w:firstLine="0" w:firstLineChars="0"/>
      </w:pPr>
      <w:r>
        <w:rPr>
          <w:rFonts w:hint="eastAsia"/>
        </w:rPr>
        <w:t>高处作业安全技术措施</w:t>
      </w:r>
    </w:p>
    <w:p w14:paraId="4E75B3C9">
      <w:pPr>
        <w:numPr>
          <w:ilvl w:val="0"/>
          <w:numId w:val="44"/>
        </w:numPr>
      </w:pPr>
      <w:r>
        <w:rPr>
          <w:rFonts w:hint="eastAsia"/>
        </w:rPr>
        <w:t>高空作业人员必须正确佩带安全帽，必须系好安全带，并挂在牢固处（高挂低用）；</w:t>
      </w:r>
    </w:p>
    <w:p w14:paraId="3D58ADB8">
      <w:pPr>
        <w:numPr>
          <w:ilvl w:val="0"/>
          <w:numId w:val="44"/>
        </w:numPr>
      </w:pPr>
      <w:r>
        <w:rPr>
          <w:rFonts w:hint="eastAsia"/>
        </w:rPr>
        <w:t>高处作业使用的吊架、平台、脚手板、梯子、护栏、索具（钢丝绳、麻绳、化学纤维绳）等料具和安全带、安全网等安全防护用品的质量都必须符合国家规范的要求；</w:t>
      </w:r>
    </w:p>
    <w:p w14:paraId="456BEE82">
      <w:pPr>
        <w:numPr>
          <w:ilvl w:val="0"/>
          <w:numId w:val="44"/>
        </w:numPr>
      </w:pPr>
      <w:r>
        <w:rPr>
          <w:rFonts w:hint="eastAsia"/>
        </w:rPr>
        <w:t>高处施工作业前，应进行针对性的书面安全交底，要被交底人的签字，同时必须落实所有的安全技术措施和个人防护用品，未经落实时不得进行施工作业；</w:t>
      </w:r>
    </w:p>
    <w:p w14:paraId="3B6E7995">
      <w:pPr>
        <w:numPr>
          <w:ilvl w:val="0"/>
          <w:numId w:val="44"/>
        </w:numPr>
      </w:pPr>
      <w:r>
        <w:rPr>
          <w:rFonts w:hint="eastAsia"/>
        </w:rPr>
        <w:t>从事高处作业的人员，必须定期体检。凡患有高血压、心脏病、贫血、癫痫症、严重近视及患有其他不适应高处作业病症的人员，均不得登高作业；</w:t>
      </w:r>
    </w:p>
    <w:p w14:paraId="655CFC1F">
      <w:pPr>
        <w:numPr>
          <w:ilvl w:val="0"/>
          <w:numId w:val="44"/>
        </w:numPr>
      </w:pPr>
      <w:r>
        <w:rPr>
          <w:rFonts w:hint="eastAsia"/>
        </w:rPr>
        <w:t>攀登和悬空高处作业人员以及搭设高处作业安全设施的人员，必须经过专业技术培训及专业考试合格，持证上岗；</w:t>
      </w:r>
    </w:p>
    <w:p w14:paraId="1FBEA87F">
      <w:pPr>
        <w:numPr>
          <w:ilvl w:val="0"/>
          <w:numId w:val="44"/>
        </w:numPr>
      </w:pPr>
      <w:r>
        <w:rPr>
          <w:rFonts w:hint="eastAsia"/>
        </w:rPr>
        <w:t>施工中，对高处作业的安全技术设施，使用中发生损坏，必须及时解决，危及人身安全的，必须立即停止作业，排除险情或隐患后，方准作业；</w:t>
      </w:r>
    </w:p>
    <w:p w14:paraId="650F9279">
      <w:pPr>
        <w:numPr>
          <w:ilvl w:val="0"/>
          <w:numId w:val="44"/>
        </w:numPr>
      </w:pPr>
      <w:r>
        <w:rPr>
          <w:rFonts w:hint="eastAsia"/>
        </w:rPr>
        <w:t>施工作业场所有坠落可能的物体，应一律先行撤除或加以固定。高处作业中所用的物料，均应堆放平稳，不妨碍通行，并不得超重，在临时搭建的安装平台上载荷不得大于270kg/m³。工具用毕应随手放入工具袋内；作业中的走道，通道板和登高用具，应随时清扫干净；拆卸下的物件及余料和废料均应及时清理运走，不能任意乱扔或向下丢弃，传递物件禁止抛掷，小型工具、配件用工具包盛装或使用吊篮吊装；</w:t>
      </w:r>
    </w:p>
    <w:p w14:paraId="50647E32">
      <w:pPr>
        <w:numPr>
          <w:ilvl w:val="0"/>
          <w:numId w:val="44"/>
        </w:numPr>
      </w:pPr>
      <w:r>
        <w:rPr>
          <w:rFonts w:hint="eastAsia"/>
        </w:rPr>
        <w:t>高处作业无法搭设严密的防护设施的，必须使用安全带。安全带必须系挂在施工作业上方牢固的物体上，并高挂低用，禁止低挂高用；</w:t>
      </w:r>
    </w:p>
    <w:p w14:paraId="6B86095D">
      <w:pPr>
        <w:numPr>
          <w:ilvl w:val="0"/>
          <w:numId w:val="44"/>
        </w:numPr>
      </w:pPr>
      <w:r>
        <w:rPr>
          <w:rFonts w:hint="eastAsia"/>
        </w:rPr>
        <w:t>高处作业人员不准骑坐临时搭建的安装平台上的护栏、未安装牢固的管道、设备上和躺在平台、孔洞边缘上休息。在没有安全防护设施的条件下，严禁在木桁架、挑梁，砌体及构架上行走或作业；</w:t>
      </w:r>
    </w:p>
    <w:p w14:paraId="57E7FF50">
      <w:pPr>
        <w:numPr>
          <w:ilvl w:val="0"/>
          <w:numId w:val="44"/>
        </w:numPr>
      </w:pPr>
      <w:r>
        <w:rPr>
          <w:rFonts w:hint="eastAsia"/>
        </w:rPr>
        <w:t>雨、雪天进行高处作业时，必须采取可靠的防滑、防寒和防冻措施，凡水、雪、霜、冰均应及时清除干净。暴风雪及沙尘暴后，应及时对高处作业的安全防护设施逐一加以检查，发现有松动、变形、损坏或脱落等现象，应立即修复完善，</w:t>
      </w:r>
      <w:r>
        <w:t>6</w:t>
      </w:r>
      <w:r>
        <w:rPr>
          <w:rFonts w:hint="eastAsia"/>
        </w:rPr>
        <w:t>级大风立即停止露天高处作业；</w:t>
      </w:r>
    </w:p>
    <w:p w14:paraId="50051402">
      <w:pPr>
        <w:numPr>
          <w:ilvl w:val="0"/>
          <w:numId w:val="44"/>
        </w:numPr>
      </w:pPr>
      <w:r>
        <w:rPr>
          <w:rFonts w:hint="eastAsia"/>
        </w:rPr>
        <w:t>因作业需要，临时拆除或变动安全防护设施的，必须经施工负责人同意，并采取相应的可靠措施，作业后立即恢复；</w:t>
      </w:r>
    </w:p>
    <w:p w14:paraId="6304BB60">
      <w:pPr>
        <w:numPr>
          <w:ilvl w:val="0"/>
          <w:numId w:val="44"/>
        </w:numPr>
      </w:pPr>
      <w:r>
        <w:rPr>
          <w:rFonts w:hint="eastAsia"/>
        </w:rPr>
        <w:t>高处作业人员应沿着斜道、梯子上下，严禁沿着绳索、立杆、井架或栏杆等攀登；</w:t>
      </w:r>
    </w:p>
    <w:p w14:paraId="1CAD3DE2">
      <w:pPr>
        <w:numPr>
          <w:ilvl w:val="0"/>
          <w:numId w:val="44"/>
        </w:numPr>
      </w:pPr>
      <w:r>
        <w:rPr>
          <w:rFonts w:hint="eastAsia"/>
        </w:rPr>
        <w:t>人字梯的使用：</w:t>
      </w:r>
    </w:p>
    <w:p w14:paraId="622101EC">
      <w:pPr>
        <w:numPr>
          <w:ilvl w:val="0"/>
          <w:numId w:val="45"/>
        </w:numPr>
      </w:pPr>
      <w:r>
        <w:rPr>
          <w:rFonts w:hint="eastAsia"/>
        </w:rPr>
        <w:t>使用前检查该梯子是否安全，即检查梯子的铆钉是否松动，焊接是否开裂；</w:t>
      </w:r>
    </w:p>
    <w:p w14:paraId="1CE35A22">
      <w:pPr>
        <w:numPr>
          <w:ilvl w:val="0"/>
          <w:numId w:val="45"/>
        </w:numPr>
      </w:pPr>
      <w:r>
        <w:rPr>
          <w:rFonts w:hint="eastAsia"/>
        </w:rPr>
        <w:t>用结实的绳索将两边拉住、拴紧、绷直；</w:t>
      </w:r>
    </w:p>
    <w:p w14:paraId="07D3309B">
      <w:pPr>
        <w:numPr>
          <w:ilvl w:val="0"/>
          <w:numId w:val="45"/>
        </w:numPr>
      </w:pPr>
      <w:r>
        <w:rPr>
          <w:rFonts w:hint="eastAsia"/>
        </w:rPr>
        <w:t>梯子须安放稳固，使用材料需经人传递或用小桶吊放，严禁上下抛物；</w:t>
      </w:r>
    </w:p>
    <w:p w14:paraId="48BFB06D">
      <w:pPr>
        <w:numPr>
          <w:ilvl w:val="0"/>
          <w:numId w:val="45"/>
        </w:numPr>
      </w:pPr>
      <w:r>
        <w:rPr>
          <w:rFonts w:hint="eastAsia"/>
        </w:rPr>
        <w:t>使用梯子时至少两人一组，有专人扶梯；</w:t>
      </w:r>
    </w:p>
    <w:p w14:paraId="68579A1C">
      <w:pPr>
        <w:numPr>
          <w:ilvl w:val="0"/>
          <w:numId w:val="45"/>
        </w:numPr>
      </w:pPr>
      <w:r>
        <w:rPr>
          <w:rFonts w:hint="eastAsia"/>
        </w:rPr>
        <w:t>严禁使用梯子最上面两格；</w:t>
      </w:r>
    </w:p>
    <w:p w14:paraId="51800B44">
      <w:pPr>
        <w:numPr>
          <w:ilvl w:val="0"/>
          <w:numId w:val="45"/>
        </w:numPr>
      </w:pPr>
      <w:r>
        <w:rPr>
          <w:rFonts w:hint="eastAsia"/>
        </w:rPr>
        <w:t>严禁背对梯子作业；</w:t>
      </w:r>
    </w:p>
    <w:p w14:paraId="46CE2BDB">
      <w:pPr>
        <w:numPr>
          <w:ilvl w:val="0"/>
          <w:numId w:val="45"/>
        </w:numPr>
      </w:pPr>
      <w:r>
        <w:rPr>
          <w:rFonts w:hint="eastAsia"/>
        </w:rPr>
        <w:t>超过2m以上的作业，且安全带无挂点时，除扶梯人外，须再设置一名监护人；</w:t>
      </w:r>
    </w:p>
    <w:p w14:paraId="612AD075">
      <w:pPr>
        <w:numPr>
          <w:ilvl w:val="0"/>
          <w:numId w:val="45"/>
        </w:numPr>
      </w:pPr>
      <w:r>
        <w:rPr>
          <w:rFonts w:hint="eastAsia"/>
        </w:rPr>
        <w:t>严禁交叉作业；</w:t>
      </w:r>
    </w:p>
    <w:p w14:paraId="467892BD">
      <w:pPr>
        <w:numPr>
          <w:ilvl w:val="0"/>
          <w:numId w:val="45"/>
        </w:numPr>
      </w:pPr>
      <w:r>
        <w:rPr>
          <w:rFonts w:hint="eastAsia"/>
        </w:rPr>
        <w:t>作业区域应用警示带围好、设置监护人，严禁非作业人员入内；</w:t>
      </w:r>
    </w:p>
    <w:p w14:paraId="74C1C900">
      <w:pPr>
        <w:numPr>
          <w:ilvl w:val="0"/>
          <w:numId w:val="44"/>
        </w:numPr>
      </w:pPr>
      <w:r>
        <w:rPr>
          <w:rFonts w:hint="eastAsia"/>
        </w:rPr>
        <w:t>高温季节必须按照防暑降温的要求合理安排工作时间，配备充足的饮用水，采取必要的防暑降温措施；</w:t>
      </w:r>
    </w:p>
    <w:p w14:paraId="0FFBF350">
      <w:pPr>
        <w:numPr>
          <w:ilvl w:val="0"/>
          <w:numId w:val="44"/>
        </w:numPr>
      </w:pPr>
      <w:r>
        <w:rPr>
          <w:rFonts w:hint="eastAsia"/>
        </w:rPr>
        <w:t>临近傍晚及气候突变等照明不良的情况下，必须确保人员和各类构件的安全。</w:t>
      </w:r>
    </w:p>
    <w:p w14:paraId="07D2064C">
      <w:pPr>
        <w:pStyle w:val="5"/>
        <w:tabs>
          <w:tab w:val="left" w:pos="0"/>
        </w:tabs>
        <w:bidi w:val="0"/>
        <w:ind w:left="0" w:leftChars="0" w:firstLine="0" w:firstLineChars="0"/>
      </w:pPr>
      <w:r>
        <w:rPr>
          <w:rFonts w:hint="eastAsia"/>
        </w:rPr>
        <w:t>焊接与切割安全技术措施</w:t>
      </w:r>
    </w:p>
    <w:p w14:paraId="33A252A8">
      <w:pPr>
        <w:numPr>
          <w:ilvl w:val="0"/>
          <w:numId w:val="46"/>
        </w:numPr>
        <w:ind w:firstLineChars="0"/>
      </w:pPr>
      <w:r>
        <w:rPr>
          <w:rFonts w:hint="eastAsia"/>
        </w:rPr>
        <w:t>电源端接线必须由专业电工进行，焊机或供电线路出现故障，焊工要及时联系动力电工进行处理；</w:t>
      </w:r>
    </w:p>
    <w:p w14:paraId="22AF4CED">
      <w:pPr>
        <w:numPr>
          <w:ilvl w:val="0"/>
          <w:numId w:val="46"/>
        </w:numPr>
        <w:ind w:firstLineChars="0"/>
      </w:pPr>
      <w:r>
        <w:rPr>
          <w:rFonts w:hint="eastAsia"/>
        </w:rPr>
        <w:t>焊工穿戴专用工作服、绝缘鞋、防护手套等符合专业防护要求的劳动保护用品。衣着不得敞领卷袖，必须配戴防护面罩，以免弧光伤眼；焊接前，必须事先消除有害、易燃、易爆物质，解除容器或管道内压力，消除容器密封状态（敞开旋口盖）；</w:t>
      </w:r>
    </w:p>
    <w:p w14:paraId="64EF6EB1">
      <w:pPr>
        <w:numPr>
          <w:ilvl w:val="0"/>
          <w:numId w:val="46"/>
        </w:numPr>
        <w:ind w:firstLineChars="0"/>
      </w:pPr>
      <w:r>
        <w:rPr>
          <w:rFonts w:hint="eastAsia"/>
        </w:rPr>
        <w:t>检查作场所周围是否有易燃物，如有，应清除或采取可靠的隔离、防护措施，并设专人监护；</w:t>
      </w:r>
    </w:p>
    <w:p w14:paraId="34EC15B3">
      <w:pPr>
        <w:numPr>
          <w:ilvl w:val="0"/>
          <w:numId w:val="46"/>
        </w:numPr>
        <w:ind w:firstLineChars="0"/>
      </w:pPr>
      <w:r>
        <w:rPr>
          <w:rFonts w:hint="eastAsia"/>
        </w:rPr>
        <w:t>不宜在雨、雪及大风天气进行露天焊接作业。如确实需要时，应采取遮蔽雨雪、防止触电和火花飞溅等措施；</w:t>
      </w:r>
    </w:p>
    <w:p w14:paraId="28B8CEB8">
      <w:pPr>
        <w:numPr>
          <w:ilvl w:val="0"/>
          <w:numId w:val="46"/>
        </w:numPr>
        <w:ind w:firstLineChars="0"/>
      </w:pPr>
      <w:r>
        <w:rPr>
          <w:rFonts w:hint="eastAsia"/>
        </w:rPr>
        <w:t>焊接时，焊工不要接触焊接物件或其它导电物件；</w:t>
      </w:r>
    </w:p>
    <w:p w14:paraId="249D7EA9">
      <w:pPr>
        <w:numPr>
          <w:ilvl w:val="0"/>
          <w:numId w:val="46"/>
        </w:numPr>
        <w:ind w:firstLineChars="0"/>
      </w:pPr>
      <w:r>
        <w:rPr>
          <w:rFonts w:hint="eastAsia"/>
        </w:rPr>
        <w:t>焊接完工后，焊接位置应予以隔离或设专人监护，防止烫伤其他人员及火灾事故发生；</w:t>
      </w:r>
    </w:p>
    <w:p w14:paraId="7DD6C876">
      <w:pPr>
        <w:numPr>
          <w:ilvl w:val="0"/>
          <w:numId w:val="46"/>
        </w:numPr>
        <w:ind w:firstLineChars="0"/>
      </w:pPr>
      <w:r>
        <w:rPr>
          <w:rFonts w:hint="eastAsia"/>
        </w:rPr>
        <w:t>工作结束后，检查地面，灭绝火种，切断电源，方可离开；</w:t>
      </w:r>
    </w:p>
    <w:p w14:paraId="15F34E2B">
      <w:pPr>
        <w:numPr>
          <w:ilvl w:val="0"/>
          <w:numId w:val="46"/>
        </w:numPr>
        <w:ind w:firstLineChars="0"/>
      </w:pPr>
      <w:r>
        <w:rPr>
          <w:rFonts w:hint="eastAsia"/>
        </w:rPr>
        <w:t>焊工在工作前必须检查好回火防止器及一切工具是否良好；</w:t>
      </w:r>
    </w:p>
    <w:p w14:paraId="1001467A">
      <w:pPr>
        <w:numPr>
          <w:ilvl w:val="0"/>
          <w:numId w:val="46"/>
        </w:numPr>
        <w:ind w:firstLineChars="0"/>
      </w:pPr>
      <w:r>
        <w:rPr>
          <w:rFonts w:hint="eastAsia"/>
        </w:rPr>
        <w:t>乙炔瓶、氧气瓶、胶管接头、阀门的紧固件应坚固牢靠，不准有松动、破损和漏气。氧气瓶及其附件以及胶管工具上禁止沾油；</w:t>
      </w:r>
    </w:p>
    <w:p w14:paraId="6034DA94">
      <w:pPr>
        <w:numPr>
          <w:ilvl w:val="0"/>
          <w:numId w:val="46"/>
        </w:numPr>
        <w:ind w:firstLineChars="0"/>
      </w:pPr>
      <w:r>
        <w:rPr>
          <w:rFonts w:hint="eastAsia"/>
        </w:rPr>
        <w:t>工作前必须检查氧气管、乙炔管，如有漏气、老化、鼓包和变质时，不准使用，管内应保持清洁，不得有异物，氧气管、乙炔管不得互换使用；</w:t>
      </w:r>
    </w:p>
    <w:p w14:paraId="6521556F">
      <w:pPr>
        <w:numPr>
          <w:ilvl w:val="0"/>
          <w:numId w:val="46"/>
        </w:numPr>
        <w:ind w:firstLineChars="0"/>
      </w:pPr>
      <w:r>
        <w:rPr>
          <w:rFonts w:hint="eastAsia"/>
        </w:rPr>
        <w:t>工作前应检查作场所周围是否有易燃物，如有，应清除或采取可靠的隔离、防护措施，并设专人监护；</w:t>
      </w:r>
    </w:p>
    <w:p w14:paraId="0DFEB19D">
      <w:pPr>
        <w:numPr>
          <w:ilvl w:val="0"/>
          <w:numId w:val="46"/>
        </w:numPr>
        <w:ind w:firstLineChars="0"/>
      </w:pPr>
      <w:r>
        <w:rPr>
          <w:rFonts w:hint="eastAsia"/>
        </w:rPr>
        <w:t>在连接氧气表（减压器）之前，要用专用扳手将氧气瓶阀门微开，放出一些氧气，吹净瓶口污物和杂质，随后关闭。操作时工作人员应站在气口侧面，并闪开。开气时，气门不可朝下；</w:t>
      </w:r>
    </w:p>
    <w:p w14:paraId="6EEDF5DA">
      <w:pPr>
        <w:numPr>
          <w:ilvl w:val="0"/>
          <w:numId w:val="46"/>
        </w:numPr>
        <w:ind w:firstLineChars="0"/>
      </w:pPr>
      <w:r>
        <w:rPr>
          <w:rFonts w:hint="eastAsia"/>
        </w:rPr>
        <w:t>乙炔、氧气瓶应垂直放置，防止倾倒，严禁与氧气瓶等易燃品同时存放；</w:t>
      </w:r>
    </w:p>
    <w:p w14:paraId="001E80FB">
      <w:pPr>
        <w:numPr>
          <w:ilvl w:val="0"/>
          <w:numId w:val="46"/>
        </w:numPr>
        <w:ind w:firstLineChars="0"/>
      </w:pPr>
      <w:r>
        <w:rPr>
          <w:rFonts w:hint="eastAsia"/>
        </w:rPr>
        <w:t>开启氧气或乙炔瓶阀门时，禁止用铁器敲击，应用专用工具，动作要缓慢，防止产生火花，严禁面对减压器站立；</w:t>
      </w:r>
    </w:p>
    <w:p w14:paraId="634F1B0A">
      <w:pPr>
        <w:numPr>
          <w:ilvl w:val="0"/>
          <w:numId w:val="46"/>
        </w:numPr>
        <w:ind w:firstLineChars="0"/>
      </w:pPr>
      <w:r>
        <w:rPr>
          <w:rFonts w:hint="eastAsia"/>
        </w:rPr>
        <w:t>在机械上（或高处）作业时，应在切割部件下部搭设安全保护装置以防金属溶液落下引起火灾或烧伤其他人员；</w:t>
      </w:r>
    </w:p>
    <w:p w14:paraId="06B822E6">
      <w:pPr>
        <w:numPr>
          <w:ilvl w:val="0"/>
          <w:numId w:val="46"/>
        </w:numPr>
        <w:ind w:firstLineChars="0"/>
      </w:pPr>
      <w:r>
        <w:rPr>
          <w:rFonts w:hint="eastAsia"/>
        </w:rPr>
        <w:t>了解设备的消防器材状况，并保证在焊接地点周围有2个以上干粉灭火器；切割工作结束后，应检查地面，灭绝火种；</w:t>
      </w:r>
    </w:p>
    <w:p w14:paraId="3AD3AF1C">
      <w:pPr>
        <w:numPr>
          <w:ilvl w:val="0"/>
          <w:numId w:val="46"/>
        </w:numPr>
        <w:ind w:firstLineChars="0"/>
      </w:pPr>
      <w:r>
        <w:rPr>
          <w:rFonts w:hint="eastAsia"/>
        </w:rPr>
        <w:t>使用时，必须保证氧气瓶、乙炔瓶距明火不得小于10m。</w:t>
      </w:r>
    </w:p>
    <w:p w14:paraId="3BE82237">
      <w:pPr>
        <w:numPr>
          <w:ilvl w:val="0"/>
          <w:numId w:val="46"/>
        </w:numPr>
        <w:ind w:firstLineChars="0"/>
      </w:pPr>
      <w:r>
        <w:rPr>
          <w:rFonts w:hint="eastAsia"/>
        </w:rPr>
        <w:t>工作地点不固定、移动较频繁时，应装在专用小车上，严禁将乙炔瓶和氧气瓶放在一起。</w:t>
      </w:r>
    </w:p>
    <w:p w14:paraId="7783CC07">
      <w:pPr>
        <w:pStyle w:val="5"/>
        <w:tabs>
          <w:tab w:val="left" w:pos="0"/>
        </w:tabs>
        <w:bidi w:val="0"/>
        <w:ind w:left="0" w:leftChars="0" w:firstLine="0" w:firstLineChars="0"/>
      </w:pPr>
      <w:r>
        <w:rPr>
          <w:rFonts w:hint="eastAsia"/>
        </w:rPr>
        <w:t>临时用电安全措施</w:t>
      </w:r>
    </w:p>
    <w:p w14:paraId="3C4F0115">
      <w:pPr>
        <w:numPr>
          <w:ilvl w:val="0"/>
          <w:numId w:val="47"/>
        </w:numPr>
        <w:ind w:firstLineChars="0"/>
      </w:pPr>
      <w:r>
        <w:t>严格执行《</w:t>
      </w:r>
      <w:r>
        <w:rPr>
          <w:rFonts w:hint="eastAsia"/>
        </w:rPr>
        <w:t>公路水运工程临时用电技术规程</w:t>
      </w:r>
      <w:r>
        <w:t>》（</w:t>
      </w:r>
      <w:r>
        <w:rPr>
          <w:rFonts w:hint="eastAsia"/>
          <w:lang w:val="en-US" w:eastAsia="zh-CN"/>
        </w:rPr>
        <w:t>JT/T1499-2024</w:t>
      </w:r>
      <w:r>
        <w:t>），按照施工用电组织设计架设三相五线制的电气线路，所有电线均应架空，过道或穿墙均要用钢管或胶套管保护，严禁利用大地作为工作零线。认真贯彻《建筑施工安全检查标准》（JGJ 59-2011）中临时用电规定；</w:t>
      </w:r>
    </w:p>
    <w:p w14:paraId="5EE199E5">
      <w:pPr>
        <w:numPr>
          <w:ilvl w:val="0"/>
          <w:numId w:val="47"/>
        </w:numPr>
        <w:ind w:firstLineChars="0"/>
      </w:pPr>
      <w:r>
        <w:t>配电箱、开关箱内电气设备完好无缺。箱体下方进出线，开关箱应符合</w:t>
      </w:r>
      <w:r>
        <w:rPr>
          <w:rFonts w:hint="eastAsia"/>
        </w:rPr>
        <w:t>“</w:t>
      </w:r>
      <w:r>
        <w:t>一机一闸一漏一箱</w:t>
      </w:r>
      <w:r>
        <w:rPr>
          <w:rFonts w:hint="eastAsia"/>
        </w:rPr>
        <w:t>”</w:t>
      </w:r>
      <w:r>
        <w:t>的要求，门、锁完善，有防雨、防尘措施，箱内无杂物，箱前通道畅通，并应对电箱统一编号，刷上危险标志。保护零线（PE、绿/黄线）中间和末端必须重复接地，严禁与工作零线混接；产生振动的设备的重复接地不少于两处；</w:t>
      </w:r>
    </w:p>
    <w:p w14:paraId="6711144F">
      <w:pPr>
        <w:numPr>
          <w:ilvl w:val="0"/>
          <w:numId w:val="47"/>
        </w:numPr>
        <w:ind w:firstLineChars="0"/>
      </w:pPr>
      <w:r>
        <w:t>临时用电施工组织设计和临时安全用电技术措施及电气防火措施，必须由电气工程技术人员编制，技术负责人审核，经主管部门批准后实施；</w:t>
      </w:r>
    </w:p>
    <w:p w14:paraId="76926915">
      <w:pPr>
        <w:numPr>
          <w:ilvl w:val="0"/>
          <w:numId w:val="47"/>
        </w:numPr>
        <w:ind w:firstLineChars="0"/>
      </w:pPr>
      <w:r>
        <w:t>安装、维修或拆除临时用电工程，必须由持证电工完成，无证人员禁止上岗。电工等级应同工程的难易程度和技术复杂性相适应；</w:t>
      </w:r>
    </w:p>
    <w:p w14:paraId="64F59F23">
      <w:pPr>
        <w:numPr>
          <w:ilvl w:val="0"/>
          <w:numId w:val="47"/>
        </w:numPr>
        <w:ind w:firstLineChars="0"/>
      </w:pPr>
      <w:r>
        <w:t>使用设备必须按规定穿戴和配备好相应的劳动保护用品，并应检查电气装置和保护设施是否完好，严禁设备带病运转和进行运转中维修；</w:t>
      </w:r>
    </w:p>
    <w:p w14:paraId="204C00D8">
      <w:pPr>
        <w:numPr>
          <w:ilvl w:val="0"/>
          <w:numId w:val="47"/>
        </w:numPr>
        <w:ind w:firstLineChars="0"/>
      </w:pPr>
      <w:r>
        <w:t>停用的设备必须拉闸断电，锁好开关箱。负载线、保护零线和开关箱发现问题应及时报告解决。搬迁或移动的用电设备，必须由专业电工切断电源并作妥善处理；</w:t>
      </w:r>
    </w:p>
    <w:p w14:paraId="7C87F022">
      <w:pPr>
        <w:numPr>
          <w:ilvl w:val="0"/>
          <w:numId w:val="47"/>
        </w:numPr>
        <w:ind w:firstLineChars="0"/>
      </w:pPr>
      <w:r>
        <w:t>按规范做好施工现场临时安全用电的安全技术档案；</w:t>
      </w:r>
    </w:p>
    <w:p w14:paraId="5589EEE1">
      <w:pPr>
        <w:numPr>
          <w:ilvl w:val="0"/>
          <w:numId w:val="47"/>
        </w:numPr>
        <w:ind w:firstLineChars="0"/>
      </w:pPr>
      <w:r>
        <w:t>在建工程与外电线路的安全距离及外电防护和接地与防雷等应严格按规范执行；</w:t>
      </w:r>
    </w:p>
    <w:p w14:paraId="7759186D">
      <w:pPr>
        <w:numPr>
          <w:ilvl w:val="0"/>
          <w:numId w:val="47"/>
        </w:numPr>
        <w:ind w:firstLineChars="0"/>
      </w:pPr>
      <w:r>
        <w:t>配电线路的架空线必须采用绝缘铜线和绝缘铝线。架空线必须设置在专用电杆上；</w:t>
      </w:r>
    </w:p>
    <w:p w14:paraId="0FC6262F">
      <w:pPr>
        <w:numPr>
          <w:ilvl w:val="0"/>
          <w:numId w:val="47"/>
        </w:numPr>
        <w:ind w:firstLineChars="0"/>
      </w:pPr>
      <w:r>
        <w:t>空线的接头、相序排列、档距、线间距离及横担的垂直距离和横担的选择及规格，严格执行规范规定；</w:t>
      </w:r>
    </w:p>
    <w:p w14:paraId="6991B38A">
      <w:pPr>
        <w:numPr>
          <w:ilvl w:val="0"/>
          <w:numId w:val="47"/>
        </w:numPr>
        <w:ind w:firstLineChars="0"/>
      </w:pPr>
      <w:r>
        <w:t>动力配电箱与照明配电箱应分别设置，如合置在同一配电箱内，动力和照明线路应分路设置；</w:t>
      </w:r>
    </w:p>
    <w:p w14:paraId="118A07C0">
      <w:pPr>
        <w:numPr>
          <w:ilvl w:val="0"/>
          <w:numId w:val="47"/>
        </w:numPr>
        <w:ind w:firstLineChars="0"/>
      </w:pPr>
      <w:r>
        <w:t>开关箱应由末级配电箱配电，配电箱、开关箱制作所用的材料、箱的规格设置要求及安装技术应按规范执行。配电箱、开关箱最好购合格的成品使用；</w:t>
      </w:r>
    </w:p>
    <w:p w14:paraId="6009D340">
      <w:pPr>
        <w:numPr>
          <w:ilvl w:val="0"/>
          <w:numId w:val="47"/>
        </w:numPr>
        <w:ind w:firstLineChars="0"/>
      </w:pPr>
      <w:r>
        <w:t>配电箱、开关箱内的开关电器安装，绝缘要求和箱壳保护接零应按规范执行；</w:t>
      </w:r>
    </w:p>
    <w:p w14:paraId="4942E732">
      <w:pPr>
        <w:numPr>
          <w:ilvl w:val="0"/>
          <w:numId w:val="47"/>
        </w:numPr>
        <w:ind w:firstLineChars="0"/>
      </w:pPr>
      <w:r>
        <w:t>严禁用同一个开关电器直接控制2台及2台以上用电设备（含插座）；</w:t>
      </w:r>
    </w:p>
    <w:p w14:paraId="130FFA1F">
      <w:pPr>
        <w:numPr>
          <w:ilvl w:val="0"/>
          <w:numId w:val="47"/>
        </w:numPr>
        <w:ind w:firstLineChars="0"/>
      </w:pPr>
      <w:r>
        <w:t>开关箱内必须装设漏电保护器，漏电保护器的选择应符合要求。漏电保护器的安装要求和额定漏电动作应符合规范要求；</w:t>
      </w:r>
    </w:p>
    <w:p w14:paraId="124DAEB9">
      <w:pPr>
        <w:numPr>
          <w:ilvl w:val="0"/>
          <w:numId w:val="47"/>
        </w:numPr>
        <w:ind w:firstLineChars="0"/>
      </w:pPr>
      <w:r>
        <w:t>配电箱和开关箱中两级漏电保护器的额定漏电动作时间作合理配合，使之具有分段保护的功能；</w:t>
      </w:r>
    </w:p>
    <w:p w14:paraId="31A0729A">
      <w:pPr>
        <w:numPr>
          <w:ilvl w:val="0"/>
          <w:numId w:val="47"/>
        </w:numPr>
        <w:ind w:firstLineChars="0"/>
      </w:pPr>
      <w:r>
        <w:t>手动开关电器只许用于直接控制照明电器和容量不大于5.5kW动力电路。容量大于5.5kW的动力电路应采用自动开关电器或降压启动装置控制。各种开关电器的额定值与其控制用电设备的额定值相适应；</w:t>
      </w:r>
    </w:p>
    <w:p w14:paraId="4175AC6D">
      <w:pPr>
        <w:numPr>
          <w:ilvl w:val="0"/>
          <w:numId w:val="47"/>
        </w:numPr>
        <w:ind w:firstLineChars="0"/>
      </w:pPr>
      <w:r>
        <w:t>对配电箱、开关箱进行检查、维修时，必须将其前一级相应的电源开关分闸断电，并悬挂停电检修标志牌，严禁带电作业；</w:t>
      </w:r>
    </w:p>
    <w:p w14:paraId="00D5A4B9">
      <w:pPr>
        <w:numPr>
          <w:ilvl w:val="0"/>
          <w:numId w:val="47"/>
        </w:numPr>
        <w:ind w:firstLineChars="0"/>
      </w:pPr>
      <w:r>
        <w:t>移动的用电设备使用的电源线路，必须使用绝缘胶套管式电缆；</w:t>
      </w:r>
    </w:p>
    <w:p w14:paraId="32E32A80">
      <w:pPr>
        <w:numPr>
          <w:ilvl w:val="0"/>
          <w:numId w:val="47"/>
        </w:numPr>
        <w:ind w:firstLineChars="0"/>
      </w:pPr>
      <w:r>
        <w:t>用电设备和电气线路必须有保护接零；</w:t>
      </w:r>
    </w:p>
    <w:p w14:paraId="0CA0C205">
      <w:pPr>
        <w:numPr>
          <w:ilvl w:val="0"/>
          <w:numId w:val="47"/>
        </w:numPr>
        <w:ind w:firstLineChars="0"/>
      </w:pPr>
      <w:r>
        <w:t>电动工具、机械设备有良好的接地装置，所用电源有可靠的触电保护器。阴雨天气及在潮湿部位工作所使用的电动工机具、机械、工作人员的劳保用品必须符合有关的要求；</w:t>
      </w:r>
    </w:p>
    <w:p w14:paraId="6517B05E">
      <w:pPr>
        <w:numPr>
          <w:ilvl w:val="0"/>
          <w:numId w:val="47"/>
        </w:numPr>
        <w:ind w:firstLineChars="0"/>
      </w:pPr>
      <w:r>
        <w:t>严禁施工现场非正式电工乱接用电线和安装用电开关；</w:t>
      </w:r>
    </w:p>
    <w:p w14:paraId="24315283">
      <w:pPr>
        <w:numPr>
          <w:ilvl w:val="0"/>
          <w:numId w:val="47"/>
        </w:numPr>
        <w:ind w:firstLineChars="0"/>
      </w:pPr>
      <w:r>
        <w:t>残缺绝缘盖的闸刀开关禁止使用，开关不得采用铜、铁、铝线作熔断保险丝；</w:t>
      </w:r>
    </w:p>
    <w:p w14:paraId="3D95013F">
      <w:pPr>
        <w:numPr>
          <w:ilvl w:val="0"/>
          <w:numId w:val="47"/>
        </w:numPr>
        <w:ind w:firstLineChars="0"/>
      </w:pPr>
      <w:r>
        <w:t>在施工现场设置围栏、警示牌、夜间警示灯，以告示行人。</w:t>
      </w:r>
    </w:p>
    <w:p w14:paraId="7F6F0949">
      <w:pPr>
        <w:pStyle w:val="5"/>
        <w:tabs>
          <w:tab w:val="left" w:pos="0"/>
        </w:tabs>
        <w:bidi w:val="0"/>
        <w:ind w:left="0" w:leftChars="0" w:firstLine="0" w:firstLineChars="0"/>
      </w:pPr>
      <w:r>
        <w:t>交叉作业安全措施</w:t>
      </w:r>
    </w:p>
    <w:p w14:paraId="5FACAAE6">
      <w:pPr>
        <w:numPr>
          <w:ilvl w:val="0"/>
          <w:numId w:val="48"/>
        </w:numPr>
        <w:ind w:firstLineChars="0"/>
      </w:pPr>
      <w:r>
        <w:t>交叉作业要设安全栏杆、安全网、防护棚和示警围栏;夜间工作要有足够照明;</w:t>
      </w:r>
      <w:r>
        <w:rPr>
          <w:rFonts w:hint="eastAsia"/>
        </w:rPr>
        <w:t>高处作业</w:t>
      </w:r>
      <w:r>
        <w:t>施工人员必须体检合格</w:t>
      </w:r>
      <w:r>
        <w:rPr>
          <w:rFonts w:hint="eastAsia"/>
        </w:rPr>
        <w:t>，</w:t>
      </w:r>
      <w:r>
        <w:t>作业时须带安全帽，不准穿凉鞋、硬底鞋、塑料鞋及赤脚攀登</w:t>
      </w:r>
      <w:r>
        <w:rPr>
          <w:rFonts w:hint="eastAsia"/>
        </w:rPr>
        <w:t>；</w:t>
      </w:r>
      <w:r>
        <w:t>作业中不准将工具、材料上、下投掷,要用绳索绑牢后吊运;六级以上大风时不能施工工作；</w:t>
      </w:r>
    </w:p>
    <w:p w14:paraId="2658F353">
      <w:pPr>
        <w:numPr>
          <w:ilvl w:val="0"/>
          <w:numId w:val="48"/>
        </w:numPr>
        <w:ind w:firstLineChars="0"/>
      </w:pPr>
      <w:r>
        <w:t>在同一作业区域内进行起重吊装作业时</w:t>
      </w:r>
      <w:r>
        <w:rPr>
          <w:rFonts w:hint="eastAsia"/>
        </w:rPr>
        <w:t>；</w:t>
      </w:r>
      <w:r>
        <w:t>应充分考虑对各方工作的安全影响</w:t>
      </w:r>
      <w:r>
        <w:rPr>
          <w:rFonts w:hint="eastAsia"/>
        </w:rPr>
        <w:t>，</w:t>
      </w:r>
      <w:r>
        <w:t>制定起重吊装方案和安全措施。指派专业人员负责统一指挥</w:t>
      </w:r>
      <w:r>
        <w:rPr>
          <w:rFonts w:hint="eastAsia"/>
        </w:rPr>
        <w:t>，</w:t>
      </w:r>
      <w:r>
        <w:t>检查现场安全和措施符合要求后</w:t>
      </w:r>
      <w:r>
        <w:rPr>
          <w:rFonts w:hint="eastAsia"/>
        </w:rPr>
        <w:t>，</w:t>
      </w:r>
      <w:r>
        <w:t>方可进行起重吊装作业；</w:t>
      </w:r>
    </w:p>
    <w:p w14:paraId="11A20EF0">
      <w:pPr>
        <w:numPr>
          <w:ilvl w:val="0"/>
          <w:numId w:val="48"/>
        </w:numPr>
        <w:ind w:firstLineChars="0"/>
      </w:pPr>
      <w:r>
        <w:t>与起重作业无关的人员不准进入作业现场</w:t>
      </w:r>
      <w:r>
        <w:rPr>
          <w:rFonts w:hint="eastAsia"/>
        </w:rPr>
        <w:t>，</w:t>
      </w:r>
      <w:r>
        <w:t>吊物运行路线下方所有人员应无条件撤离</w:t>
      </w:r>
      <w:r>
        <w:rPr>
          <w:rFonts w:hint="eastAsia"/>
        </w:rPr>
        <w:t>；</w:t>
      </w:r>
      <w:r>
        <w:t>指挥人员站位应便于指挥和了望</w:t>
      </w:r>
      <w:r>
        <w:rPr>
          <w:rFonts w:hint="eastAsia"/>
        </w:rPr>
        <w:t>，</w:t>
      </w:r>
      <w:r>
        <w:t>不得与起吊路线交叉；</w:t>
      </w:r>
    </w:p>
    <w:p w14:paraId="464CD383">
      <w:pPr>
        <w:numPr>
          <w:ilvl w:val="0"/>
          <w:numId w:val="48"/>
        </w:numPr>
        <w:ind w:firstLineChars="0"/>
      </w:pPr>
      <w:r>
        <w:t>作业人员与被吊物体必须保持有效的安全距离。索具与吊物应捆绑牢固、采取防滑措施，吊钩应有安全装置</w:t>
      </w:r>
      <w:r>
        <w:rPr>
          <w:rFonts w:hint="eastAsia"/>
        </w:rPr>
        <w:t>；</w:t>
      </w:r>
      <w:r>
        <w:t>吊装作业前,起重指挥人员通知有关人员撤离</w:t>
      </w:r>
      <w:r>
        <w:rPr>
          <w:rFonts w:hint="eastAsia"/>
        </w:rPr>
        <w:t>，</w:t>
      </w:r>
      <w:r>
        <w:t>确认吊物下方及吊物行走路线范围无人员及障碍物，方可起吊；</w:t>
      </w:r>
    </w:p>
    <w:p w14:paraId="2A0DF128">
      <w:pPr>
        <w:numPr>
          <w:ilvl w:val="0"/>
          <w:numId w:val="48"/>
        </w:numPr>
        <w:ind w:firstLineChars="0"/>
      </w:pPr>
      <w:r>
        <w:t>在同一作业区域内进行焊接（动火）作业时</w:t>
      </w:r>
      <w:r>
        <w:rPr>
          <w:rFonts w:hint="eastAsia"/>
        </w:rPr>
        <w:t>；</w:t>
      </w:r>
      <w:r>
        <w:t>施工单位必须事先作好防护</w:t>
      </w:r>
      <w:r>
        <w:rPr>
          <w:rFonts w:hint="eastAsia"/>
        </w:rPr>
        <w:t>，</w:t>
      </w:r>
      <w:r>
        <w:t>并配备合格的消防灭火器材</w:t>
      </w:r>
      <w:r>
        <w:rPr>
          <w:rFonts w:hint="eastAsia"/>
        </w:rPr>
        <w:t>，</w:t>
      </w:r>
      <w:r>
        <w:t>消除现场易燃易爆物品。无法清除易燃物品时</w:t>
      </w:r>
      <w:r>
        <w:rPr>
          <w:rFonts w:hint="eastAsia"/>
        </w:rPr>
        <w:t>，</w:t>
      </w:r>
      <w:r>
        <w:t>应与焊接（动火）作业保持适当的安全距离并采取隔离和防护措施。</w:t>
      </w:r>
    </w:p>
    <w:p w14:paraId="723BBB20">
      <w:pPr>
        <w:pStyle w:val="4"/>
        <w:tabs>
          <w:tab w:val="left" w:pos="0"/>
        </w:tabs>
        <w:bidi w:val="0"/>
        <w:ind w:left="0" w:leftChars="0" w:firstLine="0" w:firstLineChars="0"/>
      </w:pPr>
      <w:bookmarkStart w:id="159" w:name="_Toc1754"/>
      <w:bookmarkStart w:id="160" w:name="_Toc17200"/>
      <w:r>
        <w:rPr>
          <w:rFonts w:hint="eastAsia"/>
        </w:rPr>
        <w:t>监测监控措施</w:t>
      </w:r>
      <w:bookmarkEnd w:id="159"/>
      <w:bookmarkEnd w:id="160"/>
    </w:p>
    <w:p w14:paraId="5BC1CF80">
      <w:pPr>
        <w:pStyle w:val="5"/>
        <w:tabs>
          <w:tab w:val="left" w:pos="0"/>
        </w:tabs>
        <w:bidi w:val="0"/>
        <w:ind w:left="0" w:leftChars="0" w:firstLine="0" w:firstLineChars="0"/>
      </w:pPr>
      <w:r>
        <w:rPr>
          <w:rFonts w:hint="eastAsia"/>
        </w:rPr>
        <w:t>施工现场巡查</w:t>
      </w:r>
    </w:p>
    <w:p w14:paraId="3E652DBA">
      <w:pPr>
        <w:ind w:firstLine="480"/>
      </w:pPr>
      <w:r>
        <w:rPr>
          <w:rFonts w:hint="eastAsia"/>
        </w:rPr>
        <w:t>为了确保施工期间安全生产受控，必须对施工现场可能存在安全隐患的部位进行相应的检查与监控。</w:t>
      </w:r>
    </w:p>
    <w:p w14:paraId="7DC10B91">
      <w:pPr>
        <w:ind w:firstLine="480"/>
      </w:pPr>
      <w:r>
        <w:rPr>
          <w:rFonts w:hint="eastAsia"/>
        </w:rPr>
        <w:t>（1）专职安全员每天对施工现场进行巡查，重点检查内容包括：</w:t>
      </w:r>
    </w:p>
    <w:p w14:paraId="4E182702">
      <w:pPr>
        <w:ind w:firstLine="480"/>
      </w:pPr>
      <w:r>
        <w:rPr>
          <w:rFonts w:hint="eastAsia"/>
        </w:rPr>
        <w:t>1）个人防护用品是否按照要求穿戴和使用，高处作业人员是否挂好安全带。</w:t>
      </w:r>
    </w:p>
    <w:p w14:paraId="570F380C">
      <w:pPr>
        <w:ind w:firstLine="480"/>
      </w:pPr>
      <w:r>
        <w:rPr>
          <w:rFonts w:hint="eastAsia"/>
        </w:rPr>
        <w:t>2）特种作业人员是否持证上岗，并遵守相关安全操作规程。</w:t>
      </w:r>
    </w:p>
    <w:p w14:paraId="3A5D53AC">
      <w:pPr>
        <w:ind w:firstLine="480"/>
      </w:pPr>
      <w:r>
        <w:rPr>
          <w:rFonts w:hint="eastAsia"/>
        </w:rPr>
        <w:t>3）临时用电线路布设是否满足安全要求，消防器材是否齐全有效。</w:t>
      </w:r>
    </w:p>
    <w:p w14:paraId="5E5592E7">
      <w:pPr>
        <w:ind w:firstLine="480"/>
      </w:pPr>
      <w:r>
        <w:rPr>
          <w:rFonts w:hint="eastAsia"/>
        </w:rPr>
        <w:t>4）氧气、乙炔气瓶是否满足安全距离要求，压力表、防回火阀、气管等是否齐全有效。氧气、乙炔气瓶压力表必须保证完好有效，有破损的及时更换。乙炔气瓶必须配备防回火阀，且不得漏气，气管须完好有效，有明显老化、破裂、漏气等必须及时维修更换。</w:t>
      </w:r>
    </w:p>
    <w:p w14:paraId="576CF336">
      <w:pPr>
        <w:ind w:firstLine="480"/>
      </w:pPr>
      <w:r>
        <w:rPr>
          <w:rFonts w:hint="eastAsia"/>
        </w:rPr>
        <w:t>5）其他需要巡查、检查的部位及检查内容。</w:t>
      </w:r>
    </w:p>
    <w:p w14:paraId="63EBEBF8">
      <w:pPr>
        <w:ind w:firstLine="480"/>
      </w:pPr>
      <w:r>
        <w:rPr>
          <w:rFonts w:hint="eastAsia"/>
        </w:rPr>
        <w:t>（2）项目部设备管理员每天对施工升降机安拆施工现场使用的设备进行巡查。定期进行设备维修保养，做好设备维修保养记录。</w:t>
      </w:r>
    </w:p>
    <w:p w14:paraId="2AE47077">
      <w:pPr>
        <w:ind w:firstLine="480"/>
      </w:pPr>
      <w:r>
        <w:rPr>
          <w:rFonts w:hint="eastAsia"/>
        </w:rPr>
        <w:t>（3）专职电工每日检查施工现场“三级用电，二级保护”、“一机、一闸、一箱、一漏”等临时用电安全要求落实情况，尤其常见的用电线路未按三级用电布设、线路破损、漏保失效等用电隐患在发现后必须立即整改到位。</w:t>
      </w:r>
    </w:p>
    <w:p w14:paraId="65DAB4D0">
      <w:pPr>
        <w:ind w:firstLine="480"/>
      </w:pPr>
      <w:r>
        <w:rPr>
          <w:rFonts w:hint="eastAsia"/>
        </w:rPr>
        <w:t>（4）施工期间组织专项检查、月度检查，尤其是关键部位的验收检查，各部门应积极参与，并留下检查验收记录。</w:t>
      </w:r>
    </w:p>
    <w:p w14:paraId="7C15C2C6">
      <w:pPr>
        <w:pStyle w:val="5"/>
        <w:tabs>
          <w:tab w:val="left" w:pos="0"/>
        </w:tabs>
        <w:bidi w:val="0"/>
        <w:ind w:left="0" w:leftChars="0" w:firstLine="0" w:firstLineChars="0"/>
      </w:pPr>
      <w:r>
        <w:rPr>
          <w:rFonts w:hint="eastAsia"/>
        </w:rPr>
        <w:t>起重吊装操作监测</w:t>
      </w:r>
    </w:p>
    <w:p w14:paraId="4172FC5A">
      <w:pPr>
        <w:numPr>
          <w:ilvl w:val="0"/>
          <w:numId w:val="49"/>
        </w:numPr>
        <w:ind w:firstLineChars="0"/>
      </w:pPr>
      <w:r>
        <w:rPr>
          <w:rFonts w:hint="eastAsia"/>
        </w:rPr>
        <w:t>施工期间对</w:t>
      </w:r>
      <w:r>
        <w:rPr>
          <w:rFonts w:hint="eastAsia"/>
          <w:lang w:eastAsia="zh-CN"/>
        </w:rPr>
        <w:t>塔机</w:t>
      </w:r>
      <w:r>
        <w:rPr>
          <w:rFonts w:hint="eastAsia"/>
        </w:rPr>
        <w:t>及起重工索具进行经常性的检查，确保起重设备和工索具状态完好、各构件连接满足要求。</w:t>
      </w:r>
    </w:p>
    <w:p w14:paraId="05BE48F1">
      <w:pPr>
        <w:numPr>
          <w:ilvl w:val="0"/>
          <w:numId w:val="49"/>
        </w:numPr>
        <w:ind w:firstLineChars="0"/>
      </w:pPr>
      <w:r>
        <w:rPr>
          <w:rFonts w:hint="eastAsia"/>
        </w:rPr>
        <w:t>安全生产管理人员每日对施工现场进行巡视时，应检查起重设备使用情况，包括：各种安全防护装置齐全完好，起重吊装过程有专人指挥，起重司机、司索、指挥各司其职，起重吊装过程中严格遵守操作规程，防止</w:t>
      </w:r>
      <w:r>
        <w:rPr>
          <w:rFonts w:hint="eastAsia"/>
          <w:lang w:eastAsia="zh-CN"/>
        </w:rPr>
        <w:t>塔机</w:t>
      </w:r>
      <w:r>
        <w:rPr>
          <w:rFonts w:hint="eastAsia"/>
        </w:rPr>
        <w:t>倾覆、钢丝绳断裂、脱钩等引发安全事故。</w:t>
      </w:r>
    </w:p>
    <w:p w14:paraId="22B37B56">
      <w:pPr>
        <w:numPr>
          <w:ilvl w:val="0"/>
          <w:numId w:val="49"/>
        </w:numPr>
        <w:ind w:firstLineChars="0"/>
      </w:pPr>
      <w:r>
        <w:rPr>
          <w:rFonts w:hint="eastAsia"/>
        </w:rPr>
        <w:t>每班作业前，起重机司机应对</w:t>
      </w:r>
      <w:r>
        <w:rPr>
          <w:rFonts w:hint="eastAsia"/>
          <w:lang w:eastAsia="zh-CN"/>
        </w:rPr>
        <w:t>塔机</w:t>
      </w:r>
      <w:r>
        <w:rPr>
          <w:rFonts w:hint="eastAsia"/>
        </w:rPr>
        <w:t>的吊钩、钢丝绳及安全装置进行检查，各机构进行空载运转，发现不正常时，应予排除。</w:t>
      </w:r>
      <w:r>
        <w:rPr>
          <w:rFonts w:hint="eastAsia"/>
          <w:lang w:eastAsia="zh-CN"/>
        </w:rPr>
        <w:t>塔机</w:t>
      </w:r>
      <w:r>
        <w:rPr>
          <w:rFonts w:hint="eastAsia"/>
        </w:rPr>
        <w:t>基础需根据设计图纸要求进行监控检测。</w:t>
      </w:r>
    </w:p>
    <w:p w14:paraId="0DB97F69">
      <w:pPr>
        <w:pStyle w:val="5"/>
        <w:tabs>
          <w:tab w:val="left" w:pos="0"/>
        </w:tabs>
        <w:bidi w:val="0"/>
        <w:ind w:left="0" w:leftChars="0" w:firstLine="0" w:firstLineChars="0"/>
      </w:pPr>
      <w:r>
        <w:rPr>
          <w:rFonts w:hint="eastAsia"/>
        </w:rPr>
        <w:t>基础监测</w:t>
      </w:r>
    </w:p>
    <w:p w14:paraId="263F224E">
      <w:pPr>
        <w:numPr>
          <w:ilvl w:val="0"/>
          <w:numId w:val="50"/>
        </w:numPr>
        <w:ind w:firstLineChars="0"/>
      </w:pPr>
      <w:r>
        <w:rPr>
          <w:rFonts w:hint="eastAsia"/>
        </w:rPr>
        <w:t>施工期间要对升降机导轨架基础以及吊笼搁置基础进行经常性检查，确保型钢基础的稳固满足要求。</w:t>
      </w:r>
    </w:p>
    <w:p w14:paraId="4E290EED">
      <w:pPr>
        <w:numPr>
          <w:ilvl w:val="0"/>
          <w:numId w:val="50"/>
        </w:numPr>
        <w:ind w:firstLineChars="0"/>
      </w:pPr>
      <w:r>
        <w:rPr>
          <w:rFonts w:hint="eastAsia"/>
        </w:rPr>
        <w:t>安全生产管理人员每日对施工现场进行巡视时，要检查型钢基础是否有变形，是否有移位，施工平台顶面是否有变形，型钢基础的焊接焊缝是否有裂纹等，并留下检查验收记录。</w:t>
      </w:r>
    </w:p>
    <w:p w14:paraId="1B8D4A9C">
      <w:pPr>
        <w:pStyle w:val="5"/>
        <w:tabs>
          <w:tab w:val="left" w:pos="0"/>
        </w:tabs>
        <w:bidi w:val="0"/>
        <w:ind w:left="0" w:leftChars="0" w:firstLine="0" w:firstLineChars="0"/>
      </w:pPr>
      <w:r>
        <w:rPr>
          <w:rFonts w:hint="eastAsia"/>
        </w:rPr>
        <w:t>导轨架监测</w:t>
      </w:r>
    </w:p>
    <w:p w14:paraId="5C81A2EC">
      <w:pPr>
        <w:numPr>
          <w:ilvl w:val="0"/>
          <w:numId w:val="51"/>
        </w:numPr>
        <w:ind w:firstLineChars="0"/>
      </w:pPr>
      <w:r>
        <w:rPr>
          <w:rFonts w:hint="eastAsia"/>
        </w:rPr>
        <w:t>施工期间要对升降机导轨架进行经常性检查及监测，确保导轨架的安全可靠。</w:t>
      </w:r>
    </w:p>
    <w:p w14:paraId="2CACD128">
      <w:pPr>
        <w:numPr>
          <w:ilvl w:val="0"/>
          <w:numId w:val="51"/>
        </w:numPr>
        <w:ind w:firstLineChars="0"/>
      </w:pPr>
      <w:r>
        <w:rPr>
          <w:rFonts w:hint="eastAsia"/>
        </w:rPr>
        <w:t>测量人员每周对升降机的导轨架进行测量监测，主要对导轨架的倾斜角度、附墙杆件的水平度进行监控量测并留下检查验收记录。</w:t>
      </w:r>
    </w:p>
    <w:p w14:paraId="2F83778C">
      <w:pPr>
        <w:numPr>
          <w:ilvl w:val="0"/>
          <w:numId w:val="51"/>
        </w:numPr>
        <w:ind w:firstLineChars="0"/>
      </w:pPr>
      <w:r>
        <w:rPr>
          <w:rFonts w:hint="eastAsia"/>
        </w:rPr>
        <w:t>导轨架每加高10m左右，应用经纬仪或其它检测仪器在二个垂直方向上检查一次导轨架的垂直度，导轨架安装垂直度偏差要求如表6.4-1所示，一旦发现超差应及时加以调整。</w:t>
      </w:r>
    </w:p>
    <w:p w14:paraId="35F9B530">
      <w:pPr>
        <w:pStyle w:val="12"/>
        <w:jc w:val="center"/>
      </w:pPr>
      <w:r>
        <w:rPr>
          <w:rFonts w:hint="eastAsia" w:ascii="宋体" w:hAnsi="宋体" w:eastAsia="宋体" w:cs="宋体"/>
          <w:b/>
          <w:bCs/>
          <w:color w:val="auto"/>
          <w:kern w:val="0"/>
          <w:sz w:val="21"/>
          <w:szCs w:val="21"/>
          <w:lang w:val="en-US" w:eastAsia="zh-CN" w:bidi="ar-SA"/>
        </w:rPr>
        <w:t>表6.4-1垂直度偏差值</w:t>
      </w:r>
    </w:p>
    <w:tbl>
      <w:tblPr>
        <w:tblStyle w:val="8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27"/>
        <w:gridCol w:w="2632"/>
        <w:gridCol w:w="878"/>
        <w:gridCol w:w="1021"/>
        <w:gridCol w:w="1023"/>
        <w:gridCol w:w="941"/>
      </w:tblGrid>
      <w:tr w14:paraId="022C9A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pct"/>
            <w:shd w:val="clear" w:color="auto" w:fill="auto"/>
            <w:vAlign w:val="center"/>
          </w:tcPr>
          <w:p w14:paraId="696842F1">
            <w:pPr>
              <w:pStyle w:val="13"/>
              <w:rPr>
                <w:b w:val="0"/>
                <w:bCs/>
              </w:rPr>
            </w:pPr>
            <w:r>
              <w:rPr>
                <w:rFonts w:hint="eastAsia"/>
                <w:b w:val="0"/>
                <w:bCs/>
              </w:rPr>
              <w:t>导轨架高度（m）</w:t>
            </w:r>
          </w:p>
        </w:tc>
        <w:tc>
          <w:tcPr>
            <w:tcW w:w="1544" w:type="pct"/>
            <w:shd w:val="clear" w:color="auto" w:fill="auto"/>
            <w:vAlign w:val="center"/>
          </w:tcPr>
          <w:p w14:paraId="0A2240B9">
            <w:pPr>
              <w:pStyle w:val="13"/>
              <w:rPr>
                <w:b w:val="0"/>
                <w:bCs/>
              </w:rPr>
            </w:pPr>
            <w:r>
              <w:rPr>
                <w:rFonts w:hint="eastAsia"/>
                <w:b w:val="0"/>
                <w:bCs/>
              </w:rPr>
              <w:t>h≤7</w:t>
            </w:r>
            <w:r>
              <w:rPr>
                <w:b w:val="0"/>
                <w:bCs/>
              </w:rPr>
              <w:t>0</w:t>
            </w:r>
          </w:p>
        </w:tc>
        <w:tc>
          <w:tcPr>
            <w:tcW w:w="515" w:type="pct"/>
            <w:shd w:val="clear" w:color="auto" w:fill="auto"/>
            <w:vAlign w:val="center"/>
          </w:tcPr>
          <w:p w14:paraId="36C7791E">
            <w:pPr>
              <w:pStyle w:val="13"/>
              <w:rPr>
                <w:b w:val="0"/>
                <w:bCs/>
              </w:rPr>
            </w:pPr>
            <w:r>
              <w:rPr>
                <w:rFonts w:hint="eastAsia"/>
                <w:b w:val="0"/>
                <w:bCs/>
              </w:rPr>
              <w:t>7</w:t>
            </w:r>
            <w:r>
              <w:rPr>
                <w:b w:val="0"/>
                <w:bCs/>
              </w:rPr>
              <w:t>0</w:t>
            </w:r>
            <w:r>
              <w:rPr>
                <w:rFonts w:hint="eastAsia"/>
                <w:b w:val="0"/>
                <w:bCs/>
              </w:rPr>
              <w:t>＜h≤</w:t>
            </w:r>
            <w:r>
              <w:rPr>
                <w:b w:val="0"/>
                <w:bCs/>
              </w:rPr>
              <w:t>100</w:t>
            </w:r>
          </w:p>
        </w:tc>
        <w:tc>
          <w:tcPr>
            <w:tcW w:w="599" w:type="pct"/>
            <w:shd w:val="clear" w:color="auto" w:fill="auto"/>
            <w:vAlign w:val="center"/>
          </w:tcPr>
          <w:p w14:paraId="03F0B12C">
            <w:pPr>
              <w:pStyle w:val="13"/>
              <w:rPr>
                <w:b w:val="0"/>
                <w:bCs/>
              </w:rPr>
            </w:pPr>
            <w:r>
              <w:rPr>
                <w:b w:val="0"/>
                <w:bCs/>
              </w:rPr>
              <w:t>100</w:t>
            </w:r>
            <w:r>
              <w:rPr>
                <w:rFonts w:hint="eastAsia"/>
                <w:b w:val="0"/>
                <w:bCs/>
              </w:rPr>
              <w:t>＜h≤</w:t>
            </w:r>
            <w:r>
              <w:rPr>
                <w:b w:val="0"/>
                <w:bCs/>
              </w:rPr>
              <w:t>150</w:t>
            </w:r>
          </w:p>
        </w:tc>
        <w:tc>
          <w:tcPr>
            <w:tcW w:w="600" w:type="pct"/>
            <w:shd w:val="clear" w:color="auto" w:fill="auto"/>
            <w:vAlign w:val="center"/>
          </w:tcPr>
          <w:p w14:paraId="37161675">
            <w:pPr>
              <w:pStyle w:val="13"/>
              <w:rPr>
                <w:b w:val="0"/>
                <w:bCs/>
              </w:rPr>
            </w:pPr>
            <w:r>
              <w:rPr>
                <w:b w:val="0"/>
                <w:bCs/>
              </w:rPr>
              <w:t>150</w:t>
            </w:r>
            <w:r>
              <w:rPr>
                <w:rFonts w:hint="eastAsia"/>
                <w:b w:val="0"/>
                <w:bCs/>
              </w:rPr>
              <w:t>＜h≤</w:t>
            </w:r>
            <w:r>
              <w:rPr>
                <w:b w:val="0"/>
                <w:bCs/>
              </w:rPr>
              <w:t>200</w:t>
            </w:r>
          </w:p>
        </w:tc>
        <w:tc>
          <w:tcPr>
            <w:tcW w:w="552" w:type="pct"/>
            <w:shd w:val="clear" w:color="auto" w:fill="auto"/>
            <w:vAlign w:val="center"/>
          </w:tcPr>
          <w:p w14:paraId="6AAA7EB9">
            <w:pPr>
              <w:pStyle w:val="13"/>
              <w:rPr>
                <w:b w:val="0"/>
                <w:bCs/>
              </w:rPr>
            </w:pPr>
            <w:r>
              <w:rPr>
                <w:rFonts w:hint="eastAsia"/>
                <w:b w:val="0"/>
                <w:bCs/>
              </w:rPr>
              <w:t>h＞2</w:t>
            </w:r>
            <w:r>
              <w:rPr>
                <w:b w:val="0"/>
                <w:bCs/>
              </w:rPr>
              <w:t>00</w:t>
            </w:r>
          </w:p>
        </w:tc>
      </w:tr>
      <w:tr w14:paraId="4B72E9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pct"/>
            <w:shd w:val="clear" w:color="auto" w:fill="auto"/>
            <w:vAlign w:val="center"/>
          </w:tcPr>
          <w:p w14:paraId="5F1C8300">
            <w:pPr>
              <w:pStyle w:val="13"/>
              <w:rPr>
                <w:b w:val="0"/>
                <w:bCs/>
              </w:rPr>
            </w:pPr>
            <w:r>
              <w:rPr>
                <w:rFonts w:hint="eastAsia"/>
                <w:b w:val="0"/>
                <w:bCs/>
              </w:rPr>
              <w:t>垂直度偏差值（mm）</w:t>
            </w:r>
          </w:p>
        </w:tc>
        <w:tc>
          <w:tcPr>
            <w:tcW w:w="1544" w:type="pct"/>
            <w:shd w:val="clear" w:color="auto" w:fill="auto"/>
            <w:vAlign w:val="center"/>
          </w:tcPr>
          <w:p w14:paraId="4247F130">
            <w:pPr>
              <w:pStyle w:val="13"/>
              <w:rPr>
                <w:b w:val="0"/>
                <w:bCs/>
              </w:rPr>
            </w:pPr>
            <w:r>
              <w:rPr>
                <w:rFonts w:hint="eastAsia"/>
                <w:b w:val="0"/>
                <w:bCs/>
              </w:rPr>
              <w:t>不大于导轨架架设高度的0</w:t>
            </w:r>
            <w:r>
              <w:rPr>
                <w:b w:val="0"/>
                <w:bCs/>
              </w:rPr>
              <w:t>.5/1000</w:t>
            </w:r>
          </w:p>
        </w:tc>
        <w:tc>
          <w:tcPr>
            <w:tcW w:w="515" w:type="pct"/>
            <w:shd w:val="clear" w:color="auto" w:fill="auto"/>
            <w:vAlign w:val="center"/>
          </w:tcPr>
          <w:p w14:paraId="243F66DA">
            <w:pPr>
              <w:pStyle w:val="13"/>
              <w:rPr>
                <w:b w:val="0"/>
                <w:bCs/>
              </w:rPr>
            </w:pPr>
            <w:r>
              <w:rPr>
                <w:rFonts w:hint="eastAsia"/>
                <w:b w:val="0"/>
                <w:bCs/>
              </w:rPr>
              <w:t>≤3</w:t>
            </w:r>
            <w:r>
              <w:rPr>
                <w:b w:val="0"/>
                <w:bCs/>
              </w:rPr>
              <w:t>5</w:t>
            </w:r>
          </w:p>
        </w:tc>
        <w:tc>
          <w:tcPr>
            <w:tcW w:w="599" w:type="pct"/>
            <w:shd w:val="clear" w:color="auto" w:fill="auto"/>
            <w:vAlign w:val="center"/>
          </w:tcPr>
          <w:p w14:paraId="64703971">
            <w:pPr>
              <w:pStyle w:val="13"/>
              <w:rPr>
                <w:b w:val="0"/>
                <w:bCs/>
              </w:rPr>
            </w:pPr>
            <w:r>
              <w:rPr>
                <w:rFonts w:hint="eastAsia"/>
                <w:b w:val="0"/>
                <w:bCs/>
              </w:rPr>
              <w:t>≤4</w:t>
            </w:r>
            <w:r>
              <w:rPr>
                <w:b w:val="0"/>
                <w:bCs/>
              </w:rPr>
              <w:t>0</w:t>
            </w:r>
          </w:p>
        </w:tc>
        <w:tc>
          <w:tcPr>
            <w:tcW w:w="600" w:type="pct"/>
            <w:shd w:val="clear" w:color="auto" w:fill="auto"/>
            <w:vAlign w:val="center"/>
          </w:tcPr>
          <w:p w14:paraId="3B87EFB5">
            <w:pPr>
              <w:pStyle w:val="13"/>
              <w:rPr>
                <w:b w:val="0"/>
                <w:bCs/>
              </w:rPr>
            </w:pPr>
            <w:r>
              <w:rPr>
                <w:rFonts w:hint="eastAsia"/>
                <w:b w:val="0"/>
                <w:bCs/>
              </w:rPr>
              <w:t>≤4</w:t>
            </w:r>
            <w:r>
              <w:rPr>
                <w:b w:val="0"/>
                <w:bCs/>
              </w:rPr>
              <w:t>5</w:t>
            </w:r>
          </w:p>
        </w:tc>
        <w:tc>
          <w:tcPr>
            <w:tcW w:w="552" w:type="pct"/>
            <w:shd w:val="clear" w:color="auto" w:fill="auto"/>
            <w:vAlign w:val="center"/>
          </w:tcPr>
          <w:p w14:paraId="17DF1508">
            <w:pPr>
              <w:pStyle w:val="13"/>
              <w:rPr>
                <w:b w:val="0"/>
                <w:bCs/>
              </w:rPr>
            </w:pPr>
            <w:r>
              <w:rPr>
                <w:rFonts w:hint="eastAsia"/>
                <w:b w:val="0"/>
                <w:bCs/>
              </w:rPr>
              <w:t>≤5</w:t>
            </w:r>
            <w:r>
              <w:rPr>
                <w:b w:val="0"/>
                <w:bCs/>
              </w:rPr>
              <w:t>0</w:t>
            </w:r>
          </w:p>
        </w:tc>
      </w:tr>
    </w:tbl>
    <w:p w14:paraId="0F8EBD2A">
      <w:pPr>
        <w:numPr>
          <w:ilvl w:val="0"/>
          <w:numId w:val="51"/>
        </w:numPr>
        <w:ind w:firstLineChars="0"/>
      </w:pPr>
      <w:r>
        <w:rPr>
          <w:rFonts w:hint="eastAsia"/>
        </w:rPr>
        <w:t>施工升降机附着安装水平角度应不大于正负8度。</w:t>
      </w:r>
    </w:p>
    <w:p w14:paraId="4E7241BA">
      <w:pPr>
        <w:pStyle w:val="4"/>
        <w:tabs>
          <w:tab w:val="left" w:pos="0"/>
        </w:tabs>
        <w:bidi w:val="0"/>
        <w:ind w:left="0" w:leftChars="0" w:firstLine="0" w:firstLineChars="0"/>
      </w:pPr>
      <w:bookmarkStart w:id="161" w:name="_Toc4990"/>
      <w:bookmarkStart w:id="162" w:name="_Toc5489"/>
      <w:r>
        <w:rPr>
          <w:rFonts w:hint="eastAsia"/>
        </w:rPr>
        <w:t>特殊季节保证措施</w:t>
      </w:r>
      <w:bookmarkEnd w:id="161"/>
      <w:bookmarkEnd w:id="162"/>
    </w:p>
    <w:p w14:paraId="6971B8D0">
      <w:pPr>
        <w:pStyle w:val="5"/>
        <w:tabs>
          <w:tab w:val="left" w:pos="0"/>
        </w:tabs>
        <w:bidi w:val="0"/>
        <w:ind w:left="0" w:leftChars="0" w:firstLine="0" w:firstLineChars="0"/>
      </w:pPr>
      <w:r>
        <w:rPr>
          <w:rFonts w:hint="eastAsia"/>
        </w:rPr>
        <w:t>雨季施工保证措施</w:t>
      </w:r>
    </w:p>
    <w:p w14:paraId="16F4CCFA">
      <w:pPr>
        <w:numPr>
          <w:ilvl w:val="0"/>
          <w:numId w:val="52"/>
        </w:numPr>
        <w:ind w:firstLineChars="0"/>
      </w:pPr>
      <w:r>
        <w:rPr>
          <w:rFonts w:hint="eastAsia"/>
        </w:rPr>
        <w:t>明确目标，建立制度，完善管理，落实责任，并及时上报处理汛期发生的各种质量和安全隐患，并严格按“四不放过”原则加强安全隐患的排查处理，防微杜渐，坚决减少汛期对工程建设质量和进度的影响，坚决预防、杜绝重特大安全事故发生。</w:t>
      </w:r>
    </w:p>
    <w:p w14:paraId="321B0272">
      <w:pPr>
        <w:numPr>
          <w:ilvl w:val="0"/>
          <w:numId w:val="52"/>
        </w:numPr>
        <w:ind w:firstLineChars="0"/>
      </w:pPr>
      <w:r>
        <w:rPr>
          <w:rFonts w:hint="eastAsia"/>
        </w:rPr>
        <w:t>制定雨季施工安全预案，做好防洪抢险的准备工作，高度重视雨季施工，把汛期施工作为安全生产的一项重要内容进行考核，制定汛期施工方案和相应的应急预案，落实防汛材料和设备，责任到人，确保不发生安全事故。</w:t>
      </w:r>
    </w:p>
    <w:p w14:paraId="4069794E">
      <w:pPr>
        <w:numPr>
          <w:ilvl w:val="0"/>
          <w:numId w:val="52"/>
        </w:numPr>
        <w:ind w:firstLineChars="0"/>
      </w:pPr>
      <w:r>
        <w:rPr>
          <w:rFonts w:hint="eastAsia"/>
        </w:rPr>
        <w:t>雨季施工要提前准备必要的防洪抢险器材、机具及遮盖材料，对水泥、钢材等工程材料要有防雨防潮、对施工机械应有防止洪水淹没等措施，确保突发洪水时能有足够的人力、物力进行抗洪抢险，避免洪水造成较大的损失。</w:t>
      </w:r>
    </w:p>
    <w:p w14:paraId="0795658A">
      <w:pPr>
        <w:numPr>
          <w:ilvl w:val="0"/>
          <w:numId w:val="52"/>
        </w:numPr>
        <w:ind w:firstLineChars="0"/>
      </w:pPr>
      <w:r>
        <w:rPr>
          <w:rFonts w:hint="eastAsia"/>
        </w:rPr>
        <w:t>施工场地和生活区要设置排水设施；施工现场应及时排除积水，并采取防滑措施。同时制定安全用电规程，严防漏电、触电；雷区应有防雷措施。</w:t>
      </w:r>
    </w:p>
    <w:p w14:paraId="6D686E14">
      <w:pPr>
        <w:numPr>
          <w:ilvl w:val="0"/>
          <w:numId w:val="52"/>
        </w:numPr>
        <w:ind w:firstLineChars="0"/>
      </w:pPr>
      <w:r>
        <w:rPr>
          <w:rFonts w:hint="eastAsia"/>
        </w:rPr>
        <w:t>雨季施工要避开大风大雨天气，遇暴风雨或受洪水危害时要停止施工作业。</w:t>
      </w:r>
    </w:p>
    <w:p w14:paraId="49CE8CD2">
      <w:pPr>
        <w:numPr>
          <w:ilvl w:val="0"/>
          <w:numId w:val="52"/>
        </w:numPr>
        <w:ind w:firstLineChars="0"/>
      </w:pPr>
      <w:r>
        <w:rPr>
          <w:rFonts w:hint="eastAsia"/>
        </w:rPr>
        <w:t>加强与气象部门的沟通，提前掌握天气变化趋势，对可能到来的大范围强降水要早知道、早预防、早准备，做到有备无患，最大程度地减小对施工的影响。</w:t>
      </w:r>
    </w:p>
    <w:p w14:paraId="7BAC01D4">
      <w:pPr>
        <w:numPr>
          <w:ilvl w:val="0"/>
          <w:numId w:val="52"/>
        </w:numPr>
        <w:ind w:firstLineChars="0"/>
      </w:pPr>
      <w:r>
        <w:rPr>
          <w:rFonts w:hint="eastAsia"/>
        </w:rPr>
        <w:t>施工现场的运输道路、生产生活房屋、变电所、发电机房、易燃易爆仓库、材料堆放以及动力通讯线路等重要、重点部位，要有专人值守和巡视，发现隐患要及时处理或上报。</w:t>
      </w:r>
    </w:p>
    <w:p w14:paraId="4719981F">
      <w:pPr>
        <w:numPr>
          <w:ilvl w:val="0"/>
          <w:numId w:val="52"/>
        </w:numPr>
        <w:ind w:firstLineChars="0"/>
      </w:pPr>
      <w:r>
        <w:rPr>
          <w:rFonts w:hint="eastAsia"/>
        </w:rPr>
        <w:t>如发生雨天浇筑混凝土的情况，要保证现场有足够的覆盖材料，及时覆盖。并预先设置施工缝，以便雨天能够及停止浇注。同时加强坍落度检测，保证混凝土强度。</w:t>
      </w:r>
    </w:p>
    <w:p w14:paraId="322BB4CA">
      <w:pPr>
        <w:numPr>
          <w:ilvl w:val="0"/>
          <w:numId w:val="52"/>
        </w:numPr>
        <w:ind w:firstLineChars="0"/>
      </w:pPr>
      <w:r>
        <w:rPr>
          <w:rFonts w:hint="eastAsia"/>
        </w:rPr>
        <w:t>注意安全用电，以防止漏电、触电。加强施工用电安全防护工作，机电设备的电闸箱采取防雨、防潮等措施，并安装好接地保护装置。</w:t>
      </w:r>
    </w:p>
    <w:p w14:paraId="1B667706">
      <w:pPr>
        <w:numPr>
          <w:ilvl w:val="0"/>
          <w:numId w:val="52"/>
        </w:numPr>
        <w:ind w:firstLineChars="0"/>
      </w:pPr>
      <w:r>
        <w:rPr>
          <w:rFonts w:hint="eastAsia"/>
        </w:rPr>
        <w:t>现场钢筋原材堆场要有良好的排水设施，钢筋原材堆放要用枕木垫起，以防止钢筋泡水生锈，在下雨前，要对所有钢筋原材、半成品钢筋加以覆盖，避免雨淋。</w:t>
      </w:r>
    </w:p>
    <w:p w14:paraId="169A5E51">
      <w:pPr>
        <w:numPr>
          <w:ilvl w:val="0"/>
          <w:numId w:val="52"/>
        </w:numPr>
        <w:ind w:firstLineChars="0"/>
      </w:pPr>
      <w:r>
        <w:rPr>
          <w:rFonts w:hint="eastAsia"/>
        </w:rPr>
        <w:t>当钢筋受雨淋而生锈时，应进行除锈处理后才能使用到工程中。若钢筋锈蚀严重，当视情况进行退场处理或降级使用。</w:t>
      </w:r>
    </w:p>
    <w:p w14:paraId="220C88A1">
      <w:pPr>
        <w:numPr>
          <w:ilvl w:val="0"/>
          <w:numId w:val="52"/>
        </w:numPr>
        <w:ind w:firstLineChars="0"/>
      </w:pPr>
      <w:r>
        <w:rPr>
          <w:rFonts w:hint="eastAsia"/>
        </w:rPr>
        <w:t>在雨季施工期间，项目所有员工均要配备雨鞋、雨衣。员工在雨天进行施工时，必须要穿好雨衣、雨鞋，防止因淋雨而生病。</w:t>
      </w:r>
    </w:p>
    <w:p w14:paraId="1DD47EF5">
      <w:pPr>
        <w:numPr>
          <w:ilvl w:val="0"/>
          <w:numId w:val="52"/>
        </w:numPr>
        <w:ind w:firstLineChars="0"/>
      </w:pPr>
      <w:r>
        <w:rPr>
          <w:rFonts w:hint="eastAsia"/>
        </w:rPr>
        <w:t>雨天不要进行钢筋焊接作业，预防施工漏电及雷电对人身安全造成伤害。</w:t>
      </w:r>
    </w:p>
    <w:p w14:paraId="64C8C9E2">
      <w:pPr>
        <w:pStyle w:val="5"/>
        <w:tabs>
          <w:tab w:val="left" w:pos="0"/>
        </w:tabs>
        <w:bidi w:val="0"/>
        <w:ind w:left="0" w:leftChars="0" w:firstLine="0" w:firstLineChars="0"/>
      </w:pPr>
      <w:r>
        <w:rPr>
          <w:rFonts w:hint="eastAsia"/>
        </w:rPr>
        <w:t>大风天气施工保证措施</w:t>
      </w:r>
    </w:p>
    <w:p w14:paraId="0CD6E147">
      <w:pPr>
        <w:numPr>
          <w:ilvl w:val="0"/>
          <w:numId w:val="53"/>
        </w:numPr>
        <w:ind w:firstLineChars="0"/>
      </w:pPr>
      <w:r>
        <w:rPr>
          <w:rFonts w:hint="eastAsia"/>
        </w:rPr>
        <w:t>加强当地气象网站的监听，随时通告有关大风信息，起重吊装作业要求在风力六级以下施工。</w:t>
      </w:r>
    </w:p>
    <w:p w14:paraId="1159FE4A">
      <w:pPr>
        <w:numPr>
          <w:ilvl w:val="0"/>
          <w:numId w:val="53"/>
        </w:numPr>
        <w:ind w:firstLineChars="0"/>
      </w:pPr>
      <w:r>
        <w:rPr>
          <w:rFonts w:hint="eastAsia"/>
        </w:rPr>
        <w:t>若遇六级以上大风时，及时停止起重吊装作业，并采取有效的防风措施。</w:t>
      </w:r>
    </w:p>
    <w:p w14:paraId="22CEBE52">
      <w:pPr>
        <w:numPr>
          <w:ilvl w:val="0"/>
          <w:numId w:val="53"/>
        </w:numPr>
        <w:ind w:firstLineChars="0"/>
      </w:pPr>
      <w:r>
        <w:rPr>
          <w:rFonts w:hint="eastAsia"/>
        </w:rPr>
        <w:t>针对季风期内突发风以及大风等天气，对现场机械设备、临时设施采取加固措施。</w:t>
      </w:r>
    </w:p>
    <w:p w14:paraId="54929D37">
      <w:pPr>
        <w:numPr>
          <w:ilvl w:val="0"/>
          <w:numId w:val="53"/>
        </w:numPr>
        <w:ind w:firstLineChars="0"/>
      </w:pPr>
      <w:r>
        <w:rPr>
          <w:rFonts w:hint="eastAsia"/>
        </w:rPr>
        <w:t>季风期施工时，将作业平台上小型物件及不稳定物体进行绑牢、安装稳定，防止物件掉落。</w:t>
      </w:r>
    </w:p>
    <w:p w14:paraId="46723A3B">
      <w:pPr>
        <w:numPr>
          <w:ilvl w:val="0"/>
          <w:numId w:val="53"/>
        </w:numPr>
        <w:ind w:firstLineChars="0"/>
      </w:pPr>
      <w:r>
        <w:rPr>
          <w:rFonts w:hint="eastAsia"/>
        </w:rPr>
        <w:t>积极与当地相关部门联系，服从其统一领导和调度，努力配合工作。</w:t>
      </w:r>
    </w:p>
    <w:p w14:paraId="2B14C50E">
      <w:pPr>
        <w:numPr>
          <w:ilvl w:val="0"/>
          <w:numId w:val="53"/>
        </w:numPr>
        <w:ind w:firstLineChars="0"/>
      </w:pPr>
      <w:r>
        <w:rPr>
          <w:rFonts w:hint="eastAsia"/>
        </w:rPr>
        <w:t>有关人员配备通讯设备（如对讲机），加强联系，互通情况。</w:t>
      </w:r>
    </w:p>
    <w:p w14:paraId="4A325A92">
      <w:pPr>
        <w:pStyle w:val="4"/>
        <w:spacing w:before="156" w:after="156"/>
        <w:ind w:left="480" w:leftChars="0" w:firstLineChars="0"/>
        <w:rPr>
          <w:rFonts w:hint="eastAsia" w:eastAsia="宋体"/>
          <w:color w:val="auto"/>
          <w:lang w:val="en-US" w:eastAsia="zh-CN"/>
        </w:rPr>
      </w:pPr>
      <w:bookmarkStart w:id="163" w:name="_Toc1883"/>
      <w:r>
        <w:rPr>
          <w:rFonts w:hint="eastAsia" w:eastAsia="宋体"/>
          <w:color w:val="auto"/>
          <w:lang w:val="en-US" w:eastAsia="zh-CN"/>
        </w:rPr>
        <w:t>监测监控措施</w:t>
      </w:r>
      <w:bookmarkEnd w:id="163"/>
    </w:p>
    <w:p w14:paraId="59B76F73">
      <w:pPr>
        <w:ind w:firstLine="480"/>
        <w:rPr>
          <w:rFonts w:hint="eastAsia" w:ascii="Times New Roman" w:hAnsi="Times New Roman" w:eastAsia="宋体" w:cs="Times New Roman"/>
          <w:color w:val="auto"/>
        </w:rPr>
      </w:pPr>
      <w:r>
        <w:rPr>
          <w:rFonts w:hint="eastAsia" w:ascii="Times New Roman" w:hAnsi="Times New Roman" w:eastAsia="宋体" w:cs="Times New Roman"/>
          <w:color w:val="auto"/>
        </w:rPr>
        <w:t>施工过程中，安全员必须对工人的施工操作进行监控。整个监控通过现场的指导，定期检查及不定期的检查来执行。</w:t>
      </w:r>
    </w:p>
    <w:p w14:paraId="6E95C5C9">
      <w:pPr>
        <w:ind w:firstLine="480"/>
        <w:rPr>
          <w:rFonts w:hint="eastAsia" w:ascii="Times New Roman" w:hAnsi="Times New Roman" w:eastAsia="宋体" w:cs="Times New Roman"/>
          <w:color w:val="auto"/>
        </w:rPr>
      </w:pPr>
      <w:r>
        <w:rPr>
          <w:rFonts w:hint="eastAsia" w:ascii="Times New Roman" w:hAnsi="Times New Roman" w:eastAsia="宋体" w:cs="Times New Roman"/>
          <w:color w:val="auto"/>
        </w:rPr>
        <w:t>在施工过程中，由安全专项方案作为指导，同时依据相关安全生产规范，在现场指导工人的操作是否规范，有问题的现场要求整改或指导。在生产过程中应组织生产管理相关部门的定期检查，对容易出现问题的工序要加强监控，对不容易出现问题的施工工序也要时有监控。通过加强监控来树立工人对安全生产的意识。安全部也要组织不定期的突击检查，以加强监控力度及覆盖外围。</w:t>
      </w:r>
    </w:p>
    <w:p w14:paraId="5F7E88D6">
      <w:pPr>
        <w:pStyle w:val="4"/>
        <w:spacing w:before="156" w:after="156"/>
        <w:ind w:left="480" w:leftChars="0" w:firstLineChars="0"/>
        <w:rPr>
          <w:rFonts w:hint="eastAsia" w:eastAsia="宋体"/>
          <w:color w:val="auto"/>
          <w:lang w:val="en-US" w:eastAsia="zh-CN"/>
        </w:rPr>
      </w:pPr>
      <w:bookmarkStart w:id="164" w:name="_Toc10301"/>
      <w:bookmarkStart w:id="165" w:name="_Toc24745_WPSOffice_Level2"/>
      <w:bookmarkStart w:id="166" w:name="_Toc530055697"/>
      <w:r>
        <w:rPr>
          <w:rFonts w:hint="eastAsia" w:eastAsia="宋体"/>
          <w:color w:val="auto"/>
          <w:lang w:val="en-US" w:eastAsia="zh-CN"/>
        </w:rPr>
        <w:t>电气设备</w:t>
      </w:r>
      <w:bookmarkEnd w:id="164"/>
    </w:p>
    <w:bookmarkEnd w:id="165"/>
    <w:bookmarkEnd w:id="166"/>
    <w:p w14:paraId="3CC96C9F">
      <w:pPr>
        <w:spacing w:line="360" w:lineRule="auto"/>
        <w:ind w:firstLine="482" w:firstLineChars="200"/>
        <w:rPr>
          <w:rFonts w:ascii="宋体" w:hAnsi="宋体" w:eastAsia="宋体" w:cs="宋体"/>
          <w:b/>
          <w:color w:val="auto"/>
          <w:sz w:val="24"/>
          <w:szCs w:val="24"/>
        </w:rPr>
      </w:pPr>
      <w:bookmarkStart w:id="167" w:name="_Toc530055698"/>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1</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电气部分</w:t>
      </w:r>
      <w:bookmarkEnd w:id="167"/>
    </w:p>
    <w:p w14:paraId="24EB0EA6">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起重机电气系统的设计符合GB3811-2008《起重机设计规范》和GB6067</w:t>
      </w: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-2010《起重机械安全规程》的各项规定。起重机的电气设备能够保证机械的传动性能、电气的监控及保护性能安全、准确和可靠。在起重机发生紧急情况下，操作人员能够在司机室切断电源,安全停车。</w:t>
      </w:r>
    </w:p>
    <w:p w14:paraId="6231F7DE">
      <w:pPr>
        <w:spacing w:line="360" w:lineRule="auto"/>
        <w:ind w:firstLine="482" w:firstLineChars="200"/>
        <w:rPr>
          <w:rFonts w:ascii="宋体" w:hAnsi="宋体" w:eastAsia="宋体" w:cs="宋体"/>
          <w:b/>
          <w:color w:val="auto"/>
          <w:sz w:val="24"/>
          <w:szCs w:val="24"/>
        </w:rPr>
      </w:pPr>
      <w:bookmarkStart w:id="168" w:name="_Toc530055699"/>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供电</w:t>
      </w:r>
      <w:bookmarkEnd w:id="168"/>
    </w:p>
    <w:p w14:paraId="75A276FE">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起重机供电电源为三相交流电源,电压380V±10%,频率50HZ。</w:t>
      </w:r>
    </w:p>
    <w:p w14:paraId="5EBC538D">
      <w:pPr>
        <w:spacing w:line="360" w:lineRule="auto"/>
        <w:ind w:firstLine="482" w:firstLineChars="200"/>
        <w:rPr>
          <w:rFonts w:ascii="宋体" w:hAnsi="宋体" w:eastAsia="宋体" w:cs="宋体"/>
          <w:b/>
          <w:color w:val="auto"/>
          <w:sz w:val="24"/>
          <w:szCs w:val="24"/>
        </w:rPr>
      </w:pPr>
      <w:bookmarkStart w:id="169" w:name="_Toc530055700"/>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3</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电气保护</w:t>
      </w:r>
      <w:bookmarkEnd w:id="169"/>
    </w:p>
    <w:p w14:paraId="3E76A8ED">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1）短路及过载保护</w:t>
      </w:r>
    </w:p>
    <w:p w14:paraId="62EC96CB">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起重机总受电屏、控制屏进出电源设置断路器、控制回路设置小容量断路器，使各机构在短路，过载等事故状态下，迅速与电源脱离,以达到保护设备及</w:t>
      </w:r>
      <w:bookmarkStart w:id="170" w:name="_Toc20258_WPSOffice_Level2"/>
      <w:r>
        <w:rPr>
          <w:rFonts w:hint="eastAsia" w:ascii="宋体" w:hAnsi="宋体" w:eastAsia="宋体" w:cs="宋体"/>
          <w:color w:val="auto"/>
          <w:sz w:val="24"/>
          <w:szCs w:val="24"/>
        </w:rPr>
        <w:t>人机安全的目的。</w:t>
      </w:r>
      <w:bookmarkEnd w:id="170"/>
    </w:p>
    <w:p w14:paraId="21EFFBBA">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2）失压保护</w:t>
      </w:r>
    </w:p>
    <w:p w14:paraId="6408C791">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在总受电屏及机构控制屏中，用线路接触器</w:t>
      </w:r>
      <w:bookmarkStart w:id="171" w:name="_Toc12226_WPSOffice_Level2"/>
      <w:r>
        <w:rPr>
          <w:rFonts w:hint="eastAsia" w:ascii="宋体" w:hAnsi="宋体" w:eastAsia="宋体" w:cs="宋体"/>
          <w:color w:val="auto"/>
          <w:sz w:val="24"/>
          <w:szCs w:val="24"/>
        </w:rPr>
        <w:t>作为失压保护</w:t>
      </w:r>
      <w:bookmarkEnd w:id="171"/>
      <w:r>
        <w:rPr>
          <w:rFonts w:hint="eastAsia" w:ascii="宋体" w:hAnsi="宋体" w:eastAsia="宋体" w:cs="宋体"/>
          <w:color w:val="auto"/>
          <w:sz w:val="24"/>
          <w:szCs w:val="24"/>
        </w:rPr>
        <w:t>装置，当供电电源中断时,能够自动断开电源。</w:t>
      </w:r>
    </w:p>
    <w:p w14:paraId="12F75D7C">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3）零位保护</w:t>
      </w:r>
    </w:p>
    <w:p w14:paraId="0E01862D">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司机室的联动台凸轮控制器手柄上设有零位连锁，达到零位的目的。即当起重机开始运转前和失压恢复供电时，必须将控制器的手柄置于零位，各机构</w:t>
      </w:r>
      <w:bookmarkStart w:id="172" w:name="_Toc29864_WPSOffice_Level1"/>
      <w:r>
        <w:rPr>
          <w:rFonts w:hint="eastAsia" w:ascii="宋体" w:hAnsi="宋体" w:eastAsia="宋体" w:cs="宋体"/>
          <w:color w:val="auto"/>
          <w:sz w:val="24"/>
          <w:szCs w:val="24"/>
        </w:rPr>
        <w:t>的电动机才能启动工作。</w:t>
      </w:r>
      <w:bookmarkEnd w:id="172"/>
    </w:p>
    <w:p w14:paraId="394FF6E1">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4）紧急断电保护</w:t>
      </w:r>
    </w:p>
    <w:p w14:paraId="594A38A2">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司机室内设有紧急断电按钮，当起重机发生紧急情况时，随时方便地切断控制回路电源，从而使主回路断电，确保起重机的安全运行。</w:t>
      </w:r>
    </w:p>
    <w:p w14:paraId="688E103E">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5）起升,行程限位保护</w:t>
      </w:r>
    </w:p>
    <w:p w14:paraId="3F1FEB88">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起升采用变频控制，起升机构设有限位开关，可保证吊钩上升到极限位置时切断电源，变幅、回转运行到极限位置时切断控制回路电源，使主回路断电，从而达到减速和停</w:t>
      </w:r>
      <w:bookmarkStart w:id="173" w:name="_Toc27220_WPSOffice_Level2"/>
      <w:r>
        <w:rPr>
          <w:rFonts w:hint="eastAsia" w:ascii="宋体" w:hAnsi="宋体" w:eastAsia="宋体" w:cs="宋体"/>
          <w:color w:val="auto"/>
          <w:sz w:val="24"/>
          <w:szCs w:val="24"/>
        </w:rPr>
        <w:t>车的目的，确保起重机的</w:t>
      </w:r>
      <w:bookmarkEnd w:id="173"/>
      <w:r>
        <w:rPr>
          <w:rFonts w:hint="eastAsia" w:ascii="宋体" w:hAnsi="宋体" w:eastAsia="宋体" w:cs="宋体"/>
          <w:color w:val="auto"/>
          <w:sz w:val="24"/>
          <w:szCs w:val="24"/>
        </w:rPr>
        <w:t>安全运行。</w:t>
      </w:r>
    </w:p>
    <w:p w14:paraId="38585993">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7）超载保护</w:t>
      </w:r>
    </w:p>
    <w:p w14:paraId="53809C36">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起升机构配置超载限制器，具有报警功能，当载荷达到额定起重量的90％时，能发出提示性报警信号，当起重量超过额定起重量时，能自动切断起升动力源，并发出禁止性报警信号。</w:t>
      </w:r>
    </w:p>
    <w:p w14:paraId="6EAC83A9">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8）控制柜,端子箱防护等级IP55，端子箱采用下部或侧部进线上部做防雨，槽盖加防脱落装置。</w:t>
      </w:r>
    </w:p>
    <w:p w14:paraId="0D302959">
      <w:pPr>
        <w:spacing w:line="360" w:lineRule="auto"/>
        <w:ind w:firstLine="482" w:firstLineChars="200"/>
        <w:rPr>
          <w:rFonts w:ascii="宋体" w:hAnsi="宋体" w:eastAsia="宋体" w:cs="宋体"/>
          <w:b/>
          <w:color w:val="auto"/>
          <w:sz w:val="24"/>
          <w:szCs w:val="24"/>
        </w:rPr>
      </w:pPr>
      <w:bookmarkStart w:id="174" w:name="_Toc530055703"/>
      <w:bookmarkStart w:id="175" w:name="_Toc530055701"/>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4</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起重机的接地</w:t>
      </w:r>
      <w:bookmarkEnd w:id="174"/>
    </w:p>
    <w:p w14:paraId="61C372EE">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1）起重机的金属结构及所有电气设备的金属外壳，电缆金属外皮和变压器的低压侧均有可靠的接地。</w:t>
      </w:r>
    </w:p>
    <w:p w14:paraId="153CA5CB">
      <w:pPr>
        <w:spacing w:line="360" w:lineRule="auto"/>
        <w:ind w:firstLine="480"/>
        <w:rPr>
          <w:rFonts w:ascii="宋体" w:hAnsi="宋体" w:eastAsia="宋体" w:cs="宋体"/>
          <w:color w:val="auto"/>
          <w:sz w:val="24"/>
          <w:szCs w:val="24"/>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）起重机上任何一点的接地电阻均不大于4Ω。</w:t>
      </w:r>
    </w:p>
    <w:p w14:paraId="2838F6E4">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5</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操纵方式</w:t>
      </w:r>
      <w:bookmarkEnd w:id="175"/>
    </w:p>
    <w:p w14:paraId="3A811E9D">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1）司机室设有总电源和控制电源开关状态信号指示灯。</w:t>
      </w:r>
    </w:p>
    <w:p w14:paraId="73481A02">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2）司机室设置交流220V电源插座及三相380V电源，备接其它电气设备。</w:t>
      </w:r>
    </w:p>
    <w:p w14:paraId="36779362">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3）司机室设有36V插座，以便于检修作业。</w:t>
      </w:r>
    </w:p>
    <w:p w14:paraId="3EBB72BF">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4）司机室用交流220V/40W荧光灯具照明，以满足照度不低于200LX的要求。</w:t>
      </w:r>
    </w:p>
    <w:p w14:paraId="53BA3E20">
      <w:pPr>
        <w:spacing w:line="360" w:lineRule="auto"/>
        <w:ind w:firstLine="482" w:firstLineChars="200"/>
        <w:rPr>
          <w:rFonts w:ascii="宋体" w:hAnsi="宋体" w:eastAsia="宋体" w:cs="宋体"/>
          <w:b/>
          <w:color w:val="auto"/>
          <w:sz w:val="24"/>
          <w:szCs w:val="24"/>
        </w:rPr>
      </w:pPr>
      <w:bookmarkStart w:id="176" w:name="_Toc530055702"/>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6</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照明信号</w:t>
      </w:r>
      <w:bookmarkEnd w:id="176"/>
    </w:p>
    <w:p w14:paraId="4705B2BF">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照明及信号部分设有专用的隔离变压器。原边进线电压为交流380V，副边出线电压为交流220V，交流36V。交流220V为起重机照明电源；交流36V为起重机安全信号和检修电源。照明变压器从主接触器上端引线，以保证主接触器断电时，照明回路不断电。</w:t>
      </w:r>
    </w:p>
    <w:p w14:paraId="7DD77062">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2）设有报警装置,操作时起提示作用，在司机室通过按钮开关控制。</w:t>
      </w:r>
    </w:p>
    <w:p w14:paraId="49FB59CB">
      <w:pPr>
        <w:spacing w:line="360" w:lineRule="auto"/>
        <w:ind w:firstLine="482" w:firstLineChars="200"/>
        <w:rPr>
          <w:rFonts w:ascii="宋体" w:hAnsi="宋体" w:eastAsia="宋体" w:cs="宋体"/>
          <w:b/>
          <w:color w:val="auto"/>
          <w:sz w:val="24"/>
          <w:szCs w:val="24"/>
        </w:rPr>
      </w:pPr>
      <w:bookmarkStart w:id="177" w:name="_Toc530055704"/>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7</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其它</w:t>
      </w:r>
      <w:bookmarkEnd w:id="177"/>
    </w:p>
    <w:p w14:paraId="298C1E8B">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1）起重机上布线采用截面积不小于2.5 mm²的铜导线。</w:t>
      </w:r>
    </w:p>
    <w:p w14:paraId="495FDC11">
      <w:pPr>
        <w:pStyle w:val="81"/>
        <w:jc w:val="left"/>
        <w:rPr>
          <w:color w:val="auto"/>
        </w:rPr>
      </w:pPr>
      <w:r>
        <w:rPr>
          <w:rFonts w:hint="eastAsia"/>
          <w:color w:val="auto"/>
        </w:rPr>
        <w:t>2）总受电屏和各机构控制屏中的布线采用铜导线和铜排。</w:t>
      </w:r>
    </w:p>
    <w:p w14:paraId="7D82CD1F">
      <w:pPr>
        <w:pStyle w:val="9"/>
        <w:ind w:left="0" w:leftChars="0" w:firstLine="0" w:firstLineChars="0"/>
        <w:rPr>
          <w:rFonts w:hint="eastAsia"/>
          <w:color w:val="auto"/>
        </w:rPr>
      </w:pPr>
    </w:p>
    <w:p w14:paraId="3A83EB4F">
      <w:pPr>
        <w:pStyle w:val="26"/>
        <w:ind w:left="0" w:leftChars="0" w:firstLine="0" w:firstLineChars="0"/>
        <w:rPr>
          <w:rFonts w:hint="eastAsia"/>
          <w:color w:val="auto"/>
        </w:rPr>
      </w:pPr>
    </w:p>
    <w:p w14:paraId="6A724463">
      <w:pPr>
        <w:pStyle w:val="26"/>
        <w:ind w:left="0" w:leftChars="0" w:firstLine="0" w:firstLineChars="0"/>
        <w:rPr>
          <w:color w:val="auto"/>
        </w:rPr>
      </w:pPr>
    </w:p>
    <w:p w14:paraId="4E7759E6">
      <w:pPr>
        <w:ind w:firstLine="480"/>
        <w:rPr>
          <w:rFonts w:hint="eastAsia"/>
          <w:color w:val="auto"/>
        </w:rPr>
      </w:pPr>
    </w:p>
    <w:p w14:paraId="495E9E6B">
      <w:pPr>
        <w:ind w:firstLine="480"/>
        <w:rPr>
          <w:rFonts w:hint="eastAsia"/>
          <w:color w:val="auto"/>
        </w:rPr>
      </w:pPr>
    </w:p>
    <w:p w14:paraId="73AB18EB">
      <w:pPr>
        <w:ind w:firstLine="480"/>
        <w:rPr>
          <w:rFonts w:hint="eastAsia"/>
          <w:color w:val="auto"/>
        </w:rPr>
      </w:pPr>
    </w:p>
    <w:p w14:paraId="25EAC30C">
      <w:pPr>
        <w:ind w:firstLine="480"/>
        <w:rPr>
          <w:rFonts w:hint="eastAsia"/>
          <w:color w:val="auto"/>
        </w:rPr>
      </w:pPr>
    </w:p>
    <w:p w14:paraId="379273E5">
      <w:pPr>
        <w:ind w:firstLine="480"/>
        <w:rPr>
          <w:rFonts w:hint="eastAsia"/>
          <w:color w:val="auto"/>
        </w:rPr>
      </w:pPr>
    </w:p>
    <w:bookmarkEnd w:id="144"/>
    <w:bookmarkEnd w:id="145"/>
    <w:bookmarkEnd w:id="146"/>
    <w:bookmarkEnd w:id="147"/>
    <w:bookmarkEnd w:id="148"/>
    <w:bookmarkEnd w:id="149"/>
    <w:p w14:paraId="1DE28D19">
      <w:pPr>
        <w:ind w:left="0" w:leftChars="0" w:firstLine="0" w:firstLineChars="0"/>
        <w:rPr>
          <w:color w:val="auto"/>
        </w:rPr>
      </w:pPr>
    </w:p>
    <w:p w14:paraId="7797C548">
      <w:pPr>
        <w:ind w:firstLine="480"/>
        <w:rPr>
          <w:color w:val="auto"/>
        </w:rPr>
        <w:sectPr>
          <w:headerReference r:id="rId15" w:type="default"/>
          <w:footerReference r:id="rId16" w:type="default"/>
          <w:pgSz w:w="11906" w:h="16838"/>
          <w:pgMar w:top="1440" w:right="1800" w:bottom="1440" w:left="1800" w:header="851" w:footer="992" w:gutter="0"/>
          <w:pgNumType w:fmt="decimal"/>
          <w:cols w:space="425" w:num="1"/>
          <w:docGrid w:type="lines" w:linePitch="312" w:charSpace="0"/>
        </w:sectPr>
      </w:pPr>
    </w:p>
    <w:p w14:paraId="6769ED84">
      <w:pPr>
        <w:pStyle w:val="3"/>
        <w:spacing w:before="156" w:after="156"/>
        <w:rPr>
          <w:color w:val="auto"/>
        </w:rPr>
      </w:pPr>
      <w:bookmarkStart w:id="178" w:name="_Toc40778447"/>
      <w:bookmarkStart w:id="179" w:name="_Toc12968"/>
      <w:bookmarkStart w:id="180" w:name="_Toc2870"/>
      <w:bookmarkStart w:id="181" w:name="_Toc15539"/>
      <w:r>
        <w:rPr>
          <w:rFonts w:hint="eastAsia"/>
          <w:color w:val="auto"/>
        </w:rPr>
        <w:t>施工管理及作业人员配备和分工</w:t>
      </w:r>
      <w:bookmarkEnd w:id="178"/>
      <w:bookmarkEnd w:id="179"/>
      <w:bookmarkEnd w:id="180"/>
      <w:bookmarkEnd w:id="181"/>
    </w:p>
    <w:p w14:paraId="12DA363C">
      <w:pPr>
        <w:pStyle w:val="4"/>
        <w:numPr>
          <w:ilvl w:val="0"/>
          <w:numId w:val="0"/>
        </w:numPr>
        <w:ind w:left="420" w:leftChars="0"/>
        <w:rPr>
          <w:rFonts w:hint="eastAsia"/>
          <w:color w:val="auto"/>
          <w:lang w:val="en-US" w:eastAsia="zh-CN"/>
        </w:rPr>
      </w:pPr>
      <w:bookmarkStart w:id="182" w:name="_Toc6498"/>
      <w:r>
        <w:rPr>
          <w:rFonts w:hint="eastAsia"/>
          <w:color w:val="auto"/>
          <w:lang w:val="en-US" w:eastAsia="zh-CN"/>
        </w:rPr>
        <w:t>7.1施工管理人员配备和分工</w:t>
      </w:r>
      <w:bookmarkEnd w:id="182"/>
    </w:p>
    <w:p w14:paraId="7121D9C4">
      <w:pPr>
        <w:pStyle w:val="12"/>
        <w:ind w:firstLine="422"/>
        <w:jc w:val="center"/>
        <w:rPr>
          <w:rFonts w:ascii="Times New Roman" w:hAnsi="Times New Roman" w:eastAsia="宋体"/>
          <w:b/>
          <w:color w:val="auto"/>
          <w:sz w:val="21"/>
          <w:szCs w:val="24"/>
        </w:rPr>
      </w:pPr>
      <w:r>
        <w:rPr>
          <w:rFonts w:hint="eastAsia" w:ascii="Times New Roman" w:hAnsi="Times New Roman" w:eastAsia="宋体"/>
          <w:b/>
          <w:color w:val="auto"/>
          <w:sz w:val="21"/>
          <w:szCs w:val="24"/>
          <w:lang w:eastAsia="zh-CN"/>
        </w:rPr>
        <w:t>表</w:t>
      </w:r>
      <w:r>
        <w:rPr>
          <w:rFonts w:hint="eastAsia" w:ascii="Times New Roman" w:hAnsi="Times New Roman" w:eastAsia="宋体"/>
          <w:b/>
          <w:color w:val="auto"/>
          <w:sz w:val="21"/>
          <w:szCs w:val="24"/>
          <w:lang w:val="en-US" w:eastAsia="zh-CN"/>
        </w:rPr>
        <w:t>7.1</w:t>
      </w:r>
      <w:r>
        <w:rPr>
          <w:rFonts w:ascii="Times New Roman" w:hAnsi="Times New Roman" w:eastAsia="宋体"/>
          <w:b/>
          <w:color w:val="auto"/>
          <w:sz w:val="21"/>
          <w:szCs w:val="24"/>
        </w:rPr>
        <w:noBreakHyphen/>
      </w:r>
      <w:r>
        <w:rPr>
          <w:rFonts w:ascii="Times New Roman" w:hAnsi="Times New Roman" w:eastAsia="宋体"/>
          <w:b/>
          <w:color w:val="auto"/>
          <w:sz w:val="21"/>
          <w:szCs w:val="24"/>
        </w:rPr>
        <w:fldChar w:fldCharType="begin"/>
      </w:r>
      <w:r>
        <w:rPr>
          <w:rFonts w:ascii="Times New Roman" w:hAnsi="Times New Roman" w:eastAsia="宋体"/>
          <w:b/>
          <w:color w:val="auto"/>
          <w:sz w:val="21"/>
          <w:szCs w:val="24"/>
        </w:rPr>
        <w:instrText xml:space="preserve"> SEQ 表 \* ARABIC \s 2 </w:instrText>
      </w:r>
      <w:r>
        <w:rPr>
          <w:rFonts w:ascii="Times New Roman" w:hAnsi="Times New Roman" w:eastAsia="宋体"/>
          <w:b/>
          <w:color w:val="auto"/>
          <w:sz w:val="21"/>
          <w:szCs w:val="24"/>
        </w:rPr>
        <w:fldChar w:fldCharType="separate"/>
      </w:r>
      <w:r>
        <w:rPr>
          <w:rFonts w:ascii="Times New Roman" w:hAnsi="Times New Roman" w:eastAsia="宋体"/>
          <w:b/>
          <w:color w:val="auto"/>
          <w:sz w:val="21"/>
          <w:szCs w:val="24"/>
        </w:rPr>
        <w:t>1</w:t>
      </w:r>
      <w:r>
        <w:rPr>
          <w:rFonts w:ascii="Times New Roman" w:hAnsi="Times New Roman" w:eastAsia="宋体"/>
          <w:b/>
          <w:color w:val="auto"/>
          <w:sz w:val="21"/>
          <w:szCs w:val="24"/>
        </w:rPr>
        <w:fldChar w:fldCharType="end"/>
      </w:r>
      <w:r>
        <w:rPr>
          <w:rFonts w:ascii="Times New Roman" w:hAnsi="Times New Roman" w:eastAsia="宋体"/>
          <w:b/>
          <w:color w:val="auto"/>
          <w:sz w:val="21"/>
          <w:szCs w:val="24"/>
        </w:rPr>
        <w:t xml:space="preserve">  </w:t>
      </w:r>
      <w:r>
        <w:rPr>
          <w:rFonts w:hint="eastAsia" w:ascii="Times New Roman" w:hAnsi="Times New Roman" w:eastAsia="宋体"/>
          <w:b/>
          <w:color w:val="auto"/>
          <w:sz w:val="21"/>
          <w:szCs w:val="24"/>
        </w:rPr>
        <w:t>项目主要管理人员配备</w:t>
      </w:r>
      <w:r>
        <w:rPr>
          <w:rFonts w:ascii="Times New Roman" w:hAnsi="Times New Roman" w:eastAsia="宋体"/>
          <w:b/>
          <w:color w:val="auto"/>
          <w:sz w:val="21"/>
          <w:szCs w:val="24"/>
        </w:rPr>
        <w:t>表</w:t>
      </w:r>
    </w:p>
    <w:tbl>
      <w:tblPr>
        <w:tblStyle w:val="27"/>
        <w:tblW w:w="902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171"/>
        <w:gridCol w:w="6353"/>
      </w:tblGrid>
      <w:tr w14:paraId="1928CEE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shd w:val="clear" w:color="auto" w:fill="C7DAF1" w:themeFill="text2" w:themeFillTint="32"/>
            <w:vAlign w:val="center"/>
          </w:tcPr>
          <w:p w14:paraId="4E639900">
            <w:pPr>
              <w:pStyle w:val="70"/>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职 务</w:t>
            </w:r>
          </w:p>
        </w:tc>
        <w:tc>
          <w:tcPr>
            <w:tcW w:w="1171" w:type="dxa"/>
            <w:tcBorders>
              <w:tl2br w:val="nil"/>
              <w:tr2bl w:val="nil"/>
            </w:tcBorders>
            <w:shd w:val="clear" w:color="auto" w:fill="C7DAF1" w:themeFill="text2" w:themeFillTint="32"/>
            <w:vAlign w:val="center"/>
          </w:tcPr>
          <w:p w14:paraId="1E75B3FD">
            <w:pPr>
              <w:pStyle w:val="70"/>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 名</w:t>
            </w:r>
          </w:p>
        </w:tc>
        <w:tc>
          <w:tcPr>
            <w:tcW w:w="6353" w:type="dxa"/>
            <w:tcBorders>
              <w:tl2br w:val="nil"/>
              <w:tr2bl w:val="nil"/>
            </w:tcBorders>
            <w:shd w:val="clear" w:color="auto" w:fill="C7DAF1" w:themeFill="text2" w:themeFillTint="32"/>
            <w:vAlign w:val="center"/>
          </w:tcPr>
          <w:p w14:paraId="24035FB9">
            <w:pPr>
              <w:pStyle w:val="70"/>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 作 职 责</w:t>
            </w:r>
          </w:p>
        </w:tc>
      </w:tr>
      <w:tr w14:paraId="385433A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6399E906">
            <w:pPr>
              <w:pStyle w:val="70"/>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项目负责人</w:t>
            </w:r>
          </w:p>
        </w:tc>
        <w:tc>
          <w:tcPr>
            <w:tcW w:w="1171" w:type="dxa"/>
            <w:tcBorders>
              <w:tl2br w:val="nil"/>
              <w:tr2bl w:val="nil"/>
            </w:tcBorders>
            <w:vAlign w:val="center"/>
          </w:tcPr>
          <w:p w14:paraId="5E23329A">
            <w:pPr>
              <w:pStyle w:val="70"/>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彭善忠</w:t>
            </w:r>
          </w:p>
        </w:tc>
        <w:tc>
          <w:tcPr>
            <w:tcW w:w="6353" w:type="dxa"/>
            <w:tcBorders>
              <w:tl2br w:val="nil"/>
              <w:tr2bl w:val="nil"/>
            </w:tcBorders>
            <w:vAlign w:val="center"/>
          </w:tcPr>
          <w:p w14:paraId="46300AA3">
            <w:pPr>
              <w:pStyle w:val="70"/>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负责整个项目实施，保证工期、质量安全处于受控状态。</w:t>
            </w:r>
          </w:p>
        </w:tc>
      </w:tr>
      <w:tr w14:paraId="41DBF41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3AD3BBFF">
            <w:pPr>
              <w:pStyle w:val="70"/>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技术负责人</w:t>
            </w:r>
          </w:p>
        </w:tc>
        <w:tc>
          <w:tcPr>
            <w:tcW w:w="1171" w:type="dxa"/>
            <w:tcBorders>
              <w:tl2br w:val="nil"/>
              <w:tr2bl w:val="nil"/>
            </w:tcBorders>
            <w:vAlign w:val="center"/>
          </w:tcPr>
          <w:p w14:paraId="216261DC">
            <w:pPr>
              <w:pStyle w:val="70"/>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衣磊</w:t>
            </w:r>
          </w:p>
        </w:tc>
        <w:tc>
          <w:tcPr>
            <w:tcW w:w="6353" w:type="dxa"/>
            <w:tcBorders>
              <w:tl2br w:val="nil"/>
              <w:tr2bl w:val="nil"/>
            </w:tcBorders>
            <w:vAlign w:val="center"/>
          </w:tcPr>
          <w:p w14:paraId="2ED18F2A">
            <w:pPr>
              <w:pStyle w:val="70"/>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负责技术方案制定，确保方案的正确性，科学性和可行性。</w:t>
            </w:r>
          </w:p>
        </w:tc>
      </w:tr>
    </w:tbl>
    <w:p w14:paraId="7FF856EE">
      <w:pPr>
        <w:pStyle w:val="4"/>
        <w:numPr>
          <w:ilvl w:val="0"/>
          <w:numId w:val="0"/>
        </w:numPr>
        <w:ind w:left="420" w:leftChars="0"/>
        <w:rPr>
          <w:color w:val="auto"/>
        </w:rPr>
      </w:pPr>
      <w:bookmarkStart w:id="183" w:name="_Toc11186"/>
      <w:bookmarkStart w:id="184" w:name="_Toc21435"/>
      <w:r>
        <w:rPr>
          <w:rFonts w:hint="eastAsia"/>
          <w:color w:val="auto"/>
          <w:lang w:val="en-US" w:eastAsia="zh-CN"/>
        </w:rPr>
        <w:t>7.2作业</w:t>
      </w:r>
      <w:r>
        <w:rPr>
          <w:rFonts w:hint="eastAsia"/>
          <w:color w:val="auto"/>
        </w:rPr>
        <w:t>人员配置</w:t>
      </w:r>
      <w:bookmarkEnd w:id="183"/>
      <w:bookmarkEnd w:id="184"/>
    </w:p>
    <w:p w14:paraId="767DCD54">
      <w:pPr>
        <w:pStyle w:val="72"/>
        <w:spacing w:before="156"/>
        <w:ind w:firstLine="422"/>
        <w:jc w:val="center"/>
        <w:rPr>
          <w:rFonts w:hint="eastAsia" w:ascii="宋体" w:hAnsi="宋体" w:eastAsia="宋体" w:cs="黑体"/>
          <w:b/>
          <w:color w:val="auto"/>
          <w:sz w:val="21"/>
          <w:szCs w:val="21"/>
          <w:lang w:val="en-US" w:eastAsia="zh-CN"/>
        </w:rPr>
      </w:pPr>
      <w:bookmarkStart w:id="185" w:name="_Toc1349054167"/>
      <w:bookmarkStart w:id="186" w:name="_Toc10028"/>
      <w:bookmarkStart w:id="187" w:name="_Toc17383790"/>
      <w:r>
        <w:rPr>
          <w:rFonts w:hint="eastAsia" w:ascii="宋体" w:hAnsi="宋体" w:eastAsia="宋体" w:cs="黑体"/>
          <w:b/>
          <w:color w:val="auto"/>
          <w:sz w:val="21"/>
          <w:szCs w:val="21"/>
        </w:rPr>
        <w:t>表</w:t>
      </w:r>
      <w:r>
        <w:rPr>
          <w:rFonts w:hint="eastAsia" w:ascii="宋体" w:hAnsi="宋体" w:eastAsia="宋体" w:cs="黑体"/>
          <w:b/>
          <w:color w:val="auto"/>
          <w:sz w:val="21"/>
          <w:szCs w:val="21"/>
          <w:lang w:val="en-US" w:eastAsia="zh-CN"/>
        </w:rPr>
        <w:t>7</w:t>
      </w:r>
      <w:r>
        <w:rPr>
          <w:rFonts w:ascii="宋体" w:hAnsi="宋体" w:eastAsia="宋体" w:cs="黑体"/>
          <w:b/>
          <w:color w:val="auto"/>
          <w:sz w:val="21"/>
          <w:szCs w:val="21"/>
        </w:rPr>
        <w:t>.2-</w:t>
      </w:r>
      <w:r>
        <w:rPr>
          <w:rFonts w:hint="eastAsia" w:ascii="宋体" w:hAnsi="宋体" w:eastAsia="宋体" w:cs="黑体"/>
          <w:b/>
          <w:color w:val="auto"/>
          <w:sz w:val="21"/>
          <w:szCs w:val="21"/>
          <w:lang w:val="en-US" w:eastAsia="zh-CN"/>
        </w:rPr>
        <w:t>1安装单位人员分工一览表</w:t>
      </w:r>
    </w:p>
    <w:tbl>
      <w:tblPr>
        <w:tblStyle w:val="27"/>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221"/>
        <w:gridCol w:w="6270"/>
      </w:tblGrid>
      <w:tr w14:paraId="11B4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07" w:hRule="atLeast"/>
          <w:jc w:val="center"/>
        </w:trPr>
        <w:tc>
          <w:tcPr>
            <w:tcW w:w="1527" w:type="dxa"/>
            <w:tcBorders>
              <w:top w:val="single" w:color="auto" w:sz="12" w:space="0"/>
              <w:left w:val="single" w:color="auto" w:sz="12" w:space="0"/>
            </w:tcBorders>
            <w:noWrap w:val="0"/>
            <w:vAlign w:val="center"/>
          </w:tcPr>
          <w:p w14:paraId="01EA14D4">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职 务</w:t>
            </w:r>
          </w:p>
        </w:tc>
        <w:tc>
          <w:tcPr>
            <w:tcW w:w="1221" w:type="dxa"/>
            <w:tcBorders>
              <w:top w:val="single" w:color="auto" w:sz="12" w:space="0"/>
            </w:tcBorders>
            <w:noWrap w:val="0"/>
            <w:vAlign w:val="center"/>
          </w:tcPr>
          <w:p w14:paraId="4CF7005F">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姓 名</w:t>
            </w:r>
          </w:p>
        </w:tc>
        <w:tc>
          <w:tcPr>
            <w:tcW w:w="6270" w:type="dxa"/>
            <w:tcBorders>
              <w:top w:val="single" w:color="auto" w:sz="12" w:space="0"/>
              <w:right w:val="single" w:color="auto" w:sz="12" w:space="0"/>
            </w:tcBorders>
            <w:noWrap w:val="0"/>
            <w:vAlign w:val="center"/>
          </w:tcPr>
          <w:p w14:paraId="41DB40A2">
            <w:pPr>
              <w:adjustRightInd w:val="0"/>
              <w:spacing w:line="240" w:lineRule="auto"/>
              <w:ind w:firstLine="233" w:firstLineChars="111"/>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工 作 职 责</w:t>
            </w:r>
          </w:p>
        </w:tc>
      </w:tr>
      <w:tr w14:paraId="43BF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527" w:type="dxa"/>
            <w:tcBorders>
              <w:left w:val="single" w:color="auto" w:sz="12" w:space="0"/>
            </w:tcBorders>
            <w:noWrap w:val="0"/>
            <w:vAlign w:val="center"/>
          </w:tcPr>
          <w:p w14:paraId="2EE43F34">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项目负责人</w:t>
            </w:r>
          </w:p>
        </w:tc>
        <w:tc>
          <w:tcPr>
            <w:tcW w:w="1221" w:type="dxa"/>
            <w:noWrap w:val="0"/>
            <w:vAlign w:val="center"/>
          </w:tcPr>
          <w:p w14:paraId="6A95725B">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宋体"/>
                <w:color w:val="auto"/>
                <w:sz w:val="21"/>
                <w:szCs w:val="21"/>
                <w:lang w:val="en-US" w:eastAsia="zh-CN"/>
              </w:rPr>
              <w:t>彭善忠</w:t>
            </w:r>
          </w:p>
        </w:tc>
        <w:tc>
          <w:tcPr>
            <w:tcW w:w="6270" w:type="dxa"/>
            <w:tcBorders>
              <w:right w:val="single" w:color="auto" w:sz="12" w:space="0"/>
            </w:tcBorders>
            <w:noWrap w:val="0"/>
            <w:vAlign w:val="center"/>
          </w:tcPr>
          <w:p w14:paraId="0B17EDBF">
            <w:pPr>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负责该项目的施工计划、组织和协调，对</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全过程的安全负全责</w:t>
            </w:r>
          </w:p>
        </w:tc>
      </w:tr>
      <w:tr w14:paraId="76F6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527" w:type="dxa"/>
            <w:tcBorders>
              <w:left w:val="single" w:color="auto" w:sz="12" w:space="0"/>
            </w:tcBorders>
            <w:noWrap w:val="0"/>
            <w:vAlign w:val="center"/>
          </w:tcPr>
          <w:p w14:paraId="41DFF96A">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技术负责人</w:t>
            </w:r>
          </w:p>
        </w:tc>
        <w:tc>
          <w:tcPr>
            <w:tcW w:w="1221" w:type="dxa"/>
            <w:noWrap w:val="0"/>
            <w:vAlign w:val="top"/>
          </w:tcPr>
          <w:p w14:paraId="61214E2F">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衣磊</w:t>
            </w:r>
          </w:p>
        </w:tc>
        <w:tc>
          <w:tcPr>
            <w:tcW w:w="6270" w:type="dxa"/>
            <w:tcBorders>
              <w:right w:val="single" w:color="auto" w:sz="12" w:space="0"/>
            </w:tcBorders>
            <w:noWrap w:val="0"/>
            <w:vAlign w:val="center"/>
          </w:tcPr>
          <w:p w14:paraId="255D8DAF">
            <w:pPr>
              <w:adjustRightInd w:val="0"/>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负责组织人员按</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工艺规程及</w:t>
            </w:r>
            <w:r>
              <w:rPr>
                <w:rFonts w:hint="eastAsia" w:ascii="宋体" w:hAnsi="宋体" w:cs="宋体"/>
                <w:bCs/>
                <w:color w:val="auto"/>
                <w:sz w:val="21"/>
                <w:szCs w:val="21"/>
                <w:lang w:eastAsia="zh-CN"/>
              </w:rPr>
              <w:t>施工升降机</w:t>
            </w:r>
            <w:r>
              <w:rPr>
                <w:rFonts w:hint="eastAsia" w:ascii="宋体" w:hAnsi="宋体" w:eastAsia="宋体" w:cs="宋体"/>
                <w:bCs/>
                <w:color w:val="auto"/>
                <w:sz w:val="21"/>
                <w:szCs w:val="21"/>
              </w:rPr>
              <w:t>使用说明书要求进行作业，负责每日的工作安排，安全交底、工作记录，制止任何违章作业。</w:t>
            </w:r>
          </w:p>
        </w:tc>
      </w:tr>
      <w:tr w14:paraId="57E15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27" w:type="dxa"/>
            <w:tcBorders>
              <w:left w:val="single" w:color="auto" w:sz="12" w:space="0"/>
            </w:tcBorders>
            <w:noWrap w:val="0"/>
            <w:vAlign w:val="center"/>
          </w:tcPr>
          <w:p w14:paraId="4479054D">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专职安全员</w:t>
            </w:r>
          </w:p>
        </w:tc>
        <w:tc>
          <w:tcPr>
            <w:tcW w:w="1221" w:type="dxa"/>
            <w:noWrap w:val="0"/>
            <w:vAlign w:val="top"/>
          </w:tcPr>
          <w:p w14:paraId="1A583671">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明兴富</w:t>
            </w:r>
          </w:p>
        </w:tc>
        <w:tc>
          <w:tcPr>
            <w:tcW w:w="6270" w:type="dxa"/>
            <w:tcBorders>
              <w:right w:val="single" w:color="auto" w:sz="12" w:space="0"/>
            </w:tcBorders>
            <w:noWrap w:val="0"/>
            <w:vAlign w:val="center"/>
          </w:tcPr>
          <w:p w14:paraId="38921E1B">
            <w:pPr>
              <w:adjustRightInd w:val="0"/>
              <w:spacing w:line="240" w:lineRule="auto"/>
              <w:ind w:firstLine="0" w:firstLineChars="0"/>
              <w:jc w:val="center"/>
              <w:rPr>
                <w:rFonts w:hint="eastAsia" w:ascii="宋体" w:hAnsi="宋体" w:eastAsia="宋体" w:cs="宋体"/>
                <w:bCs/>
                <w:color w:val="auto"/>
                <w:sz w:val="21"/>
                <w:szCs w:val="21"/>
              </w:rPr>
            </w:pPr>
            <w:r>
              <w:rPr>
                <w:rFonts w:hint="eastAsia" w:ascii="Times New Roman" w:hAnsi="Times New Roman" w:eastAsia="宋体" w:cs="Times New Roman"/>
                <w:b w:val="0"/>
                <w:color w:val="000000"/>
                <w:kern w:val="2"/>
                <w:sz w:val="21"/>
                <w:szCs w:val="21"/>
                <w:lang w:val="en-US" w:eastAsia="zh-CN" w:bidi="ar-SA"/>
              </w:rPr>
              <w:t>负责现场安全管理</w:t>
            </w:r>
          </w:p>
        </w:tc>
      </w:tr>
      <w:tr w14:paraId="3439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19EF7562">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安装人员</w:t>
            </w:r>
          </w:p>
        </w:tc>
        <w:tc>
          <w:tcPr>
            <w:tcW w:w="1221" w:type="dxa"/>
            <w:noWrap w:val="0"/>
            <w:vAlign w:val="top"/>
          </w:tcPr>
          <w:p w14:paraId="3E0D9D3A">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白美富</w:t>
            </w:r>
          </w:p>
        </w:tc>
        <w:tc>
          <w:tcPr>
            <w:tcW w:w="6270" w:type="dxa"/>
            <w:tcBorders>
              <w:right w:val="single" w:color="auto" w:sz="12" w:space="0"/>
            </w:tcBorders>
            <w:noWrap w:val="0"/>
            <w:vAlign w:val="center"/>
          </w:tcPr>
          <w:p w14:paraId="48BC2AAB">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w:t>
            </w:r>
            <w:r>
              <w:rPr>
                <w:rFonts w:hint="eastAsia" w:ascii="宋体" w:hAnsi="宋体" w:cs="宋体"/>
                <w:bCs/>
                <w:color w:val="auto"/>
                <w:sz w:val="21"/>
                <w:szCs w:val="21"/>
                <w:lang w:eastAsia="zh-CN"/>
              </w:rPr>
              <w:t>施工升降机</w:t>
            </w:r>
            <w:r>
              <w:rPr>
                <w:rFonts w:hint="eastAsia" w:ascii="宋体" w:hAnsi="宋体" w:eastAsia="宋体" w:cs="宋体"/>
                <w:bCs/>
                <w:color w:val="auto"/>
                <w:sz w:val="21"/>
                <w:szCs w:val="21"/>
              </w:rPr>
              <w:t>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工作。严守工作纪律，服从正确安排，正确使用劳保用品，防护齐全，严守工作岗位，严格遵循操作规程。</w:t>
            </w:r>
          </w:p>
        </w:tc>
      </w:tr>
      <w:tr w14:paraId="254B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42325010">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安装人员</w:t>
            </w:r>
          </w:p>
        </w:tc>
        <w:tc>
          <w:tcPr>
            <w:tcW w:w="1221" w:type="dxa"/>
            <w:noWrap w:val="0"/>
            <w:vAlign w:val="top"/>
          </w:tcPr>
          <w:p w14:paraId="7FD55213">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彭兴华</w:t>
            </w:r>
          </w:p>
        </w:tc>
        <w:tc>
          <w:tcPr>
            <w:tcW w:w="6270" w:type="dxa"/>
            <w:tcBorders>
              <w:right w:val="single" w:color="auto" w:sz="12" w:space="0"/>
            </w:tcBorders>
            <w:noWrap w:val="0"/>
            <w:vAlign w:val="center"/>
          </w:tcPr>
          <w:p w14:paraId="4D375F9A">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w:t>
            </w:r>
            <w:r>
              <w:rPr>
                <w:rFonts w:hint="eastAsia" w:ascii="宋体" w:hAnsi="宋体" w:cs="宋体"/>
                <w:bCs/>
                <w:color w:val="auto"/>
                <w:sz w:val="21"/>
                <w:szCs w:val="21"/>
                <w:lang w:eastAsia="zh-CN"/>
              </w:rPr>
              <w:t>施工升降机</w:t>
            </w:r>
            <w:r>
              <w:rPr>
                <w:rFonts w:hint="eastAsia" w:ascii="宋体" w:hAnsi="宋体" w:eastAsia="宋体" w:cs="宋体"/>
                <w:bCs/>
                <w:color w:val="auto"/>
                <w:sz w:val="21"/>
                <w:szCs w:val="21"/>
              </w:rPr>
              <w:t>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工作。严守工作纪律，服从正确安排，正确使用劳保用品，防护齐全，严守工作岗位，严格遵循操作规程。</w:t>
            </w:r>
          </w:p>
        </w:tc>
      </w:tr>
      <w:tr w14:paraId="1CF9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shd w:val="clear" w:color="auto" w:fill="auto"/>
            <w:noWrap w:val="0"/>
            <w:vAlign w:val="center"/>
          </w:tcPr>
          <w:p w14:paraId="704B1FD1">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信号司索工</w:t>
            </w:r>
          </w:p>
        </w:tc>
        <w:tc>
          <w:tcPr>
            <w:tcW w:w="1221" w:type="dxa"/>
            <w:shd w:val="clear" w:color="auto" w:fill="auto"/>
            <w:noWrap w:val="0"/>
            <w:vAlign w:val="top"/>
          </w:tcPr>
          <w:p w14:paraId="5BBF7BB5">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张全超</w:t>
            </w:r>
          </w:p>
        </w:tc>
        <w:tc>
          <w:tcPr>
            <w:tcW w:w="6270" w:type="dxa"/>
            <w:tcBorders>
              <w:right w:val="single" w:color="auto" w:sz="12" w:space="0"/>
            </w:tcBorders>
            <w:shd w:val="clear" w:color="auto" w:fill="auto"/>
            <w:noWrap w:val="0"/>
            <w:vAlign w:val="center"/>
          </w:tcPr>
          <w:p w14:paraId="591A51F2">
            <w:pPr>
              <w:adjustRightInd w:val="0"/>
              <w:spacing w:line="240" w:lineRule="auto"/>
              <w:ind w:firstLine="0" w:firstLineChars="0"/>
              <w:jc w:val="center"/>
              <w:rPr>
                <w:rFonts w:hint="eastAsia" w:ascii="宋体" w:hAnsi="宋体" w:eastAsia="宋体" w:cs="宋体"/>
                <w:bCs/>
                <w:color w:val="auto"/>
                <w:kern w:val="2"/>
                <w:sz w:val="21"/>
                <w:szCs w:val="21"/>
                <w:lang w:val="en-US" w:eastAsia="zh-CN" w:bidi="ar-SA"/>
              </w:rPr>
            </w:pPr>
            <w:r>
              <w:rPr>
                <w:rStyle w:val="79"/>
                <w:rFonts w:cstheme="minorBidi"/>
                <w:b w:val="0"/>
                <w:color w:val="000000"/>
              </w:rPr>
              <w:t>负责吊具、索具的操作</w:t>
            </w:r>
            <w:r>
              <w:rPr>
                <w:rStyle w:val="79"/>
                <w:rFonts w:hint="eastAsia" w:cstheme="minorBidi"/>
                <w:b w:val="0"/>
                <w:color w:val="000000"/>
                <w:lang w:eastAsia="zh-CN"/>
              </w:rPr>
              <w:t>。</w:t>
            </w:r>
            <w:r>
              <w:rPr>
                <w:rFonts w:hint="eastAsia" w:ascii="宋体" w:hAnsi="宋体" w:eastAsia="宋体" w:cs="宋体"/>
                <w:bCs/>
                <w:color w:val="auto"/>
                <w:sz w:val="21"/>
                <w:szCs w:val="21"/>
              </w:rPr>
              <w:t>严守工作纪律，服从正确安排，正确使用劳保用品，防护齐全，严守工作岗位，严格遵循操作规程。</w:t>
            </w:r>
          </w:p>
        </w:tc>
      </w:tr>
      <w:tr w14:paraId="5D20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2A941E97">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电工</w:t>
            </w:r>
          </w:p>
        </w:tc>
        <w:tc>
          <w:tcPr>
            <w:tcW w:w="1221" w:type="dxa"/>
            <w:noWrap w:val="0"/>
            <w:vAlign w:val="top"/>
          </w:tcPr>
          <w:p w14:paraId="05458947">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陈刚</w:t>
            </w:r>
          </w:p>
        </w:tc>
        <w:tc>
          <w:tcPr>
            <w:tcW w:w="6270" w:type="dxa"/>
            <w:tcBorders>
              <w:right w:val="single" w:color="auto" w:sz="12" w:space="0"/>
            </w:tcBorders>
            <w:noWrap w:val="0"/>
            <w:vAlign w:val="center"/>
          </w:tcPr>
          <w:p w14:paraId="34CCB63D">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color w:val="auto"/>
                <w:sz w:val="21"/>
                <w:szCs w:val="21"/>
              </w:rPr>
              <w:t>负责现场设备的电气安装、恢复、调试</w:t>
            </w:r>
          </w:p>
        </w:tc>
      </w:tr>
      <w:bookmarkEnd w:id="185"/>
      <w:bookmarkEnd w:id="186"/>
      <w:bookmarkEnd w:id="187"/>
    </w:tbl>
    <w:p w14:paraId="02E30AB9">
      <w:pPr>
        <w:pStyle w:val="72"/>
        <w:spacing w:before="156"/>
        <w:ind w:firstLine="422"/>
        <w:jc w:val="center"/>
        <w:rPr>
          <w:color w:val="auto"/>
        </w:rPr>
      </w:pPr>
      <w:r>
        <w:rPr>
          <w:rFonts w:hint="eastAsia" w:ascii="宋体" w:hAnsi="宋体" w:eastAsia="宋体" w:cs="黑体"/>
          <w:b/>
          <w:color w:val="auto"/>
          <w:sz w:val="21"/>
          <w:szCs w:val="21"/>
        </w:rPr>
        <w:t>表</w:t>
      </w:r>
      <w:r>
        <w:rPr>
          <w:rFonts w:hint="eastAsia" w:ascii="宋体" w:hAnsi="宋体" w:eastAsia="宋体" w:cs="黑体"/>
          <w:b/>
          <w:color w:val="auto"/>
          <w:sz w:val="21"/>
          <w:szCs w:val="21"/>
          <w:lang w:val="en-US" w:eastAsia="zh-CN"/>
        </w:rPr>
        <w:t>7</w:t>
      </w:r>
      <w:r>
        <w:rPr>
          <w:rFonts w:ascii="宋体" w:hAnsi="宋体" w:eastAsia="宋体" w:cs="黑体"/>
          <w:b/>
          <w:color w:val="auto"/>
          <w:sz w:val="21"/>
          <w:szCs w:val="21"/>
        </w:rPr>
        <w:t>.2-</w:t>
      </w:r>
      <w:r>
        <w:rPr>
          <w:rFonts w:hint="eastAsia" w:ascii="宋体" w:hAnsi="宋体" w:eastAsia="宋体" w:cs="黑体"/>
          <w:b/>
          <w:color w:val="auto"/>
          <w:sz w:val="21"/>
          <w:szCs w:val="21"/>
          <w:lang w:val="en-US" w:eastAsia="zh-CN"/>
        </w:rPr>
        <w:t>2</w:t>
      </w:r>
      <w:r>
        <w:rPr>
          <w:rFonts w:hint="eastAsia" w:ascii="宋体" w:hAnsi="宋体" w:eastAsia="宋体" w:cs="黑体"/>
          <w:b/>
          <w:color w:val="auto"/>
          <w:sz w:val="21"/>
          <w:szCs w:val="21"/>
          <w:lang w:eastAsia="zh-CN"/>
        </w:rPr>
        <w:t>安装</w:t>
      </w:r>
      <w:r>
        <w:rPr>
          <w:rFonts w:ascii="宋体" w:hAnsi="宋体" w:eastAsia="宋体" w:cs="黑体"/>
          <w:b/>
          <w:color w:val="auto"/>
          <w:sz w:val="21"/>
          <w:szCs w:val="21"/>
        </w:rPr>
        <w:t>作业人员</w:t>
      </w:r>
    </w:p>
    <w:tbl>
      <w:tblPr>
        <w:tblStyle w:val="28"/>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990"/>
        <w:gridCol w:w="975"/>
        <w:gridCol w:w="1845"/>
        <w:gridCol w:w="2745"/>
        <w:gridCol w:w="2475"/>
      </w:tblGrid>
      <w:tr w14:paraId="411BF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tcPr>
          <w:p w14:paraId="081FFDE9">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990" w:type="dxa"/>
          </w:tcPr>
          <w:p w14:paraId="02ED0649">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姓名</w:t>
            </w:r>
          </w:p>
        </w:tc>
        <w:tc>
          <w:tcPr>
            <w:tcW w:w="975" w:type="dxa"/>
          </w:tcPr>
          <w:p w14:paraId="545BA882">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性别</w:t>
            </w:r>
          </w:p>
        </w:tc>
        <w:tc>
          <w:tcPr>
            <w:tcW w:w="1845" w:type="dxa"/>
          </w:tcPr>
          <w:p w14:paraId="7A34E3C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工种</w:t>
            </w:r>
          </w:p>
        </w:tc>
        <w:tc>
          <w:tcPr>
            <w:tcW w:w="2745" w:type="dxa"/>
          </w:tcPr>
          <w:p w14:paraId="50113E08">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证件编号</w:t>
            </w:r>
          </w:p>
        </w:tc>
        <w:tc>
          <w:tcPr>
            <w:tcW w:w="2475" w:type="dxa"/>
          </w:tcPr>
          <w:p w14:paraId="3D229C4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身份证号</w:t>
            </w:r>
          </w:p>
        </w:tc>
      </w:tr>
      <w:tr w14:paraId="6671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51787CCA">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990" w:type="dxa"/>
            <w:vAlign w:val="center"/>
          </w:tcPr>
          <w:p w14:paraId="28317B57">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eastAsia" w:ascii="Times New Roman" w:hAnsi="Times New Roman" w:eastAsia="宋体" w:cstheme="minorBidi"/>
                <w:b w:val="0"/>
                <w:color w:val="000000"/>
                <w:lang w:val="en-US" w:eastAsia="zh-CN"/>
              </w:rPr>
              <w:t>衣磊</w:t>
            </w:r>
          </w:p>
        </w:tc>
        <w:tc>
          <w:tcPr>
            <w:tcW w:w="975" w:type="dxa"/>
            <w:vAlign w:val="top"/>
          </w:tcPr>
          <w:p w14:paraId="3181431E">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highlight w:val="none"/>
                <w:lang w:val="en-US" w:eastAsia="zh-CN"/>
              </w:rPr>
              <w:t>男</w:t>
            </w:r>
          </w:p>
        </w:tc>
        <w:tc>
          <w:tcPr>
            <w:tcW w:w="1845" w:type="dxa"/>
            <w:vAlign w:val="top"/>
          </w:tcPr>
          <w:p w14:paraId="4C1D91C5">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技术负责人</w:t>
            </w:r>
          </w:p>
        </w:tc>
        <w:tc>
          <w:tcPr>
            <w:tcW w:w="2745" w:type="dxa"/>
            <w:vAlign w:val="center"/>
          </w:tcPr>
          <w:p w14:paraId="2A509EE3">
            <w:pPr>
              <w:keepNext w:val="0"/>
              <w:keepLines w:val="0"/>
              <w:pageBreakBefore w:val="0"/>
              <w:widowControl/>
              <w:kinsoku/>
              <w:wordWrap/>
              <w:overflowPunct/>
              <w:topLinePunct w:val="0"/>
              <w:autoSpaceDE/>
              <w:autoSpaceDN/>
              <w:bidi w:val="0"/>
              <w:adjustRightInd w:val="0"/>
              <w:snapToGrid w:val="0"/>
              <w:spacing w:beforeLines="0" w:after="0" w:afterLines="0"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233203001011120005</w:t>
            </w:r>
          </w:p>
        </w:tc>
        <w:tc>
          <w:tcPr>
            <w:tcW w:w="2475" w:type="dxa"/>
            <w:vAlign w:val="center"/>
          </w:tcPr>
          <w:p w14:paraId="4D349654">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412829198012175731</w:t>
            </w:r>
          </w:p>
        </w:tc>
      </w:tr>
      <w:tr w14:paraId="18AE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4AAB9DED">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990" w:type="dxa"/>
            <w:vAlign w:val="center"/>
          </w:tcPr>
          <w:p w14:paraId="6B64B73E">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eastAsia" w:ascii="Times New Roman" w:hAnsi="Times New Roman" w:eastAsia="宋体" w:cstheme="minorBidi"/>
                <w:b w:val="0"/>
                <w:color w:val="000000"/>
                <w:lang w:val="en-US" w:eastAsia="zh-CN"/>
              </w:rPr>
              <w:t>彭善忠</w:t>
            </w:r>
          </w:p>
        </w:tc>
        <w:tc>
          <w:tcPr>
            <w:tcW w:w="975" w:type="dxa"/>
            <w:vAlign w:val="top"/>
          </w:tcPr>
          <w:p w14:paraId="0758012E">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64840BB2">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项目负责人</w:t>
            </w:r>
          </w:p>
        </w:tc>
        <w:tc>
          <w:tcPr>
            <w:tcW w:w="2745" w:type="dxa"/>
            <w:vAlign w:val="center"/>
          </w:tcPr>
          <w:p w14:paraId="127B859A">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lang w:val="en-US" w:eastAsia="zh-CN"/>
              </w:rPr>
              <w:t>鲁</w:t>
            </w:r>
            <w:r>
              <w:rPr>
                <w:rFonts w:hint="eastAsia"/>
                <w:sz w:val="22"/>
                <w:szCs w:val="20"/>
              </w:rPr>
              <w:t>230001133100304</w:t>
            </w:r>
          </w:p>
        </w:tc>
        <w:tc>
          <w:tcPr>
            <w:tcW w:w="2475" w:type="dxa"/>
            <w:vAlign w:val="center"/>
          </w:tcPr>
          <w:p w14:paraId="27D3E383">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512223197508214798</w:t>
            </w:r>
          </w:p>
        </w:tc>
      </w:tr>
      <w:tr w14:paraId="4994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51F6D6B3">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990" w:type="dxa"/>
            <w:vAlign w:val="center"/>
          </w:tcPr>
          <w:p w14:paraId="436DC8B7">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eastAsia" w:cstheme="minorBidi"/>
                <w:b w:val="0"/>
                <w:color w:val="000000"/>
                <w:lang w:val="en-US" w:eastAsia="zh-CN"/>
              </w:rPr>
              <w:t>明兴富</w:t>
            </w:r>
          </w:p>
        </w:tc>
        <w:tc>
          <w:tcPr>
            <w:tcW w:w="975" w:type="dxa"/>
            <w:vAlign w:val="top"/>
          </w:tcPr>
          <w:p w14:paraId="6DFA066D">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男</w:t>
            </w:r>
          </w:p>
        </w:tc>
        <w:tc>
          <w:tcPr>
            <w:tcW w:w="1845" w:type="dxa"/>
            <w:vAlign w:val="top"/>
          </w:tcPr>
          <w:p w14:paraId="10CFE43C">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安全员</w:t>
            </w:r>
          </w:p>
        </w:tc>
        <w:tc>
          <w:tcPr>
            <w:tcW w:w="2745" w:type="dxa"/>
            <w:vAlign w:val="center"/>
          </w:tcPr>
          <w:p w14:paraId="2679A4A7">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川建安C3(2022)1005225</w:t>
            </w:r>
          </w:p>
        </w:tc>
        <w:tc>
          <w:tcPr>
            <w:tcW w:w="2475" w:type="dxa"/>
            <w:vAlign w:val="center"/>
          </w:tcPr>
          <w:p w14:paraId="51C55A77">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lang w:val="en-US" w:eastAsia="zh-CN"/>
              </w:rPr>
              <w:t>510322197807274712</w:t>
            </w:r>
          </w:p>
        </w:tc>
      </w:tr>
      <w:tr w14:paraId="3A70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55DD2EA9">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w:t>
            </w:r>
          </w:p>
        </w:tc>
        <w:tc>
          <w:tcPr>
            <w:tcW w:w="990" w:type="dxa"/>
            <w:vAlign w:val="center"/>
          </w:tcPr>
          <w:p w14:paraId="7A7E7222">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eastAsia" w:cstheme="minorBidi"/>
                <w:b w:val="0"/>
                <w:color w:val="000000"/>
                <w:lang w:val="en-US" w:eastAsia="zh-CN"/>
              </w:rPr>
              <w:t>白美富</w:t>
            </w:r>
          </w:p>
        </w:tc>
        <w:tc>
          <w:tcPr>
            <w:tcW w:w="975" w:type="dxa"/>
            <w:vAlign w:val="top"/>
          </w:tcPr>
          <w:p w14:paraId="7C218D9C">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13107524">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2745" w:type="dxa"/>
            <w:vAlign w:val="center"/>
          </w:tcPr>
          <w:p w14:paraId="0FBB3F09">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川M092019501828</w:t>
            </w:r>
          </w:p>
        </w:tc>
        <w:tc>
          <w:tcPr>
            <w:tcW w:w="2475" w:type="dxa"/>
            <w:vAlign w:val="center"/>
          </w:tcPr>
          <w:p w14:paraId="18130CCA">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510113198801248019</w:t>
            </w:r>
          </w:p>
        </w:tc>
      </w:tr>
      <w:tr w14:paraId="2F345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49251B26">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990" w:type="dxa"/>
            <w:vAlign w:val="center"/>
          </w:tcPr>
          <w:p w14:paraId="22137508">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default" w:ascii="Times New Roman" w:hAnsi="Times New Roman" w:eastAsia="宋体" w:cstheme="minorBidi"/>
                <w:b w:val="0"/>
                <w:color w:val="000000"/>
                <w:lang w:val="en-US" w:eastAsia="zh-CN"/>
              </w:rPr>
              <w:t>彭兴华</w:t>
            </w:r>
          </w:p>
        </w:tc>
        <w:tc>
          <w:tcPr>
            <w:tcW w:w="975" w:type="dxa"/>
            <w:vAlign w:val="top"/>
          </w:tcPr>
          <w:p w14:paraId="0B06D878">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4FE4A625">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2745" w:type="dxa"/>
            <w:vAlign w:val="center"/>
          </w:tcPr>
          <w:p w14:paraId="143FE191">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川A092021700024</w:t>
            </w:r>
          </w:p>
        </w:tc>
        <w:tc>
          <w:tcPr>
            <w:tcW w:w="2475" w:type="dxa"/>
            <w:vAlign w:val="center"/>
          </w:tcPr>
          <w:p w14:paraId="29C63082">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510923198703045214</w:t>
            </w:r>
          </w:p>
        </w:tc>
      </w:tr>
      <w:tr w14:paraId="0E604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26D7277C">
            <w:pPr>
              <w:ind w:left="0" w:lef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990" w:type="dxa"/>
            <w:vAlign w:val="center"/>
          </w:tcPr>
          <w:p w14:paraId="1F217D1B">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eastAsia" w:cstheme="minorBidi"/>
                <w:b w:val="0"/>
                <w:color w:val="000000"/>
                <w:lang w:val="en-US" w:eastAsia="zh-CN"/>
              </w:rPr>
              <w:t>张全超</w:t>
            </w:r>
          </w:p>
        </w:tc>
        <w:tc>
          <w:tcPr>
            <w:tcW w:w="975" w:type="dxa"/>
            <w:vAlign w:val="top"/>
          </w:tcPr>
          <w:p w14:paraId="5EF0FF4F">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男</w:t>
            </w:r>
          </w:p>
        </w:tc>
        <w:tc>
          <w:tcPr>
            <w:tcW w:w="1845" w:type="dxa"/>
            <w:vAlign w:val="top"/>
          </w:tcPr>
          <w:p w14:paraId="3249914B">
            <w:pPr>
              <w:ind w:left="0" w:leftChars="0" w:firstLine="0" w:firstLineChars="0"/>
              <w:jc w:val="center"/>
              <w:rPr>
                <w:rFonts w:hint="default" w:ascii="Times New Roman" w:hAnsi="Times New Roman" w:cs="Times New Roman"/>
                <w:color w:val="auto"/>
                <w:sz w:val="21"/>
                <w:szCs w:val="21"/>
                <w:lang w:val="en-US" w:eastAsia="zh-CN"/>
              </w:rPr>
            </w:pPr>
            <w:r>
              <w:rPr>
                <w:rStyle w:val="79"/>
                <w:rFonts w:hint="eastAsia" w:cstheme="minorBidi"/>
                <w:b w:val="0"/>
                <w:color w:val="000000"/>
                <w:lang w:val="en-US" w:eastAsia="zh-CN"/>
              </w:rPr>
              <w:t>信号司索工</w:t>
            </w:r>
          </w:p>
        </w:tc>
        <w:tc>
          <w:tcPr>
            <w:tcW w:w="2745" w:type="dxa"/>
            <w:vAlign w:val="center"/>
          </w:tcPr>
          <w:p w14:paraId="50ED1519">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川 A 042023006936</w:t>
            </w:r>
          </w:p>
        </w:tc>
        <w:tc>
          <w:tcPr>
            <w:tcW w:w="2475" w:type="dxa"/>
            <w:vAlign w:val="center"/>
          </w:tcPr>
          <w:p w14:paraId="5EFA92F0">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eastAsia"/>
                <w:sz w:val="22"/>
                <w:szCs w:val="20"/>
              </w:rPr>
            </w:pPr>
            <w:r>
              <w:rPr>
                <w:rFonts w:hint="eastAsia"/>
                <w:sz w:val="22"/>
                <w:szCs w:val="20"/>
              </w:rPr>
              <w:t>510112197804090711</w:t>
            </w:r>
          </w:p>
        </w:tc>
      </w:tr>
      <w:tr w14:paraId="45EF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645A8FC9">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w:t>
            </w:r>
          </w:p>
        </w:tc>
        <w:tc>
          <w:tcPr>
            <w:tcW w:w="990" w:type="dxa"/>
            <w:vAlign w:val="center"/>
          </w:tcPr>
          <w:p w14:paraId="14A775C6">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eastAsia" w:cstheme="minorBidi"/>
                <w:b w:val="0"/>
                <w:color w:val="000000"/>
                <w:lang w:val="en-US" w:eastAsia="zh-CN"/>
              </w:rPr>
              <w:t>陈刚</w:t>
            </w:r>
          </w:p>
        </w:tc>
        <w:tc>
          <w:tcPr>
            <w:tcW w:w="975" w:type="dxa"/>
            <w:vAlign w:val="top"/>
          </w:tcPr>
          <w:p w14:paraId="7FF3BD65">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69E2AEC0">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电工</w:t>
            </w:r>
          </w:p>
        </w:tc>
        <w:tc>
          <w:tcPr>
            <w:tcW w:w="2745" w:type="dxa"/>
            <w:vAlign w:val="center"/>
          </w:tcPr>
          <w:p w14:paraId="2D578858">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川A012025001968</w:t>
            </w:r>
          </w:p>
        </w:tc>
        <w:tc>
          <w:tcPr>
            <w:tcW w:w="2475" w:type="dxa"/>
            <w:vAlign w:val="center"/>
          </w:tcPr>
          <w:p w14:paraId="418BAD1A">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lang w:val="en-US" w:eastAsia="zh-CN"/>
              </w:rPr>
              <w:t>510922198601193519</w:t>
            </w:r>
          </w:p>
        </w:tc>
      </w:tr>
    </w:tbl>
    <w:p w14:paraId="6BD79857">
      <w:pPr>
        <w:pStyle w:val="2"/>
        <w:rPr>
          <w:color w:val="auto"/>
        </w:rPr>
        <w:sectPr>
          <w:pgSz w:w="11906" w:h="16838"/>
          <w:pgMar w:top="1440" w:right="1800" w:bottom="1440" w:left="1800" w:header="851" w:footer="992" w:gutter="0"/>
          <w:pgNumType w:fmt="decimal"/>
          <w:cols w:space="425" w:num="1"/>
          <w:docGrid w:type="lines" w:linePitch="312" w:charSpace="0"/>
        </w:sectPr>
      </w:pPr>
    </w:p>
    <w:p w14:paraId="2C494392">
      <w:pPr>
        <w:pStyle w:val="3"/>
        <w:spacing w:before="156" w:after="156"/>
        <w:rPr>
          <w:color w:val="auto"/>
        </w:rPr>
      </w:pPr>
      <w:bookmarkStart w:id="188" w:name="_Toc6639"/>
      <w:bookmarkStart w:id="189" w:name="_Toc28613973"/>
      <w:bookmarkStart w:id="190" w:name="_Toc22519"/>
      <w:bookmarkStart w:id="191" w:name="_Toc5288"/>
      <w:bookmarkStart w:id="192" w:name="_Toc40778448"/>
      <w:r>
        <w:rPr>
          <w:rFonts w:hint="eastAsia"/>
          <w:color w:val="auto"/>
        </w:rPr>
        <w:t>验收要求</w:t>
      </w:r>
      <w:bookmarkEnd w:id="188"/>
      <w:bookmarkEnd w:id="189"/>
      <w:bookmarkEnd w:id="190"/>
      <w:bookmarkEnd w:id="191"/>
      <w:bookmarkEnd w:id="192"/>
    </w:p>
    <w:p w14:paraId="2DB4826B">
      <w:pPr>
        <w:pStyle w:val="4"/>
        <w:bidi w:val="0"/>
      </w:pPr>
      <w:bookmarkStart w:id="193" w:name="_Toc109137384"/>
      <w:bookmarkStart w:id="194" w:name="_Toc17782"/>
      <w:bookmarkStart w:id="195" w:name="_Toc25769"/>
      <w:bookmarkStart w:id="196" w:name="_Toc29137"/>
      <w:bookmarkStart w:id="197" w:name="_Toc40778457"/>
      <w:bookmarkStart w:id="198" w:name="_Toc365"/>
      <w:bookmarkStart w:id="199" w:name="_Toc4255"/>
      <w:r>
        <w:rPr>
          <w:rFonts w:hint="eastAsia"/>
        </w:rPr>
        <w:t>验收要求</w:t>
      </w:r>
      <w:bookmarkEnd w:id="193"/>
      <w:bookmarkEnd w:id="194"/>
    </w:p>
    <w:p w14:paraId="1D946939">
      <w:pPr>
        <w:ind w:firstLine="480"/>
      </w:pPr>
      <w:bookmarkStart w:id="200" w:name="_Toc65571555"/>
      <w:bookmarkStart w:id="201" w:name="_Toc23170"/>
      <w:r>
        <w:rPr>
          <w:rFonts w:hint="eastAsia"/>
        </w:rPr>
        <w:t>验收标准主要依据：《施工升降机安全规程》（GB 10055-2007）、</w:t>
      </w:r>
      <w:r>
        <w:t>《</w:t>
      </w:r>
      <w:r>
        <w:rPr>
          <w:rFonts w:hint="eastAsia"/>
        </w:rPr>
        <w:t>公路水运工程临时用电技术规程</w:t>
      </w:r>
      <w:r>
        <w:t>》（</w:t>
      </w:r>
      <w:r>
        <w:rPr>
          <w:rFonts w:hint="eastAsia"/>
          <w:lang w:val="en-US" w:eastAsia="zh-CN"/>
        </w:rPr>
        <w:t>JT/T1499-2024</w:t>
      </w:r>
      <w:r>
        <w:t>）</w:t>
      </w:r>
      <w:r>
        <w:rPr>
          <w:rFonts w:hint="eastAsia"/>
        </w:rPr>
        <w:t>、《建筑施工起重吊装工程安全技术规范》（JGJ 276-2012）、《建筑施工高处作业安全技术规范》（JGJ 80-2016）等。</w:t>
      </w:r>
    </w:p>
    <w:p w14:paraId="5821BDFE">
      <w:pPr>
        <w:pStyle w:val="4"/>
        <w:tabs>
          <w:tab w:val="left" w:pos="0"/>
        </w:tabs>
        <w:bidi w:val="0"/>
        <w:ind w:left="0" w:leftChars="0" w:firstLine="0" w:firstLineChars="0"/>
      </w:pPr>
      <w:bookmarkStart w:id="202" w:name="_Toc4673"/>
      <w:bookmarkStart w:id="203" w:name="_Toc939"/>
      <w:r>
        <w:t>验收程序</w:t>
      </w:r>
      <w:bookmarkEnd w:id="200"/>
      <w:bookmarkEnd w:id="201"/>
      <w:bookmarkEnd w:id="202"/>
      <w:bookmarkEnd w:id="203"/>
    </w:p>
    <w:p w14:paraId="19665258">
      <w:pPr>
        <w:numPr>
          <w:ilvl w:val="0"/>
          <w:numId w:val="54"/>
        </w:numPr>
        <w:ind w:firstLine="480"/>
      </w:pPr>
      <w:bookmarkStart w:id="204" w:name="_Toc40778451"/>
      <w:bookmarkStart w:id="205" w:name="_Toc27569"/>
      <w:bookmarkStart w:id="206" w:name="_Toc7965"/>
      <w:bookmarkStart w:id="207" w:name="_Toc28613975"/>
      <w:r>
        <w:rPr>
          <w:rFonts w:hint="eastAsia"/>
        </w:rPr>
        <w:t>基础施工完成后，项目部组织技术管理人员、安全管理人员、现场专监对其进行验收。</w:t>
      </w:r>
    </w:p>
    <w:p w14:paraId="685A6DC7">
      <w:pPr>
        <w:numPr>
          <w:ilvl w:val="0"/>
          <w:numId w:val="54"/>
        </w:numPr>
        <w:ind w:firstLine="480"/>
      </w:pPr>
      <w:r>
        <w:rPr>
          <w:rFonts w:hint="eastAsia"/>
        </w:rPr>
        <w:t>安装</w:t>
      </w:r>
      <w:r>
        <w:rPr>
          <w:rFonts w:hint="eastAsia"/>
          <w:lang w:val="en-US" w:eastAsia="zh-CN"/>
        </w:rPr>
        <w:t>施工升降机</w:t>
      </w:r>
      <w:r>
        <w:rPr>
          <w:rFonts w:hint="eastAsia"/>
        </w:rPr>
        <w:t>过程中，组织管理人员检查设备安全装置与限位装置进行验收。</w:t>
      </w:r>
    </w:p>
    <w:p w14:paraId="1103E58A">
      <w:pPr>
        <w:numPr>
          <w:ilvl w:val="0"/>
          <w:numId w:val="54"/>
        </w:numPr>
        <w:ind w:firstLine="480"/>
      </w:pPr>
      <w:r>
        <w:rPr>
          <w:rFonts w:hint="eastAsia"/>
        </w:rPr>
        <w:t>大型机械设备经检验合格，持有效证件，组拼完毕后由项目设备管理部组织验收，验收合格后方能使用。</w:t>
      </w:r>
    </w:p>
    <w:p w14:paraId="23F2194A">
      <w:pPr>
        <w:numPr>
          <w:ilvl w:val="0"/>
          <w:numId w:val="54"/>
        </w:numPr>
        <w:ind w:firstLine="480"/>
      </w:pPr>
      <w:r>
        <w:rPr>
          <w:rFonts w:hint="eastAsia"/>
        </w:rPr>
        <w:t>小型机具使用前，由项目设备管理部组织验收，填写书面验收记录、合格后挂牌方可使用。</w:t>
      </w:r>
    </w:p>
    <w:p w14:paraId="2B84088A">
      <w:pPr>
        <w:numPr>
          <w:ilvl w:val="0"/>
          <w:numId w:val="54"/>
        </w:numPr>
        <w:ind w:firstLine="480"/>
      </w:pPr>
      <w:r>
        <w:rPr>
          <w:rFonts w:hint="eastAsia"/>
        </w:rPr>
        <w:t>临时用电设施、装置通电前由项目设备管理部组织验收，验收合格后方可通电使用，并做好验收记录。</w:t>
      </w:r>
    </w:p>
    <w:p w14:paraId="2866B6DD">
      <w:pPr>
        <w:numPr>
          <w:ilvl w:val="0"/>
          <w:numId w:val="54"/>
        </w:numPr>
        <w:ind w:firstLine="480"/>
      </w:pPr>
      <w:r>
        <w:rPr>
          <w:rFonts w:hint="eastAsia"/>
        </w:rPr>
        <w:t>施工现场所有的临边安全防护设施，由项目安全管理部组织验收，合格后方可投入使用，每验收一次须做好验收记录。</w:t>
      </w:r>
    </w:p>
    <w:p w14:paraId="0BA9BEFB">
      <w:pPr>
        <w:ind w:firstLine="480"/>
      </w:pPr>
      <w:r>
        <w:rPr>
          <w:rFonts w:hint="eastAsia"/>
        </w:rPr>
        <w:t>（8）起重吊装工索具由项目技术管理部组织验收，验收合格后方可投入使用。</w:t>
      </w:r>
    </w:p>
    <w:p w14:paraId="15FCA760">
      <w:pPr>
        <w:pStyle w:val="4"/>
        <w:tabs>
          <w:tab w:val="left" w:pos="0"/>
        </w:tabs>
        <w:bidi w:val="0"/>
        <w:ind w:left="0" w:leftChars="0" w:firstLine="0" w:firstLineChars="0"/>
      </w:pPr>
      <w:bookmarkStart w:id="208" w:name="_Toc14424"/>
      <w:bookmarkStart w:id="209" w:name="_Toc26488"/>
      <w:r>
        <w:rPr>
          <w:rFonts w:hint="eastAsia"/>
        </w:rPr>
        <w:t>验收内容</w:t>
      </w:r>
      <w:bookmarkEnd w:id="204"/>
      <w:bookmarkEnd w:id="205"/>
      <w:bookmarkEnd w:id="206"/>
      <w:bookmarkEnd w:id="207"/>
      <w:bookmarkEnd w:id="208"/>
      <w:bookmarkEnd w:id="209"/>
    </w:p>
    <w:p w14:paraId="073EA297">
      <w:pPr>
        <w:numPr>
          <w:ilvl w:val="0"/>
          <w:numId w:val="55"/>
        </w:numPr>
        <w:ind w:firstLine="480"/>
      </w:pPr>
      <w:r>
        <w:rPr>
          <w:rFonts w:hint="eastAsia"/>
        </w:rPr>
        <w:t>吊装区域：地基承载力、起重机支腿、起重机性能、吊点吊具、吊装区域（受限空间、高压电线、四周建筑等）、人员证件、劳保用品（安全带等）的检查。</w:t>
      </w:r>
    </w:p>
    <w:p w14:paraId="048F8C8A">
      <w:pPr>
        <w:numPr>
          <w:ilvl w:val="0"/>
          <w:numId w:val="55"/>
        </w:numPr>
        <w:ind w:firstLine="480"/>
      </w:pPr>
      <w:r>
        <w:rPr>
          <w:rFonts w:hint="eastAsia"/>
        </w:rPr>
        <w:t>焊接与气割：接地情况、开关箱、一机一闸、气瓶安全距离、气瓶存储方式、动火作业申请、人员证件、劳保用品、消防设施的检查。</w:t>
      </w:r>
    </w:p>
    <w:p w14:paraId="2C4A4635">
      <w:pPr>
        <w:numPr>
          <w:ilvl w:val="0"/>
          <w:numId w:val="55"/>
        </w:numPr>
        <w:ind w:firstLine="480"/>
      </w:pPr>
      <w:r>
        <w:rPr>
          <w:rFonts w:hint="eastAsia"/>
        </w:rPr>
        <w:t>临时用电检查：电箱、开关箱、电缆线。</w:t>
      </w:r>
    </w:p>
    <w:p w14:paraId="59B85F99">
      <w:pPr>
        <w:pStyle w:val="4"/>
        <w:tabs>
          <w:tab w:val="left" w:pos="0"/>
        </w:tabs>
        <w:bidi w:val="0"/>
        <w:ind w:left="0" w:leftChars="0" w:firstLine="0" w:firstLineChars="0"/>
      </w:pPr>
      <w:bookmarkStart w:id="210" w:name="_Toc32418"/>
      <w:bookmarkStart w:id="211" w:name="_Toc699"/>
      <w:r>
        <w:rPr>
          <w:rFonts w:hint="eastAsia"/>
        </w:rPr>
        <w:t>验收人员</w:t>
      </w:r>
      <w:bookmarkEnd w:id="210"/>
      <w:bookmarkEnd w:id="211"/>
    </w:p>
    <w:p w14:paraId="42DF5732">
      <w:pPr>
        <w:ind w:firstLine="480"/>
      </w:pPr>
      <w:r>
        <w:rPr>
          <w:rFonts w:hint="eastAsia"/>
        </w:rPr>
        <w:t>参与验收人员包括：安拆单位现场负责人、安拆班组长、项目部代表（含技术、安全、设备管理人员）等，需要监理验收的通知监理参与验收。</w:t>
      </w:r>
    </w:p>
    <w:p w14:paraId="43126C7E">
      <w:pPr>
        <w:ind w:firstLine="480"/>
        <w:rPr>
          <w:color w:val="auto"/>
        </w:rPr>
      </w:pPr>
    </w:p>
    <w:p w14:paraId="3E8E7E45">
      <w:pPr>
        <w:pStyle w:val="32"/>
        <w:rPr>
          <w:color w:val="auto"/>
        </w:rPr>
      </w:pPr>
    </w:p>
    <w:p w14:paraId="54D38CB8">
      <w:pPr>
        <w:pStyle w:val="32"/>
        <w:rPr>
          <w:color w:val="auto"/>
        </w:rPr>
      </w:pPr>
    </w:p>
    <w:p w14:paraId="267231BE">
      <w:pPr>
        <w:pStyle w:val="3"/>
        <w:numPr>
          <w:ilvl w:val="0"/>
          <w:numId w:val="0"/>
        </w:numPr>
        <w:ind w:leftChars="0"/>
        <w:jc w:val="center"/>
        <w:outlineLvl w:val="0"/>
        <w:rPr>
          <w:rFonts w:hint="eastAsia"/>
          <w:color w:val="auto"/>
          <w:lang w:val="en-US" w:eastAsia="zh-CN"/>
        </w:rPr>
        <w:sectPr>
          <w:headerReference r:id="rId17" w:type="default"/>
          <w:footerReference r:id="rId1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3E10082">
      <w:pPr>
        <w:pStyle w:val="3"/>
        <w:numPr>
          <w:ilvl w:val="0"/>
          <w:numId w:val="0"/>
        </w:numPr>
        <w:ind w:leftChars="0"/>
        <w:jc w:val="center"/>
        <w:outlineLvl w:val="0"/>
        <w:rPr>
          <w:color w:val="auto"/>
        </w:rPr>
      </w:pPr>
      <w:bookmarkStart w:id="212" w:name="_Toc14119"/>
      <w:r>
        <w:rPr>
          <w:rFonts w:hint="eastAsia"/>
          <w:color w:val="auto"/>
          <w:lang w:val="en-US" w:eastAsia="zh-CN"/>
        </w:rPr>
        <w:t>9</w:t>
      </w:r>
      <w:r>
        <w:rPr>
          <w:rFonts w:hint="eastAsia"/>
          <w:color w:val="auto"/>
        </w:rPr>
        <w:t>应急处置</w:t>
      </w:r>
      <w:r>
        <w:rPr>
          <w:rFonts w:hint="eastAsia"/>
          <w:color w:val="auto"/>
          <w:lang w:eastAsia="zh-CN"/>
        </w:rPr>
        <w:t>措施</w:t>
      </w:r>
      <w:bookmarkEnd w:id="195"/>
      <w:bookmarkEnd w:id="196"/>
      <w:bookmarkEnd w:id="212"/>
    </w:p>
    <w:p w14:paraId="550A33AB">
      <w:pPr>
        <w:pStyle w:val="4"/>
        <w:keepNext/>
        <w:keepLines/>
        <w:pageBreakBefore w:val="0"/>
        <w:widowControl w:val="0"/>
        <w:numPr>
          <w:ilvl w:val="0"/>
          <w:numId w:val="0"/>
        </w:numPr>
        <w:kinsoku/>
        <w:wordWrap/>
        <w:overflowPunct/>
        <w:topLinePunct w:val="0"/>
        <w:autoSpaceDE/>
        <w:autoSpaceDN/>
        <w:bidi w:val="0"/>
        <w:adjustRightInd/>
        <w:snapToGrid/>
        <w:spacing w:line="413" w:lineRule="auto"/>
        <w:textAlignment w:val="auto"/>
        <w:outlineLvl w:val="1"/>
        <w:rPr>
          <w:rFonts w:hint="eastAsia"/>
          <w:color w:val="auto"/>
        </w:rPr>
      </w:pPr>
      <w:bookmarkStart w:id="213" w:name="_Toc23818"/>
      <w:bookmarkStart w:id="214" w:name="_Toc17013"/>
      <w:bookmarkStart w:id="215" w:name="_Toc18053"/>
      <w:bookmarkStart w:id="216" w:name="_Toc4194"/>
      <w:bookmarkStart w:id="217" w:name="_Toc31355"/>
      <w:bookmarkStart w:id="218" w:name="_Toc10409839"/>
      <w:r>
        <w:rPr>
          <w:rFonts w:hint="eastAsia"/>
          <w:color w:val="auto"/>
          <w:lang w:val="en-US" w:eastAsia="zh-CN"/>
        </w:rPr>
        <w:t>9.1</w:t>
      </w:r>
      <w:r>
        <w:rPr>
          <w:rFonts w:hint="eastAsia"/>
          <w:color w:val="auto"/>
        </w:rPr>
        <w:t>组织</w:t>
      </w:r>
      <w:r>
        <w:rPr>
          <w:rFonts w:hint="eastAsia"/>
          <w:color w:val="auto"/>
          <w:lang w:val="en-US" w:eastAsia="zh-CN"/>
        </w:rPr>
        <w:t>机</w:t>
      </w:r>
      <w:r>
        <w:rPr>
          <w:rFonts w:hint="eastAsia"/>
          <w:color w:val="auto"/>
        </w:rPr>
        <w:t>构及职责</w:t>
      </w:r>
      <w:bookmarkEnd w:id="213"/>
      <w:bookmarkEnd w:id="214"/>
      <w:bookmarkEnd w:id="215"/>
      <w:bookmarkEnd w:id="216"/>
      <w:bookmarkEnd w:id="217"/>
      <w:bookmarkEnd w:id="218"/>
    </w:p>
    <w:p w14:paraId="355B7B4E">
      <w:pPr>
        <w:keepNext w:val="0"/>
        <w:keepLines w:val="0"/>
        <w:pageBreakBefore w:val="0"/>
        <w:widowControl w:val="0"/>
        <w:kinsoku/>
        <w:wordWrap/>
        <w:overflowPunct/>
        <w:topLinePunct w:val="0"/>
        <w:autoSpaceDE/>
        <w:autoSpaceDN/>
        <w:bidi w:val="0"/>
        <w:adjustRightInd/>
        <w:snapToGrid/>
        <w:spacing w:before="10" w:after="10" w:line="413" w:lineRule="auto"/>
        <w:ind w:firstLine="560" w:firstLineChars="200"/>
        <w:textAlignment w:val="auto"/>
        <w:outlineLvl w:val="2"/>
        <w:rPr>
          <w:rFonts w:hint="eastAsia" w:ascii="宋体" w:hAnsi="宋体" w:eastAsia="宋体" w:cs="宋体"/>
          <w:b/>
          <w:color w:val="auto"/>
          <w:sz w:val="28"/>
          <w:szCs w:val="28"/>
        </w:rPr>
      </w:pPr>
      <w:bookmarkStart w:id="219" w:name="_Toc530055718"/>
      <w:r>
        <w:rPr>
          <w:rFonts w:hint="eastAsia" w:eastAsia="等线" w:cs="等线"/>
          <w:b/>
          <w:color w:val="auto"/>
          <w:sz w:val="28"/>
          <w:szCs w:val="28"/>
          <w:lang w:val="en-US" w:eastAsia="zh-CN"/>
        </w:rPr>
        <w:t>9.1.</w:t>
      </w:r>
      <w:r>
        <w:rPr>
          <w:rFonts w:hint="eastAsia" w:ascii="等线" w:hAnsi="等线" w:eastAsia="等线" w:cs="等线"/>
          <w:b/>
          <w:color w:val="auto"/>
          <w:sz w:val="28"/>
          <w:szCs w:val="28"/>
          <w:lang w:val="en-US" w:eastAsia="zh-CN"/>
        </w:rPr>
        <w:t>1</w:t>
      </w:r>
      <w:r>
        <w:rPr>
          <w:rFonts w:hint="eastAsia" w:ascii="宋体" w:hAnsi="宋体" w:eastAsia="宋体" w:cs="宋体"/>
          <w:b/>
          <w:color w:val="auto"/>
          <w:sz w:val="28"/>
          <w:szCs w:val="28"/>
        </w:rPr>
        <w:t>应急处置领导小组</w:t>
      </w:r>
      <w:bookmarkEnd w:id="219"/>
    </w:p>
    <w:p w14:paraId="766442E2">
      <w:pPr>
        <w:spacing w:line="360" w:lineRule="auto"/>
        <w:ind w:firstLine="480"/>
        <w:rPr>
          <w:rFonts w:hint="default"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组  长：</w:t>
      </w:r>
      <w:r>
        <w:rPr>
          <w:rFonts w:hint="eastAsia" w:cs="宋体"/>
          <w:color w:val="auto"/>
          <w:sz w:val="21"/>
          <w:szCs w:val="21"/>
          <w:lang w:val="en-US" w:eastAsia="zh-CN"/>
        </w:rPr>
        <w:t>彭善忠</w:t>
      </w:r>
    </w:p>
    <w:p w14:paraId="66DE01DA">
      <w:pPr>
        <w:spacing w:line="360" w:lineRule="auto"/>
        <w:ind w:firstLine="480"/>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副组长：</w:t>
      </w:r>
      <w:r>
        <w:rPr>
          <w:rFonts w:hint="eastAsia" w:cs="宋体"/>
          <w:color w:val="auto"/>
          <w:sz w:val="21"/>
          <w:szCs w:val="21"/>
          <w:lang w:val="en-US" w:eastAsia="zh-CN"/>
        </w:rPr>
        <w:t>衣磊</w:t>
      </w:r>
    </w:p>
    <w:p w14:paraId="346C18C9">
      <w:pPr>
        <w:spacing w:line="360" w:lineRule="auto"/>
        <w:ind w:firstLine="480"/>
        <w:rPr>
          <w:rFonts w:hint="default" w:eastAsia="宋体"/>
          <w:color w:val="auto"/>
          <w:lang w:val="en-US" w:eastAsia="zh-CN"/>
        </w:rPr>
      </w:pPr>
      <w:r>
        <w:rPr>
          <w:rFonts w:hint="eastAsia" w:ascii="宋体" w:hAnsi="宋体" w:eastAsia="宋体" w:cs="宋体"/>
          <w:color w:val="auto"/>
          <w:kern w:val="2"/>
          <w:sz w:val="24"/>
          <w:szCs w:val="24"/>
        </w:rPr>
        <w:t>组  员：</w:t>
      </w:r>
      <w:r>
        <w:rPr>
          <w:rFonts w:hint="eastAsia" w:ascii="Times New Roman" w:hAnsi="Times New Roman" w:cs="Times New Roman"/>
          <w:lang w:val="en-US" w:eastAsia="zh-CN"/>
        </w:rPr>
        <w:t>明</w:t>
      </w:r>
      <w:r>
        <w:rPr>
          <w:rFonts w:hint="eastAsia" w:ascii="Times New Roman" w:hAnsi="Times New Roman" w:eastAsia="宋体" w:cs="Times New Roman"/>
          <w:lang w:val="en-US" w:eastAsia="zh-CN"/>
        </w:rPr>
        <w:t>兴富</w:t>
      </w:r>
      <w:r>
        <w:rPr>
          <w:rFonts w:hint="eastAsia" w:ascii="宋体" w:hAnsi="宋体" w:cs="宋体"/>
          <w:color w:val="auto"/>
          <w:kern w:val="2"/>
          <w:sz w:val="24"/>
          <w:szCs w:val="24"/>
          <w:lang w:val="en-US" w:eastAsia="zh-CN"/>
        </w:rPr>
        <w:t>、陈刚、白美富</w:t>
      </w:r>
    </w:p>
    <w:p w14:paraId="645CE420">
      <w:pPr>
        <w:keepNext w:val="0"/>
        <w:keepLines w:val="0"/>
        <w:pageBreakBefore w:val="0"/>
        <w:widowControl w:val="0"/>
        <w:kinsoku/>
        <w:wordWrap/>
        <w:overflowPunct/>
        <w:topLinePunct w:val="0"/>
        <w:autoSpaceDE/>
        <w:autoSpaceDN/>
        <w:bidi w:val="0"/>
        <w:adjustRightInd/>
        <w:snapToGrid/>
        <w:spacing w:before="10" w:after="10" w:line="413" w:lineRule="auto"/>
        <w:ind w:firstLine="560" w:firstLineChars="200"/>
        <w:textAlignment w:val="auto"/>
        <w:outlineLvl w:val="2"/>
        <w:rPr>
          <w:rFonts w:hint="eastAsia" w:eastAsia="等线" w:cs="等线"/>
          <w:b/>
          <w:color w:val="auto"/>
          <w:sz w:val="28"/>
          <w:szCs w:val="28"/>
          <w:lang w:val="en-US" w:eastAsia="zh-CN"/>
        </w:rPr>
      </w:pPr>
      <w:bookmarkStart w:id="220" w:name="_Toc530055719"/>
      <w:r>
        <w:rPr>
          <w:rFonts w:hint="eastAsia" w:eastAsia="等线" w:cs="等线"/>
          <w:b/>
          <w:color w:val="auto"/>
          <w:sz w:val="28"/>
          <w:szCs w:val="28"/>
          <w:lang w:val="en-US" w:eastAsia="zh-CN"/>
        </w:rPr>
        <w:t>9.1.2职责</w:t>
      </w:r>
      <w:bookmarkEnd w:id="220"/>
    </w:p>
    <w:p w14:paraId="771D48B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（1）负责组织和制定应急处置措施；</w:t>
      </w:r>
    </w:p>
    <w:p w14:paraId="517F1FA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（2）按规定的报告程序和时限，逐级上报事故；</w:t>
      </w:r>
    </w:p>
    <w:p w14:paraId="124C160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（3）检查督促做好各项预防措施及应急资源的落实情况；</w:t>
      </w:r>
    </w:p>
    <w:p w14:paraId="2672A4B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（4）应急处置措施的组织与实施；</w:t>
      </w:r>
    </w:p>
    <w:p w14:paraId="5F950F5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（5）当施工现场发生紧急情况时，发布和解除应急救援命令；</w:t>
      </w:r>
    </w:p>
    <w:p w14:paraId="6B01560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（6）随时了解和掌握处理事故的实际情况，根据情况作出应急对策；</w:t>
      </w:r>
    </w:p>
    <w:p w14:paraId="29E026F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（7）保护好事故现场，确保内外通讯畅通。</w:t>
      </w:r>
    </w:p>
    <w:p w14:paraId="42BCF409">
      <w:pPr>
        <w:keepNext w:val="0"/>
        <w:keepLines w:val="0"/>
        <w:pageBreakBefore w:val="0"/>
        <w:widowControl w:val="0"/>
        <w:kinsoku/>
        <w:wordWrap/>
        <w:overflowPunct/>
        <w:topLinePunct w:val="0"/>
        <w:autoSpaceDE/>
        <w:autoSpaceDN/>
        <w:bidi w:val="0"/>
        <w:adjustRightInd/>
        <w:snapToGrid/>
        <w:spacing w:before="10" w:after="10" w:line="413" w:lineRule="auto"/>
        <w:ind w:firstLine="560" w:firstLineChars="200"/>
        <w:textAlignment w:val="auto"/>
        <w:outlineLvl w:val="2"/>
        <w:rPr>
          <w:rFonts w:hint="eastAsia" w:eastAsia="等线" w:cs="等线"/>
          <w:b/>
          <w:color w:val="auto"/>
          <w:sz w:val="28"/>
          <w:szCs w:val="28"/>
          <w:lang w:val="en-US" w:eastAsia="zh-CN"/>
        </w:rPr>
      </w:pPr>
      <w:bookmarkStart w:id="221" w:name="_Toc530055720"/>
      <w:r>
        <w:rPr>
          <w:rFonts w:hint="eastAsia" w:eastAsia="等线" w:cs="等线"/>
          <w:b/>
          <w:color w:val="auto"/>
          <w:sz w:val="28"/>
          <w:szCs w:val="28"/>
          <w:lang w:val="en-US" w:eastAsia="zh-CN"/>
        </w:rPr>
        <w:t>9.1.3领导小组人员分工</w:t>
      </w:r>
      <w:bookmarkEnd w:id="221"/>
    </w:p>
    <w:p w14:paraId="5809435D">
      <w:pPr>
        <w:spacing w:line="360" w:lineRule="auto"/>
        <w:ind w:firstLine="480"/>
        <w:jc w:val="left"/>
        <w:rPr>
          <w:rFonts w:hint="eastAsia" w:ascii="宋体" w:hAnsi="宋体" w:eastAsia="宋体" w:cs="宋体"/>
          <w:color w:val="auto"/>
          <w:sz w:val="24"/>
          <w:szCs w:val="24"/>
        </w:rPr>
      </w:pPr>
      <w:r>
        <w:rPr>
          <w:rFonts w:hint="eastAsia" w:ascii="宋体" w:hAnsi="宋体" w:eastAsia="宋体" w:cs="宋体"/>
          <w:color w:val="auto"/>
          <w:kern w:val="2"/>
          <w:sz w:val="24"/>
          <w:szCs w:val="24"/>
        </w:rPr>
        <w:t>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w:t>
      </w:r>
      <w:r>
        <w:rPr>
          <w:rFonts w:hint="eastAsia" w:ascii="宋体" w:hAnsi="宋体" w:eastAsia="宋体" w:cs="宋体"/>
          <w:color w:val="auto"/>
          <w:sz w:val="24"/>
          <w:szCs w:val="24"/>
        </w:rPr>
        <w:t>发生吊装安全事故时，发布和解除应急救援指令；组织指挥应急队伍实施救援行动；向上级汇报和公司通报事故情况，必要时向有关单位发出救援要求；组织事故调查，总结应急救援经验教育等。</w:t>
      </w:r>
    </w:p>
    <w:p w14:paraId="66899FA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副组长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副总指挥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：协助组长工作，</w:t>
      </w:r>
      <w:r>
        <w:rPr>
          <w:rFonts w:hint="eastAsia" w:ascii="宋体" w:hAnsi="宋体" w:eastAsia="宋体" w:cs="宋体"/>
          <w:color w:val="auto"/>
          <w:sz w:val="24"/>
          <w:szCs w:val="24"/>
        </w:rPr>
        <w:t>负责</w:t>
      </w:r>
      <w:r>
        <w:rPr>
          <w:rFonts w:hint="eastAsia" w:ascii="宋体" w:hAnsi="宋体" w:eastAsia="宋体" w:cs="宋体"/>
          <w:color w:val="auto"/>
          <w:kern w:val="2"/>
          <w:sz w:val="24"/>
          <w:szCs w:val="24"/>
        </w:rPr>
        <w:t>指挥应急处置工作的具体实施。</w:t>
      </w:r>
    </w:p>
    <w:p w14:paraId="1EE98A7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小组成员：</w:t>
      </w:r>
    </w:p>
    <w:p w14:paraId="08705E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（1）负责警戒、治安保卫、人员疏散，道路交通管制工作。</w:t>
      </w:r>
    </w:p>
    <w:p w14:paraId="2A6E84A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（2）协助副组长工作，做好事故报警，情况通报及事故处置工作，负责事故现场的通讯联络、对外联络及事故现场的监测工作。</w:t>
      </w:r>
    </w:p>
    <w:p w14:paraId="197B8C0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w:t>
      </w:r>
      <w:r>
        <w:rPr>
          <w:rFonts w:hint="eastAsia" w:ascii="宋体" w:hAnsi="宋体" w:eastAsia="宋体" w:cs="宋体"/>
          <w:color w:val="auto"/>
          <w:sz w:val="24"/>
          <w:szCs w:val="24"/>
        </w:rPr>
        <w:t>负责协助抢险机械设备的调转；负责抢险救援物质的供应和运输工作。</w:t>
      </w:r>
    </w:p>
    <w:p w14:paraId="5CE79B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（4）负责抢险车辆调度和现场医疗救护指挥及受伤人员分类抢救和护送医院，受伤人员的生活必需品、抢险救援物资供应，资金保证。</w:t>
      </w:r>
    </w:p>
    <w:p w14:paraId="26DB4E8A">
      <w:pPr>
        <w:pStyle w:val="4"/>
        <w:numPr>
          <w:ilvl w:val="0"/>
          <w:numId w:val="0"/>
        </w:numPr>
        <w:outlineLvl w:val="1"/>
        <w:rPr>
          <w:color w:val="auto"/>
        </w:rPr>
      </w:pPr>
      <w:bookmarkStart w:id="222" w:name="_Toc13642"/>
      <w:bookmarkStart w:id="223" w:name="_Toc15798"/>
      <w:bookmarkStart w:id="224" w:name="_Toc14880"/>
      <w:bookmarkStart w:id="225" w:name="_Toc28776"/>
      <w:bookmarkStart w:id="226" w:name="_Toc10789"/>
      <w:bookmarkStart w:id="227" w:name="_Toc10409840"/>
      <w:r>
        <w:rPr>
          <w:rFonts w:hint="eastAsia"/>
          <w:color w:val="auto"/>
          <w:lang w:val="en-US" w:eastAsia="zh-CN"/>
        </w:rPr>
        <w:t>9.2</w:t>
      </w:r>
      <w:r>
        <w:rPr>
          <w:rFonts w:hint="eastAsia"/>
          <w:color w:val="auto"/>
        </w:rPr>
        <w:t>预防与预警</w:t>
      </w:r>
      <w:bookmarkEnd w:id="222"/>
      <w:bookmarkEnd w:id="223"/>
      <w:bookmarkEnd w:id="224"/>
      <w:bookmarkEnd w:id="225"/>
      <w:bookmarkEnd w:id="226"/>
      <w:bookmarkEnd w:id="227"/>
    </w:p>
    <w:p w14:paraId="0A9ABD08">
      <w:pPr>
        <w:spacing w:line="360" w:lineRule="auto"/>
        <w:ind w:firstLine="480"/>
        <w:rPr>
          <w:rFonts w:hint="eastAsia" w:ascii="宋体" w:hAnsi="宋体" w:eastAsia="宋体" w:cs="宋体"/>
          <w:color w:val="auto"/>
          <w:kern w:val="2"/>
          <w:sz w:val="24"/>
          <w:szCs w:val="24"/>
        </w:rPr>
      </w:pPr>
      <w:bookmarkStart w:id="228" w:name="_Toc10409841"/>
      <w:r>
        <w:rPr>
          <w:rFonts w:hint="eastAsia" w:ascii="宋体" w:hAnsi="宋体" w:eastAsia="宋体" w:cs="宋体"/>
          <w:color w:val="auto"/>
          <w:kern w:val="2"/>
          <w:sz w:val="24"/>
          <w:szCs w:val="24"/>
        </w:rPr>
        <w:t>（1）施工现场设安全领导小组，负责吊装过程中可能造成的人员 伤亡事故的控制。</w:t>
      </w:r>
    </w:p>
    <w:p w14:paraId="329E143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（2）发生事故时，安全领导小组要立即救人。救人时先排除危险，防止抢救时事故的再发生。</w:t>
      </w:r>
    </w:p>
    <w:p w14:paraId="4157F58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3）遇到安全事故较大或人员受伤时，现场人员在组织自救的同时，应及时拨打急救中心电话“120”或公安及生产中心电话“110”求的外部支援；支援时必须讲明地点、基本情况、联系电话等详细情况，并派人到路上接警。  </w:t>
      </w:r>
    </w:p>
    <w:p w14:paraId="2E25107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（4）将受伤人员及时转送医院进行紧急救护。</w:t>
      </w:r>
    </w:p>
    <w:p w14:paraId="2CCFC08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（5）将信息迅速传递给项目部；传递内容包括发生的时间、地点、部位、简要经过、伤人数和已采取的应急措施等。  </w:t>
      </w:r>
    </w:p>
    <w:p w14:paraId="7B0267D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（6）项目部接到应急信息后应立即核实现场的处置情况，组织有关人员或应急队伍赶赴现场。</w:t>
      </w:r>
    </w:p>
    <w:p w14:paraId="4050CCB0">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 （7）应急队伍到达现场后，应服从现场指挥人员统指挥，按分工要求进行疏散人员，抢救物质，尽可能减少生命财产损失，防止事故蔓延；可能对区域内外人群安全构成威胁时，必须对与事故应急救援无关的人员进行紧急疏散。</w:t>
      </w:r>
    </w:p>
    <w:p w14:paraId="3C19678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（8）事故处理完毕后，施工现场应保护好现场，接受事故调查并如实提供事故的情况。</w:t>
      </w:r>
    </w:p>
    <w:p w14:paraId="0DC5AA92">
      <w:pPr>
        <w:pStyle w:val="4"/>
        <w:numPr>
          <w:ilvl w:val="0"/>
          <w:numId w:val="0"/>
        </w:numPr>
        <w:outlineLvl w:val="1"/>
        <w:rPr>
          <w:rFonts w:hint="eastAsia" w:eastAsia="宋体"/>
          <w:color w:val="auto"/>
          <w:lang w:val="en-US" w:eastAsia="zh-CN"/>
        </w:rPr>
      </w:pPr>
      <w:bookmarkStart w:id="229" w:name="_Toc21539"/>
      <w:bookmarkStart w:id="230" w:name="_Toc13122"/>
      <w:bookmarkStart w:id="231" w:name="_Toc10032"/>
      <w:bookmarkStart w:id="232" w:name="_Toc26929"/>
      <w:r>
        <w:rPr>
          <w:rFonts w:hint="eastAsia" w:eastAsia="宋体"/>
          <w:color w:val="auto"/>
          <w:lang w:val="en-US" w:eastAsia="zh-CN"/>
        </w:rPr>
        <w:t>9.</w:t>
      </w:r>
      <w:r>
        <w:rPr>
          <w:rFonts w:hint="eastAsia"/>
          <w:color w:val="auto"/>
          <w:lang w:val="en-US" w:eastAsia="zh-CN"/>
        </w:rPr>
        <w:t>3</w:t>
      </w:r>
      <w:r>
        <w:rPr>
          <w:rFonts w:hint="eastAsia" w:eastAsia="宋体"/>
          <w:color w:val="auto"/>
          <w:lang w:val="en-US" w:eastAsia="zh-CN"/>
        </w:rPr>
        <w:t>应急响应</w:t>
      </w:r>
      <w:bookmarkEnd w:id="228"/>
      <w:bookmarkEnd w:id="229"/>
      <w:r>
        <w:rPr>
          <w:rFonts w:hint="eastAsia" w:eastAsia="宋体"/>
          <w:color w:val="auto"/>
          <w:lang w:val="en-US" w:eastAsia="zh-CN"/>
        </w:rPr>
        <w:t>程序</w:t>
      </w:r>
      <w:bookmarkEnd w:id="230"/>
      <w:bookmarkEnd w:id="231"/>
      <w:bookmarkEnd w:id="232"/>
    </w:p>
    <w:p w14:paraId="768E6B6A">
      <w:pPr>
        <w:pStyle w:val="48"/>
        <w:numPr>
          <w:ilvl w:val="0"/>
          <w:numId w:val="56"/>
        </w:numPr>
        <w:spacing w:line="360" w:lineRule="auto"/>
        <w:ind w:firstLineChars="0"/>
        <w:outlineLvl w:val="9"/>
        <w:rPr>
          <w:rFonts w:hint="eastAsia" w:ascii="宋体" w:hAnsi="宋体" w:eastAsia="宋体" w:cs="宋体"/>
          <w:color w:val="auto"/>
          <w:sz w:val="24"/>
          <w:szCs w:val="24"/>
        </w:rPr>
      </w:pPr>
      <w:bookmarkStart w:id="233" w:name="_Toc2877"/>
      <w:r>
        <w:rPr>
          <w:rFonts w:hint="eastAsia" w:ascii="宋体" w:hAnsi="宋体" w:eastAsia="宋体" w:cs="宋体"/>
          <w:color w:val="auto"/>
          <w:sz w:val="24"/>
          <w:szCs w:val="24"/>
        </w:rPr>
        <w:t>响应分级</w:t>
      </w:r>
      <w:bookmarkEnd w:id="233"/>
    </w:p>
    <w:p w14:paraId="456B9AC4">
      <w:pPr>
        <w:pStyle w:val="50"/>
        <w:spacing w:line="360" w:lineRule="auto"/>
        <w:ind w:left="420" w:firstLine="0" w:firstLineChars="0"/>
        <w:jc w:val="center"/>
        <w:rPr>
          <w:rFonts w:hint="eastAsia" w:ascii="宋体" w:hAnsi="宋体" w:eastAsia="宋体" w:cs="宋体"/>
          <w:b/>
          <w:color w:val="auto"/>
          <w:sz w:val="24"/>
          <w:szCs w:val="24"/>
        </w:rPr>
      </w:pPr>
      <w:r>
        <w:rPr>
          <w:rFonts w:hint="eastAsia" w:ascii="宋体" w:hAnsi="宋体" w:eastAsia="宋体" w:cs="宋体"/>
          <w:b/>
          <w:color w:val="auto"/>
          <w:sz w:val="21"/>
          <w:szCs w:val="21"/>
        </w:rPr>
        <w:t>表</w:t>
      </w:r>
      <w:r>
        <w:rPr>
          <w:rFonts w:hint="eastAsia" w:ascii="宋体" w:hAnsi="宋体" w:eastAsia="宋体" w:cs="宋体"/>
          <w:b/>
          <w:color w:val="auto"/>
          <w:sz w:val="21"/>
          <w:szCs w:val="21"/>
          <w:lang w:val="en-US" w:eastAsia="zh-CN"/>
        </w:rPr>
        <w:t>9</w:t>
      </w:r>
      <w:r>
        <w:rPr>
          <w:rFonts w:hint="eastAsia" w:ascii="宋体" w:hAnsi="宋体" w:eastAsia="宋体" w:cs="宋体"/>
          <w:b/>
          <w:color w:val="auto"/>
          <w:sz w:val="21"/>
          <w:szCs w:val="21"/>
        </w:rPr>
        <w:t>.</w:t>
      </w:r>
      <w:r>
        <w:rPr>
          <w:rFonts w:hint="eastAsia" w:ascii="宋体" w:hAnsi="宋体" w:cs="宋体"/>
          <w:b/>
          <w:color w:val="auto"/>
          <w:sz w:val="21"/>
          <w:szCs w:val="21"/>
          <w:lang w:val="en-US" w:eastAsia="zh-CN"/>
        </w:rPr>
        <w:t>3</w:t>
      </w:r>
      <w:r>
        <w:rPr>
          <w:rFonts w:hint="eastAsia" w:ascii="宋体" w:hAnsi="宋体" w:eastAsia="宋体" w:cs="宋体"/>
          <w:b/>
          <w:color w:val="auto"/>
          <w:sz w:val="21"/>
          <w:szCs w:val="21"/>
        </w:rPr>
        <w:t>-1 响应等级</w:t>
      </w:r>
    </w:p>
    <w:tbl>
      <w:tblPr>
        <w:tblStyle w:val="27"/>
        <w:tblW w:w="9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880"/>
        <w:gridCol w:w="1220"/>
        <w:gridCol w:w="1160"/>
        <w:gridCol w:w="1220"/>
        <w:gridCol w:w="1240"/>
        <w:gridCol w:w="1329"/>
      </w:tblGrid>
      <w:tr w14:paraId="0D8C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Merge w:val="restart"/>
            <w:vAlign w:val="center"/>
          </w:tcPr>
          <w:p w14:paraId="0D3AE507">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事故危</w:t>
            </w:r>
          </w:p>
          <w:p w14:paraId="3EC8530E">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害程度</w:t>
            </w:r>
          </w:p>
        </w:tc>
        <w:tc>
          <w:tcPr>
            <w:tcW w:w="1880" w:type="dxa"/>
            <w:vMerge w:val="restart"/>
            <w:vAlign w:val="center"/>
          </w:tcPr>
          <w:p w14:paraId="32FB816D">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影响范围</w:t>
            </w:r>
          </w:p>
        </w:tc>
        <w:tc>
          <w:tcPr>
            <w:tcW w:w="3600" w:type="dxa"/>
            <w:gridSpan w:val="3"/>
            <w:vAlign w:val="center"/>
          </w:tcPr>
          <w:p w14:paraId="05BBDA60">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单位控制事态的能力</w:t>
            </w:r>
          </w:p>
        </w:tc>
        <w:tc>
          <w:tcPr>
            <w:tcW w:w="1240" w:type="dxa"/>
            <w:vMerge w:val="restart"/>
            <w:vAlign w:val="center"/>
          </w:tcPr>
          <w:p w14:paraId="13D50914">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事故等级</w:t>
            </w:r>
          </w:p>
        </w:tc>
        <w:tc>
          <w:tcPr>
            <w:tcW w:w="1329" w:type="dxa"/>
            <w:vMerge w:val="restart"/>
            <w:vAlign w:val="center"/>
          </w:tcPr>
          <w:p w14:paraId="731380BD">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响应级别</w:t>
            </w:r>
          </w:p>
        </w:tc>
      </w:tr>
      <w:tr w14:paraId="109A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Merge w:val="continue"/>
            <w:vAlign w:val="center"/>
          </w:tcPr>
          <w:p w14:paraId="29032292">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880" w:type="dxa"/>
            <w:vMerge w:val="continue"/>
            <w:vAlign w:val="center"/>
          </w:tcPr>
          <w:p w14:paraId="3FC416DC">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220" w:type="dxa"/>
            <w:vAlign w:val="center"/>
          </w:tcPr>
          <w:p w14:paraId="50277F59">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项目部</w:t>
            </w:r>
          </w:p>
        </w:tc>
        <w:tc>
          <w:tcPr>
            <w:tcW w:w="1160" w:type="dxa"/>
            <w:vAlign w:val="center"/>
          </w:tcPr>
          <w:p w14:paraId="35CD153E">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w:t>
            </w:r>
          </w:p>
        </w:tc>
        <w:tc>
          <w:tcPr>
            <w:tcW w:w="1220" w:type="dxa"/>
            <w:vAlign w:val="center"/>
          </w:tcPr>
          <w:p w14:paraId="49C8D851">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集团公司</w:t>
            </w:r>
          </w:p>
        </w:tc>
        <w:tc>
          <w:tcPr>
            <w:tcW w:w="1240" w:type="dxa"/>
            <w:vMerge w:val="continue"/>
            <w:vAlign w:val="center"/>
          </w:tcPr>
          <w:p w14:paraId="301EB7BC">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329" w:type="dxa"/>
            <w:vMerge w:val="continue"/>
            <w:vAlign w:val="center"/>
          </w:tcPr>
          <w:p w14:paraId="171F23FA">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r>
      <w:tr w14:paraId="4E346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Align w:val="center"/>
          </w:tcPr>
          <w:p w14:paraId="0E96FED3">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很小</w:t>
            </w:r>
          </w:p>
        </w:tc>
        <w:tc>
          <w:tcPr>
            <w:tcW w:w="1880" w:type="dxa"/>
            <w:vAlign w:val="center"/>
          </w:tcPr>
          <w:p w14:paraId="5862A31F">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操作者本人</w:t>
            </w:r>
          </w:p>
        </w:tc>
        <w:tc>
          <w:tcPr>
            <w:tcW w:w="1220" w:type="dxa"/>
            <w:vAlign w:val="center"/>
          </w:tcPr>
          <w:p w14:paraId="4805A3E3">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能够控制</w:t>
            </w:r>
          </w:p>
        </w:tc>
        <w:tc>
          <w:tcPr>
            <w:tcW w:w="1160" w:type="dxa"/>
            <w:vAlign w:val="center"/>
          </w:tcPr>
          <w:p w14:paraId="428D3745">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220" w:type="dxa"/>
            <w:vAlign w:val="center"/>
          </w:tcPr>
          <w:p w14:paraId="52573BD9">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240" w:type="dxa"/>
            <w:vAlign w:val="center"/>
          </w:tcPr>
          <w:p w14:paraId="76130C28">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轻、重伤</w:t>
            </w:r>
          </w:p>
        </w:tc>
        <w:tc>
          <w:tcPr>
            <w:tcW w:w="1329" w:type="dxa"/>
            <w:vAlign w:val="center"/>
          </w:tcPr>
          <w:p w14:paraId="6BEEADA3">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项目部</w:t>
            </w:r>
          </w:p>
        </w:tc>
      </w:tr>
      <w:tr w14:paraId="7DAE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Align w:val="center"/>
          </w:tcPr>
          <w:p w14:paraId="6EF1C01C">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一般</w:t>
            </w:r>
          </w:p>
        </w:tc>
        <w:tc>
          <w:tcPr>
            <w:tcW w:w="1880" w:type="dxa"/>
            <w:vAlign w:val="center"/>
          </w:tcPr>
          <w:p w14:paraId="6F153EBE">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操作者本人或作业区</w:t>
            </w:r>
          </w:p>
        </w:tc>
        <w:tc>
          <w:tcPr>
            <w:tcW w:w="1220" w:type="dxa"/>
            <w:vAlign w:val="center"/>
          </w:tcPr>
          <w:p w14:paraId="48D03AF9">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不易控制</w:t>
            </w:r>
          </w:p>
        </w:tc>
        <w:tc>
          <w:tcPr>
            <w:tcW w:w="1160" w:type="dxa"/>
            <w:vAlign w:val="center"/>
          </w:tcPr>
          <w:p w14:paraId="4878A784">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控制</w:t>
            </w:r>
          </w:p>
        </w:tc>
        <w:tc>
          <w:tcPr>
            <w:tcW w:w="1220" w:type="dxa"/>
            <w:vAlign w:val="center"/>
          </w:tcPr>
          <w:p w14:paraId="6924BC93">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240" w:type="dxa"/>
            <w:vAlign w:val="center"/>
          </w:tcPr>
          <w:p w14:paraId="27C5FDB5">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四级</w:t>
            </w:r>
          </w:p>
        </w:tc>
        <w:tc>
          <w:tcPr>
            <w:tcW w:w="1329" w:type="dxa"/>
            <w:vAlign w:val="center"/>
          </w:tcPr>
          <w:p w14:paraId="32E8687F">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w:t>
            </w:r>
          </w:p>
        </w:tc>
      </w:tr>
      <w:tr w14:paraId="17BE4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Align w:val="center"/>
          </w:tcPr>
          <w:p w14:paraId="3A8C7A46">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严重</w:t>
            </w:r>
          </w:p>
        </w:tc>
        <w:tc>
          <w:tcPr>
            <w:tcW w:w="1880" w:type="dxa"/>
            <w:vAlign w:val="center"/>
          </w:tcPr>
          <w:p w14:paraId="64F23ABB">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周边环境</w:t>
            </w:r>
          </w:p>
        </w:tc>
        <w:tc>
          <w:tcPr>
            <w:tcW w:w="1220" w:type="dxa"/>
            <w:vAlign w:val="center"/>
          </w:tcPr>
          <w:p w14:paraId="444423B0">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无法控制</w:t>
            </w:r>
          </w:p>
        </w:tc>
        <w:tc>
          <w:tcPr>
            <w:tcW w:w="1160" w:type="dxa"/>
            <w:vAlign w:val="center"/>
          </w:tcPr>
          <w:p w14:paraId="178E9D84">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不易控制</w:t>
            </w:r>
          </w:p>
        </w:tc>
        <w:tc>
          <w:tcPr>
            <w:tcW w:w="1220" w:type="dxa"/>
            <w:vAlign w:val="center"/>
          </w:tcPr>
          <w:p w14:paraId="1D5B5DC4">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控制</w:t>
            </w:r>
          </w:p>
        </w:tc>
        <w:tc>
          <w:tcPr>
            <w:tcW w:w="1240" w:type="dxa"/>
            <w:vAlign w:val="center"/>
          </w:tcPr>
          <w:p w14:paraId="17BB0672">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四级以上安全事故</w:t>
            </w:r>
          </w:p>
        </w:tc>
        <w:tc>
          <w:tcPr>
            <w:tcW w:w="1329" w:type="dxa"/>
            <w:vAlign w:val="center"/>
          </w:tcPr>
          <w:p w14:paraId="7C8C3258">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集团公司</w:t>
            </w:r>
          </w:p>
        </w:tc>
      </w:tr>
    </w:tbl>
    <w:p w14:paraId="0B9B68F9">
      <w:pPr>
        <w:pStyle w:val="48"/>
        <w:numPr>
          <w:ilvl w:val="0"/>
          <w:numId w:val="56"/>
        </w:numPr>
        <w:spacing w:line="360" w:lineRule="auto"/>
        <w:ind w:firstLineChars="0"/>
        <w:outlineLvl w:val="9"/>
        <w:rPr>
          <w:rFonts w:hint="eastAsia" w:ascii="宋体" w:hAnsi="宋体" w:eastAsia="宋体" w:cs="宋体"/>
          <w:color w:val="auto"/>
          <w:sz w:val="24"/>
          <w:szCs w:val="24"/>
        </w:rPr>
      </w:pPr>
      <w:bookmarkStart w:id="234" w:name="_Toc422"/>
      <w:r>
        <w:rPr>
          <w:rFonts w:hint="eastAsia" w:ascii="宋体" w:hAnsi="宋体" w:eastAsia="宋体" w:cs="宋体"/>
          <w:color w:val="auto"/>
          <w:sz w:val="24"/>
          <w:szCs w:val="24"/>
        </w:rPr>
        <w:t>事故发生后的内部报告程序</w:t>
      </w:r>
      <w:bookmarkEnd w:id="234"/>
    </w:p>
    <w:p w14:paraId="37A5B871">
      <w:pPr>
        <w:pStyle w:val="48"/>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发生事故后，现场操作或作业人员第一时间通知主管，街道报告后，立即进行现场确认并上报应急救援指挥部报告情况（发生事故设备型号、参数、位置、事故程度、大致损失情况）。按图所示流程进行。</w:t>
      </w:r>
    </w:p>
    <w:p w14:paraId="562FA737">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drawing>
          <wp:inline distT="0" distB="0" distL="114300" distR="114300">
            <wp:extent cx="5433060" cy="723900"/>
            <wp:effectExtent l="0" t="0" r="7620" b="0"/>
            <wp:docPr id="1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0"/>
                    <pic:cNvPicPr>
                      <a:picLocks noChangeAspect="1"/>
                    </pic:cNvPicPr>
                  </pic:nvPicPr>
                  <pic:blipFill>
                    <a:blip r:embed="rId44"/>
                    <a:stretch>
                      <a:fillRect/>
                    </a:stretch>
                  </pic:blipFill>
                  <pic:spPr>
                    <a:xfrm>
                      <a:off x="0" y="0"/>
                      <a:ext cx="5433060" cy="723900"/>
                    </a:xfrm>
                    <a:prstGeom prst="rect">
                      <a:avLst/>
                    </a:prstGeom>
                    <a:noFill/>
                    <a:ln>
                      <a:noFill/>
                    </a:ln>
                  </pic:spPr>
                </pic:pic>
              </a:graphicData>
            </a:graphic>
          </wp:inline>
        </w:drawing>
      </w:r>
    </w:p>
    <w:p w14:paraId="3D5A0669">
      <w:pPr>
        <w:pStyle w:val="50"/>
        <w:spacing w:line="360" w:lineRule="auto"/>
        <w:ind w:left="420" w:firstLine="0" w:firstLineChars="0"/>
        <w:jc w:val="center"/>
        <w:rPr>
          <w:rFonts w:hint="default" w:ascii="宋体" w:hAnsi="宋体" w:eastAsia="宋体" w:cs="宋体"/>
          <w:b/>
          <w:color w:val="auto"/>
          <w:sz w:val="24"/>
          <w:szCs w:val="24"/>
          <w:lang w:val="en-US" w:eastAsia="zh-CN"/>
        </w:rPr>
      </w:pPr>
      <w:r>
        <w:rPr>
          <w:rFonts w:hint="eastAsia" w:ascii="宋体" w:hAnsi="宋体" w:eastAsia="宋体" w:cs="宋体"/>
          <w:b/>
          <w:color w:val="auto"/>
          <w:sz w:val="21"/>
          <w:szCs w:val="21"/>
          <w:lang w:val="en-US" w:eastAsia="zh-CN"/>
        </w:rPr>
        <w:t>图9</w:t>
      </w:r>
      <w:r>
        <w:rPr>
          <w:rFonts w:hint="eastAsia" w:ascii="宋体" w:hAnsi="宋体" w:eastAsia="宋体" w:cs="宋体"/>
          <w:b/>
          <w:color w:val="auto"/>
          <w:sz w:val="21"/>
          <w:szCs w:val="21"/>
        </w:rPr>
        <w:t>.</w:t>
      </w:r>
      <w:r>
        <w:rPr>
          <w:rFonts w:hint="eastAsia" w:ascii="宋体" w:hAnsi="宋体" w:cs="宋体"/>
          <w:b/>
          <w:color w:val="auto"/>
          <w:sz w:val="21"/>
          <w:szCs w:val="21"/>
          <w:lang w:val="en-US" w:eastAsia="zh-CN"/>
        </w:rPr>
        <w:t>3</w:t>
      </w:r>
      <w:r>
        <w:rPr>
          <w:rFonts w:hint="eastAsia" w:ascii="宋体" w:hAnsi="宋体" w:eastAsia="宋体" w:cs="宋体"/>
          <w:b/>
          <w:color w:val="auto"/>
          <w:sz w:val="21"/>
          <w:szCs w:val="21"/>
        </w:rPr>
        <w:t xml:space="preserve">-1 </w:t>
      </w:r>
      <w:r>
        <w:rPr>
          <w:rFonts w:hint="eastAsia" w:ascii="宋体" w:hAnsi="宋体" w:eastAsia="宋体" w:cs="宋体"/>
          <w:b/>
          <w:color w:val="auto"/>
          <w:sz w:val="21"/>
          <w:szCs w:val="21"/>
          <w:lang w:val="en-US" w:eastAsia="zh-CN"/>
        </w:rPr>
        <w:t>事故报告流程图</w:t>
      </w:r>
    </w:p>
    <w:p w14:paraId="3F753EA5">
      <w:pPr>
        <w:pStyle w:val="48"/>
        <w:numPr>
          <w:ilvl w:val="0"/>
          <w:numId w:val="56"/>
        </w:numPr>
        <w:spacing w:line="360" w:lineRule="auto"/>
        <w:ind w:firstLineChars="0"/>
        <w:outlineLvl w:val="9"/>
        <w:rPr>
          <w:rFonts w:hint="eastAsia" w:ascii="宋体" w:hAnsi="宋体" w:eastAsia="宋体" w:cs="宋体"/>
          <w:color w:val="auto"/>
          <w:sz w:val="24"/>
          <w:szCs w:val="24"/>
        </w:rPr>
      </w:pPr>
      <w:bookmarkStart w:id="235" w:name="_Toc3451"/>
      <w:r>
        <w:rPr>
          <w:rFonts w:hint="eastAsia" w:ascii="宋体" w:hAnsi="宋体" w:eastAsia="宋体" w:cs="宋体"/>
          <w:color w:val="auto"/>
          <w:sz w:val="24"/>
          <w:szCs w:val="24"/>
        </w:rPr>
        <w:t>响应程序</w:t>
      </w:r>
      <w:bookmarkEnd w:id="235"/>
    </w:p>
    <w:p w14:paraId="54224565">
      <w:pPr>
        <w:pStyle w:val="48"/>
        <w:numPr>
          <w:ilvl w:val="0"/>
          <w:numId w:val="57"/>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应急指挥</w:t>
      </w:r>
    </w:p>
    <w:p w14:paraId="441F5134">
      <w:pPr>
        <w:pStyle w:val="48"/>
        <w:numPr>
          <w:ilvl w:val="0"/>
          <w:numId w:val="57"/>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发现险情后，立即启动项目部应急预案，努力将事故危害程度降低到最</w:t>
      </w:r>
    </w:p>
    <w:p w14:paraId="260B3E71">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小。</w:t>
      </w:r>
    </w:p>
    <w:p w14:paraId="4CCE5566">
      <w:pPr>
        <w:pStyle w:val="48"/>
        <w:numPr>
          <w:ilvl w:val="0"/>
          <w:numId w:val="57"/>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当施工现场发生无法或不易控制的安全生产事故时，启动公司专项应急</w:t>
      </w:r>
    </w:p>
    <w:p w14:paraId="313EAA2B">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预案。公司应急救援指挥中心接到响应级别事故报告后，经对事故严重程度核实后，判断是否有能力组织救援。</w:t>
      </w:r>
    </w:p>
    <w:p w14:paraId="44989F15">
      <w:pPr>
        <w:pStyle w:val="48"/>
        <w:numPr>
          <w:ilvl w:val="0"/>
          <w:numId w:val="57"/>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如有能力组织救援，及时启动公司专项应急救援预案，否则立即向集团</w:t>
      </w:r>
    </w:p>
    <w:p w14:paraId="70370527">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公司报告。</w:t>
      </w:r>
    </w:p>
    <w:p w14:paraId="315E7392">
      <w:pPr>
        <w:pStyle w:val="48"/>
        <w:numPr>
          <w:ilvl w:val="0"/>
          <w:numId w:val="57"/>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公司应急救援指挥中心通知应急指挥人员和工作组，停止手头一切工作，</w:t>
      </w:r>
    </w:p>
    <w:p w14:paraId="239E8060">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立即到位，通报事故情况，按照各职能小组分工组织救援。</w:t>
      </w:r>
    </w:p>
    <w:p w14:paraId="176527C9">
      <w:pPr>
        <w:pStyle w:val="48"/>
        <w:numPr>
          <w:ilvl w:val="0"/>
          <w:numId w:val="56"/>
        </w:numPr>
        <w:spacing w:line="360" w:lineRule="auto"/>
        <w:ind w:firstLineChars="0"/>
        <w:outlineLvl w:val="9"/>
        <w:rPr>
          <w:rFonts w:hint="eastAsia" w:ascii="宋体" w:hAnsi="宋体" w:eastAsia="宋体" w:cs="宋体"/>
          <w:color w:val="auto"/>
          <w:sz w:val="24"/>
          <w:szCs w:val="24"/>
        </w:rPr>
      </w:pPr>
      <w:r>
        <w:rPr>
          <w:rFonts w:hint="eastAsia" w:ascii="宋体" w:hAnsi="宋体" w:eastAsia="宋体" w:cs="宋体"/>
          <w:color w:val="auto"/>
          <w:sz w:val="24"/>
          <w:szCs w:val="24"/>
        </w:rPr>
        <w:t>应急行动</w:t>
      </w:r>
    </w:p>
    <w:p w14:paraId="79980C17">
      <w:pPr>
        <w:pStyle w:val="48"/>
        <w:numPr>
          <w:ilvl w:val="0"/>
          <w:numId w:val="58"/>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指挥人员到达现场后，立即了解现场事故情况，划定安全和危险区域，</w:t>
      </w:r>
    </w:p>
    <w:p w14:paraId="4E34C9A7">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设立标志，实行现场保护，安全警戒，疏导车流，保障救援道路的畅通，维护好现场秩序。</w:t>
      </w:r>
    </w:p>
    <w:p w14:paraId="702EDE0F">
      <w:pPr>
        <w:pStyle w:val="48"/>
        <w:numPr>
          <w:ilvl w:val="0"/>
          <w:numId w:val="58"/>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按预案规定职责明确各应急工作组救援任务,组织救援。</w:t>
      </w:r>
    </w:p>
    <w:p w14:paraId="6655A714">
      <w:pPr>
        <w:pStyle w:val="48"/>
        <w:numPr>
          <w:ilvl w:val="0"/>
          <w:numId w:val="58"/>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对事故现场进行调查取证，因抢救人员、防止事态扩大、恢复生产及疏</w:t>
      </w:r>
    </w:p>
    <w:p w14:paraId="660D8D56">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通交通等原因，需要移动现场物件的，应当做好标志，采取拍照、摄像、绘图等方法详细记录事故现场原貌，妥善保存现场重要痕迹、物证。</w:t>
      </w:r>
    </w:p>
    <w:p w14:paraId="0A2DB5B8">
      <w:pPr>
        <w:pStyle w:val="48"/>
        <w:numPr>
          <w:ilvl w:val="0"/>
          <w:numId w:val="56"/>
        </w:numPr>
        <w:spacing w:line="360" w:lineRule="auto"/>
        <w:ind w:firstLineChars="0"/>
        <w:outlineLvl w:val="9"/>
        <w:rPr>
          <w:rFonts w:hint="eastAsia" w:ascii="宋体" w:hAnsi="宋体" w:eastAsia="宋体" w:cs="宋体"/>
          <w:color w:val="auto"/>
          <w:sz w:val="24"/>
          <w:szCs w:val="24"/>
        </w:rPr>
      </w:pPr>
      <w:r>
        <w:rPr>
          <w:rFonts w:hint="eastAsia" w:ascii="宋体" w:hAnsi="宋体" w:eastAsia="宋体" w:cs="宋体"/>
          <w:color w:val="auto"/>
          <w:sz w:val="24"/>
          <w:szCs w:val="24"/>
        </w:rPr>
        <w:t>资源调配</w:t>
      </w:r>
    </w:p>
    <w:p w14:paraId="4235D6F2">
      <w:pPr>
        <w:pStyle w:val="48"/>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组织抢险救援队伍,调配应急救援物资、装备、器材、药品、医疗器械、抢险车辆等物资，为应急行动做好充分准备。</w:t>
      </w:r>
    </w:p>
    <w:p w14:paraId="478F74C0">
      <w:pPr>
        <w:pStyle w:val="48"/>
        <w:numPr>
          <w:ilvl w:val="0"/>
          <w:numId w:val="56"/>
        </w:numPr>
        <w:spacing w:line="360" w:lineRule="auto"/>
        <w:ind w:firstLineChars="0"/>
        <w:outlineLvl w:val="9"/>
        <w:rPr>
          <w:rFonts w:hint="eastAsia" w:ascii="宋体" w:hAnsi="宋体" w:eastAsia="宋体" w:cs="宋体"/>
          <w:color w:val="auto"/>
          <w:sz w:val="24"/>
          <w:szCs w:val="24"/>
        </w:rPr>
      </w:pPr>
      <w:r>
        <w:rPr>
          <w:rFonts w:hint="eastAsia" w:ascii="宋体" w:hAnsi="宋体" w:eastAsia="宋体" w:cs="宋体"/>
          <w:color w:val="auto"/>
          <w:sz w:val="24"/>
          <w:szCs w:val="24"/>
        </w:rPr>
        <w:t>应急避险</w:t>
      </w:r>
    </w:p>
    <w:p w14:paraId="293609E2">
      <w:pPr>
        <w:pStyle w:val="48"/>
        <w:numPr>
          <w:ilvl w:val="0"/>
          <w:numId w:val="59"/>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抢险车辆赶往事发现场和急救车辆护送伤害人员到达医院的途中，按交</w:t>
      </w:r>
    </w:p>
    <w:p w14:paraId="7A803615">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通规则正确驾驶车辆，避免交通事故发生。</w:t>
      </w:r>
    </w:p>
    <w:p w14:paraId="56AB9099">
      <w:pPr>
        <w:pStyle w:val="48"/>
        <w:numPr>
          <w:ilvl w:val="0"/>
          <w:numId w:val="59"/>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在疏散人群过程中，要选择安全通道，合理有序引导撤离，防止相互践</w:t>
      </w:r>
    </w:p>
    <w:p w14:paraId="61F3E229">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踏受到伤害。</w:t>
      </w:r>
    </w:p>
    <w:p w14:paraId="59A89786">
      <w:pPr>
        <w:pStyle w:val="48"/>
        <w:numPr>
          <w:ilvl w:val="0"/>
          <w:numId w:val="59"/>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在现场抢救伤员的过程中，要根据伤员受伤部位和伤害程度,正确施救，</w:t>
      </w:r>
    </w:p>
    <w:p w14:paraId="1F08FAD3">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避免盲目抬运拖拉,给后续抢救工作带来麻烦,防止使受伤人员再次受伤或加重伤害程度。</w:t>
      </w:r>
    </w:p>
    <w:p w14:paraId="67210F79">
      <w:pPr>
        <w:pStyle w:val="4"/>
        <w:keepNext/>
        <w:keepLines/>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eastAsia" w:ascii="宋体" w:hAnsi="宋体" w:eastAsia="宋体" w:cs="宋体"/>
          <w:color w:val="auto"/>
          <w:sz w:val="28"/>
          <w:szCs w:val="28"/>
        </w:rPr>
      </w:pPr>
      <w:bookmarkStart w:id="236" w:name="_Toc24033"/>
      <w:bookmarkStart w:id="237" w:name="_Toc27986"/>
      <w:bookmarkStart w:id="238" w:name="_Toc14308"/>
      <w:bookmarkStart w:id="239" w:name="_Toc10409842"/>
      <w:bookmarkStart w:id="240" w:name="_Toc16079"/>
      <w:bookmarkStart w:id="241" w:name="_Toc17732"/>
      <w:r>
        <w:rPr>
          <w:rFonts w:hint="eastAsia" w:ascii="等线" w:hAnsi="等线" w:eastAsia="等线" w:cs="等线"/>
          <w:color w:val="auto"/>
          <w:sz w:val="28"/>
          <w:szCs w:val="28"/>
          <w:lang w:val="en-US" w:eastAsia="zh-CN"/>
        </w:rPr>
        <w:t xml:space="preserve">9.4 </w:t>
      </w:r>
      <w:r>
        <w:rPr>
          <w:rFonts w:hint="eastAsia" w:ascii="宋体" w:hAnsi="宋体" w:eastAsia="宋体" w:cs="宋体"/>
          <w:color w:val="auto"/>
          <w:sz w:val="28"/>
          <w:szCs w:val="28"/>
        </w:rPr>
        <w:t>突发事件应急</w:t>
      </w:r>
      <w:r>
        <w:rPr>
          <w:rFonts w:hint="eastAsia" w:ascii="宋体" w:hAnsi="宋体" w:cs="宋体"/>
          <w:color w:val="auto"/>
          <w:sz w:val="28"/>
          <w:szCs w:val="28"/>
          <w:lang w:val="en-US" w:eastAsia="zh-CN"/>
        </w:rPr>
        <w:t>处置措施和</w:t>
      </w:r>
      <w:r>
        <w:rPr>
          <w:rFonts w:hint="eastAsia" w:ascii="宋体" w:hAnsi="宋体" w:eastAsia="宋体" w:cs="宋体"/>
          <w:color w:val="auto"/>
          <w:sz w:val="28"/>
          <w:szCs w:val="28"/>
        </w:rPr>
        <w:t>预案</w:t>
      </w:r>
      <w:bookmarkEnd w:id="236"/>
      <w:bookmarkEnd w:id="237"/>
      <w:bookmarkEnd w:id="238"/>
      <w:bookmarkEnd w:id="239"/>
      <w:bookmarkEnd w:id="240"/>
      <w:bookmarkEnd w:id="241"/>
    </w:p>
    <w:p w14:paraId="4153E216">
      <w:pPr>
        <w:keepNext w:val="0"/>
        <w:keepLines w:val="0"/>
        <w:pageBreakBefore w:val="0"/>
        <w:widowControl w:val="0"/>
        <w:kinsoku/>
        <w:wordWrap/>
        <w:overflowPunct/>
        <w:topLinePunct w:val="0"/>
        <w:autoSpaceDE/>
        <w:autoSpaceDN/>
        <w:bidi w:val="0"/>
        <w:adjustRightInd/>
        <w:snapToGrid/>
        <w:spacing w:before="260" w:after="260" w:line="413" w:lineRule="auto"/>
        <w:ind w:firstLine="560" w:firstLineChars="200"/>
        <w:textAlignment w:val="auto"/>
        <w:outlineLvl w:val="2"/>
        <w:rPr>
          <w:rFonts w:hint="eastAsia" w:ascii="宋体" w:hAnsi="宋体" w:eastAsia="宋体" w:cs="宋体"/>
          <w:b/>
          <w:color w:val="auto"/>
          <w:sz w:val="24"/>
          <w:szCs w:val="24"/>
        </w:rPr>
      </w:pPr>
      <w:bookmarkStart w:id="242" w:name="_Toc530055723"/>
      <w:r>
        <w:rPr>
          <w:rFonts w:hint="eastAsia" w:eastAsia="等线" w:cs="等线"/>
          <w:b/>
          <w:color w:val="auto"/>
          <w:sz w:val="28"/>
          <w:szCs w:val="28"/>
          <w:lang w:val="en-US" w:eastAsia="zh-CN"/>
        </w:rPr>
        <w:t>9.4.1</w:t>
      </w:r>
      <w:r>
        <w:rPr>
          <w:rFonts w:hint="eastAsia" w:ascii="宋体" w:hAnsi="宋体" w:eastAsia="宋体" w:cs="宋体"/>
          <w:b/>
          <w:color w:val="auto"/>
          <w:sz w:val="28"/>
          <w:szCs w:val="28"/>
        </w:rPr>
        <w:t>高空坠落应急处置措施</w:t>
      </w:r>
      <w:bookmarkEnd w:id="242"/>
    </w:p>
    <w:p w14:paraId="1340DA95">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发生高处坠落事故，应马上组织挽救伤者，首先观察伤者的受伤情况、部位、伤害性质，如伤员发生休克，应先处理休克。遇呼吸、心跳停止者，应立即进行人工呼吸，胸外心脏挤压。处于休克状态的伤员要认其安静、保暖、平卧、少动，并将下肢抬高约20度左右，尽快送医院进行抢救治疗。</w:t>
      </w:r>
    </w:p>
    <w:p w14:paraId="2E99E47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出现颅脑损伤时，必须维持呼吸道畅通。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往就近有条件的医院治疗。</w:t>
      </w:r>
    </w:p>
    <w:p w14:paraId="43CE749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3）发现脊椎受伤者，创伤处用消毒的纱布或清洁布等覆盖伤口，用绷带或布条包扎，搬运时将伤者平卧放在帆布担架或硬板上，以免受伤的脊椎移位、断裂造成截瘫，招致死亡。抢救脊椎受伤者，搬运过程中，严禁只抬伤者的两肩与两腿或单肩背运。 </w:t>
      </w:r>
    </w:p>
    <w:p w14:paraId="63206575">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发现伤者手足骨折者，不要盲目搬动伤者。应在骨折部位用夹板把受伤的位置临时固定，使断端不再移位或刺伤肌肉、神经或血管。固定方法：以固定骨折处上下关节为原则，用夹板，也可就地取材，用木板、竹子等，在无材料的情况下，上肢可固定在身侧，下肢与腱侧下肢缚在一起。</w:t>
      </w:r>
    </w:p>
    <w:p w14:paraId="47AE51F5">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（5）遇有创伤性出血的伤员，应迅速包扎止血，使伤员保持在头底脚高的卧位，并注意保暖。正确的现场止血处理措施：</w:t>
      </w:r>
    </w:p>
    <w:p w14:paraId="30472CB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a.一般伤口的止血法：先用生理盐水（0.9%Nacl溶液）冲洗伤口，涂上红汞水，然后盖上消毒纱布，用绷带较紧地包扎。</w:t>
      </w:r>
    </w:p>
    <w:p w14:paraId="3B79814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b.加压包扎止血法：用纱布、棉花等作成软件垫，放在伤口上再加包扎，来增强压力而达到止血。</w:t>
      </w:r>
    </w:p>
    <w:p w14:paraId="0CF3E27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止血带止血法：选择弹性好的橡皮管、橡皮带或三角巾、毛巾、带状布条等，上肢出血结扎在上臂1/2处（靠近心脏位置），下肢出血结扎在大腿上1/3处（靠近心脏位置）。结扎时，在止血带与皮肤之间垫上纱布棉垫。每隔25—40分钟放松一次，每次放松0.5—1分钟。</w:t>
      </w:r>
    </w:p>
    <w:p w14:paraId="002BEC0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（6）动用最快的交通工具或其他措施，及时把伤者送往邻近医院抢救，运送途中应尽量减少颠簸。同时密切注意伤者的呼吸、脉搏、血压及伤口的情况。</w:t>
      </w:r>
    </w:p>
    <w:p w14:paraId="448A4BE4">
      <w:pPr>
        <w:keepNext w:val="0"/>
        <w:keepLines w:val="0"/>
        <w:pageBreakBefore w:val="0"/>
        <w:widowControl w:val="0"/>
        <w:kinsoku/>
        <w:wordWrap/>
        <w:overflowPunct/>
        <w:topLinePunct w:val="0"/>
        <w:autoSpaceDE/>
        <w:autoSpaceDN/>
        <w:bidi w:val="0"/>
        <w:adjustRightInd/>
        <w:snapToGrid/>
        <w:spacing w:before="260" w:after="260" w:line="413" w:lineRule="auto"/>
        <w:ind w:firstLine="560" w:firstLineChars="200"/>
        <w:textAlignment w:val="auto"/>
        <w:outlineLvl w:val="2"/>
        <w:rPr>
          <w:rFonts w:hint="eastAsia" w:ascii="宋体" w:hAnsi="宋体" w:eastAsia="宋体" w:cs="宋体"/>
          <w:b/>
          <w:color w:val="auto"/>
          <w:sz w:val="28"/>
          <w:szCs w:val="28"/>
        </w:rPr>
      </w:pPr>
      <w:bookmarkStart w:id="243" w:name="_Toc530055724"/>
      <w:r>
        <w:rPr>
          <w:rFonts w:hint="eastAsia" w:eastAsia="等线" w:cs="等线"/>
          <w:b/>
          <w:color w:val="auto"/>
          <w:sz w:val="28"/>
          <w:szCs w:val="28"/>
          <w:lang w:val="en-US" w:eastAsia="zh-CN"/>
        </w:rPr>
        <w:t>9.4.</w:t>
      </w:r>
      <w:r>
        <w:rPr>
          <w:rFonts w:hint="eastAsia" w:ascii="等线" w:hAnsi="等线" w:eastAsia="等线" w:cs="等线"/>
          <w:b/>
          <w:color w:val="auto"/>
          <w:sz w:val="28"/>
          <w:szCs w:val="28"/>
        </w:rPr>
        <w:t>2</w:t>
      </w:r>
      <w:r>
        <w:rPr>
          <w:rFonts w:hint="eastAsia" w:ascii="宋体" w:hAnsi="宋体" w:eastAsia="宋体" w:cs="宋体"/>
          <w:b/>
          <w:color w:val="auto"/>
          <w:sz w:val="28"/>
          <w:szCs w:val="28"/>
        </w:rPr>
        <w:t>物体打击应急处置措施</w:t>
      </w:r>
      <w:bookmarkEnd w:id="243"/>
    </w:p>
    <w:p w14:paraId="730F5ED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当发生物体打击事故后，抢救的重点放在颅脑损伤、胸部骨折和出血上进行处理。</w:t>
      </w:r>
    </w:p>
    <w:p w14:paraId="021A5B2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当施工人员发生物体打击时，急救人员应尽快赶往出事地点，并呼叫周围人员及时通知医疗部门，首先观察伤者的受伤情况、部位、伤害性质，尽可能不要移动患者，尽量当场施救。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46DB756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（2）遇呼吸、心跳停止者，应立即进行人工呼吸，胸外心脏挤压。处于休克状态的伤员要让其安静、保暖、平卧、少动，并将下肢抬高约20度左右，尽快送医院进行抢救治疗。</w:t>
      </w:r>
    </w:p>
    <w:p w14:paraId="6E383FB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医院治疗。</w:t>
      </w:r>
    </w:p>
    <w:p w14:paraId="1CD85C38">
      <w:pPr>
        <w:keepNext w:val="0"/>
        <w:keepLines w:val="0"/>
        <w:pageBreakBefore w:val="0"/>
        <w:widowControl w:val="0"/>
        <w:kinsoku/>
        <w:wordWrap/>
        <w:overflowPunct/>
        <w:topLinePunct w:val="0"/>
        <w:autoSpaceDE/>
        <w:autoSpaceDN/>
        <w:bidi w:val="0"/>
        <w:adjustRightInd/>
        <w:snapToGrid/>
        <w:spacing w:before="260" w:after="260" w:line="413" w:lineRule="auto"/>
        <w:ind w:firstLine="560" w:firstLineChars="200"/>
        <w:textAlignment w:val="auto"/>
        <w:outlineLvl w:val="2"/>
        <w:rPr>
          <w:rFonts w:hint="eastAsia" w:ascii="宋体" w:hAnsi="宋体" w:eastAsia="宋体" w:cs="宋体"/>
          <w:b/>
          <w:color w:val="auto"/>
          <w:sz w:val="28"/>
          <w:szCs w:val="28"/>
        </w:rPr>
      </w:pPr>
      <w:bookmarkStart w:id="244" w:name="_Toc530055725"/>
      <w:r>
        <w:rPr>
          <w:rFonts w:hint="eastAsia" w:eastAsia="等线" w:cs="等线"/>
          <w:b/>
          <w:color w:val="auto"/>
          <w:sz w:val="28"/>
          <w:szCs w:val="28"/>
          <w:lang w:val="en-US" w:eastAsia="zh-CN"/>
        </w:rPr>
        <w:t>9.4.</w:t>
      </w:r>
      <w:r>
        <w:rPr>
          <w:rFonts w:hint="eastAsia" w:ascii="等线" w:hAnsi="等线" w:eastAsia="等线" w:cs="等线"/>
          <w:b/>
          <w:color w:val="auto"/>
          <w:sz w:val="28"/>
          <w:szCs w:val="28"/>
        </w:rPr>
        <w:t>3</w:t>
      </w:r>
      <w:r>
        <w:rPr>
          <w:rFonts w:hint="eastAsia" w:ascii="宋体" w:hAnsi="宋体" w:eastAsia="宋体" w:cs="宋体"/>
          <w:b/>
          <w:color w:val="auto"/>
          <w:sz w:val="28"/>
          <w:szCs w:val="28"/>
        </w:rPr>
        <w:t>机械伤害应急处置措施</w:t>
      </w:r>
      <w:bookmarkEnd w:id="244"/>
      <w:r>
        <w:rPr>
          <w:rFonts w:hint="eastAsia" w:ascii="宋体" w:hAnsi="宋体" w:eastAsia="宋体" w:cs="宋体"/>
          <w:b/>
          <w:color w:val="auto"/>
          <w:sz w:val="28"/>
          <w:szCs w:val="28"/>
        </w:rPr>
        <w:t xml:space="preserve"> </w:t>
      </w:r>
    </w:p>
    <w:p w14:paraId="69DF9905">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当施工人员发生机械伤害事故时，迅速确定事故发生的准确位置、可能波及的范围、设备损坏的程度、人员伤亡等情况，观察伤者的受伤情况、部位、伤害性质，急救人员应尽快赶往出事地点。</w:t>
      </w:r>
    </w:p>
    <w:p w14:paraId="0942230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（1）休克、昏迷急救</w:t>
      </w:r>
    </w:p>
    <w:p w14:paraId="55C630E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让休克者平卧、不用枕头，腿部抬高30度。若属于心原性休克同时伴有心力衰竭、气急，不能平卧时，可采用半卧，注意保暖和安静，尽量不要搬动，如必须搬动时，动作要轻。</w:t>
      </w:r>
    </w:p>
    <w:p w14:paraId="0248391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（2）骨折急救</w:t>
      </w:r>
    </w:p>
    <w:p w14:paraId="3E30EF9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a.固定断骨的材料可就地取材，如棍、木板、拐杖、硬纸板等都可作为固定材料，长短要以能固定住骨折处上下两个关节或不使断骨错动为准。 </w:t>
      </w:r>
    </w:p>
    <w:p w14:paraId="6C27C94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b.脊柱骨折或骨折或颈部骨折时，除非是特殊情况如室内失火，否则应让伤者留在原地，等待携有医疗器材的医护人员来搬动。  </w:t>
      </w:r>
    </w:p>
    <w:p w14:paraId="640EAD5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抬运伤者，从地上抬起时，要多人同时缓缓用力平托；运送时，必须用木板或硬材料，不能用布担架或绳床。木板上可垫棉被，但不能用枕头，颈椎骨骨折伤者的头须放正，两旁用沙袋将头夹住，不能让头随便晃动。</w:t>
      </w:r>
    </w:p>
    <w:p w14:paraId="46DCB64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（3）严重出血的急救</w:t>
      </w:r>
    </w:p>
    <w:p w14:paraId="288794E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止血的方法：</w:t>
      </w:r>
    </w:p>
    <w:p w14:paraId="6291DF2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a.一般止血法：一般伤口小的出血，先用生理盐水涂上红汞药水，然后盖上消毒纱布，用绷带较紧地包扎。</w:t>
      </w:r>
    </w:p>
    <w:p w14:paraId="785667A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严重出血时，应使用压迫带止血法。这是一种最基本、最常用，也是最有效的止血方法。适用于头、颈、四肢动脉大血管出血的临时止血。即用手指或手掌用力压住比伤口靠近心脏更近部位的动脉跳动处（止血点）。只要位置找的准，这种方法能马上起到止血作用。</w:t>
      </w:r>
    </w:p>
    <w:p w14:paraId="03EC54EC">
      <w:pPr>
        <w:spacing w:line="360" w:lineRule="auto"/>
        <w:ind w:firstLine="360" w:firstLineChars="15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（4）肢体切断断肢(指)后，有时即刻造成伤者因流血或疼痛而发生休克，所以应设法首先止血，防止伤员休克。其急救要点为：</w:t>
      </w:r>
    </w:p>
    <w:p w14:paraId="7F4CD13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a.让伤者躺下，用一块纱布或清洁布块(如翻出干净手帕的内面)，放在断肢伤口上，再用绷带固定位置。如果找不到绷带，也可用围巾包扎。</w:t>
      </w:r>
    </w:p>
    <w:p w14:paraId="1D98B4B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b.如是手臂切断，用绷带把断臂挂在胸前，固定位置；若是一条腿断了，则与另一条腿扎在一起。</w:t>
      </w:r>
    </w:p>
    <w:p w14:paraId="63021BAF">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c.料理好伤者后，设法找回断肢。倘若离断的伤肢(指)仍在机器中，千万不能将肢体强行拉出，或将机器倒开(转)，以免增加损伤的机会。正确的方法应是拆开机器后取出。</w:t>
      </w:r>
    </w:p>
    <w:p w14:paraId="4FC337B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d.取下断落的肢(指)体后，立即用无菌纱布或干净布片包扎，然后放人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77F8B7C0">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e.离断后的伤肢，如有少许皮肤或其他肌腱相连，不能将其离断，应放在夹板或阔竹片上，然后包扎，立即送到医院作紧急处理。</w:t>
      </w:r>
    </w:p>
    <w:p w14:paraId="00D0E49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f.严禁在离断伤肢(指)的断端涂抹各种药物及药水(包括消毒剂)，更不能涂抹牙膏、灶灰之类试图止血。</w:t>
      </w:r>
    </w:p>
    <w:p w14:paraId="5DBB8A89">
      <w:pPr>
        <w:spacing w:line="360" w:lineRule="auto"/>
        <w:ind w:firstLine="199" w:firstLineChars="83"/>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（5）一般性外伤</w:t>
      </w:r>
    </w:p>
    <w:p w14:paraId="65704D7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a.视伤情送往医院，防止破伤风。</w:t>
      </w:r>
    </w:p>
    <w:p w14:paraId="4609332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b.轻微内伤，送医院检查。</w:t>
      </w:r>
    </w:p>
    <w:p w14:paraId="63EF08BF">
      <w:pPr>
        <w:keepNext w:val="0"/>
        <w:keepLines w:val="0"/>
        <w:pageBreakBefore w:val="0"/>
        <w:widowControl w:val="0"/>
        <w:kinsoku/>
        <w:wordWrap/>
        <w:overflowPunct/>
        <w:topLinePunct w:val="0"/>
        <w:autoSpaceDE/>
        <w:autoSpaceDN/>
        <w:bidi w:val="0"/>
        <w:adjustRightInd/>
        <w:snapToGrid/>
        <w:spacing w:before="260" w:after="260" w:line="413" w:lineRule="auto"/>
        <w:ind w:firstLine="560" w:firstLineChars="200"/>
        <w:textAlignment w:val="auto"/>
        <w:outlineLvl w:val="2"/>
        <w:rPr>
          <w:rFonts w:hint="eastAsia" w:ascii="宋体" w:hAnsi="宋体" w:eastAsia="宋体" w:cs="宋体"/>
          <w:b/>
          <w:color w:val="auto"/>
          <w:sz w:val="24"/>
          <w:szCs w:val="24"/>
        </w:rPr>
      </w:pPr>
      <w:bookmarkStart w:id="245" w:name="_Toc530055726"/>
      <w:r>
        <w:rPr>
          <w:rFonts w:hint="eastAsia" w:eastAsia="等线" w:cs="等线"/>
          <w:b/>
          <w:color w:val="auto"/>
          <w:sz w:val="28"/>
          <w:szCs w:val="28"/>
          <w:lang w:val="en-US" w:eastAsia="zh-CN"/>
        </w:rPr>
        <w:t>9.4.</w:t>
      </w:r>
      <w:r>
        <w:rPr>
          <w:rFonts w:hint="eastAsia" w:ascii="等线" w:hAnsi="等线" w:eastAsia="等线" w:cs="等线"/>
          <w:b/>
          <w:color w:val="auto"/>
          <w:sz w:val="28"/>
          <w:szCs w:val="28"/>
        </w:rPr>
        <w:t>4</w:t>
      </w:r>
      <w:r>
        <w:rPr>
          <w:rFonts w:hint="eastAsia" w:ascii="宋体" w:hAnsi="宋体" w:eastAsia="宋体" w:cs="宋体"/>
          <w:b/>
          <w:color w:val="auto"/>
          <w:sz w:val="28"/>
          <w:szCs w:val="28"/>
        </w:rPr>
        <w:t>触电应急处置措施</w:t>
      </w:r>
      <w:bookmarkEnd w:id="245"/>
      <w:r>
        <w:rPr>
          <w:rFonts w:hint="eastAsia" w:ascii="宋体" w:hAnsi="宋体" w:eastAsia="宋体" w:cs="宋体"/>
          <w:b/>
          <w:color w:val="auto"/>
          <w:sz w:val="24"/>
          <w:szCs w:val="24"/>
        </w:rPr>
        <w:t xml:space="preserve"> </w:t>
      </w:r>
    </w:p>
    <w:p w14:paraId="633D8CC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（1）迅速脱离电源  </w:t>
      </w:r>
    </w:p>
    <w:p w14:paraId="5969CA5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人体触电以后，可能由于痉挛或失去知觉等原因而紧抓带电体，不能自己摆脱电源。抢救触电者的首要步骤就是使触电者尽快脱离电源。 </w:t>
      </w:r>
    </w:p>
    <w:p w14:paraId="79585FB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使触电者脱离电源的方法：  </w:t>
      </w:r>
    </w:p>
    <w:p w14:paraId="6A648E3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a.立即将闸刀打开或将插头拨掉，切断电源。要注意，普通的电灯开关（如拉线开关）只能关断一根线，有时关断的不是相线，并未真正切断电源。 </w:t>
      </w:r>
    </w:p>
    <w:p w14:paraId="6057DCD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b.找不到开关或插头时，可用绝缘的物体（如干燥的木棒、竹杆、手套等）将电线拨开，使触电者脱离电源。</w:t>
      </w:r>
    </w:p>
    <w:p w14:paraId="6A3E38B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c.用绝缘工具（如带绝缘的电工钳、木柄斧头以及锄头等）切断电线来切断电源。</w:t>
      </w:r>
    </w:p>
    <w:p w14:paraId="184B5F3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d.遇高压触电事故，立即通过有关部门停电。 </w:t>
      </w:r>
    </w:p>
    <w:p w14:paraId="3795A8F0">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总之，要因地制宜，灵活运用各种方法，快速切断电源，防止事故扩大。</w:t>
      </w:r>
    </w:p>
    <w:p w14:paraId="02563F8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（2）现场急救方法</w:t>
      </w:r>
    </w:p>
    <w:p w14:paraId="0C7341E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当触电者脱离电源后，应根据触电者的具体情况迅速对症救护，力争在触电后1分钟内进行救治。国内外一些资料表明，触电后在一分钟内进救治的，90％以上有良好的效果，而超过12分钟再开始救治的，基本无救活的可能。现场应用的主要方法是口对口人工呼吸和体外心脏挤压法，严禁打强心针。</w:t>
      </w:r>
    </w:p>
    <w:p w14:paraId="1077FAF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a.口对口人工呼吸法：是用人工的方法来代替肺的呼吸活动，使空气有节律地进入和排出肺脏，供给体内足够的氧气，充分排出二氧化碳，维持正常的通气功能。 </w:t>
      </w:r>
    </w:p>
    <w:p w14:paraId="6EAD700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b.体外心脏挤压法：是指有节律地对心脏挤压，用人工的方法代替心脏的自然收缩，使心脏恢复搏动功能，维持血液循环。</w:t>
      </w:r>
    </w:p>
    <w:p w14:paraId="48D1DA4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（3）触电急救方法</w:t>
      </w:r>
    </w:p>
    <w:p w14:paraId="5D04076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触电病人一般有以下四种症状，可分别给予正确的对症救治：</w:t>
      </w:r>
    </w:p>
    <w:p w14:paraId="4CE5F21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a.神志尚清醒，但心慌力乏，四肢麻木。该类病人一般只需将其扶到清凉通风之处休息，让其自然慢慢恢复。但要派专人照料护理，因为有的病人在几小时后会发生病变而突然死亡。</w:t>
      </w:r>
    </w:p>
    <w:p w14:paraId="769E0BF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b.有心跳，但呼吸停止或极微弱。该类病人应该采用口对口人工呼吸法进行急救。人工呼吸法可按下述口诀进行，频率是每分钟约12次：清理口腔防堵塞，鼻孔朝天头后仰；贴嘴吹气胸扩张，放开口鼻换气畅。</w:t>
      </w:r>
    </w:p>
    <w:p w14:paraId="24659A1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c.有呼吸，但心跳停止或极微弱。该类病人应该采用人工胸外心脏挤压法来恢复病人的心跳。一般可以按下述口诀进行，频率是每分钟约60~80次。当胸一手掌，中指对凹膛；掌根用力向下压，压下突然收。</w:t>
      </w:r>
    </w:p>
    <w:p w14:paraId="245F2C2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d.心跳、呼吸均已停止者。该类病人的危险性最大，抢救的难度也最大。应该把以上两法同时使用，亦即采用“人工氧合”的方法。最好是两人一起抢救，如果仅有一人抢救时，应先吹气2～3次，再挤压心脏15次，如此反复交替进行。</w:t>
      </w:r>
    </w:p>
    <w:p w14:paraId="3F7D1003">
      <w:pPr>
        <w:keepNext w:val="0"/>
        <w:keepLines w:val="0"/>
        <w:pageBreakBefore w:val="0"/>
        <w:widowControl w:val="0"/>
        <w:kinsoku/>
        <w:wordWrap/>
        <w:overflowPunct/>
        <w:topLinePunct w:val="0"/>
        <w:autoSpaceDE/>
        <w:autoSpaceDN/>
        <w:bidi w:val="0"/>
        <w:adjustRightInd/>
        <w:snapToGrid/>
        <w:spacing w:before="260" w:after="260" w:line="413" w:lineRule="auto"/>
        <w:ind w:firstLine="560" w:firstLineChars="200"/>
        <w:textAlignment w:val="auto"/>
        <w:outlineLvl w:val="2"/>
        <w:rPr>
          <w:rFonts w:hint="eastAsia" w:ascii="宋体" w:hAnsi="宋体" w:eastAsia="宋体" w:cs="宋体"/>
          <w:b/>
          <w:color w:val="auto"/>
          <w:sz w:val="28"/>
          <w:szCs w:val="28"/>
        </w:rPr>
      </w:pPr>
      <w:bookmarkStart w:id="246" w:name="_Toc530055727"/>
      <w:r>
        <w:rPr>
          <w:rFonts w:hint="eastAsia" w:eastAsia="等线" w:cs="等线"/>
          <w:b/>
          <w:color w:val="auto"/>
          <w:sz w:val="28"/>
          <w:szCs w:val="28"/>
          <w:lang w:val="en-US" w:eastAsia="zh-CN"/>
        </w:rPr>
        <w:t>9.4.</w:t>
      </w:r>
      <w:r>
        <w:rPr>
          <w:rFonts w:hint="eastAsia" w:ascii="等线" w:hAnsi="等线" w:eastAsia="等线" w:cs="等线"/>
          <w:b/>
          <w:color w:val="auto"/>
          <w:sz w:val="28"/>
          <w:szCs w:val="28"/>
        </w:rPr>
        <w:t>5</w:t>
      </w:r>
      <w:r>
        <w:rPr>
          <w:rFonts w:hint="eastAsia" w:ascii="宋体" w:hAnsi="宋体" w:eastAsia="宋体" w:cs="宋体"/>
          <w:b/>
          <w:color w:val="auto"/>
          <w:sz w:val="28"/>
          <w:szCs w:val="28"/>
        </w:rPr>
        <w:t>落水人员应急处置措施</w:t>
      </w:r>
      <w:bookmarkEnd w:id="246"/>
    </w:p>
    <w:p w14:paraId="4A8DB556">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（1）交通船舶必须符合水上航行安全要求，备妥救生工具如救生衣、救生圈、救生竹篙等救生器材。</w:t>
      </w:r>
    </w:p>
    <w:p w14:paraId="747C243D">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（2）水上施工作业及船上流动作业人员应按规定穿着救生衣。符合高处作业条件的，还应按高处作业的规定系好安全带。</w:t>
      </w:r>
    </w:p>
    <w:p w14:paraId="7D727BA7">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（3）交通船必须按定员，不准超载。乘坐人员应听从船员的指挥，船到位后，应待靠稳拴牢方可上、下。不得抢上抢下或船未靠稳就跳船。</w:t>
      </w:r>
    </w:p>
    <w:p w14:paraId="5775D344">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（4）乘坐人员应听从船员的指挥，自觉入舱，不得站立和坐骑在船头、船尾和船帮上，遇有风浪时，船上乘坐人员不得来回走动。非本船驾驶人员严禁擅自操作。</w:t>
      </w:r>
    </w:p>
    <w:p w14:paraId="32196108">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（5）施工人员应开展游泳培训，加强自救和互救的能力。</w:t>
      </w:r>
    </w:p>
    <w:p w14:paraId="47F91F5D">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（6）人员上下通道必须设安全网，跳板要固定。作业平台应满铺脚手板，周边必须有栏杆和安全网等可靠的临边维护。</w:t>
      </w:r>
    </w:p>
    <w:p w14:paraId="46BC799C">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（7）作业平台上应配置足够数量的救生圈等救生设备，并配备一定数量的固定式防水灯，保证夜间足够的照明。</w:t>
      </w:r>
    </w:p>
    <w:p w14:paraId="18232828">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（8）作业平台上设置多条安全通道，以防不测时人员迅速疏散。</w:t>
      </w:r>
    </w:p>
    <w:p w14:paraId="4121D11D">
      <w:pPr>
        <w:pStyle w:val="4"/>
        <w:keepNext/>
        <w:keepLines/>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eastAsia"/>
          <w:color w:val="auto"/>
        </w:rPr>
      </w:pPr>
      <w:bookmarkStart w:id="247" w:name="_Toc23368"/>
      <w:bookmarkStart w:id="248" w:name="_Toc18811"/>
      <w:bookmarkStart w:id="249" w:name="_Toc10887"/>
      <w:bookmarkStart w:id="250" w:name="_Toc26771"/>
      <w:bookmarkStart w:id="251" w:name="_Toc10409843"/>
      <w:bookmarkStart w:id="252" w:name="_Toc11464"/>
      <w:bookmarkStart w:id="253" w:name="_Toc20264"/>
      <w:bookmarkStart w:id="254" w:name="_Toc7406"/>
      <w:r>
        <w:rPr>
          <w:rFonts w:hint="eastAsia" w:ascii="等线" w:hAnsi="等线" w:eastAsia="等线" w:cs="等线"/>
          <w:color w:val="auto"/>
          <w:sz w:val="28"/>
          <w:szCs w:val="28"/>
          <w:lang w:val="en-US" w:eastAsia="zh-CN"/>
        </w:rPr>
        <w:t xml:space="preserve">9.5 </w:t>
      </w:r>
      <w:bookmarkStart w:id="255" w:name="_Toc4613"/>
      <w:r>
        <w:rPr>
          <w:rFonts w:hint="eastAsia"/>
          <w:color w:val="auto"/>
        </w:rPr>
        <w:t>施工现场的急救步骤</w:t>
      </w:r>
      <w:bookmarkEnd w:id="247"/>
      <w:bookmarkEnd w:id="248"/>
      <w:bookmarkEnd w:id="249"/>
      <w:bookmarkEnd w:id="250"/>
      <w:bookmarkEnd w:id="255"/>
    </w:p>
    <w:p w14:paraId="76B7DA28">
      <w:pPr>
        <w:keepNext w:val="0"/>
        <w:keepLines w:val="0"/>
        <w:pageBreakBefore w:val="0"/>
        <w:widowControl w:val="0"/>
        <w:kinsoku/>
        <w:wordWrap/>
        <w:overflowPunct/>
        <w:topLinePunct w:val="0"/>
        <w:autoSpaceDE/>
        <w:autoSpaceDN/>
        <w:bidi w:val="0"/>
        <w:adjustRightInd/>
        <w:snapToGrid/>
        <w:spacing w:before="260" w:after="260" w:line="413" w:lineRule="auto"/>
        <w:ind w:firstLine="562" w:firstLineChars="200"/>
        <w:textAlignment w:val="auto"/>
        <w:outlineLvl w:val="2"/>
        <w:rPr>
          <w:rFonts w:hint="eastAsia" w:ascii="宋体" w:hAnsi="宋体" w:eastAsia="宋体" w:cs="宋体"/>
          <w:b/>
          <w:color w:val="auto"/>
          <w:sz w:val="28"/>
          <w:szCs w:val="28"/>
        </w:rPr>
      </w:pPr>
      <w:bookmarkStart w:id="256" w:name="_Toc18994"/>
      <w:bookmarkStart w:id="257" w:name="_Toc528765883"/>
      <w:r>
        <w:rPr>
          <w:rFonts w:hint="eastAsia" w:ascii="宋体" w:hAnsi="宋体" w:eastAsia="宋体" w:cs="宋体"/>
          <w:b/>
          <w:color w:val="auto"/>
          <w:sz w:val="28"/>
          <w:szCs w:val="28"/>
          <w:lang w:val="en-US" w:eastAsia="zh-CN"/>
        </w:rPr>
        <w:t>9.</w:t>
      </w:r>
      <w:r>
        <w:rPr>
          <w:rFonts w:hint="eastAsia" w:ascii="宋体" w:hAnsi="宋体" w:cs="宋体"/>
          <w:b/>
          <w:color w:val="auto"/>
          <w:sz w:val="28"/>
          <w:szCs w:val="28"/>
          <w:lang w:val="en-US" w:eastAsia="zh-CN"/>
        </w:rPr>
        <w:t>5</w:t>
      </w:r>
      <w:r>
        <w:rPr>
          <w:rFonts w:hint="eastAsia" w:ascii="宋体" w:hAnsi="宋体" w:eastAsia="宋体" w:cs="宋体"/>
          <w:b/>
          <w:color w:val="auto"/>
          <w:sz w:val="28"/>
          <w:szCs w:val="28"/>
          <w:lang w:val="en-US" w:eastAsia="zh-CN"/>
        </w:rPr>
        <w:t>.1</w:t>
      </w:r>
      <w:r>
        <w:rPr>
          <w:rFonts w:hint="eastAsia" w:ascii="宋体" w:hAnsi="宋体" w:eastAsia="宋体" w:cs="宋体"/>
          <w:b/>
          <w:color w:val="auto"/>
          <w:sz w:val="28"/>
          <w:szCs w:val="28"/>
        </w:rPr>
        <w:t>电话报警</w:t>
      </w:r>
      <w:bookmarkEnd w:id="256"/>
      <w:bookmarkEnd w:id="257"/>
    </w:p>
    <w:p w14:paraId="754421B0">
      <w:pPr>
        <w:spacing w:line="360" w:lineRule="auto"/>
        <w:ind w:firstLine="480" w:firstLineChars="200"/>
        <w:rPr>
          <w:rFonts w:ascii="宋体" w:hAnsi="宋体"/>
          <w:color w:val="auto"/>
          <w:sz w:val="24"/>
        </w:rPr>
      </w:pPr>
      <w:r>
        <w:rPr>
          <w:rFonts w:hint="eastAsia" w:ascii="宋体" w:hAnsi="宋体" w:eastAsia="宋体" w:cs="宋体"/>
          <w:color w:val="auto"/>
          <w:kern w:val="2"/>
          <w:sz w:val="24"/>
          <w:szCs w:val="24"/>
        </w:rPr>
        <w:t>事故发生第一时间，要立即报告，救护小组迅速采取有效急救措施，同时报警求救：</w:t>
      </w:r>
    </w:p>
    <w:p w14:paraId="1BFE58B2">
      <w:pPr>
        <w:spacing w:line="360" w:lineRule="auto"/>
        <w:ind w:firstLine="482" w:firstLineChars="200"/>
        <w:rPr>
          <w:rFonts w:hint="eastAsia" w:ascii="宋体" w:hAnsi="宋体"/>
          <w:color w:val="auto"/>
          <w:sz w:val="24"/>
        </w:rPr>
      </w:pPr>
      <w:r>
        <w:rPr>
          <w:rFonts w:hint="eastAsia" w:ascii="宋体" w:hAnsi="宋体"/>
          <w:b/>
          <w:color w:val="auto"/>
          <w:sz w:val="24"/>
        </w:rPr>
        <w:t>火警</w:t>
      </w:r>
      <w:r>
        <w:rPr>
          <w:rFonts w:hint="eastAsia" w:ascii="宋体" w:hAnsi="宋体"/>
          <w:color w:val="auto"/>
          <w:sz w:val="24"/>
        </w:rPr>
        <w:t xml:space="preserve">：119    </w:t>
      </w:r>
      <w:r>
        <w:rPr>
          <w:rFonts w:hint="eastAsia" w:ascii="宋体" w:hAnsi="宋体"/>
          <w:b/>
          <w:color w:val="auto"/>
          <w:sz w:val="24"/>
        </w:rPr>
        <w:t>匪警</w:t>
      </w:r>
      <w:r>
        <w:rPr>
          <w:rFonts w:hint="eastAsia" w:ascii="宋体" w:hAnsi="宋体"/>
          <w:color w:val="auto"/>
          <w:sz w:val="24"/>
        </w:rPr>
        <w:t xml:space="preserve">：110   </w:t>
      </w:r>
      <w:r>
        <w:rPr>
          <w:rFonts w:hint="eastAsia" w:ascii="宋体" w:hAnsi="宋体"/>
          <w:b/>
          <w:color w:val="auto"/>
          <w:sz w:val="24"/>
        </w:rPr>
        <w:t>急救电话</w:t>
      </w:r>
      <w:r>
        <w:rPr>
          <w:rFonts w:hint="eastAsia" w:ascii="宋体" w:hAnsi="宋体"/>
          <w:color w:val="auto"/>
          <w:sz w:val="24"/>
        </w:rPr>
        <w:t>：120</w:t>
      </w:r>
    </w:p>
    <w:p w14:paraId="3C9DF8DE">
      <w:pPr>
        <w:spacing w:line="360" w:lineRule="auto"/>
        <w:ind w:firstLine="472" w:firstLineChars="196"/>
        <w:rPr>
          <w:rFonts w:hint="eastAsia" w:ascii="宋体" w:hAnsi="宋体" w:eastAsia="宋体" w:cs="Times New Roman"/>
          <w:b/>
          <w:bCs/>
          <w:color w:val="auto"/>
          <w:sz w:val="24"/>
        </w:rPr>
      </w:pPr>
      <w:r>
        <w:rPr>
          <w:rFonts w:hint="eastAsia" w:ascii="宋体" w:hAnsi="宋体" w:cs="Times New Roman"/>
          <w:b/>
          <w:bCs/>
          <w:color w:val="auto"/>
          <w:sz w:val="24"/>
          <w:lang w:val="en-US" w:eastAsia="zh-CN"/>
        </w:rPr>
        <w:t xml:space="preserve"> </w:t>
      </w:r>
      <w:r>
        <w:rPr>
          <w:rFonts w:hint="eastAsia" w:ascii="宋体" w:hAnsi="宋体" w:eastAsia="宋体" w:cs="Times New Roman"/>
          <w:b/>
          <w:bCs/>
          <w:color w:val="auto"/>
          <w:sz w:val="24"/>
        </w:rPr>
        <w:t>医院：</w:t>
      </w:r>
    </w:p>
    <w:p w14:paraId="4D73427A">
      <w:pPr>
        <w:spacing w:line="360" w:lineRule="auto"/>
        <w:ind w:firstLine="472" w:firstLineChars="196"/>
        <w:rPr>
          <w:rFonts w:hint="eastAsia" w:ascii="宋体" w:hAnsi="宋体" w:eastAsia="宋体" w:cs="Times New Roman"/>
          <w:color w:val="auto"/>
          <w:sz w:val="24"/>
          <w:lang w:eastAsia="zh-CN"/>
        </w:rPr>
      </w:pPr>
      <w:r>
        <w:rPr>
          <w:rFonts w:hint="eastAsia" w:ascii="宋体" w:hAnsi="宋体" w:eastAsia="宋体" w:cs="Times New Roman"/>
          <w:b/>
          <w:bCs/>
          <w:color w:val="auto"/>
          <w:sz w:val="24"/>
        </w:rPr>
        <w:t>地址</w:t>
      </w:r>
      <w:r>
        <w:rPr>
          <w:rFonts w:hint="eastAsia" w:ascii="宋体" w:hAnsi="宋体" w:eastAsia="宋体" w:cs="Times New Roman"/>
          <w:color w:val="auto"/>
          <w:sz w:val="24"/>
        </w:rPr>
        <w:t>：</w:t>
      </w:r>
      <w:r>
        <w:rPr>
          <w:rFonts w:hint="eastAsia" w:ascii="宋体" w:hAnsi="宋体" w:cs="宋体"/>
          <w:color w:val="auto"/>
          <w:kern w:val="22"/>
          <w:szCs w:val="21"/>
          <w:lang w:val="en-US" w:eastAsia="zh-CN"/>
        </w:rPr>
        <w:t xml:space="preserve"> </w:t>
      </w:r>
    </w:p>
    <w:p w14:paraId="388E1C27">
      <w:pPr>
        <w:spacing w:line="360" w:lineRule="auto"/>
        <w:ind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拨打电话报告时，不要惊慌，必须讲清事故情况和已采取的措施，让救护人员做好急救准备，讲清事故发生地点、附近特征，单位名称，负责人姓名、电话；报告程序：逐级也可越级。</w:t>
      </w:r>
    </w:p>
    <w:p w14:paraId="1905C251">
      <w:pPr>
        <w:spacing w:line="360" w:lineRule="auto"/>
        <w:ind w:firstLine="482" w:firstLineChars="200"/>
        <w:rPr>
          <w:rFonts w:ascii="宋体" w:hAnsi="宋体"/>
          <w:color w:val="auto"/>
          <w:sz w:val="24"/>
        </w:rPr>
      </w:pPr>
      <w:r>
        <w:rPr>
          <w:rFonts w:hint="eastAsia" w:ascii="宋体" w:hAnsi="宋体"/>
          <w:b/>
          <w:color w:val="auto"/>
          <w:sz w:val="24"/>
        </w:rPr>
        <w:t>救援地址地图</w:t>
      </w:r>
      <w:r>
        <w:rPr>
          <w:rFonts w:hint="eastAsia" w:ascii="宋体" w:hAnsi="宋体"/>
          <w:color w:val="auto"/>
          <w:sz w:val="24"/>
        </w:rPr>
        <w:t>：</w:t>
      </w:r>
    </w:p>
    <w:p w14:paraId="5186B329">
      <w:pPr>
        <w:widowControl/>
        <w:jc w:val="center"/>
        <w:rPr>
          <w:rFonts w:hint="eastAsia" w:ascii="宋体" w:hAnsi="宋体" w:eastAsia="宋体" w:cs="宋体"/>
          <w:color w:val="auto"/>
          <w:kern w:val="0"/>
          <w:sz w:val="24"/>
          <w:lang w:eastAsia="zh-CN"/>
        </w:rPr>
      </w:pPr>
    </w:p>
    <w:p w14:paraId="618D3380">
      <w:pPr>
        <w:keepNext w:val="0"/>
        <w:keepLines w:val="0"/>
        <w:pageBreakBefore w:val="0"/>
        <w:widowControl w:val="0"/>
        <w:kinsoku/>
        <w:wordWrap/>
        <w:overflowPunct/>
        <w:topLinePunct w:val="0"/>
        <w:autoSpaceDE/>
        <w:autoSpaceDN/>
        <w:bidi w:val="0"/>
        <w:adjustRightInd/>
        <w:snapToGrid/>
        <w:spacing w:before="260" w:after="260" w:line="413" w:lineRule="auto"/>
        <w:ind w:firstLine="562" w:firstLineChars="200"/>
        <w:textAlignment w:val="auto"/>
        <w:outlineLvl w:val="2"/>
        <w:rPr>
          <w:rFonts w:hint="eastAsia" w:ascii="宋体" w:hAnsi="宋体" w:eastAsia="宋体" w:cs="宋体"/>
          <w:b/>
          <w:color w:val="auto"/>
          <w:sz w:val="28"/>
          <w:szCs w:val="28"/>
          <w:lang w:val="en-US" w:eastAsia="zh-CN"/>
        </w:rPr>
      </w:pPr>
      <w:bookmarkStart w:id="258" w:name="_Toc12893"/>
      <w:bookmarkStart w:id="259" w:name="_Toc528765884"/>
      <w:r>
        <w:rPr>
          <w:rFonts w:hint="eastAsia" w:ascii="宋体" w:hAnsi="宋体" w:eastAsia="宋体" w:cs="宋体"/>
          <w:b/>
          <w:color w:val="auto"/>
          <w:sz w:val="28"/>
          <w:szCs w:val="28"/>
          <w:lang w:val="en-US" w:eastAsia="zh-CN"/>
        </w:rPr>
        <w:t>9.</w:t>
      </w:r>
      <w:r>
        <w:rPr>
          <w:rFonts w:hint="eastAsia" w:ascii="宋体" w:hAnsi="宋体" w:cs="宋体"/>
          <w:b/>
          <w:color w:val="auto"/>
          <w:sz w:val="28"/>
          <w:szCs w:val="28"/>
          <w:lang w:val="en-US" w:eastAsia="zh-CN"/>
        </w:rPr>
        <w:t>5</w:t>
      </w:r>
      <w:r>
        <w:rPr>
          <w:rFonts w:hint="eastAsia" w:ascii="宋体" w:hAnsi="宋体" w:eastAsia="宋体" w:cs="宋体"/>
          <w:b/>
          <w:color w:val="auto"/>
          <w:sz w:val="28"/>
          <w:szCs w:val="28"/>
          <w:lang w:val="en-US" w:eastAsia="zh-CN"/>
        </w:rPr>
        <w:t>.2现场疏导、自救</w:t>
      </w:r>
      <w:bookmarkEnd w:id="258"/>
      <w:bookmarkEnd w:id="259"/>
    </w:p>
    <w:p w14:paraId="53397A7A">
      <w:pPr>
        <w:spacing w:line="360" w:lineRule="auto"/>
        <w:ind w:firstLine="480" w:firstLineChars="200"/>
        <w:rPr>
          <w:rFonts w:ascii="宋体" w:hAnsi="宋体"/>
          <w:color w:val="auto"/>
          <w:sz w:val="24"/>
        </w:rPr>
      </w:pPr>
      <w:r>
        <w:rPr>
          <w:rFonts w:hint="eastAsia" w:ascii="宋体" w:hAnsi="宋体" w:eastAsia="宋体" w:cs="宋体"/>
          <w:color w:val="auto"/>
          <w:kern w:val="2"/>
          <w:sz w:val="24"/>
          <w:szCs w:val="24"/>
        </w:rPr>
        <w:t>在电话报救的同时，由各小组紧急就位，根据现场实际情况对伤员或财物进行救护，有次序地组织人员安全撤离，疏散群众，清理救护通道。</w:t>
      </w:r>
    </w:p>
    <w:p w14:paraId="5330D8A4">
      <w:pPr>
        <w:pStyle w:val="4"/>
        <w:numPr>
          <w:ilvl w:val="0"/>
          <w:numId w:val="0"/>
        </w:numPr>
        <w:outlineLvl w:val="1"/>
        <w:rPr>
          <w:color w:val="auto"/>
        </w:rPr>
      </w:pPr>
      <w:bookmarkStart w:id="260" w:name="_Toc11316"/>
      <w:r>
        <w:rPr>
          <w:rFonts w:hint="eastAsia"/>
          <w:color w:val="auto"/>
          <w:lang w:val="en-US" w:eastAsia="zh-CN"/>
        </w:rPr>
        <w:t xml:space="preserve">9.6 </w:t>
      </w:r>
      <w:r>
        <w:rPr>
          <w:rFonts w:hint="eastAsia"/>
          <w:color w:val="auto"/>
        </w:rPr>
        <w:t>应急保障</w:t>
      </w:r>
      <w:bookmarkEnd w:id="251"/>
      <w:bookmarkEnd w:id="252"/>
      <w:bookmarkEnd w:id="253"/>
      <w:bookmarkEnd w:id="254"/>
      <w:bookmarkEnd w:id="260"/>
    </w:p>
    <w:p w14:paraId="01020575">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（1）通信与信息保障</w:t>
      </w:r>
    </w:p>
    <w:p w14:paraId="7A26E1A2">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1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①</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项目经理部建立上下级之间的应急通信联络渠道，应急领导小组办公室要及时更新项目人员领导的联系方式，报告项目公司并</w:t>
      </w:r>
      <w:r>
        <w:rPr>
          <w:rFonts w:hint="eastAsia" w:ascii="Times New Roman" w:hAnsi="Times New Roman" w:eastAsia="宋体" w:cs="Times New Roman"/>
          <w:color w:val="auto"/>
          <w:kern w:val="2"/>
          <w:sz w:val="24"/>
          <w:szCs w:val="22"/>
          <w:lang w:val="en-US" w:eastAsia="zh-CN" w:bidi="ar-SA"/>
        </w:rPr>
        <w:t>及时</w:t>
      </w:r>
      <w:r>
        <w:rPr>
          <w:rFonts w:hint="default" w:ascii="Times New Roman" w:hAnsi="Times New Roman" w:eastAsia="宋体" w:cs="Times New Roman"/>
          <w:color w:val="auto"/>
          <w:kern w:val="2"/>
          <w:sz w:val="24"/>
          <w:szCs w:val="22"/>
          <w:lang w:val="en-US" w:eastAsia="zh-CN" w:bidi="ar-SA"/>
        </w:rPr>
        <w:t>下发到各部门。</w:t>
      </w:r>
    </w:p>
    <w:p w14:paraId="5261DEC5">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2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②</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为确保可以及时联系到相关人员，项目经理部配备对讲机。</w:t>
      </w:r>
    </w:p>
    <w:p w14:paraId="2AB32BF2">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3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③</w:t>
      </w:r>
      <w:r>
        <w:rPr>
          <w:rFonts w:hint="default" w:ascii="Times New Roman" w:hAnsi="Times New Roman" w:eastAsia="宋体" w:cs="Times New Roman"/>
          <w:color w:val="auto"/>
          <w:kern w:val="2"/>
          <w:sz w:val="24"/>
          <w:szCs w:val="22"/>
          <w:lang w:val="en-US" w:eastAsia="zh-CN" w:bidi="ar-SA"/>
        </w:rPr>
        <w:fldChar w:fldCharType="end"/>
      </w:r>
      <w:r>
        <w:rPr>
          <w:rFonts w:hint="default" w:ascii="Times New Roman" w:hAnsi="Times New Roman" w:eastAsia="宋体" w:cs="Times New Roman"/>
          <w:color w:val="auto"/>
          <w:kern w:val="2"/>
          <w:sz w:val="24"/>
          <w:szCs w:val="22"/>
          <w:lang w:val="en-US" w:eastAsia="zh-CN" w:bidi="ar-SA"/>
        </w:rPr>
        <w:t>项目经理部主要领导手机保持24小时不关机，晚上及节假日安排人员接听电话。</w:t>
      </w:r>
    </w:p>
    <w:p w14:paraId="2273A8AE">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4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④</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建立与上级应急部门、救援机构、所在地医院、管线权属单位的应急通信联络渠道，尽可能设立备用联络渠道，保证在任何时候的通信畅通，如通信方式有改变，应及时予以更新。</w:t>
      </w:r>
    </w:p>
    <w:p w14:paraId="5C05F9F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（2）应急队伍保障</w:t>
      </w:r>
    </w:p>
    <w:p w14:paraId="78353CCA">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1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①</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兼职应急队伍</w:t>
      </w:r>
    </w:p>
    <w:p w14:paraId="66361633">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本项目建立兼职应急救援队伍1支，由应急领导小组组织日常应急安全教育和培训，组织应急演练，一旦发生险情及时进入应急抢险状态，确保应急预案的有效实施。</w:t>
      </w:r>
    </w:p>
    <w:p w14:paraId="35E3F1A4">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2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②</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专业应急队伍</w:t>
      </w:r>
    </w:p>
    <w:p w14:paraId="486E7670">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当事故发展超过了项目部应急救援力量的能力时，由应急指挥部总指挥请求地方应急救援队、专业应急救援队、医院、公安、消防</w:t>
      </w:r>
      <w:r>
        <w:rPr>
          <w:rFonts w:hint="eastAsia" w:ascii="Times New Roman" w:hAnsi="Times New Roman" w:eastAsia="宋体" w:cs="Times New Roman"/>
          <w:color w:val="auto"/>
          <w:kern w:val="2"/>
          <w:sz w:val="24"/>
          <w:szCs w:val="22"/>
          <w:lang w:val="en-US" w:eastAsia="zh-CN" w:bidi="ar-SA"/>
        </w:rPr>
        <w:t>等其他</w:t>
      </w:r>
      <w:r>
        <w:rPr>
          <w:rFonts w:hint="default" w:ascii="Times New Roman" w:hAnsi="Times New Roman" w:eastAsia="宋体" w:cs="Times New Roman"/>
          <w:color w:val="auto"/>
          <w:kern w:val="2"/>
          <w:sz w:val="24"/>
          <w:szCs w:val="22"/>
          <w:lang w:val="en-US" w:eastAsia="zh-CN" w:bidi="ar-SA"/>
        </w:rPr>
        <w:t>外部单位力量参与救援。</w:t>
      </w:r>
    </w:p>
    <w:p w14:paraId="47C08F18">
      <w:pPr>
        <w:numPr>
          <w:ilvl w:val="0"/>
          <w:numId w:val="60"/>
        </w:numPr>
        <w:spacing w:line="360" w:lineRule="auto"/>
        <w:ind w:left="480" w:leftChars="200" w:firstLine="0" w:firstLineChars="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应急物资装备保障</w:t>
      </w:r>
    </w:p>
    <w:p w14:paraId="01E7FC40">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应急领导小组办公室负责储备必要、充足的备用柴油、发电机等应急物资，明确应急物资和装备的类型、数量、性能、存放位置，运输及使用条件、管理责任人及其联系方式等，定期检查应急物资、装备，及时补充并确保其处于可用状态。</w:t>
      </w:r>
    </w:p>
    <w:p w14:paraId="393DE2E7">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有效利用内、外部资源，建立应急物资供应、共享、获得渠道，保证应急物资及时调入。紧急情况下，可通过当地政府调动社会力量参与突发应急事件处置，依法征用调用车辆、物资、人员，全力投入应急抢险。</w:t>
      </w:r>
    </w:p>
    <w:p w14:paraId="4889E09A">
      <w:pPr>
        <w:pStyle w:val="2"/>
        <w:numPr>
          <w:ilvl w:val="0"/>
          <w:numId w:val="0"/>
        </w:numPr>
        <w:ind w:leftChars="200"/>
        <w:rPr>
          <w:rFonts w:hint="default"/>
          <w:color w:val="auto"/>
          <w:lang w:val="en-US"/>
        </w:rPr>
      </w:pPr>
      <w:r>
        <w:rPr>
          <w:rFonts w:hint="default" w:ascii="Times New Roman" w:hAnsi="Times New Roman" w:eastAsia="宋体" w:cs="Times New Roman"/>
          <w:color w:val="auto"/>
          <w:kern w:val="2"/>
          <w:sz w:val="24"/>
          <w:szCs w:val="22"/>
          <w:lang w:val="en-US" w:eastAsia="zh-CN" w:bidi="ar-SA"/>
        </w:rPr>
        <w:t>应急物资装备清单见</w:t>
      </w:r>
      <w:r>
        <w:rPr>
          <w:rFonts w:hint="eastAsia" w:ascii="Times New Roman" w:hAnsi="Times New Roman" w:cs="Times New Roman"/>
          <w:color w:val="auto"/>
          <w:kern w:val="2"/>
          <w:sz w:val="24"/>
          <w:szCs w:val="22"/>
          <w:lang w:val="en-US" w:eastAsia="zh-CN" w:bidi="ar-SA"/>
        </w:rPr>
        <w:t>下表：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728"/>
        <w:gridCol w:w="2038"/>
        <w:gridCol w:w="876"/>
        <w:gridCol w:w="728"/>
        <w:gridCol w:w="1346"/>
        <w:gridCol w:w="1273"/>
        <w:gridCol w:w="809"/>
      </w:tblGrid>
      <w:tr w14:paraId="71E45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5" w:type="pct"/>
            <w:shd w:val="clear" w:color="auto" w:fill="auto"/>
            <w:vAlign w:val="center"/>
          </w:tcPr>
          <w:p w14:paraId="0F817D23">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序号</w:t>
            </w:r>
          </w:p>
        </w:tc>
        <w:tc>
          <w:tcPr>
            <w:tcW w:w="427" w:type="pct"/>
            <w:shd w:val="clear" w:color="auto" w:fill="auto"/>
            <w:vAlign w:val="center"/>
          </w:tcPr>
          <w:p w14:paraId="6850A956">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类别</w:t>
            </w:r>
          </w:p>
        </w:tc>
        <w:tc>
          <w:tcPr>
            <w:tcW w:w="1196" w:type="pct"/>
            <w:shd w:val="clear" w:color="auto" w:fill="auto"/>
            <w:vAlign w:val="center"/>
          </w:tcPr>
          <w:p w14:paraId="4061BD7C">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物品名称</w:t>
            </w:r>
          </w:p>
        </w:tc>
        <w:tc>
          <w:tcPr>
            <w:tcW w:w="514" w:type="pct"/>
            <w:shd w:val="clear" w:color="auto" w:fill="auto"/>
            <w:vAlign w:val="center"/>
          </w:tcPr>
          <w:p w14:paraId="5FDE1D6D">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单位</w:t>
            </w:r>
          </w:p>
        </w:tc>
        <w:tc>
          <w:tcPr>
            <w:tcW w:w="427" w:type="pct"/>
            <w:shd w:val="clear" w:color="auto" w:fill="auto"/>
            <w:vAlign w:val="center"/>
          </w:tcPr>
          <w:p w14:paraId="67287A14">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数量</w:t>
            </w:r>
          </w:p>
        </w:tc>
        <w:tc>
          <w:tcPr>
            <w:tcW w:w="790" w:type="pct"/>
            <w:shd w:val="clear" w:color="auto" w:fill="auto"/>
            <w:vAlign w:val="center"/>
          </w:tcPr>
          <w:p w14:paraId="618B4F29">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存放位置</w:t>
            </w:r>
          </w:p>
        </w:tc>
        <w:tc>
          <w:tcPr>
            <w:tcW w:w="747" w:type="pct"/>
            <w:shd w:val="clear" w:color="auto" w:fill="auto"/>
            <w:vAlign w:val="center"/>
          </w:tcPr>
          <w:p w14:paraId="2A5817AD">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储备状态</w:t>
            </w:r>
          </w:p>
        </w:tc>
        <w:tc>
          <w:tcPr>
            <w:tcW w:w="475" w:type="pct"/>
            <w:shd w:val="clear" w:color="auto" w:fill="auto"/>
            <w:vAlign w:val="center"/>
          </w:tcPr>
          <w:p w14:paraId="1A3CAD47">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备注</w:t>
            </w:r>
          </w:p>
        </w:tc>
      </w:tr>
      <w:tr w14:paraId="0AAAF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6B484B0B">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427" w:type="pct"/>
            <w:vMerge w:val="restart"/>
            <w:shd w:val="clear" w:color="auto" w:fill="auto"/>
            <w:vAlign w:val="center"/>
          </w:tcPr>
          <w:p w14:paraId="000F6037">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医疗器材</w:t>
            </w:r>
          </w:p>
        </w:tc>
        <w:tc>
          <w:tcPr>
            <w:tcW w:w="1196" w:type="pct"/>
            <w:shd w:val="clear" w:color="auto" w:fill="auto"/>
            <w:vAlign w:val="center"/>
          </w:tcPr>
          <w:p w14:paraId="72AD37D9">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急救药箱</w:t>
            </w:r>
          </w:p>
        </w:tc>
        <w:tc>
          <w:tcPr>
            <w:tcW w:w="514" w:type="pct"/>
            <w:shd w:val="clear" w:color="auto" w:fill="auto"/>
            <w:vAlign w:val="center"/>
          </w:tcPr>
          <w:p w14:paraId="0C084D8E">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shd w:val="clear" w:color="auto" w:fill="auto"/>
            <w:vAlign w:val="center"/>
          </w:tcPr>
          <w:p w14:paraId="63FD3495">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790" w:type="pct"/>
            <w:shd w:val="clear" w:color="auto" w:fill="auto"/>
            <w:vAlign w:val="center"/>
          </w:tcPr>
          <w:p w14:paraId="1121BECF">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0A7764F9">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5921AF90">
            <w:pPr>
              <w:pStyle w:val="13"/>
              <w:rPr>
                <w:rFonts w:hint="eastAsia" w:ascii="宋体" w:hAnsi="宋体" w:eastAsia="宋体" w:cs="宋体"/>
                <w:b w:val="0"/>
                <w:bCs w:val="0"/>
                <w:color w:val="auto"/>
                <w:sz w:val="21"/>
                <w:szCs w:val="21"/>
              </w:rPr>
            </w:pPr>
          </w:p>
        </w:tc>
      </w:tr>
      <w:tr w14:paraId="35A9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354A2736">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w:t>
            </w:r>
          </w:p>
        </w:tc>
        <w:tc>
          <w:tcPr>
            <w:tcW w:w="427" w:type="pct"/>
            <w:vMerge w:val="continue"/>
            <w:shd w:val="clear" w:color="auto" w:fill="auto"/>
            <w:vAlign w:val="center"/>
          </w:tcPr>
          <w:p w14:paraId="6AC8D946">
            <w:pPr>
              <w:pStyle w:val="13"/>
              <w:rPr>
                <w:rFonts w:hint="eastAsia" w:ascii="宋体" w:hAnsi="宋体" w:eastAsia="宋体" w:cs="宋体"/>
                <w:b w:val="0"/>
                <w:bCs w:val="0"/>
                <w:color w:val="auto"/>
                <w:sz w:val="21"/>
                <w:szCs w:val="21"/>
              </w:rPr>
            </w:pPr>
          </w:p>
        </w:tc>
        <w:tc>
          <w:tcPr>
            <w:tcW w:w="1196" w:type="pct"/>
            <w:shd w:val="clear" w:color="auto" w:fill="auto"/>
            <w:vAlign w:val="center"/>
          </w:tcPr>
          <w:p w14:paraId="5FCB1F46">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纯棉弹性绷带</w:t>
            </w:r>
          </w:p>
        </w:tc>
        <w:tc>
          <w:tcPr>
            <w:tcW w:w="514" w:type="pct"/>
            <w:shd w:val="clear" w:color="auto" w:fill="auto"/>
            <w:vAlign w:val="center"/>
          </w:tcPr>
          <w:p w14:paraId="647CEFB2">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卷</w:t>
            </w:r>
          </w:p>
        </w:tc>
        <w:tc>
          <w:tcPr>
            <w:tcW w:w="427" w:type="pct"/>
            <w:shd w:val="clear" w:color="auto" w:fill="auto"/>
            <w:vAlign w:val="center"/>
          </w:tcPr>
          <w:p w14:paraId="2B0777F6">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7D8A640B">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4258CDC2">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06835AE8">
            <w:pPr>
              <w:pStyle w:val="13"/>
              <w:rPr>
                <w:rFonts w:hint="eastAsia" w:ascii="宋体" w:hAnsi="宋体" w:eastAsia="宋体" w:cs="宋体"/>
                <w:b w:val="0"/>
                <w:bCs w:val="0"/>
                <w:color w:val="auto"/>
                <w:sz w:val="21"/>
                <w:szCs w:val="21"/>
              </w:rPr>
            </w:pPr>
          </w:p>
        </w:tc>
      </w:tr>
      <w:tr w14:paraId="426E3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7A5C376A">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w:t>
            </w:r>
          </w:p>
        </w:tc>
        <w:tc>
          <w:tcPr>
            <w:tcW w:w="427" w:type="pct"/>
            <w:vMerge w:val="continue"/>
            <w:shd w:val="clear" w:color="auto" w:fill="auto"/>
            <w:vAlign w:val="center"/>
          </w:tcPr>
          <w:p w14:paraId="4CE33CFD">
            <w:pPr>
              <w:pStyle w:val="13"/>
              <w:rPr>
                <w:rFonts w:hint="eastAsia" w:ascii="宋体" w:hAnsi="宋体" w:eastAsia="宋体" w:cs="宋体"/>
                <w:b w:val="0"/>
                <w:bCs w:val="0"/>
                <w:color w:val="auto"/>
                <w:sz w:val="21"/>
                <w:szCs w:val="21"/>
              </w:rPr>
            </w:pPr>
          </w:p>
        </w:tc>
        <w:tc>
          <w:tcPr>
            <w:tcW w:w="1196" w:type="pct"/>
            <w:shd w:val="clear" w:color="auto" w:fill="auto"/>
            <w:vAlign w:val="center"/>
          </w:tcPr>
          <w:p w14:paraId="60612762">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止血布</w:t>
            </w:r>
          </w:p>
        </w:tc>
        <w:tc>
          <w:tcPr>
            <w:tcW w:w="514" w:type="pct"/>
            <w:shd w:val="clear" w:color="auto" w:fill="auto"/>
            <w:vAlign w:val="center"/>
          </w:tcPr>
          <w:p w14:paraId="45B0A66F">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张</w:t>
            </w:r>
          </w:p>
        </w:tc>
        <w:tc>
          <w:tcPr>
            <w:tcW w:w="427" w:type="pct"/>
            <w:shd w:val="clear" w:color="auto" w:fill="auto"/>
            <w:vAlign w:val="center"/>
          </w:tcPr>
          <w:p w14:paraId="07148E77">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7CC4E687">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2D69F220">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12F466F4">
            <w:pPr>
              <w:pStyle w:val="13"/>
              <w:rPr>
                <w:rFonts w:hint="eastAsia" w:ascii="宋体" w:hAnsi="宋体" w:eastAsia="宋体" w:cs="宋体"/>
                <w:b w:val="0"/>
                <w:bCs w:val="0"/>
                <w:color w:val="auto"/>
                <w:sz w:val="21"/>
                <w:szCs w:val="21"/>
              </w:rPr>
            </w:pPr>
          </w:p>
        </w:tc>
      </w:tr>
      <w:tr w14:paraId="3F975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6EE3C332">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w:t>
            </w:r>
          </w:p>
        </w:tc>
        <w:tc>
          <w:tcPr>
            <w:tcW w:w="427" w:type="pct"/>
            <w:vMerge w:val="continue"/>
            <w:shd w:val="clear" w:color="auto" w:fill="auto"/>
            <w:vAlign w:val="center"/>
          </w:tcPr>
          <w:p w14:paraId="0F7BF34B">
            <w:pPr>
              <w:pStyle w:val="13"/>
              <w:rPr>
                <w:rFonts w:hint="eastAsia" w:ascii="宋体" w:hAnsi="宋体" w:eastAsia="宋体" w:cs="宋体"/>
                <w:b w:val="0"/>
                <w:bCs w:val="0"/>
                <w:color w:val="auto"/>
                <w:sz w:val="21"/>
                <w:szCs w:val="21"/>
              </w:rPr>
            </w:pPr>
          </w:p>
        </w:tc>
        <w:tc>
          <w:tcPr>
            <w:tcW w:w="1196" w:type="pct"/>
            <w:shd w:val="clear" w:color="auto" w:fill="auto"/>
            <w:vAlign w:val="center"/>
          </w:tcPr>
          <w:p w14:paraId="64AED426">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创可贴</w:t>
            </w:r>
          </w:p>
        </w:tc>
        <w:tc>
          <w:tcPr>
            <w:tcW w:w="514" w:type="pct"/>
            <w:shd w:val="clear" w:color="auto" w:fill="auto"/>
            <w:vAlign w:val="center"/>
          </w:tcPr>
          <w:p w14:paraId="48835CB5">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张</w:t>
            </w:r>
          </w:p>
        </w:tc>
        <w:tc>
          <w:tcPr>
            <w:tcW w:w="427" w:type="pct"/>
            <w:shd w:val="clear" w:color="auto" w:fill="auto"/>
            <w:vAlign w:val="center"/>
          </w:tcPr>
          <w:p w14:paraId="17D56E92">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100</w:t>
            </w:r>
          </w:p>
        </w:tc>
        <w:tc>
          <w:tcPr>
            <w:tcW w:w="790" w:type="pct"/>
            <w:shd w:val="clear" w:color="auto" w:fill="auto"/>
            <w:vAlign w:val="center"/>
          </w:tcPr>
          <w:p w14:paraId="4AAD6CE6">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52BD059A">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0BF8F288">
            <w:pPr>
              <w:pStyle w:val="13"/>
              <w:rPr>
                <w:rFonts w:hint="eastAsia" w:ascii="宋体" w:hAnsi="宋体" w:eastAsia="宋体" w:cs="宋体"/>
                <w:b w:val="0"/>
                <w:bCs w:val="0"/>
                <w:color w:val="auto"/>
                <w:sz w:val="21"/>
                <w:szCs w:val="21"/>
              </w:rPr>
            </w:pPr>
          </w:p>
        </w:tc>
      </w:tr>
      <w:tr w14:paraId="73A8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2347CAD3">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427" w:type="pct"/>
            <w:vMerge w:val="continue"/>
            <w:shd w:val="clear" w:color="auto" w:fill="auto"/>
            <w:vAlign w:val="center"/>
          </w:tcPr>
          <w:p w14:paraId="73453CAE">
            <w:pPr>
              <w:pStyle w:val="13"/>
              <w:rPr>
                <w:rFonts w:hint="eastAsia" w:ascii="宋体" w:hAnsi="宋体" w:eastAsia="宋体" w:cs="宋体"/>
                <w:b w:val="0"/>
                <w:bCs w:val="0"/>
                <w:color w:val="auto"/>
                <w:sz w:val="21"/>
                <w:szCs w:val="21"/>
              </w:rPr>
            </w:pPr>
          </w:p>
        </w:tc>
        <w:tc>
          <w:tcPr>
            <w:tcW w:w="1196" w:type="pct"/>
            <w:shd w:val="clear" w:color="auto" w:fill="auto"/>
            <w:vAlign w:val="center"/>
          </w:tcPr>
          <w:p w14:paraId="61099D36">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脱脂棉</w:t>
            </w:r>
          </w:p>
        </w:tc>
        <w:tc>
          <w:tcPr>
            <w:tcW w:w="514" w:type="pct"/>
            <w:shd w:val="clear" w:color="auto" w:fill="auto"/>
            <w:vAlign w:val="center"/>
          </w:tcPr>
          <w:p w14:paraId="68B8B744">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卷</w:t>
            </w:r>
          </w:p>
        </w:tc>
        <w:tc>
          <w:tcPr>
            <w:tcW w:w="427" w:type="pct"/>
            <w:shd w:val="clear" w:color="auto" w:fill="auto"/>
            <w:vAlign w:val="center"/>
          </w:tcPr>
          <w:p w14:paraId="0AAD10CB">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495E04DF">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3AA5D146">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14B39924">
            <w:pPr>
              <w:pStyle w:val="13"/>
              <w:rPr>
                <w:rFonts w:hint="eastAsia" w:ascii="宋体" w:hAnsi="宋体" w:eastAsia="宋体" w:cs="宋体"/>
                <w:b w:val="0"/>
                <w:bCs w:val="0"/>
                <w:color w:val="auto"/>
                <w:sz w:val="21"/>
                <w:szCs w:val="21"/>
              </w:rPr>
            </w:pPr>
          </w:p>
        </w:tc>
      </w:tr>
      <w:tr w14:paraId="73CBE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43975A61">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6</w:t>
            </w:r>
          </w:p>
        </w:tc>
        <w:tc>
          <w:tcPr>
            <w:tcW w:w="427" w:type="pct"/>
            <w:vMerge w:val="continue"/>
            <w:shd w:val="clear" w:color="auto" w:fill="auto"/>
            <w:vAlign w:val="center"/>
          </w:tcPr>
          <w:p w14:paraId="65D386FB">
            <w:pPr>
              <w:pStyle w:val="13"/>
              <w:rPr>
                <w:rFonts w:hint="eastAsia" w:ascii="宋体" w:hAnsi="宋体" w:eastAsia="宋体" w:cs="宋体"/>
                <w:b w:val="0"/>
                <w:bCs w:val="0"/>
                <w:color w:val="auto"/>
                <w:sz w:val="21"/>
                <w:szCs w:val="21"/>
              </w:rPr>
            </w:pPr>
          </w:p>
        </w:tc>
        <w:tc>
          <w:tcPr>
            <w:tcW w:w="1196" w:type="pct"/>
            <w:shd w:val="clear" w:color="auto" w:fill="auto"/>
            <w:vAlign w:val="center"/>
          </w:tcPr>
          <w:p w14:paraId="5C6E5D49">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消毒棉签</w:t>
            </w:r>
          </w:p>
        </w:tc>
        <w:tc>
          <w:tcPr>
            <w:tcW w:w="514" w:type="pct"/>
            <w:shd w:val="clear" w:color="auto" w:fill="auto"/>
            <w:vAlign w:val="center"/>
          </w:tcPr>
          <w:p w14:paraId="4BE5C314">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袋</w:t>
            </w:r>
          </w:p>
        </w:tc>
        <w:tc>
          <w:tcPr>
            <w:tcW w:w="427" w:type="pct"/>
            <w:shd w:val="clear" w:color="auto" w:fill="auto"/>
            <w:vAlign w:val="center"/>
          </w:tcPr>
          <w:p w14:paraId="3DF9A6B7">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20</w:t>
            </w:r>
          </w:p>
        </w:tc>
        <w:tc>
          <w:tcPr>
            <w:tcW w:w="790" w:type="pct"/>
            <w:shd w:val="clear" w:color="auto" w:fill="auto"/>
            <w:vAlign w:val="center"/>
          </w:tcPr>
          <w:p w14:paraId="776468D9">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6DD3EE69">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74C6A345">
            <w:pPr>
              <w:pStyle w:val="13"/>
              <w:rPr>
                <w:rFonts w:hint="eastAsia" w:ascii="宋体" w:hAnsi="宋体" w:eastAsia="宋体" w:cs="宋体"/>
                <w:b w:val="0"/>
                <w:bCs w:val="0"/>
                <w:color w:val="auto"/>
                <w:sz w:val="21"/>
                <w:szCs w:val="21"/>
              </w:rPr>
            </w:pPr>
          </w:p>
        </w:tc>
      </w:tr>
      <w:tr w14:paraId="7494D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47AB75ED">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7</w:t>
            </w:r>
          </w:p>
        </w:tc>
        <w:tc>
          <w:tcPr>
            <w:tcW w:w="427" w:type="pct"/>
            <w:vMerge w:val="continue"/>
            <w:shd w:val="clear" w:color="auto" w:fill="auto"/>
            <w:vAlign w:val="center"/>
          </w:tcPr>
          <w:p w14:paraId="66407E0F">
            <w:pPr>
              <w:pStyle w:val="13"/>
              <w:rPr>
                <w:rFonts w:hint="eastAsia" w:ascii="宋体" w:hAnsi="宋体" w:eastAsia="宋体" w:cs="宋体"/>
                <w:b w:val="0"/>
                <w:bCs w:val="0"/>
                <w:color w:val="auto"/>
                <w:sz w:val="21"/>
                <w:szCs w:val="21"/>
              </w:rPr>
            </w:pPr>
          </w:p>
        </w:tc>
        <w:tc>
          <w:tcPr>
            <w:tcW w:w="1196" w:type="pct"/>
            <w:shd w:val="clear" w:color="auto" w:fill="auto"/>
            <w:vAlign w:val="center"/>
          </w:tcPr>
          <w:p w14:paraId="753B1394">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其他医疗器材</w:t>
            </w:r>
          </w:p>
        </w:tc>
        <w:tc>
          <w:tcPr>
            <w:tcW w:w="514" w:type="pct"/>
            <w:shd w:val="clear" w:color="auto" w:fill="auto"/>
            <w:vAlign w:val="center"/>
          </w:tcPr>
          <w:p w14:paraId="6A7F365D">
            <w:pPr>
              <w:pStyle w:val="13"/>
              <w:rPr>
                <w:rFonts w:hint="eastAsia" w:ascii="宋体" w:hAnsi="宋体" w:eastAsia="宋体" w:cs="宋体"/>
                <w:b w:val="0"/>
                <w:bCs w:val="0"/>
                <w:color w:val="auto"/>
                <w:sz w:val="21"/>
                <w:szCs w:val="21"/>
              </w:rPr>
            </w:pPr>
          </w:p>
        </w:tc>
        <w:tc>
          <w:tcPr>
            <w:tcW w:w="427" w:type="pct"/>
            <w:shd w:val="clear" w:color="auto" w:fill="auto"/>
            <w:vAlign w:val="center"/>
          </w:tcPr>
          <w:p w14:paraId="7EB62A88">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若干</w:t>
            </w:r>
          </w:p>
        </w:tc>
        <w:tc>
          <w:tcPr>
            <w:tcW w:w="790" w:type="pct"/>
            <w:shd w:val="clear" w:color="auto" w:fill="auto"/>
            <w:vAlign w:val="center"/>
          </w:tcPr>
          <w:p w14:paraId="4095A83D">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072BC6FD">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03F065DF">
            <w:pPr>
              <w:pStyle w:val="13"/>
              <w:rPr>
                <w:rFonts w:hint="eastAsia" w:ascii="宋体" w:hAnsi="宋体" w:eastAsia="宋体" w:cs="宋体"/>
                <w:b w:val="0"/>
                <w:bCs w:val="0"/>
                <w:color w:val="auto"/>
                <w:sz w:val="21"/>
                <w:szCs w:val="21"/>
              </w:rPr>
            </w:pPr>
          </w:p>
        </w:tc>
      </w:tr>
      <w:tr w14:paraId="7FD1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4EF865F9">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8</w:t>
            </w:r>
          </w:p>
        </w:tc>
        <w:tc>
          <w:tcPr>
            <w:tcW w:w="427" w:type="pct"/>
            <w:vMerge w:val="restart"/>
            <w:shd w:val="clear" w:color="auto" w:fill="auto"/>
            <w:vAlign w:val="center"/>
          </w:tcPr>
          <w:p w14:paraId="7B533732">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抢救工具</w:t>
            </w:r>
          </w:p>
        </w:tc>
        <w:tc>
          <w:tcPr>
            <w:tcW w:w="1196" w:type="pct"/>
            <w:shd w:val="clear" w:color="auto" w:fill="auto"/>
            <w:vAlign w:val="center"/>
          </w:tcPr>
          <w:p w14:paraId="76E55110">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救生圈</w:t>
            </w:r>
          </w:p>
        </w:tc>
        <w:tc>
          <w:tcPr>
            <w:tcW w:w="514" w:type="pct"/>
            <w:shd w:val="clear" w:color="auto" w:fill="auto"/>
            <w:vAlign w:val="center"/>
          </w:tcPr>
          <w:p w14:paraId="6F4B0A8C">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shd w:val="clear" w:color="auto" w:fill="auto"/>
            <w:vAlign w:val="center"/>
          </w:tcPr>
          <w:p w14:paraId="3784E721">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shd w:val="clear" w:color="auto" w:fill="auto"/>
            <w:vAlign w:val="center"/>
          </w:tcPr>
          <w:p w14:paraId="461A8558">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038ED0BB">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13CF9F93">
            <w:pPr>
              <w:pStyle w:val="13"/>
              <w:rPr>
                <w:rFonts w:hint="eastAsia" w:ascii="宋体" w:hAnsi="宋体" w:eastAsia="宋体" w:cs="宋体"/>
                <w:b w:val="0"/>
                <w:bCs w:val="0"/>
                <w:color w:val="auto"/>
                <w:sz w:val="21"/>
                <w:szCs w:val="21"/>
              </w:rPr>
            </w:pPr>
          </w:p>
        </w:tc>
      </w:tr>
      <w:tr w14:paraId="73FEF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2DB62C7C">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9</w:t>
            </w:r>
          </w:p>
        </w:tc>
        <w:tc>
          <w:tcPr>
            <w:tcW w:w="427" w:type="pct"/>
            <w:vMerge w:val="continue"/>
            <w:shd w:val="clear" w:color="auto" w:fill="auto"/>
            <w:vAlign w:val="center"/>
          </w:tcPr>
          <w:p w14:paraId="72064A17">
            <w:pPr>
              <w:pStyle w:val="13"/>
              <w:rPr>
                <w:rFonts w:hint="eastAsia" w:ascii="宋体" w:hAnsi="宋体" w:eastAsia="宋体" w:cs="宋体"/>
                <w:b w:val="0"/>
                <w:bCs w:val="0"/>
                <w:color w:val="auto"/>
                <w:sz w:val="21"/>
                <w:szCs w:val="21"/>
              </w:rPr>
            </w:pPr>
          </w:p>
        </w:tc>
        <w:tc>
          <w:tcPr>
            <w:tcW w:w="1196" w:type="pct"/>
            <w:shd w:val="clear" w:color="auto" w:fill="auto"/>
            <w:vAlign w:val="center"/>
          </w:tcPr>
          <w:p w14:paraId="33B0F365">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安全绳</w:t>
            </w:r>
          </w:p>
        </w:tc>
        <w:tc>
          <w:tcPr>
            <w:tcW w:w="514" w:type="pct"/>
            <w:shd w:val="clear" w:color="auto" w:fill="auto"/>
            <w:vAlign w:val="center"/>
          </w:tcPr>
          <w:p w14:paraId="5A693111">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米</w:t>
            </w:r>
          </w:p>
        </w:tc>
        <w:tc>
          <w:tcPr>
            <w:tcW w:w="427" w:type="pct"/>
            <w:shd w:val="clear" w:color="auto" w:fill="auto"/>
            <w:vAlign w:val="center"/>
          </w:tcPr>
          <w:p w14:paraId="0112BA0B">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500</w:t>
            </w:r>
          </w:p>
        </w:tc>
        <w:tc>
          <w:tcPr>
            <w:tcW w:w="790" w:type="pct"/>
            <w:shd w:val="clear" w:color="auto" w:fill="auto"/>
            <w:vAlign w:val="center"/>
          </w:tcPr>
          <w:p w14:paraId="41AF5868">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067A86E6">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086F2A63">
            <w:pPr>
              <w:pStyle w:val="13"/>
              <w:rPr>
                <w:rFonts w:hint="eastAsia" w:ascii="宋体" w:hAnsi="宋体" w:eastAsia="宋体" w:cs="宋体"/>
                <w:b w:val="0"/>
                <w:bCs w:val="0"/>
                <w:color w:val="auto"/>
                <w:sz w:val="21"/>
                <w:szCs w:val="21"/>
              </w:rPr>
            </w:pPr>
          </w:p>
        </w:tc>
      </w:tr>
      <w:tr w14:paraId="3AFD4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0561DE84">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427" w:type="pct"/>
            <w:vMerge w:val="continue"/>
            <w:shd w:val="clear" w:color="auto" w:fill="auto"/>
            <w:vAlign w:val="center"/>
          </w:tcPr>
          <w:p w14:paraId="3B10E183">
            <w:pPr>
              <w:pStyle w:val="13"/>
              <w:rPr>
                <w:rFonts w:hint="eastAsia" w:ascii="宋体" w:hAnsi="宋体" w:eastAsia="宋体" w:cs="宋体"/>
                <w:b w:val="0"/>
                <w:bCs w:val="0"/>
                <w:color w:val="auto"/>
                <w:sz w:val="21"/>
                <w:szCs w:val="21"/>
              </w:rPr>
            </w:pPr>
          </w:p>
        </w:tc>
        <w:tc>
          <w:tcPr>
            <w:tcW w:w="1196" w:type="pct"/>
            <w:shd w:val="clear" w:color="auto" w:fill="auto"/>
            <w:vAlign w:val="center"/>
          </w:tcPr>
          <w:p w14:paraId="7FCF4672">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救生衣</w:t>
            </w:r>
          </w:p>
        </w:tc>
        <w:tc>
          <w:tcPr>
            <w:tcW w:w="514" w:type="pct"/>
            <w:shd w:val="clear" w:color="auto" w:fill="auto"/>
            <w:vAlign w:val="center"/>
          </w:tcPr>
          <w:p w14:paraId="7B7FF002">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件</w:t>
            </w:r>
          </w:p>
        </w:tc>
        <w:tc>
          <w:tcPr>
            <w:tcW w:w="427" w:type="pct"/>
            <w:shd w:val="clear" w:color="auto" w:fill="auto"/>
            <w:vAlign w:val="center"/>
          </w:tcPr>
          <w:p w14:paraId="76E63384">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44952F22">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239A26DC">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50E555D8">
            <w:pPr>
              <w:pStyle w:val="13"/>
              <w:rPr>
                <w:rFonts w:hint="eastAsia" w:ascii="宋体" w:hAnsi="宋体" w:eastAsia="宋体" w:cs="宋体"/>
                <w:b w:val="0"/>
                <w:bCs w:val="0"/>
                <w:color w:val="auto"/>
                <w:sz w:val="21"/>
                <w:szCs w:val="21"/>
              </w:rPr>
            </w:pPr>
          </w:p>
        </w:tc>
      </w:tr>
      <w:tr w14:paraId="26B1C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5A67B592">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11</w:t>
            </w:r>
          </w:p>
        </w:tc>
        <w:tc>
          <w:tcPr>
            <w:tcW w:w="427" w:type="pct"/>
            <w:vMerge w:val="continue"/>
            <w:shd w:val="clear" w:color="auto" w:fill="auto"/>
            <w:vAlign w:val="center"/>
          </w:tcPr>
          <w:p w14:paraId="49DEE31D">
            <w:pPr>
              <w:pStyle w:val="13"/>
              <w:rPr>
                <w:rFonts w:hint="eastAsia" w:ascii="宋体" w:hAnsi="宋体" w:eastAsia="宋体" w:cs="宋体"/>
                <w:b w:val="0"/>
                <w:bCs w:val="0"/>
                <w:color w:val="auto"/>
                <w:sz w:val="21"/>
                <w:szCs w:val="21"/>
              </w:rPr>
            </w:pPr>
          </w:p>
        </w:tc>
        <w:tc>
          <w:tcPr>
            <w:tcW w:w="1196" w:type="pct"/>
            <w:shd w:val="clear" w:color="auto" w:fill="auto"/>
            <w:vAlign w:val="center"/>
          </w:tcPr>
          <w:p w14:paraId="41547BF0">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安全带</w:t>
            </w:r>
          </w:p>
        </w:tc>
        <w:tc>
          <w:tcPr>
            <w:tcW w:w="514" w:type="pct"/>
            <w:shd w:val="clear" w:color="auto" w:fill="auto"/>
            <w:vAlign w:val="center"/>
          </w:tcPr>
          <w:p w14:paraId="78079A6A">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副</w:t>
            </w:r>
          </w:p>
        </w:tc>
        <w:tc>
          <w:tcPr>
            <w:tcW w:w="427" w:type="pct"/>
            <w:shd w:val="clear" w:color="auto" w:fill="auto"/>
            <w:vAlign w:val="center"/>
          </w:tcPr>
          <w:p w14:paraId="725C6E8A">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0EC72968">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313AB3B5">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3CC3E026">
            <w:pPr>
              <w:pStyle w:val="13"/>
              <w:rPr>
                <w:rFonts w:hint="eastAsia" w:ascii="宋体" w:hAnsi="宋体" w:eastAsia="宋体" w:cs="宋体"/>
                <w:b w:val="0"/>
                <w:bCs w:val="0"/>
                <w:color w:val="auto"/>
                <w:sz w:val="21"/>
                <w:szCs w:val="21"/>
              </w:rPr>
            </w:pPr>
          </w:p>
        </w:tc>
      </w:tr>
      <w:tr w14:paraId="798FB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6CDA7F10">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12</w:t>
            </w:r>
          </w:p>
        </w:tc>
        <w:tc>
          <w:tcPr>
            <w:tcW w:w="427" w:type="pct"/>
            <w:vMerge w:val="continue"/>
            <w:shd w:val="clear" w:color="auto" w:fill="auto"/>
            <w:vAlign w:val="center"/>
          </w:tcPr>
          <w:p w14:paraId="4C0D5D76">
            <w:pPr>
              <w:pStyle w:val="13"/>
              <w:rPr>
                <w:rFonts w:hint="eastAsia" w:ascii="宋体" w:hAnsi="宋体" w:eastAsia="宋体" w:cs="宋体"/>
                <w:b w:val="0"/>
                <w:bCs w:val="0"/>
                <w:color w:val="auto"/>
                <w:sz w:val="21"/>
                <w:szCs w:val="21"/>
              </w:rPr>
            </w:pPr>
          </w:p>
        </w:tc>
        <w:tc>
          <w:tcPr>
            <w:tcW w:w="1196" w:type="pct"/>
            <w:shd w:val="clear" w:color="auto" w:fill="auto"/>
            <w:vAlign w:val="center"/>
          </w:tcPr>
          <w:p w14:paraId="1F053F1E">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铁锨</w:t>
            </w:r>
          </w:p>
        </w:tc>
        <w:tc>
          <w:tcPr>
            <w:tcW w:w="514" w:type="pct"/>
            <w:shd w:val="clear" w:color="auto" w:fill="auto"/>
            <w:vAlign w:val="center"/>
          </w:tcPr>
          <w:p w14:paraId="49819EA8">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把</w:t>
            </w:r>
          </w:p>
        </w:tc>
        <w:tc>
          <w:tcPr>
            <w:tcW w:w="427" w:type="pct"/>
            <w:shd w:val="clear" w:color="auto" w:fill="auto"/>
            <w:vAlign w:val="center"/>
          </w:tcPr>
          <w:p w14:paraId="6F7339D2">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shd w:val="clear" w:color="auto" w:fill="auto"/>
            <w:vAlign w:val="center"/>
          </w:tcPr>
          <w:p w14:paraId="1844D8B0">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47A84048">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00DF2C53">
            <w:pPr>
              <w:pStyle w:val="13"/>
              <w:rPr>
                <w:rFonts w:hint="eastAsia" w:ascii="宋体" w:hAnsi="宋体" w:eastAsia="宋体" w:cs="宋体"/>
                <w:b w:val="0"/>
                <w:bCs w:val="0"/>
                <w:color w:val="auto"/>
                <w:sz w:val="21"/>
                <w:szCs w:val="21"/>
              </w:rPr>
            </w:pPr>
          </w:p>
        </w:tc>
      </w:tr>
      <w:tr w14:paraId="186A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52A98AE8">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13</w:t>
            </w:r>
          </w:p>
        </w:tc>
        <w:tc>
          <w:tcPr>
            <w:tcW w:w="427" w:type="pct"/>
            <w:vMerge w:val="continue"/>
            <w:shd w:val="clear" w:color="auto" w:fill="auto"/>
            <w:vAlign w:val="center"/>
          </w:tcPr>
          <w:p w14:paraId="003DD50F">
            <w:pPr>
              <w:pStyle w:val="13"/>
              <w:rPr>
                <w:rFonts w:hint="eastAsia" w:ascii="宋体" w:hAnsi="宋体" w:eastAsia="宋体" w:cs="宋体"/>
                <w:b w:val="0"/>
                <w:bCs w:val="0"/>
                <w:color w:val="auto"/>
                <w:sz w:val="21"/>
                <w:szCs w:val="21"/>
              </w:rPr>
            </w:pPr>
          </w:p>
        </w:tc>
        <w:tc>
          <w:tcPr>
            <w:tcW w:w="1196" w:type="pct"/>
            <w:shd w:val="clear" w:color="auto" w:fill="auto"/>
            <w:vAlign w:val="center"/>
          </w:tcPr>
          <w:p w14:paraId="6D523B38">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撬棍</w:t>
            </w:r>
          </w:p>
        </w:tc>
        <w:tc>
          <w:tcPr>
            <w:tcW w:w="514" w:type="pct"/>
            <w:shd w:val="clear" w:color="auto" w:fill="auto"/>
            <w:vAlign w:val="center"/>
          </w:tcPr>
          <w:p w14:paraId="06924B18">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把</w:t>
            </w:r>
          </w:p>
        </w:tc>
        <w:tc>
          <w:tcPr>
            <w:tcW w:w="427" w:type="pct"/>
            <w:shd w:val="clear" w:color="auto" w:fill="auto"/>
            <w:vAlign w:val="center"/>
          </w:tcPr>
          <w:p w14:paraId="27665B51">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shd w:val="clear" w:color="auto" w:fill="auto"/>
            <w:vAlign w:val="center"/>
          </w:tcPr>
          <w:p w14:paraId="006A94C1">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7E403C57">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14BFBF51">
            <w:pPr>
              <w:pStyle w:val="13"/>
              <w:rPr>
                <w:rFonts w:hint="eastAsia" w:ascii="宋体" w:hAnsi="宋体" w:eastAsia="宋体" w:cs="宋体"/>
                <w:b w:val="0"/>
                <w:bCs w:val="0"/>
                <w:color w:val="auto"/>
                <w:sz w:val="21"/>
                <w:szCs w:val="21"/>
              </w:rPr>
            </w:pPr>
          </w:p>
        </w:tc>
      </w:tr>
      <w:tr w14:paraId="5318D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0F80E06C">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14</w:t>
            </w:r>
          </w:p>
        </w:tc>
        <w:tc>
          <w:tcPr>
            <w:tcW w:w="427" w:type="pct"/>
            <w:vMerge w:val="continue"/>
            <w:shd w:val="clear" w:color="auto" w:fill="auto"/>
            <w:vAlign w:val="center"/>
          </w:tcPr>
          <w:p w14:paraId="68B4F5BA">
            <w:pPr>
              <w:pStyle w:val="13"/>
              <w:rPr>
                <w:rFonts w:hint="eastAsia" w:ascii="宋体" w:hAnsi="宋体" w:eastAsia="宋体" w:cs="宋体"/>
                <w:b w:val="0"/>
                <w:bCs w:val="0"/>
                <w:color w:val="auto"/>
                <w:sz w:val="21"/>
                <w:szCs w:val="21"/>
              </w:rPr>
            </w:pPr>
          </w:p>
        </w:tc>
        <w:tc>
          <w:tcPr>
            <w:tcW w:w="1196" w:type="pct"/>
            <w:shd w:val="clear" w:color="auto" w:fill="auto"/>
            <w:vAlign w:val="center"/>
          </w:tcPr>
          <w:p w14:paraId="4405D12B">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气割工具</w:t>
            </w:r>
          </w:p>
        </w:tc>
        <w:tc>
          <w:tcPr>
            <w:tcW w:w="514" w:type="pct"/>
            <w:shd w:val="clear" w:color="auto" w:fill="auto"/>
            <w:vAlign w:val="center"/>
          </w:tcPr>
          <w:p w14:paraId="389169C4">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套</w:t>
            </w:r>
          </w:p>
        </w:tc>
        <w:tc>
          <w:tcPr>
            <w:tcW w:w="427" w:type="pct"/>
            <w:shd w:val="clear" w:color="auto" w:fill="auto"/>
            <w:vAlign w:val="center"/>
          </w:tcPr>
          <w:p w14:paraId="64ED8841">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w:t>
            </w:r>
          </w:p>
        </w:tc>
        <w:tc>
          <w:tcPr>
            <w:tcW w:w="790" w:type="pct"/>
            <w:shd w:val="clear" w:color="auto" w:fill="auto"/>
            <w:vAlign w:val="center"/>
          </w:tcPr>
          <w:p w14:paraId="21AAF36E">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6C9A2B6C">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57986535">
            <w:pPr>
              <w:pStyle w:val="13"/>
              <w:rPr>
                <w:rFonts w:hint="eastAsia" w:ascii="宋体" w:hAnsi="宋体" w:eastAsia="宋体" w:cs="宋体"/>
                <w:b w:val="0"/>
                <w:bCs w:val="0"/>
                <w:color w:val="auto"/>
                <w:sz w:val="21"/>
                <w:szCs w:val="21"/>
              </w:rPr>
            </w:pPr>
          </w:p>
        </w:tc>
      </w:tr>
      <w:tr w14:paraId="04C30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505F2E02">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15</w:t>
            </w:r>
          </w:p>
        </w:tc>
        <w:tc>
          <w:tcPr>
            <w:tcW w:w="427" w:type="pct"/>
            <w:vMerge w:val="continue"/>
            <w:shd w:val="clear" w:color="auto" w:fill="auto"/>
            <w:vAlign w:val="center"/>
          </w:tcPr>
          <w:p w14:paraId="6A3D33D7">
            <w:pPr>
              <w:pStyle w:val="13"/>
              <w:rPr>
                <w:rFonts w:hint="eastAsia" w:ascii="宋体" w:hAnsi="宋体" w:eastAsia="宋体" w:cs="宋体"/>
                <w:b w:val="0"/>
                <w:bCs w:val="0"/>
                <w:color w:val="auto"/>
                <w:sz w:val="21"/>
                <w:szCs w:val="21"/>
              </w:rPr>
            </w:pPr>
          </w:p>
        </w:tc>
        <w:tc>
          <w:tcPr>
            <w:tcW w:w="1196" w:type="pct"/>
            <w:shd w:val="clear" w:color="auto" w:fill="auto"/>
            <w:vAlign w:val="center"/>
          </w:tcPr>
          <w:p w14:paraId="62636C68">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简易担架</w:t>
            </w:r>
          </w:p>
        </w:tc>
        <w:tc>
          <w:tcPr>
            <w:tcW w:w="514" w:type="pct"/>
            <w:shd w:val="clear" w:color="auto" w:fill="auto"/>
            <w:vAlign w:val="center"/>
          </w:tcPr>
          <w:p w14:paraId="1AFE173F">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shd w:val="clear" w:color="auto" w:fill="auto"/>
            <w:vAlign w:val="center"/>
          </w:tcPr>
          <w:p w14:paraId="6F3D14AE">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w:t>
            </w:r>
          </w:p>
        </w:tc>
        <w:tc>
          <w:tcPr>
            <w:tcW w:w="790" w:type="pct"/>
            <w:shd w:val="clear" w:color="auto" w:fill="auto"/>
            <w:vAlign w:val="center"/>
          </w:tcPr>
          <w:p w14:paraId="603C7ABA">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7983C8FC">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5C0D7144">
            <w:pPr>
              <w:pStyle w:val="13"/>
              <w:rPr>
                <w:rFonts w:hint="eastAsia" w:ascii="宋体" w:hAnsi="宋体" w:eastAsia="宋体" w:cs="宋体"/>
                <w:b w:val="0"/>
                <w:bCs w:val="0"/>
                <w:color w:val="auto"/>
                <w:sz w:val="21"/>
                <w:szCs w:val="21"/>
              </w:rPr>
            </w:pPr>
          </w:p>
        </w:tc>
      </w:tr>
      <w:tr w14:paraId="51D8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08E14AD8">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16</w:t>
            </w:r>
          </w:p>
        </w:tc>
        <w:tc>
          <w:tcPr>
            <w:tcW w:w="427" w:type="pct"/>
            <w:vMerge w:val="restart"/>
            <w:shd w:val="clear" w:color="auto" w:fill="auto"/>
            <w:vAlign w:val="center"/>
          </w:tcPr>
          <w:p w14:paraId="76249254">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照明器材</w:t>
            </w:r>
          </w:p>
        </w:tc>
        <w:tc>
          <w:tcPr>
            <w:tcW w:w="1196" w:type="pct"/>
            <w:shd w:val="clear" w:color="auto" w:fill="auto"/>
            <w:vAlign w:val="center"/>
          </w:tcPr>
          <w:p w14:paraId="272B9D98">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手电筒</w:t>
            </w:r>
          </w:p>
        </w:tc>
        <w:tc>
          <w:tcPr>
            <w:tcW w:w="514" w:type="pct"/>
            <w:shd w:val="clear" w:color="auto" w:fill="auto"/>
            <w:vAlign w:val="center"/>
          </w:tcPr>
          <w:p w14:paraId="68EF3724">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把</w:t>
            </w:r>
          </w:p>
        </w:tc>
        <w:tc>
          <w:tcPr>
            <w:tcW w:w="427" w:type="pct"/>
            <w:shd w:val="clear" w:color="auto" w:fill="auto"/>
            <w:vAlign w:val="center"/>
          </w:tcPr>
          <w:p w14:paraId="5FD26AFA">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0449F819">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41E70A70">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5F8C4559">
            <w:pPr>
              <w:pStyle w:val="13"/>
              <w:rPr>
                <w:rFonts w:hint="eastAsia" w:ascii="宋体" w:hAnsi="宋体" w:eastAsia="宋体" w:cs="宋体"/>
                <w:b w:val="0"/>
                <w:bCs w:val="0"/>
                <w:color w:val="auto"/>
                <w:sz w:val="21"/>
                <w:szCs w:val="21"/>
              </w:rPr>
            </w:pPr>
          </w:p>
        </w:tc>
      </w:tr>
      <w:tr w14:paraId="1B7AB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03CC906E">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17</w:t>
            </w:r>
          </w:p>
        </w:tc>
        <w:tc>
          <w:tcPr>
            <w:tcW w:w="427" w:type="pct"/>
            <w:vMerge w:val="continue"/>
            <w:shd w:val="clear" w:color="auto" w:fill="auto"/>
            <w:vAlign w:val="center"/>
          </w:tcPr>
          <w:p w14:paraId="4E966CF3">
            <w:pPr>
              <w:pStyle w:val="13"/>
              <w:rPr>
                <w:rFonts w:hint="eastAsia" w:ascii="宋体" w:hAnsi="宋体" w:eastAsia="宋体" w:cs="宋体"/>
                <w:b w:val="0"/>
                <w:bCs w:val="0"/>
                <w:color w:val="auto"/>
                <w:sz w:val="21"/>
                <w:szCs w:val="21"/>
              </w:rPr>
            </w:pPr>
          </w:p>
        </w:tc>
        <w:tc>
          <w:tcPr>
            <w:tcW w:w="1196" w:type="pct"/>
            <w:shd w:val="clear" w:color="auto" w:fill="auto"/>
            <w:vAlign w:val="center"/>
          </w:tcPr>
          <w:p w14:paraId="79A5BAF3">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应急灯具</w:t>
            </w:r>
          </w:p>
        </w:tc>
        <w:tc>
          <w:tcPr>
            <w:tcW w:w="514" w:type="pct"/>
            <w:shd w:val="clear" w:color="auto" w:fill="auto"/>
            <w:vAlign w:val="center"/>
          </w:tcPr>
          <w:p w14:paraId="1827DA64">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shd w:val="clear" w:color="auto" w:fill="auto"/>
            <w:vAlign w:val="center"/>
          </w:tcPr>
          <w:p w14:paraId="0B77C017">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69931470">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6C2F5C52">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6FC4DDB9">
            <w:pPr>
              <w:pStyle w:val="13"/>
              <w:rPr>
                <w:rFonts w:hint="eastAsia" w:ascii="宋体" w:hAnsi="宋体" w:eastAsia="宋体" w:cs="宋体"/>
                <w:b w:val="0"/>
                <w:bCs w:val="0"/>
                <w:color w:val="auto"/>
                <w:sz w:val="21"/>
                <w:szCs w:val="21"/>
              </w:rPr>
            </w:pPr>
          </w:p>
        </w:tc>
      </w:tr>
      <w:tr w14:paraId="161C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50256C00">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18</w:t>
            </w:r>
          </w:p>
        </w:tc>
        <w:tc>
          <w:tcPr>
            <w:tcW w:w="427" w:type="pct"/>
            <w:vMerge w:val="restart"/>
            <w:shd w:val="clear" w:color="auto" w:fill="auto"/>
            <w:vAlign w:val="center"/>
          </w:tcPr>
          <w:p w14:paraId="71BDBE9E">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通讯器材</w:t>
            </w:r>
          </w:p>
        </w:tc>
        <w:tc>
          <w:tcPr>
            <w:tcW w:w="1196" w:type="pct"/>
            <w:shd w:val="clear" w:color="auto" w:fill="auto"/>
            <w:vAlign w:val="center"/>
          </w:tcPr>
          <w:p w14:paraId="3C284143">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对讲机</w:t>
            </w:r>
          </w:p>
        </w:tc>
        <w:tc>
          <w:tcPr>
            <w:tcW w:w="514" w:type="pct"/>
            <w:shd w:val="clear" w:color="auto" w:fill="auto"/>
            <w:vAlign w:val="center"/>
          </w:tcPr>
          <w:p w14:paraId="706A57B3">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部</w:t>
            </w:r>
          </w:p>
        </w:tc>
        <w:tc>
          <w:tcPr>
            <w:tcW w:w="427" w:type="pct"/>
            <w:shd w:val="clear" w:color="auto" w:fill="auto"/>
            <w:vAlign w:val="center"/>
          </w:tcPr>
          <w:p w14:paraId="5CA0A927">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1B35364C">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7B509F36">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2747D874">
            <w:pPr>
              <w:pStyle w:val="13"/>
              <w:rPr>
                <w:rFonts w:hint="eastAsia" w:ascii="宋体" w:hAnsi="宋体" w:eastAsia="宋体" w:cs="宋体"/>
                <w:b w:val="0"/>
                <w:bCs w:val="0"/>
                <w:color w:val="auto"/>
                <w:sz w:val="21"/>
                <w:szCs w:val="21"/>
              </w:rPr>
            </w:pPr>
          </w:p>
        </w:tc>
      </w:tr>
      <w:tr w14:paraId="233E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54CE6552">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19</w:t>
            </w:r>
          </w:p>
        </w:tc>
        <w:tc>
          <w:tcPr>
            <w:tcW w:w="427" w:type="pct"/>
            <w:vMerge w:val="continue"/>
            <w:shd w:val="clear" w:color="auto" w:fill="auto"/>
            <w:vAlign w:val="center"/>
          </w:tcPr>
          <w:p w14:paraId="37A37E20">
            <w:pPr>
              <w:pStyle w:val="13"/>
              <w:rPr>
                <w:rFonts w:hint="eastAsia" w:ascii="宋体" w:hAnsi="宋体" w:eastAsia="宋体" w:cs="宋体"/>
                <w:b w:val="0"/>
                <w:bCs w:val="0"/>
                <w:color w:val="auto"/>
                <w:sz w:val="21"/>
                <w:szCs w:val="21"/>
              </w:rPr>
            </w:pPr>
          </w:p>
        </w:tc>
        <w:tc>
          <w:tcPr>
            <w:tcW w:w="1196" w:type="pct"/>
            <w:shd w:val="clear" w:color="auto" w:fill="auto"/>
            <w:vAlign w:val="center"/>
          </w:tcPr>
          <w:p w14:paraId="6FADD516">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手机</w:t>
            </w:r>
          </w:p>
        </w:tc>
        <w:tc>
          <w:tcPr>
            <w:tcW w:w="514" w:type="pct"/>
            <w:shd w:val="clear" w:color="auto" w:fill="auto"/>
            <w:vAlign w:val="center"/>
          </w:tcPr>
          <w:p w14:paraId="399D0221">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部</w:t>
            </w:r>
          </w:p>
        </w:tc>
        <w:tc>
          <w:tcPr>
            <w:tcW w:w="427" w:type="pct"/>
            <w:shd w:val="clear" w:color="auto" w:fill="auto"/>
            <w:vAlign w:val="center"/>
          </w:tcPr>
          <w:p w14:paraId="1B3BF315">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若干</w:t>
            </w:r>
          </w:p>
        </w:tc>
        <w:tc>
          <w:tcPr>
            <w:tcW w:w="790" w:type="pct"/>
            <w:shd w:val="clear" w:color="auto" w:fill="auto"/>
            <w:vAlign w:val="center"/>
          </w:tcPr>
          <w:p w14:paraId="492B04A2">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51C33793">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7F6CF6BA">
            <w:pPr>
              <w:pStyle w:val="13"/>
              <w:rPr>
                <w:rFonts w:hint="eastAsia" w:ascii="宋体" w:hAnsi="宋体" w:eastAsia="宋体" w:cs="宋体"/>
                <w:b w:val="0"/>
                <w:bCs w:val="0"/>
                <w:color w:val="auto"/>
                <w:sz w:val="21"/>
                <w:szCs w:val="21"/>
              </w:rPr>
            </w:pPr>
          </w:p>
        </w:tc>
      </w:tr>
      <w:tr w14:paraId="6921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77DEB62C">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20</w:t>
            </w:r>
          </w:p>
        </w:tc>
        <w:tc>
          <w:tcPr>
            <w:tcW w:w="427" w:type="pct"/>
            <w:vMerge w:val="restart"/>
            <w:shd w:val="clear" w:color="auto" w:fill="auto"/>
            <w:vAlign w:val="center"/>
          </w:tcPr>
          <w:p w14:paraId="3B972802">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抢救设备</w:t>
            </w:r>
          </w:p>
        </w:tc>
        <w:tc>
          <w:tcPr>
            <w:tcW w:w="1196" w:type="pct"/>
            <w:shd w:val="clear" w:color="auto" w:fill="auto"/>
            <w:vAlign w:val="center"/>
          </w:tcPr>
          <w:p w14:paraId="12A876D2">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汽车吊</w:t>
            </w:r>
          </w:p>
        </w:tc>
        <w:tc>
          <w:tcPr>
            <w:tcW w:w="514" w:type="pct"/>
            <w:shd w:val="clear" w:color="auto" w:fill="auto"/>
            <w:vAlign w:val="center"/>
          </w:tcPr>
          <w:p w14:paraId="5E1CDB74">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辆</w:t>
            </w:r>
          </w:p>
        </w:tc>
        <w:tc>
          <w:tcPr>
            <w:tcW w:w="427" w:type="pct"/>
            <w:shd w:val="clear" w:color="auto" w:fill="auto"/>
            <w:vAlign w:val="center"/>
          </w:tcPr>
          <w:p w14:paraId="49FEFE51">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790" w:type="pct"/>
            <w:shd w:val="clear" w:color="auto" w:fill="auto"/>
            <w:vAlign w:val="center"/>
          </w:tcPr>
          <w:p w14:paraId="65AC7F26">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3E4127B6">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4E0C9D03">
            <w:pPr>
              <w:pStyle w:val="13"/>
              <w:rPr>
                <w:rFonts w:hint="eastAsia" w:ascii="宋体" w:hAnsi="宋体" w:eastAsia="宋体" w:cs="宋体"/>
                <w:b w:val="0"/>
                <w:bCs w:val="0"/>
                <w:color w:val="auto"/>
                <w:sz w:val="21"/>
                <w:szCs w:val="21"/>
              </w:rPr>
            </w:pPr>
          </w:p>
        </w:tc>
      </w:tr>
      <w:tr w14:paraId="1721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2D67AE58">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21</w:t>
            </w:r>
          </w:p>
        </w:tc>
        <w:tc>
          <w:tcPr>
            <w:tcW w:w="427" w:type="pct"/>
            <w:vMerge w:val="continue"/>
            <w:shd w:val="clear" w:color="auto" w:fill="auto"/>
            <w:vAlign w:val="center"/>
          </w:tcPr>
          <w:p w14:paraId="5C459D3C">
            <w:pPr>
              <w:pStyle w:val="13"/>
              <w:rPr>
                <w:rFonts w:hint="eastAsia" w:ascii="宋体" w:hAnsi="宋体" w:eastAsia="宋体" w:cs="宋体"/>
                <w:b w:val="0"/>
                <w:bCs w:val="0"/>
                <w:color w:val="auto"/>
                <w:sz w:val="21"/>
                <w:szCs w:val="21"/>
              </w:rPr>
            </w:pPr>
          </w:p>
        </w:tc>
        <w:tc>
          <w:tcPr>
            <w:tcW w:w="1196" w:type="pct"/>
            <w:shd w:val="clear" w:color="auto" w:fill="auto"/>
            <w:vAlign w:val="center"/>
          </w:tcPr>
          <w:p w14:paraId="01C7E0D2">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面包车</w:t>
            </w:r>
          </w:p>
        </w:tc>
        <w:tc>
          <w:tcPr>
            <w:tcW w:w="514" w:type="pct"/>
            <w:shd w:val="clear" w:color="auto" w:fill="auto"/>
            <w:vAlign w:val="center"/>
          </w:tcPr>
          <w:p w14:paraId="1C757A9C">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辆</w:t>
            </w:r>
          </w:p>
        </w:tc>
        <w:tc>
          <w:tcPr>
            <w:tcW w:w="427" w:type="pct"/>
            <w:shd w:val="clear" w:color="auto" w:fill="auto"/>
            <w:vAlign w:val="center"/>
          </w:tcPr>
          <w:p w14:paraId="279641C8">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790" w:type="pct"/>
            <w:shd w:val="clear" w:color="auto" w:fill="auto"/>
            <w:vAlign w:val="center"/>
          </w:tcPr>
          <w:p w14:paraId="3CCE6475">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71A7F8ED">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33588F68">
            <w:pPr>
              <w:pStyle w:val="13"/>
              <w:rPr>
                <w:rFonts w:hint="eastAsia" w:ascii="宋体" w:hAnsi="宋体" w:eastAsia="宋体" w:cs="宋体"/>
                <w:b w:val="0"/>
                <w:bCs w:val="0"/>
                <w:color w:val="auto"/>
                <w:sz w:val="21"/>
                <w:szCs w:val="21"/>
              </w:rPr>
            </w:pPr>
          </w:p>
        </w:tc>
      </w:tr>
      <w:tr w14:paraId="210AC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7350A6FE">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22</w:t>
            </w:r>
          </w:p>
        </w:tc>
        <w:tc>
          <w:tcPr>
            <w:tcW w:w="427" w:type="pct"/>
            <w:vMerge w:val="restart"/>
            <w:shd w:val="clear" w:color="auto" w:fill="auto"/>
            <w:vAlign w:val="center"/>
          </w:tcPr>
          <w:p w14:paraId="20502FAD">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灭火器材</w:t>
            </w:r>
          </w:p>
        </w:tc>
        <w:tc>
          <w:tcPr>
            <w:tcW w:w="1196" w:type="pct"/>
            <w:shd w:val="clear" w:color="auto" w:fill="auto"/>
            <w:vAlign w:val="center"/>
          </w:tcPr>
          <w:p w14:paraId="07F5E7D3">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灭火器</w:t>
            </w:r>
          </w:p>
        </w:tc>
        <w:tc>
          <w:tcPr>
            <w:tcW w:w="514" w:type="pct"/>
            <w:shd w:val="clear" w:color="auto" w:fill="auto"/>
            <w:vAlign w:val="center"/>
          </w:tcPr>
          <w:p w14:paraId="51AF9281">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shd w:val="clear" w:color="auto" w:fill="auto"/>
            <w:vAlign w:val="center"/>
          </w:tcPr>
          <w:p w14:paraId="7ACDD3E3">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shd w:val="clear" w:color="auto" w:fill="auto"/>
            <w:vAlign w:val="center"/>
          </w:tcPr>
          <w:p w14:paraId="5502D0EA">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75BB51F7">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14EEDA1F">
            <w:pPr>
              <w:pStyle w:val="13"/>
              <w:rPr>
                <w:rFonts w:hint="eastAsia" w:ascii="宋体" w:hAnsi="宋体" w:eastAsia="宋体" w:cs="宋体"/>
                <w:b w:val="0"/>
                <w:bCs w:val="0"/>
                <w:color w:val="auto"/>
                <w:sz w:val="21"/>
                <w:szCs w:val="21"/>
              </w:rPr>
            </w:pPr>
          </w:p>
        </w:tc>
      </w:tr>
      <w:tr w14:paraId="12402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7CC03363">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23</w:t>
            </w:r>
          </w:p>
        </w:tc>
        <w:tc>
          <w:tcPr>
            <w:tcW w:w="427" w:type="pct"/>
            <w:vMerge w:val="continue"/>
            <w:shd w:val="clear" w:color="auto" w:fill="auto"/>
            <w:vAlign w:val="center"/>
          </w:tcPr>
          <w:p w14:paraId="26151F97">
            <w:pPr>
              <w:pStyle w:val="13"/>
              <w:rPr>
                <w:rFonts w:hint="eastAsia" w:ascii="宋体" w:hAnsi="宋体" w:eastAsia="宋体" w:cs="宋体"/>
                <w:b w:val="0"/>
                <w:bCs w:val="0"/>
                <w:color w:val="auto"/>
                <w:sz w:val="21"/>
                <w:szCs w:val="21"/>
              </w:rPr>
            </w:pPr>
          </w:p>
        </w:tc>
        <w:tc>
          <w:tcPr>
            <w:tcW w:w="1196" w:type="pct"/>
            <w:shd w:val="clear" w:color="auto" w:fill="auto"/>
            <w:vAlign w:val="center"/>
          </w:tcPr>
          <w:p w14:paraId="53CE77C0">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消防砂箱</w:t>
            </w:r>
          </w:p>
        </w:tc>
        <w:tc>
          <w:tcPr>
            <w:tcW w:w="514" w:type="pct"/>
            <w:shd w:val="clear" w:color="auto" w:fill="auto"/>
            <w:vAlign w:val="center"/>
          </w:tcPr>
          <w:p w14:paraId="1F66BFC9">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shd w:val="clear" w:color="auto" w:fill="auto"/>
            <w:vAlign w:val="center"/>
          </w:tcPr>
          <w:p w14:paraId="3502C525">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shd w:val="clear" w:color="auto" w:fill="auto"/>
            <w:vAlign w:val="center"/>
          </w:tcPr>
          <w:p w14:paraId="3B5126BA">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30B632DD">
            <w:pPr>
              <w:pStyle w:val="13"/>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3DFD8452">
            <w:pPr>
              <w:pStyle w:val="13"/>
              <w:rPr>
                <w:rFonts w:hint="eastAsia" w:ascii="宋体" w:hAnsi="宋体" w:eastAsia="宋体" w:cs="宋体"/>
                <w:b w:val="0"/>
                <w:bCs w:val="0"/>
                <w:color w:val="auto"/>
                <w:sz w:val="21"/>
                <w:szCs w:val="21"/>
              </w:rPr>
            </w:pPr>
          </w:p>
        </w:tc>
      </w:tr>
    </w:tbl>
    <w:p w14:paraId="6E5A8A1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（4）经费保障</w:t>
      </w:r>
    </w:p>
    <w:p w14:paraId="1ADF6265">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（1）建立应急资金保障制度，制定年度应急保障计划，设立应急资金</w:t>
      </w:r>
      <w:r>
        <w:rPr>
          <w:rFonts w:hint="eastAsia" w:ascii="Times New Roman" w:hAnsi="Times New Roman" w:eastAsia="宋体" w:cs="Times New Roman"/>
          <w:color w:val="auto"/>
          <w:kern w:val="2"/>
          <w:sz w:val="24"/>
          <w:szCs w:val="22"/>
          <w:lang w:val="en-US" w:eastAsia="zh-CN" w:bidi="ar-SA"/>
        </w:rPr>
        <w:t>管理台账</w:t>
      </w:r>
      <w:r>
        <w:rPr>
          <w:rFonts w:hint="default" w:ascii="Times New Roman" w:hAnsi="Times New Roman" w:eastAsia="宋体" w:cs="Times New Roman"/>
          <w:color w:val="auto"/>
          <w:kern w:val="2"/>
          <w:sz w:val="24"/>
          <w:szCs w:val="22"/>
          <w:lang w:val="en-US" w:eastAsia="zh-CN" w:bidi="ar-SA"/>
        </w:rPr>
        <w:t>，设立和提取安全生产专项费用。</w:t>
      </w:r>
    </w:p>
    <w:p w14:paraId="613B341C">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（2）应急领导小组保证每年投入一定的经费用于应急救援队伍培训演练和购买必要的设备，应急救援经费在安全专项经费中支出，并设置应急备用金</w:t>
      </w:r>
      <w:r>
        <w:rPr>
          <w:rFonts w:hint="eastAsia" w:ascii="Times New Roman" w:hAnsi="Times New Roman" w:eastAsia="宋体" w:cs="Times New Roman"/>
          <w:color w:val="auto"/>
          <w:kern w:val="2"/>
          <w:sz w:val="24"/>
          <w:szCs w:val="22"/>
          <w:lang w:val="en-US" w:eastAsia="zh-CN" w:bidi="ar-SA"/>
        </w:rPr>
        <w:t>。</w:t>
      </w:r>
    </w:p>
    <w:p w14:paraId="5C661A8D">
      <w:pPr>
        <w:spacing w:line="360" w:lineRule="auto"/>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（5）其他保障</w:t>
      </w:r>
    </w:p>
    <w:p w14:paraId="6FFCAA4A">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kern w:val="2"/>
          <w:sz w:val="24"/>
          <w:szCs w:val="22"/>
          <w:lang w:val="en-US" w:eastAsia="zh-CN" w:bidi="ar-SA"/>
        </w:rPr>
        <w:fldChar w:fldCharType="begin"/>
      </w:r>
      <w:r>
        <w:rPr>
          <w:rFonts w:hint="eastAsia" w:ascii="Times New Roman" w:hAnsi="Times New Roman" w:cs="Times New Roman"/>
          <w:color w:val="auto"/>
          <w:kern w:val="2"/>
          <w:sz w:val="24"/>
          <w:szCs w:val="22"/>
          <w:lang w:val="en-US" w:eastAsia="zh-CN" w:bidi="ar-SA"/>
        </w:rPr>
        <w:instrText xml:space="preserve"> = 1 \* GB3 \* MERGEFORMAT </w:instrText>
      </w:r>
      <w:r>
        <w:rPr>
          <w:rFonts w:hint="eastAsia" w:ascii="Times New Roman" w:hAnsi="Times New Roman" w:cs="Times New Roman"/>
          <w:color w:val="auto"/>
          <w:kern w:val="2"/>
          <w:sz w:val="24"/>
          <w:szCs w:val="22"/>
          <w:lang w:val="en-US" w:eastAsia="zh-CN" w:bidi="ar-SA"/>
        </w:rPr>
        <w:fldChar w:fldCharType="separate"/>
      </w:r>
      <w:r>
        <w:rPr>
          <w:color w:val="auto"/>
        </w:rPr>
        <w:t>①</w:t>
      </w:r>
      <w:r>
        <w:rPr>
          <w:rFonts w:hint="eastAsia" w:ascii="Times New Roman" w:hAnsi="Times New Roman"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交通运输保障：应急救援工作需要配备交通运输工具，发生应急事故时，项目部所有车辆由应急指挥部统一调度，必要时可临时征用各施工队伍车辆，为应急救援工作提供交通运输支持。</w:t>
      </w:r>
    </w:p>
    <w:p w14:paraId="20F6EBE7">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kern w:val="2"/>
          <w:sz w:val="24"/>
          <w:szCs w:val="22"/>
          <w:lang w:val="en-US" w:eastAsia="zh-CN" w:bidi="ar-SA"/>
        </w:rPr>
        <w:fldChar w:fldCharType="begin"/>
      </w:r>
      <w:r>
        <w:rPr>
          <w:rFonts w:hint="eastAsia" w:ascii="Times New Roman" w:hAnsi="Times New Roman" w:cs="Times New Roman"/>
          <w:color w:val="auto"/>
          <w:kern w:val="2"/>
          <w:sz w:val="24"/>
          <w:szCs w:val="22"/>
          <w:lang w:val="en-US" w:eastAsia="zh-CN" w:bidi="ar-SA"/>
        </w:rPr>
        <w:instrText xml:space="preserve"> = 2 \* GB3 \* MERGEFORMAT </w:instrText>
      </w:r>
      <w:r>
        <w:rPr>
          <w:rFonts w:hint="eastAsia" w:ascii="Times New Roman" w:hAnsi="Times New Roman" w:cs="Times New Roman"/>
          <w:color w:val="auto"/>
          <w:kern w:val="2"/>
          <w:sz w:val="24"/>
          <w:szCs w:val="22"/>
          <w:lang w:val="en-US" w:eastAsia="zh-CN" w:bidi="ar-SA"/>
        </w:rPr>
        <w:fldChar w:fldCharType="separate"/>
      </w:r>
      <w:r>
        <w:rPr>
          <w:color w:val="auto"/>
        </w:rPr>
        <w:t>②</w:t>
      </w:r>
      <w:r>
        <w:rPr>
          <w:rFonts w:hint="eastAsia" w:ascii="Times New Roman" w:hAnsi="Times New Roman"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技术保障：由项目部总工程师领导，组织项目部工程技术人员，根据事故发生的类型，严重程度、影响范围制定相应的应急救援技术措施，并符合相关规范的要求。当由上级单位统一组织制定技术措施时服从上级单位的相关安排。</w:t>
      </w:r>
    </w:p>
    <w:p w14:paraId="6EA65146">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kern w:val="2"/>
          <w:sz w:val="24"/>
          <w:szCs w:val="22"/>
          <w:lang w:val="en-US" w:eastAsia="zh-CN" w:bidi="ar-SA"/>
        </w:rPr>
        <w:fldChar w:fldCharType="begin"/>
      </w:r>
      <w:r>
        <w:rPr>
          <w:rFonts w:hint="eastAsia" w:ascii="Times New Roman" w:hAnsi="Times New Roman" w:cs="Times New Roman"/>
          <w:color w:val="auto"/>
          <w:kern w:val="2"/>
          <w:sz w:val="24"/>
          <w:szCs w:val="22"/>
          <w:lang w:val="en-US" w:eastAsia="zh-CN" w:bidi="ar-SA"/>
        </w:rPr>
        <w:instrText xml:space="preserve"> = 3 \* GB3 \* MERGEFORMAT </w:instrText>
      </w:r>
      <w:r>
        <w:rPr>
          <w:rFonts w:hint="eastAsia" w:ascii="Times New Roman" w:hAnsi="Times New Roman" w:cs="Times New Roman"/>
          <w:color w:val="auto"/>
          <w:kern w:val="2"/>
          <w:sz w:val="24"/>
          <w:szCs w:val="22"/>
          <w:lang w:val="en-US" w:eastAsia="zh-CN" w:bidi="ar-SA"/>
        </w:rPr>
        <w:fldChar w:fldCharType="separate"/>
      </w:r>
      <w:r>
        <w:rPr>
          <w:color w:val="auto"/>
        </w:rPr>
        <w:t>③</w:t>
      </w:r>
      <w:r>
        <w:rPr>
          <w:rFonts w:hint="eastAsia" w:ascii="Times New Roman" w:hAnsi="Times New Roman"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医疗保障：应急领导小组办公室提前掌握当地医院信息或签订医疗急救协议，有医疗需求时及时送医或到现场急救；安排专人负责跟进伤员医治。组织相关人员进行急救培训，现场配备必要、常用急救药材、器材。为职工购买工伤保险、团体意外伤害保险。</w:t>
      </w:r>
    </w:p>
    <w:p w14:paraId="102DFC56">
      <w:pPr>
        <w:spacing w:line="360" w:lineRule="auto"/>
        <w:ind w:firstLine="480"/>
        <w:rPr>
          <w:rFonts w:hint="eastAsia" w:ascii="宋体" w:hAnsi="宋体" w:eastAsia="宋体" w:cs="宋体"/>
          <w:color w:val="auto"/>
          <w:kern w:val="2"/>
          <w:sz w:val="24"/>
          <w:szCs w:val="24"/>
        </w:rPr>
      </w:pPr>
      <w:r>
        <w:rPr>
          <w:rFonts w:hint="eastAsia" w:ascii="Times New Roman" w:hAnsi="Times New Roman" w:cs="Times New Roman"/>
          <w:color w:val="auto"/>
          <w:kern w:val="2"/>
          <w:sz w:val="24"/>
          <w:szCs w:val="22"/>
          <w:lang w:val="en-US" w:eastAsia="zh-CN" w:bidi="ar-SA"/>
        </w:rPr>
        <w:fldChar w:fldCharType="begin"/>
      </w:r>
      <w:r>
        <w:rPr>
          <w:rFonts w:hint="eastAsia" w:ascii="Times New Roman" w:hAnsi="Times New Roman" w:cs="Times New Roman"/>
          <w:color w:val="auto"/>
          <w:kern w:val="2"/>
          <w:sz w:val="24"/>
          <w:szCs w:val="22"/>
          <w:lang w:val="en-US" w:eastAsia="zh-CN" w:bidi="ar-SA"/>
        </w:rPr>
        <w:instrText xml:space="preserve"> = 4 \* GB3 \* MERGEFORMAT </w:instrText>
      </w:r>
      <w:r>
        <w:rPr>
          <w:rFonts w:hint="eastAsia" w:ascii="Times New Roman" w:hAnsi="Times New Roman" w:cs="Times New Roman"/>
          <w:color w:val="auto"/>
          <w:kern w:val="2"/>
          <w:sz w:val="24"/>
          <w:szCs w:val="22"/>
          <w:lang w:val="en-US" w:eastAsia="zh-CN" w:bidi="ar-SA"/>
        </w:rPr>
        <w:fldChar w:fldCharType="separate"/>
      </w:r>
      <w:r>
        <w:rPr>
          <w:color w:val="auto"/>
        </w:rPr>
        <w:t>④</w:t>
      </w:r>
      <w:r>
        <w:rPr>
          <w:rFonts w:hint="eastAsia" w:ascii="Times New Roman" w:hAnsi="Times New Roman"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后勤保障：应急领导小组办公室配备应急救援物资，并定期组织检查、维护；与地方酒店、宾馆签订合作协议，确保事故发生后人员基本生活保障。</w:t>
      </w:r>
    </w:p>
    <w:bookmarkEnd w:id="197"/>
    <w:bookmarkEnd w:id="198"/>
    <w:bookmarkEnd w:id="199"/>
    <w:p w14:paraId="02CFF874">
      <w:pPr>
        <w:ind w:firstLine="480"/>
        <w:rPr>
          <w:color w:val="auto"/>
        </w:rPr>
      </w:pPr>
    </w:p>
    <w:p w14:paraId="68F9A500">
      <w:pPr>
        <w:ind w:firstLine="480"/>
        <w:rPr>
          <w:color w:val="auto"/>
        </w:rPr>
      </w:pPr>
    </w:p>
    <w:p w14:paraId="2F9FDEEF">
      <w:pPr>
        <w:widowControl/>
        <w:ind w:firstLine="0" w:firstLineChars="0"/>
        <w:jc w:val="left"/>
        <w:rPr>
          <w:rFonts w:cstheme="majorBidi"/>
          <w:b/>
          <w:bCs/>
          <w:color w:val="auto"/>
          <w:sz w:val="32"/>
          <w:szCs w:val="32"/>
        </w:rPr>
      </w:pPr>
      <w:r>
        <w:rPr>
          <w:color w:val="auto"/>
        </w:rPr>
        <w:br w:type="page"/>
      </w:r>
    </w:p>
    <w:p w14:paraId="45A0FA1A">
      <w:pPr>
        <w:pStyle w:val="3"/>
        <w:numPr>
          <w:ilvl w:val="0"/>
          <w:numId w:val="0"/>
        </w:numPr>
        <w:spacing w:before="156" w:after="156"/>
        <w:ind w:leftChars="0"/>
        <w:jc w:val="center"/>
        <w:rPr>
          <w:color w:val="auto"/>
        </w:rPr>
      </w:pPr>
      <w:bookmarkStart w:id="261" w:name="_Toc27636"/>
      <w:bookmarkStart w:id="262" w:name="_Toc13614"/>
      <w:bookmarkStart w:id="263" w:name="_Toc40778460"/>
      <w:bookmarkStart w:id="264" w:name="_Toc27911"/>
      <w:r>
        <w:rPr>
          <w:rFonts w:hint="eastAsia"/>
          <w:color w:val="auto"/>
          <w:lang w:val="en-US" w:eastAsia="zh-CN"/>
        </w:rPr>
        <w:t>10</w:t>
      </w:r>
      <w:r>
        <w:rPr>
          <w:rFonts w:hint="eastAsia"/>
          <w:color w:val="auto"/>
        </w:rPr>
        <w:t>绿色及文明施工</w:t>
      </w:r>
      <w:bookmarkEnd w:id="261"/>
      <w:bookmarkEnd w:id="262"/>
    </w:p>
    <w:p w14:paraId="7534E80C">
      <w:pPr>
        <w:pStyle w:val="4"/>
        <w:numPr>
          <w:ilvl w:val="1"/>
          <w:numId w:val="0"/>
        </w:numPr>
        <w:spacing w:before="156" w:after="156"/>
        <w:rPr>
          <w:color w:val="auto"/>
        </w:rPr>
      </w:pPr>
      <w:bookmarkStart w:id="265" w:name="_Toc17602"/>
      <w:bookmarkStart w:id="266" w:name="_Toc28274"/>
      <w:bookmarkStart w:id="267" w:name="_Toc15038"/>
      <w:bookmarkStart w:id="268" w:name="_Toc65792319"/>
      <w:bookmarkStart w:id="269" w:name="_Toc10685"/>
      <w:r>
        <w:rPr>
          <w:rFonts w:hint="eastAsia"/>
          <w:color w:val="auto"/>
        </w:rPr>
        <w:t>10.1</w:t>
      </w:r>
      <w:r>
        <w:rPr>
          <w:color w:val="auto"/>
        </w:rPr>
        <w:t>绿色及文明施工组织机构</w:t>
      </w:r>
      <w:bookmarkEnd w:id="265"/>
      <w:bookmarkEnd w:id="266"/>
      <w:bookmarkEnd w:id="267"/>
      <w:bookmarkEnd w:id="268"/>
      <w:bookmarkEnd w:id="269"/>
    </w:p>
    <w:p w14:paraId="5650C3A5">
      <w:pPr>
        <w:ind w:firstLine="480"/>
        <w:rPr>
          <w:color w:val="auto"/>
        </w:rPr>
      </w:pPr>
      <w:r>
        <w:rPr>
          <w:rFonts w:hint="eastAsia"/>
          <w:color w:val="auto"/>
        </w:rPr>
        <w:t>成立由项目经理为组长的绿色文明施工管理小组，全面开展文明工地、绿色施工活动，创造良好的施工环境和氛围，保证工程的顺利完成。绿色文明施工管理小组组织机构如</w:t>
      </w:r>
      <w:r>
        <w:rPr>
          <w:color w:val="auto"/>
        </w:rPr>
        <w:fldChar w:fldCharType="begin"/>
      </w:r>
      <w:r>
        <w:rPr>
          <w:color w:val="auto"/>
        </w:rPr>
        <w:instrText xml:space="preserve"> </w:instrText>
      </w:r>
      <w:r>
        <w:rPr>
          <w:rFonts w:hint="eastAsia"/>
          <w:color w:val="auto"/>
        </w:rPr>
        <w:instrText xml:space="preserve">REF _Ref62590350 \h</w:instrText>
      </w:r>
      <w:r>
        <w:rPr>
          <w:color w:val="auto"/>
        </w:rPr>
        <w:instrText xml:space="preserve"> </w:instrText>
      </w:r>
      <w:r>
        <w:rPr>
          <w:color w:val="auto"/>
        </w:rPr>
        <w:fldChar w:fldCharType="separate"/>
      </w:r>
      <w:r>
        <w:rPr>
          <w:rFonts w:hint="eastAsia"/>
          <w:color w:val="auto"/>
        </w:rPr>
        <w:t xml:space="preserve">图 </w:t>
      </w:r>
      <w:r>
        <w:rPr>
          <w:color w:val="auto"/>
        </w:rPr>
        <w:t>10.1</w:t>
      </w:r>
      <w:r>
        <w:rPr>
          <w:color w:val="auto"/>
        </w:rPr>
        <w:noBreakHyphen/>
      </w:r>
      <w:r>
        <w:rPr>
          <w:color w:val="auto"/>
        </w:rPr>
        <w:t>1</w:t>
      </w:r>
      <w:r>
        <w:rPr>
          <w:color w:val="auto"/>
        </w:rPr>
        <w:fldChar w:fldCharType="end"/>
      </w:r>
      <w:r>
        <w:rPr>
          <w:color w:val="auto"/>
        </w:rPr>
        <w:t>所示，组织机构成员如下：</w:t>
      </w:r>
    </w:p>
    <w:p w14:paraId="37C37E68">
      <w:pPr>
        <w:ind w:firstLine="480"/>
        <w:rPr>
          <w:rFonts w:hint="eastAsia"/>
          <w:color w:val="auto"/>
          <w:lang w:val="en-US" w:eastAsia="zh-CN"/>
        </w:rPr>
      </w:pPr>
      <w:r>
        <w:rPr>
          <w:rFonts w:hint="eastAsia"/>
          <w:color w:val="auto"/>
        </w:rPr>
        <w:t>组长：</w:t>
      </w:r>
      <w:r>
        <w:rPr>
          <w:rFonts w:hint="eastAsia"/>
          <w:color w:val="auto"/>
          <w:lang w:val="en-US" w:eastAsia="zh-CN"/>
        </w:rPr>
        <w:t xml:space="preserve"> </w:t>
      </w:r>
    </w:p>
    <w:p w14:paraId="7A155CFB">
      <w:pPr>
        <w:ind w:firstLine="480"/>
        <w:rPr>
          <w:rFonts w:hint="eastAsia"/>
          <w:color w:val="auto"/>
          <w:lang w:val="en-US" w:eastAsia="zh-CN"/>
        </w:rPr>
      </w:pPr>
      <w:r>
        <w:rPr>
          <w:rFonts w:hint="eastAsia"/>
          <w:color w:val="auto"/>
        </w:rPr>
        <w:t>副组长：</w:t>
      </w:r>
      <w:r>
        <w:rPr>
          <w:rFonts w:hint="eastAsia"/>
          <w:color w:val="auto"/>
          <w:lang w:val="en-US" w:eastAsia="zh-CN"/>
        </w:rPr>
        <w:t xml:space="preserve"> </w:t>
      </w:r>
    </w:p>
    <w:p w14:paraId="7CA8263D">
      <w:pPr>
        <w:ind w:firstLine="480"/>
        <w:rPr>
          <w:rFonts w:hint="default" w:eastAsia="宋体"/>
          <w:color w:val="auto"/>
          <w:lang w:val="en-US" w:eastAsia="zh-CN"/>
        </w:rPr>
      </w:pPr>
      <w:r>
        <w:rPr>
          <w:rFonts w:hint="eastAsia"/>
          <w:color w:val="auto"/>
        </w:rPr>
        <w:t>小组成员：</w:t>
      </w:r>
      <w:r>
        <w:rPr>
          <w:rFonts w:hint="eastAsia"/>
          <w:color w:val="auto"/>
          <w:lang w:val="en-US" w:eastAsia="zh-CN"/>
        </w:rPr>
        <w:t xml:space="preserve"> </w:t>
      </w:r>
    </w:p>
    <w:p w14:paraId="08EDE04A">
      <w:pPr>
        <w:pStyle w:val="4"/>
        <w:numPr>
          <w:ilvl w:val="1"/>
          <w:numId w:val="0"/>
        </w:numPr>
        <w:spacing w:before="156" w:after="156"/>
        <w:rPr>
          <w:color w:val="auto"/>
        </w:rPr>
      </w:pPr>
      <w:bookmarkStart w:id="270" w:name="_Toc493"/>
      <w:bookmarkStart w:id="271" w:name="_Toc13914"/>
      <w:bookmarkStart w:id="272" w:name="_Toc25207"/>
      <w:bookmarkStart w:id="273" w:name="_Toc9765"/>
      <w:bookmarkStart w:id="274" w:name="_Toc65792320"/>
      <w:r>
        <w:rPr>
          <w:rFonts w:hint="eastAsia"/>
          <w:color w:val="auto"/>
        </w:rPr>
        <w:t>10.2</w:t>
      </w:r>
      <w:r>
        <w:rPr>
          <w:color w:val="auto"/>
        </w:rPr>
        <w:t>绿色及文明施工保证体系</w:t>
      </w:r>
      <w:bookmarkEnd w:id="270"/>
      <w:bookmarkEnd w:id="271"/>
      <w:bookmarkEnd w:id="272"/>
      <w:bookmarkEnd w:id="273"/>
      <w:bookmarkEnd w:id="274"/>
    </w:p>
    <w:p w14:paraId="7333B98D">
      <w:pPr>
        <w:ind w:firstLine="480"/>
        <w:rPr>
          <w:color w:val="auto"/>
        </w:rPr>
      </w:pPr>
      <w:r>
        <w:rPr>
          <w:rFonts w:hint="eastAsia"/>
          <w:color w:val="auto"/>
        </w:rPr>
        <w:t>根据施工区域周边环境特点，依据有关法律、法规及建设单位的规定，，制定详细的绿色文明施工措施，从思想保证、制度保证、过程控制、资源保证、技术保证、组织保证六个方面控制。绿色文明施工保证体系见</w:t>
      </w:r>
      <w:r>
        <w:rPr>
          <w:color w:val="auto"/>
        </w:rPr>
        <w:fldChar w:fldCharType="begin"/>
      </w:r>
      <w:r>
        <w:rPr>
          <w:color w:val="auto"/>
        </w:rPr>
        <w:instrText xml:space="preserve"> </w:instrText>
      </w:r>
      <w:r>
        <w:rPr>
          <w:rFonts w:hint="eastAsia"/>
          <w:color w:val="auto"/>
        </w:rPr>
        <w:instrText xml:space="preserve">REF _Ref62590410 \h</w:instrText>
      </w:r>
      <w:r>
        <w:rPr>
          <w:color w:val="auto"/>
        </w:rPr>
        <w:instrText xml:space="preserve"> </w:instrText>
      </w:r>
      <w:r>
        <w:rPr>
          <w:color w:val="auto"/>
        </w:rPr>
        <w:fldChar w:fldCharType="separate"/>
      </w:r>
      <w:r>
        <w:rPr>
          <w:rFonts w:hint="eastAsia"/>
          <w:color w:val="auto"/>
        </w:rPr>
        <w:t xml:space="preserve">图 </w:t>
      </w:r>
      <w:r>
        <w:rPr>
          <w:color w:val="auto"/>
        </w:rPr>
        <w:t>10.2</w:t>
      </w:r>
      <w:r>
        <w:rPr>
          <w:color w:val="auto"/>
        </w:rPr>
        <w:noBreakHyphen/>
      </w:r>
      <w:r>
        <w:rPr>
          <w:color w:val="auto"/>
        </w:rPr>
        <w:t>1</w:t>
      </w:r>
      <w:r>
        <w:rPr>
          <w:color w:val="auto"/>
        </w:rPr>
        <w:fldChar w:fldCharType="end"/>
      </w:r>
      <w:r>
        <w:rPr>
          <w:rFonts w:hint="eastAsia"/>
          <w:color w:val="auto"/>
        </w:rPr>
        <w:t>。</w:t>
      </w:r>
    </w:p>
    <w:p w14:paraId="073E35A3">
      <w:pPr>
        <w:pStyle w:val="14"/>
        <w:rPr>
          <w:rFonts w:eastAsia="仿宋"/>
          <w:color w:val="auto"/>
        </w:rPr>
      </w:pPr>
      <w:r>
        <w:rPr>
          <w:rFonts w:eastAsia="仿宋"/>
          <w:color w:val="auto"/>
        </w:rPr>
        <w:object>
          <v:shape id="_x0000_i1026" o:spt="75" type="#_x0000_t75" style="height:312.4pt;width:384.1pt;" o:ole="t" filled="f" o:preferrelative="t" stroked="f" coordsize="21600,21600">
            <v:path/>
            <v:fill on="f" focussize="0,0"/>
            <v:stroke on="f"/>
            <v:imagedata r:id="rId46" o:title=""/>
            <o:lock v:ext="edit" aspectratio="t"/>
            <w10:wrap type="none"/>
            <w10:anchorlock/>
          </v:shape>
          <o:OLEObject Type="Embed" ProgID="Visio.Drawing.15" ShapeID="_x0000_i1026" DrawAspect="Content" ObjectID="_1468075726" r:id="rId45">
            <o:LockedField>false</o:LockedField>
          </o:OLEObject>
        </w:object>
      </w:r>
    </w:p>
    <w:p w14:paraId="69758BC4">
      <w:pPr>
        <w:pStyle w:val="14"/>
        <w:rPr>
          <w:color w:val="auto"/>
        </w:rPr>
      </w:pPr>
      <w:bookmarkStart w:id="275" w:name="_Ref62590410"/>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10.2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rFonts w:hint="eastAsia"/>
          <w:color w:val="auto"/>
        </w:rPr>
        <w:t>1</w:t>
      </w:r>
      <w:r>
        <w:rPr>
          <w:color w:val="auto"/>
        </w:rPr>
        <w:fldChar w:fldCharType="end"/>
      </w:r>
      <w:bookmarkEnd w:id="275"/>
      <w:r>
        <w:rPr>
          <w:color w:val="auto"/>
        </w:rPr>
        <w:t xml:space="preserve"> </w:t>
      </w:r>
      <w:r>
        <w:rPr>
          <w:rFonts w:hint="eastAsia"/>
          <w:color w:val="auto"/>
        </w:rPr>
        <w:t>文明施工及环境保护保证体系</w:t>
      </w:r>
    </w:p>
    <w:p w14:paraId="2CDECC1B">
      <w:pPr>
        <w:pStyle w:val="4"/>
        <w:numPr>
          <w:ilvl w:val="1"/>
          <w:numId w:val="0"/>
        </w:numPr>
        <w:spacing w:before="156" w:after="156"/>
        <w:rPr>
          <w:color w:val="auto"/>
        </w:rPr>
      </w:pPr>
      <w:bookmarkStart w:id="276" w:name="_Toc14438"/>
      <w:bookmarkStart w:id="277" w:name="_Toc12111"/>
      <w:bookmarkStart w:id="278" w:name="_Toc26230"/>
      <w:bookmarkStart w:id="279" w:name="_Toc65792321"/>
      <w:bookmarkStart w:id="280" w:name="_Toc21347"/>
      <w:r>
        <w:rPr>
          <w:rFonts w:hint="eastAsia"/>
          <w:color w:val="auto"/>
        </w:rPr>
        <w:t>10.3</w:t>
      </w:r>
      <w:r>
        <w:rPr>
          <w:color w:val="auto"/>
        </w:rPr>
        <w:t>绿色施工保证措施</w:t>
      </w:r>
      <w:bookmarkEnd w:id="276"/>
      <w:bookmarkEnd w:id="277"/>
      <w:bookmarkEnd w:id="278"/>
      <w:bookmarkEnd w:id="279"/>
      <w:bookmarkEnd w:id="280"/>
    </w:p>
    <w:p w14:paraId="15939ECF">
      <w:pPr>
        <w:pStyle w:val="5"/>
        <w:numPr>
          <w:ilvl w:val="2"/>
          <w:numId w:val="0"/>
        </w:numPr>
        <w:spacing w:before="156" w:after="156"/>
        <w:rPr>
          <w:color w:val="auto"/>
        </w:rPr>
      </w:pPr>
      <w:bookmarkStart w:id="281" w:name="_Toc3840"/>
      <w:r>
        <w:rPr>
          <w:rFonts w:hint="eastAsia"/>
          <w:color w:val="auto"/>
        </w:rPr>
        <w:t xml:space="preserve">10.3.1 </w:t>
      </w:r>
      <w:r>
        <w:rPr>
          <w:color w:val="auto"/>
        </w:rPr>
        <w:t>固体废弃物污染防治措施</w:t>
      </w:r>
      <w:bookmarkEnd w:id="281"/>
    </w:p>
    <w:p w14:paraId="02A1F59B">
      <w:pPr>
        <w:ind w:firstLine="480"/>
        <w:rPr>
          <w:color w:val="auto"/>
        </w:rPr>
      </w:pPr>
      <w:r>
        <w:rPr>
          <w:rFonts w:hint="eastAsia"/>
          <w:color w:val="auto"/>
        </w:rPr>
        <w:t>（</w:t>
      </w:r>
      <w:r>
        <w:rPr>
          <w:color w:val="auto"/>
        </w:rPr>
        <w:t>1）合理利用土石方，基坑开挖出的土方，在满足使用要求的情况下，用于便道填筑或基坑回填。</w:t>
      </w:r>
    </w:p>
    <w:p w14:paraId="5BCFAC5C">
      <w:pPr>
        <w:ind w:firstLine="480"/>
        <w:rPr>
          <w:color w:val="auto"/>
        </w:rPr>
      </w:pPr>
      <w:r>
        <w:rPr>
          <w:rFonts w:hint="eastAsia"/>
          <w:color w:val="auto"/>
        </w:rPr>
        <w:t>（</w:t>
      </w:r>
      <w:r>
        <w:rPr>
          <w:color w:val="auto"/>
        </w:rPr>
        <w:t>2）施工产生的废方、废弃混凝土等固体废弃物不得直接排放，应运至指定地点集中处理，避免污染环境。</w:t>
      </w:r>
    </w:p>
    <w:p w14:paraId="0A5B786B">
      <w:pPr>
        <w:ind w:firstLine="480"/>
        <w:rPr>
          <w:color w:val="auto"/>
        </w:rPr>
      </w:pPr>
      <w:r>
        <w:rPr>
          <w:rFonts w:hint="eastAsia"/>
          <w:color w:val="auto"/>
        </w:rPr>
        <w:t>（</w:t>
      </w:r>
      <w:r>
        <w:rPr>
          <w:color w:val="auto"/>
        </w:rPr>
        <w:t>3）施工现场设置垃圾桶收集各种垃圾，集中运至指定回收点进行处理。</w:t>
      </w:r>
    </w:p>
    <w:p w14:paraId="77A6556F">
      <w:pPr>
        <w:ind w:firstLine="480"/>
        <w:rPr>
          <w:color w:val="auto"/>
        </w:rPr>
      </w:pPr>
      <w:r>
        <w:rPr>
          <w:rFonts w:hint="eastAsia"/>
          <w:color w:val="auto"/>
        </w:rPr>
        <w:t>（</w:t>
      </w:r>
      <w:r>
        <w:rPr>
          <w:color w:val="auto"/>
        </w:rPr>
        <w:t>4）施工现场运送各种材料、预拌混凝土、垃圾等应采取遮盖或防护措施，防止溢撒。</w:t>
      </w:r>
    </w:p>
    <w:p w14:paraId="267DBF6D">
      <w:pPr>
        <w:pStyle w:val="5"/>
        <w:numPr>
          <w:ilvl w:val="2"/>
          <w:numId w:val="0"/>
        </w:numPr>
        <w:spacing w:before="156" w:after="156"/>
        <w:rPr>
          <w:color w:val="auto"/>
        </w:rPr>
      </w:pPr>
      <w:bookmarkStart w:id="282" w:name="_Toc9838"/>
      <w:r>
        <w:rPr>
          <w:rFonts w:hint="eastAsia"/>
          <w:color w:val="auto"/>
        </w:rPr>
        <w:t>10.3.2</w:t>
      </w:r>
      <w:r>
        <w:rPr>
          <w:color w:val="auto"/>
        </w:rPr>
        <w:t>水污染与水土流失防治措施</w:t>
      </w:r>
      <w:bookmarkEnd w:id="282"/>
    </w:p>
    <w:p w14:paraId="42C12346">
      <w:pPr>
        <w:ind w:firstLine="480"/>
        <w:rPr>
          <w:color w:val="auto"/>
        </w:rPr>
      </w:pPr>
      <w:r>
        <w:rPr>
          <w:rFonts w:hint="eastAsia"/>
          <w:color w:val="auto"/>
        </w:rPr>
        <w:t>（</w:t>
      </w:r>
      <w:r>
        <w:rPr>
          <w:color w:val="auto"/>
        </w:rPr>
        <w:t>1）修筑施工便道，开挖基坑时，保护好周围环境，减少对附近植被生态的破坏。</w:t>
      </w:r>
    </w:p>
    <w:p w14:paraId="7110B82D">
      <w:pPr>
        <w:ind w:firstLine="480"/>
        <w:rPr>
          <w:color w:val="auto"/>
        </w:rPr>
      </w:pPr>
      <w:r>
        <w:rPr>
          <w:rFonts w:hint="eastAsia"/>
          <w:color w:val="auto"/>
        </w:rPr>
        <w:t>（</w:t>
      </w:r>
      <w:r>
        <w:rPr>
          <w:color w:val="auto"/>
        </w:rPr>
        <w:t>2）施工人员生活区尽量远离长江，不向水库排放生活废物和生活污水。</w:t>
      </w:r>
    </w:p>
    <w:p w14:paraId="2C1273E8">
      <w:pPr>
        <w:ind w:firstLine="480"/>
        <w:rPr>
          <w:color w:val="auto"/>
        </w:rPr>
      </w:pPr>
      <w:r>
        <w:rPr>
          <w:rFonts w:hint="eastAsia"/>
          <w:color w:val="auto"/>
        </w:rPr>
        <w:t>（</w:t>
      </w:r>
      <w:r>
        <w:rPr>
          <w:color w:val="auto"/>
        </w:rPr>
        <w:t>3）施工机械（如吊机、运输车辆等）的废油料及润滑油等应进行专门回收，严禁直接排在施工现场。</w:t>
      </w:r>
    </w:p>
    <w:p w14:paraId="32F2CE91">
      <w:pPr>
        <w:ind w:firstLine="480"/>
        <w:rPr>
          <w:color w:val="auto"/>
        </w:rPr>
      </w:pPr>
      <w:r>
        <w:rPr>
          <w:rFonts w:hint="eastAsia"/>
          <w:color w:val="auto"/>
        </w:rPr>
        <w:t>（</w:t>
      </w:r>
      <w:r>
        <w:rPr>
          <w:color w:val="auto"/>
        </w:rPr>
        <w:t>4）对钢管桩表面泥土以及铁锈进行清理，避免污染水体。</w:t>
      </w:r>
    </w:p>
    <w:p w14:paraId="76E4AA9F">
      <w:pPr>
        <w:pStyle w:val="5"/>
        <w:numPr>
          <w:ilvl w:val="2"/>
          <w:numId w:val="0"/>
        </w:numPr>
        <w:spacing w:before="156" w:after="156"/>
        <w:rPr>
          <w:color w:val="auto"/>
        </w:rPr>
      </w:pPr>
      <w:bookmarkStart w:id="283" w:name="_Toc14868"/>
      <w:r>
        <w:rPr>
          <w:rFonts w:hint="eastAsia"/>
          <w:color w:val="auto"/>
        </w:rPr>
        <w:t>10.3.3</w:t>
      </w:r>
      <w:r>
        <w:rPr>
          <w:color w:val="auto"/>
        </w:rPr>
        <w:t>噪声污染防治措施</w:t>
      </w:r>
      <w:bookmarkEnd w:id="283"/>
    </w:p>
    <w:p w14:paraId="38FC7589">
      <w:pPr>
        <w:ind w:firstLine="480"/>
        <w:rPr>
          <w:color w:val="auto"/>
        </w:rPr>
      </w:pPr>
      <w:r>
        <w:rPr>
          <w:rFonts w:hint="eastAsia"/>
          <w:color w:val="auto"/>
        </w:rPr>
        <w:t>（</w:t>
      </w:r>
      <w:r>
        <w:rPr>
          <w:color w:val="auto"/>
        </w:rPr>
        <w:t>1）施工中注意选用效率高、噪声低的机械设备，并注意维修养护和正确使用，使之保持最佳工作状态和最低声级水平，可视情况给强噪声设备装隔声罩。</w:t>
      </w:r>
    </w:p>
    <w:p w14:paraId="5AEEA2CB">
      <w:pPr>
        <w:ind w:firstLine="480"/>
        <w:rPr>
          <w:color w:val="auto"/>
        </w:rPr>
      </w:pPr>
      <w:r>
        <w:rPr>
          <w:rFonts w:hint="eastAsia"/>
          <w:color w:val="auto"/>
        </w:rPr>
        <w:t>（</w:t>
      </w:r>
      <w:r>
        <w:rPr>
          <w:color w:val="auto"/>
        </w:rPr>
        <w:t>2）施工期间，注意控制施工车辆鸣笛，经过居民区的重型运输或施工机械，注意限速。</w:t>
      </w:r>
    </w:p>
    <w:p w14:paraId="0C4AD80A">
      <w:pPr>
        <w:ind w:firstLine="480"/>
        <w:rPr>
          <w:color w:val="auto"/>
        </w:rPr>
      </w:pPr>
      <w:r>
        <w:rPr>
          <w:rFonts w:hint="eastAsia"/>
          <w:color w:val="auto"/>
        </w:rPr>
        <w:t>（</w:t>
      </w:r>
      <w:r>
        <w:rPr>
          <w:color w:val="auto"/>
        </w:rPr>
        <w:t>3）合理安排施工活动，减少施工噪声影响时间，避免高噪声施工机械在同一区域内使用。</w:t>
      </w:r>
    </w:p>
    <w:p w14:paraId="5482F2BB">
      <w:pPr>
        <w:ind w:firstLine="480"/>
        <w:rPr>
          <w:color w:val="auto"/>
        </w:rPr>
      </w:pPr>
      <w:r>
        <w:rPr>
          <w:rFonts w:hint="eastAsia"/>
          <w:color w:val="auto"/>
        </w:rPr>
        <w:t>（</w:t>
      </w:r>
      <w:r>
        <w:rPr>
          <w:color w:val="auto"/>
        </w:rPr>
        <w:t>4）高噪声施工机械运行时尽量避开居民休息时间，晚上不进行钢管桩沉桩作业。</w:t>
      </w:r>
    </w:p>
    <w:p w14:paraId="62677E4A">
      <w:pPr>
        <w:pStyle w:val="5"/>
        <w:numPr>
          <w:ilvl w:val="2"/>
          <w:numId w:val="0"/>
        </w:numPr>
        <w:spacing w:before="156" w:after="156"/>
        <w:rPr>
          <w:color w:val="auto"/>
        </w:rPr>
      </w:pPr>
      <w:bookmarkStart w:id="284" w:name="_Toc14599"/>
      <w:r>
        <w:rPr>
          <w:rFonts w:hint="eastAsia"/>
          <w:color w:val="auto"/>
        </w:rPr>
        <w:t>10.3.4</w:t>
      </w:r>
      <w:r>
        <w:rPr>
          <w:color w:val="auto"/>
        </w:rPr>
        <w:t>大气污染防治措施</w:t>
      </w:r>
      <w:bookmarkEnd w:id="284"/>
    </w:p>
    <w:p w14:paraId="5DF1A481">
      <w:pPr>
        <w:ind w:firstLine="480"/>
        <w:rPr>
          <w:color w:val="auto"/>
        </w:rPr>
      </w:pPr>
      <w:r>
        <w:rPr>
          <w:rFonts w:hint="eastAsia"/>
          <w:color w:val="auto"/>
        </w:rPr>
        <w:t>（</w:t>
      </w:r>
      <w:r>
        <w:rPr>
          <w:color w:val="auto"/>
        </w:rPr>
        <w:t>1）在设备选型时选择低污染设备，机动车辆或机械设备的废气排放应符合国家和地方相关排放标准方能投入使用。</w:t>
      </w:r>
    </w:p>
    <w:p w14:paraId="4283D6B3">
      <w:pPr>
        <w:ind w:firstLine="480"/>
        <w:rPr>
          <w:color w:val="auto"/>
        </w:rPr>
      </w:pPr>
      <w:r>
        <w:rPr>
          <w:rFonts w:hint="eastAsia"/>
          <w:color w:val="auto"/>
        </w:rPr>
        <w:t>（</w:t>
      </w:r>
      <w:r>
        <w:rPr>
          <w:color w:val="auto"/>
        </w:rPr>
        <w:t>2）在运输物料时用蓬布覆盖严密，并装量适中，不得超限运输；对散装材料采用密闭运输、存放。</w:t>
      </w:r>
    </w:p>
    <w:p w14:paraId="27A8BB95">
      <w:pPr>
        <w:ind w:firstLine="480"/>
        <w:rPr>
          <w:color w:val="auto"/>
        </w:rPr>
      </w:pPr>
      <w:r>
        <w:rPr>
          <w:rFonts w:hint="eastAsia"/>
          <w:color w:val="auto"/>
        </w:rPr>
        <w:t>（</w:t>
      </w:r>
      <w:r>
        <w:rPr>
          <w:color w:val="auto"/>
        </w:rPr>
        <w:t>3）配备专用洒水车，对施工现场和运输便道经常洒水湿润，在现场车辆出入口设置清洗池，对车辆进行清洗，减少扬尘。</w:t>
      </w:r>
    </w:p>
    <w:p w14:paraId="6755D8FB">
      <w:pPr>
        <w:ind w:firstLine="480"/>
        <w:rPr>
          <w:color w:val="auto"/>
        </w:rPr>
      </w:pPr>
      <w:r>
        <w:rPr>
          <w:rFonts w:hint="eastAsia"/>
          <w:color w:val="auto"/>
        </w:rPr>
        <w:t>（</w:t>
      </w:r>
      <w:r>
        <w:rPr>
          <w:color w:val="auto"/>
        </w:rPr>
        <w:t>4）不得焚烧油毡、橡胶、塑料以及其他产生有毒有害烟尘和气体的物质。</w:t>
      </w:r>
    </w:p>
    <w:p w14:paraId="0DB89DF1">
      <w:pPr>
        <w:pStyle w:val="5"/>
        <w:numPr>
          <w:ilvl w:val="2"/>
          <w:numId w:val="0"/>
        </w:numPr>
        <w:spacing w:before="156" w:after="156"/>
        <w:rPr>
          <w:color w:val="auto"/>
        </w:rPr>
      </w:pPr>
      <w:bookmarkStart w:id="285" w:name="_Toc30571"/>
      <w:r>
        <w:rPr>
          <w:rFonts w:hint="eastAsia"/>
          <w:color w:val="auto"/>
        </w:rPr>
        <w:t>10.3.5</w:t>
      </w:r>
      <w:r>
        <w:rPr>
          <w:color w:val="auto"/>
        </w:rPr>
        <w:t>节能减排措施</w:t>
      </w:r>
      <w:bookmarkEnd w:id="285"/>
    </w:p>
    <w:p w14:paraId="1085FCF0">
      <w:pPr>
        <w:ind w:firstLine="480"/>
        <w:rPr>
          <w:color w:val="auto"/>
        </w:rPr>
      </w:pPr>
      <w:r>
        <w:rPr>
          <w:rFonts w:hint="eastAsia"/>
          <w:color w:val="auto"/>
        </w:rPr>
        <w:t>（</w:t>
      </w:r>
      <w:r>
        <w:rPr>
          <w:color w:val="auto"/>
        </w:rPr>
        <w:t>1）优先使用国家、行业推荐的节能、高效、环保的施工设备和机具。</w:t>
      </w:r>
    </w:p>
    <w:p w14:paraId="6D479131">
      <w:pPr>
        <w:ind w:firstLine="480"/>
        <w:rPr>
          <w:color w:val="auto"/>
        </w:rPr>
      </w:pPr>
      <w:r>
        <w:rPr>
          <w:rFonts w:hint="eastAsia"/>
          <w:color w:val="auto"/>
        </w:rPr>
        <w:t>（</w:t>
      </w:r>
      <w:r>
        <w:rPr>
          <w:color w:val="auto"/>
        </w:rPr>
        <w:t>2）节约用水、用电，施工用水优先采用天然水，施工用电优先选择接入电网。</w:t>
      </w:r>
    </w:p>
    <w:p w14:paraId="6925F485">
      <w:pPr>
        <w:ind w:firstLine="480"/>
        <w:rPr>
          <w:color w:val="auto"/>
        </w:rPr>
      </w:pPr>
      <w:r>
        <w:rPr>
          <w:rFonts w:hint="eastAsia"/>
          <w:color w:val="auto"/>
        </w:rPr>
        <w:t>（</w:t>
      </w:r>
      <w:r>
        <w:rPr>
          <w:color w:val="auto"/>
        </w:rPr>
        <w:t>3）建立施工机械设备管理制度，开展用油计量，完善设备档案，及时做好维修保养工作，使机械设备保持低耗、高效的状态。</w:t>
      </w:r>
    </w:p>
    <w:p w14:paraId="2D028073">
      <w:pPr>
        <w:ind w:firstLine="480"/>
        <w:rPr>
          <w:color w:val="auto"/>
        </w:rPr>
      </w:pPr>
      <w:r>
        <w:rPr>
          <w:rFonts w:hint="eastAsia"/>
          <w:color w:val="auto"/>
        </w:rPr>
        <w:t>（</w:t>
      </w:r>
      <w:r>
        <w:rPr>
          <w:color w:val="auto"/>
        </w:rPr>
        <w:t>4）合理安排工序，提高各种机械的使用率和满载率，降低设备的单位耗能。</w:t>
      </w:r>
    </w:p>
    <w:p w14:paraId="3F859509">
      <w:pPr>
        <w:pStyle w:val="4"/>
        <w:numPr>
          <w:ilvl w:val="1"/>
          <w:numId w:val="0"/>
        </w:numPr>
        <w:spacing w:before="156" w:after="156"/>
        <w:rPr>
          <w:color w:val="auto"/>
        </w:rPr>
      </w:pPr>
      <w:bookmarkStart w:id="286" w:name="_Toc4017"/>
      <w:bookmarkStart w:id="287" w:name="_Toc25689"/>
      <w:bookmarkStart w:id="288" w:name="_Toc24000"/>
      <w:bookmarkStart w:id="289" w:name="_Toc65792322"/>
      <w:bookmarkStart w:id="290" w:name="_Toc674"/>
      <w:r>
        <w:rPr>
          <w:rFonts w:hint="eastAsia"/>
          <w:color w:val="auto"/>
        </w:rPr>
        <w:t>10.4</w:t>
      </w:r>
      <w:r>
        <w:rPr>
          <w:color w:val="auto"/>
        </w:rPr>
        <w:t>文明施工保证措施</w:t>
      </w:r>
      <w:bookmarkEnd w:id="286"/>
      <w:bookmarkEnd w:id="287"/>
      <w:bookmarkEnd w:id="288"/>
      <w:bookmarkEnd w:id="289"/>
      <w:bookmarkEnd w:id="290"/>
    </w:p>
    <w:p w14:paraId="1AC58A45">
      <w:pPr>
        <w:ind w:firstLine="480"/>
        <w:rPr>
          <w:color w:val="auto"/>
        </w:rPr>
      </w:pPr>
      <w:r>
        <w:rPr>
          <w:rFonts w:hint="eastAsia"/>
          <w:color w:val="auto"/>
        </w:rPr>
        <w:t>（</w:t>
      </w:r>
      <w:r>
        <w:rPr>
          <w:color w:val="auto"/>
        </w:rPr>
        <w:t>1）施工现场设置围挡，实行封闭管理，施工人员进入施工现场应佩戴工作卡。</w:t>
      </w:r>
    </w:p>
    <w:p w14:paraId="428CEF4F">
      <w:pPr>
        <w:ind w:firstLine="480"/>
        <w:rPr>
          <w:color w:val="auto"/>
        </w:rPr>
      </w:pPr>
      <w:r>
        <w:rPr>
          <w:rFonts w:hint="eastAsia"/>
          <w:color w:val="auto"/>
        </w:rPr>
        <w:t>（</w:t>
      </w:r>
      <w:r>
        <w:rPr>
          <w:color w:val="auto"/>
        </w:rPr>
        <w:t>2）施工便道与陶家岭路、康达街连接处设置进场大门，同时设置车辆冲洗设施，保证车辆行车无扬尘。</w:t>
      </w:r>
    </w:p>
    <w:p w14:paraId="683A2095">
      <w:pPr>
        <w:ind w:firstLine="480"/>
        <w:rPr>
          <w:color w:val="auto"/>
        </w:rPr>
      </w:pPr>
      <w:r>
        <w:rPr>
          <w:rFonts w:hint="eastAsia"/>
          <w:color w:val="auto"/>
        </w:rPr>
        <w:t>（</w:t>
      </w:r>
      <w:r>
        <w:rPr>
          <w:color w:val="auto"/>
        </w:rPr>
        <w:t>3）施工现场入口处按要求设置公示标牌，主要内容应包括：工程概况牌、安全生产牌、文明施工牌、管理人员名单及监督电话牌、施工现场总平面图等，标牌应规范、整齐、统一。</w:t>
      </w:r>
    </w:p>
    <w:p w14:paraId="518225CF">
      <w:pPr>
        <w:ind w:firstLine="480"/>
        <w:rPr>
          <w:color w:val="auto"/>
        </w:rPr>
      </w:pPr>
      <w:r>
        <w:rPr>
          <w:rFonts w:hint="eastAsia"/>
          <w:color w:val="auto"/>
        </w:rPr>
        <w:t>（</w:t>
      </w:r>
      <w:r>
        <w:rPr>
          <w:color w:val="auto"/>
        </w:rPr>
        <w:t>4）施工现场的主要道路及材料加工区地面应进行硬化处理，道路应畅通，路面应平整坚实、排水通畅，临边应设置防护栏等措施。</w:t>
      </w:r>
    </w:p>
    <w:p w14:paraId="003AC70D">
      <w:pPr>
        <w:ind w:firstLine="480"/>
        <w:rPr>
          <w:color w:val="auto"/>
        </w:rPr>
      </w:pPr>
      <w:r>
        <w:rPr>
          <w:rFonts w:hint="eastAsia"/>
          <w:color w:val="auto"/>
        </w:rPr>
        <w:t>（</w:t>
      </w:r>
      <w:r>
        <w:rPr>
          <w:color w:val="auto"/>
        </w:rPr>
        <w:t>5）施工作业人员、项目管理人员进入施工现场应统一穿着工作服，按要求穿戴安全防护用品，规范安全帽的佩戴。</w:t>
      </w:r>
    </w:p>
    <w:p w14:paraId="6F430032">
      <w:pPr>
        <w:ind w:firstLine="480"/>
        <w:rPr>
          <w:color w:val="auto"/>
        </w:rPr>
      </w:pPr>
      <w:r>
        <w:rPr>
          <w:rFonts w:hint="eastAsia"/>
          <w:color w:val="auto"/>
        </w:rPr>
        <w:t>（</w:t>
      </w:r>
      <w:r>
        <w:rPr>
          <w:color w:val="auto"/>
        </w:rPr>
        <w:t>6）严禁酒后上岗作业，严禁打架斗殴，严禁在施工现场嬉戏逗闹等不文明行为。</w:t>
      </w:r>
    </w:p>
    <w:p w14:paraId="7B2A856E">
      <w:pPr>
        <w:ind w:firstLine="480"/>
        <w:rPr>
          <w:color w:val="auto"/>
        </w:rPr>
      </w:pPr>
      <w:r>
        <w:rPr>
          <w:rFonts w:hint="eastAsia"/>
          <w:color w:val="auto"/>
        </w:rPr>
        <w:t>（</w:t>
      </w:r>
      <w:r>
        <w:rPr>
          <w:color w:val="auto"/>
        </w:rPr>
        <w:t>7）现场材料、构件、料具应按总平面布局进行码放，材料应码放整齐，并标明名称、规格等；材料码放应采取防火、防锈蚀、防雨等措施。</w:t>
      </w:r>
    </w:p>
    <w:p w14:paraId="14A80D1D">
      <w:pPr>
        <w:ind w:firstLine="480"/>
        <w:rPr>
          <w:color w:val="auto"/>
        </w:rPr>
      </w:pPr>
      <w:r>
        <w:rPr>
          <w:rFonts w:hint="eastAsia"/>
          <w:color w:val="auto"/>
        </w:rPr>
        <w:t>（</w:t>
      </w:r>
      <w:r>
        <w:rPr>
          <w:color w:val="auto"/>
        </w:rPr>
        <w:t>8）实行安全防护设施、安全标志标准化，确保安全防护设施齐全、完善、规范，标识清楚，警告标志醒目。</w:t>
      </w:r>
    </w:p>
    <w:p w14:paraId="5E041EA5">
      <w:pPr>
        <w:ind w:firstLine="480"/>
        <w:rPr>
          <w:color w:val="auto"/>
        </w:rPr>
      </w:pPr>
      <w:r>
        <w:rPr>
          <w:rFonts w:hint="eastAsia"/>
          <w:color w:val="auto"/>
        </w:rPr>
        <w:t>（</w:t>
      </w:r>
      <w:r>
        <w:rPr>
          <w:color w:val="auto"/>
        </w:rPr>
        <w:t>9）施工现场设置垃圾箱和废料箱，并安排专人每天进行清扫，做到</w:t>
      </w:r>
      <w:r>
        <w:rPr>
          <w:rFonts w:hint="eastAsia"/>
          <w:color w:val="auto"/>
        </w:rPr>
        <w:t>“</w:t>
      </w:r>
      <w:r>
        <w:rPr>
          <w:color w:val="auto"/>
        </w:rPr>
        <w:t>工完、料尽、场地清</w:t>
      </w:r>
      <w:r>
        <w:rPr>
          <w:rFonts w:hint="eastAsia"/>
          <w:color w:val="auto"/>
        </w:rPr>
        <w:t>”</w:t>
      </w:r>
      <w:r>
        <w:rPr>
          <w:color w:val="auto"/>
        </w:rPr>
        <w:t>；配备移动厕所等卫生设施，保持施工环境的整洁。</w:t>
      </w:r>
    </w:p>
    <w:p w14:paraId="0FC3C2F5">
      <w:pPr>
        <w:ind w:firstLine="480"/>
        <w:rPr>
          <w:color w:val="auto"/>
        </w:rPr>
      </w:pPr>
      <w:r>
        <w:rPr>
          <w:rFonts w:hint="eastAsia"/>
          <w:color w:val="auto"/>
        </w:rPr>
        <w:t>（</w:t>
      </w:r>
      <w:r>
        <w:rPr>
          <w:color w:val="auto"/>
        </w:rPr>
        <w:t>10）现场使用的主要机械设备应设置</w:t>
      </w:r>
      <w:r>
        <w:rPr>
          <w:rFonts w:hint="eastAsia"/>
          <w:color w:val="auto"/>
        </w:rPr>
        <w:t>“</w:t>
      </w:r>
      <w:r>
        <w:rPr>
          <w:color w:val="auto"/>
        </w:rPr>
        <w:t>设备标志牌</w:t>
      </w:r>
      <w:r>
        <w:rPr>
          <w:rFonts w:hint="eastAsia"/>
          <w:color w:val="auto"/>
        </w:rPr>
        <w:t>”</w:t>
      </w:r>
      <w:r>
        <w:rPr>
          <w:color w:val="auto"/>
        </w:rPr>
        <w:t>和</w:t>
      </w:r>
      <w:r>
        <w:rPr>
          <w:rFonts w:hint="eastAsia"/>
          <w:color w:val="auto"/>
        </w:rPr>
        <w:t>“</w:t>
      </w:r>
      <w:r>
        <w:rPr>
          <w:color w:val="auto"/>
        </w:rPr>
        <w:t>安全操作规程</w:t>
      </w:r>
      <w:r>
        <w:rPr>
          <w:rFonts w:hint="eastAsia"/>
          <w:color w:val="auto"/>
        </w:rPr>
        <w:t>”</w:t>
      </w:r>
      <w:r>
        <w:rPr>
          <w:color w:val="auto"/>
        </w:rPr>
        <w:t>，</w:t>
      </w:r>
      <w:r>
        <w:rPr>
          <w:rFonts w:hint="eastAsia"/>
          <w:color w:val="auto"/>
        </w:rPr>
        <w:t>“</w:t>
      </w:r>
      <w:r>
        <w:rPr>
          <w:color w:val="auto"/>
        </w:rPr>
        <w:t>设备标志牌</w:t>
      </w:r>
      <w:r>
        <w:rPr>
          <w:rFonts w:hint="eastAsia"/>
          <w:color w:val="auto"/>
        </w:rPr>
        <w:t>”</w:t>
      </w:r>
      <w:r>
        <w:rPr>
          <w:color w:val="auto"/>
        </w:rPr>
        <w:t>。</w:t>
      </w:r>
    </w:p>
    <w:p w14:paraId="279350E0">
      <w:pPr>
        <w:ind w:firstLine="480"/>
        <w:rPr>
          <w:rFonts w:hint="eastAsia"/>
          <w:color w:val="auto"/>
        </w:rPr>
      </w:pPr>
      <w:r>
        <w:rPr>
          <w:color w:val="auto"/>
        </w:rPr>
        <w:br w:type="page"/>
      </w:r>
    </w:p>
    <w:p w14:paraId="6342AB3B">
      <w:pPr>
        <w:pStyle w:val="3"/>
        <w:numPr>
          <w:ilvl w:val="0"/>
          <w:numId w:val="0"/>
        </w:numPr>
        <w:spacing w:before="156" w:after="156"/>
        <w:ind w:leftChars="0"/>
        <w:jc w:val="both"/>
        <w:rPr>
          <w:color w:val="auto"/>
        </w:rPr>
      </w:pPr>
      <w:bookmarkStart w:id="291" w:name="_Toc31997"/>
      <w:bookmarkStart w:id="292" w:name="_Toc23955"/>
      <w:r>
        <w:rPr>
          <w:rFonts w:hint="eastAsia"/>
          <w:color w:val="auto"/>
          <w:lang w:val="en-US" w:eastAsia="zh-CN"/>
        </w:rPr>
        <w:t>11</w:t>
      </w:r>
      <w:r>
        <w:rPr>
          <w:rFonts w:hint="eastAsia"/>
          <w:color w:val="auto"/>
        </w:rPr>
        <w:t>计算书及相关施工图纸</w:t>
      </w:r>
      <w:bookmarkEnd w:id="263"/>
      <w:bookmarkEnd w:id="264"/>
      <w:bookmarkEnd w:id="291"/>
      <w:bookmarkEnd w:id="292"/>
    </w:p>
    <w:p w14:paraId="29978FD4">
      <w:pPr>
        <w:pStyle w:val="5"/>
        <w:numPr>
          <w:ilvl w:val="2"/>
          <w:numId w:val="0"/>
        </w:numPr>
        <w:spacing w:before="0" w:after="0" w:line="360" w:lineRule="auto"/>
        <w:ind w:leftChars="0"/>
        <w:outlineLvl w:val="1"/>
        <w:rPr>
          <w:rFonts w:hint="eastAsia"/>
          <w:color w:val="auto"/>
          <w:sz w:val="24"/>
          <w:szCs w:val="24"/>
          <w:lang w:val="en-US" w:eastAsia="zh-CN"/>
        </w:rPr>
      </w:pPr>
      <w:bookmarkStart w:id="293" w:name="_Toc1684"/>
      <w:bookmarkStart w:id="294" w:name="_Toc16756"/>
      <w:bookmarkStart w:id="295" w:name="_Toc795"/>
      <w:r>
        <w:rPr>
          <w:rFonts w:hint="eastAsia"/>
          <w:color w:val="auto"/>
          <w:sz w:val="24"/>
          <w:szCs w:val="24"/>
          <w:lang w:val="en-US" w:eastAsia="zh-CN"/>
        </w:rPr>
        <w:t>11.1吊装分析</w:t>
      </w:r>
      <w:bookmarkEnd w:id="293"/>
    </w:p>
    <w:p w14:paraId="7084503F">
      <w:pPr>
        <w:ind w:firstLine="480"/>
      </w:pPr>
      <w:r>
        <w:rPr>
          <w:rFonts w:hint="eastAsia"/>
        </w:rPr>
        <w:t>施工升降机初始安装时，</w:t>
      </w:r>
      <w:r>
        <w:rPr>
          <w:rFonts w:hint="eastAsia"/>
          <w:lang w:eastAsia="zh-CN"/>
        </w:rPr>
        <w:t>塔机</w:t>
      </w:r>
      <w:r>
        <w:rPr>
          <w:rFonts w:hint="eastAsia"/>
        </w:rPr>
        <w:t>的吊高在</w:t>
      </w:r>
      <w:r>
        <w:rPr>
          <w:rFonts w:hint="eastAsia"/>
          <w:lang w:val="en-US" w:eastAsia="zh-CN"/>
        </w:rPr>
        <w:t>40</w:t>
      </w:r>
      <w:r>
        <w:t>m</w:t>
      </w:r>
      <w:r>
        <w:rPr>
          <w:rFonts w:hint="eastAsia"/>
        </w:rPr>
        <w:t>（施工升降机初始安装高度为</w:t>
      </w:r>
      <w:r>
        <w:t>15m</w:t>
      </w:r>
      <w:r>
        <w:rPr>
          <w:rFonts w:hint="eastAsia"/>
        </w:rPr>
        <w:t>左右），故起重高度满足要求。同时参照以上</w:t>
      </w:r>
      <w:r>
        <w:rPr>
          <w:rFonts w:hint="eastAsia"/>
          <w:lang w:eastAsia="zh-CN"/>
        </w:rPr>
        <w:t>塔机</w:t>
      </w:r>
      <w:r>
        <w:rPr>
          <w:rFonts w:hint="eastAsia"/>
        </w:rPr>
        <w:t>起重性能参数表可知，</w:t>
      </w:r>
      <w:r>
        <w:rPr>
          <w:rFonts w:hint="eastAsia"/>
          <w:lang w:eastAsia="zh-CN"/>
        </w:rPr>
        <w:t>塔机</w:t>
      </w:r>
      <w:r>
        <w:rPr>
          <w:rFonts w:hint="eastAsia"/>
        </w:rPr>
        <w:t>在</w:t>
      </w:r>
      <w:r>
        <w:rPr>
          <w:rFonts w:hint="eastAsia"/>
          <w:lang w:val="en-US" w:eastAsia="zh-CN"/>
        </w:rPr>
        <w:t>20</w:t>
      </w:r>
      <w:r>
        <w:t>m</w:t>
      </w:r>
      <w:r>
        <w:rPr>
          <w:rFonts w:hint="eastAsia"/>
        </w:rPr>
        <w:t>以下的吊幅下起重能力达</w:t>
      </w:r>
      <w:r>
        <w:rPr>
          <w:rFonts w:hint="eastAsia"/>
          <w:lang w:val="en-US" w:eastAsia="zh-CN"/>
        </w:rPr>
        <w:t>4</w:t>
      </w:r>
      <w:r>
        <w:t>t</w:t>
      </w:r>
      <w:r>
        <w:rPr>
          <w:rFonts w:hint="eastAsia"/>
        </w:rPr>
        <w:t>（二倍率），满足标准节0</w:t>
      </w:r>
      <w:r>
        <w:t>.48</w:t>
      </w:r>
      <w:r>
        <w:rPr>
          <w:rFonts w:hint="eastAsia"/>
        </w:rPr>
        <w:t>t（三节标准节组装一起进行整体吊装）、</w:t>
      </w:r>
      <w:r>
        <w:rPr>
          <w:rFonts w:hint="eastAsia"/>
          <w:bCs/>
        </w:rPr>
        <w:t>吊笼主结构</w:t>
      </w:r>
      <w:r>
        <w:rPr>
          <w:rFonts w:hint="eastAsia"/>
          <w:bCs/>
          <w:lang w:eastAsia="zh-CN"/>
        </w:rPr>
        <w:t>2</w:t>
      </w:r>
      <w:r>
        <w:rPr>
          <w:bCs/>
        </w:rPr>
        <w:t>t</w:t>
      </w:r>
      <w:r>
        <w:rPr>
          <w:rFonts w:hint="eastAsia"/>
          <w:bCs/>
          <w:lang w:eastAsia="zh-CN"/>
        </w:rPr>
        <w:t>的</w:t>
      </w:r>
      <w:r>
        <w:rPr>
          <w:rFonts w:hint="eastAsia"/>
        </w:rPr>
        <w:t>安装的施工要求。</w:t>
      </w:r>
    </w:p>
    <w:p w14:paraId="22E76920">
      <w:pPr>
        <w:pStyle w:val="12"/>
        <w:jc w:val="both"/>
        <w:rPr>
          <w:rFonts w:hint="eastAsia" w:ascii="Times New Roman" w:hAnsi="Times New Roman" w:eastAsia="宋体" w:cs="Times New Roman"/>
          <w:bCs/>
          <w:kern w:val="2"/>
          <w:sz w:val="24"/>
          <w:szCs w:val="21"/>
          <w:lang w:val="en-US" w:eastAsia="zh-CN" w:bidi="ar-SA"/>
        </w:rPr>
      </w:pPr>
      <w:r>
        <w:rPr>
          <w:rFonts w:hint="eastAsia" w:ascii="Times New Roman" w:hAnsi="Times New Roman" w:eastAsia="宋体" w:cs="Times New Roman"/>
          <w:bCs/>
          <w:kern w:val="2"/>
          <w:sz w:val="24"/>
          <w:szCs w:val="21"/>
          <w:lang w:val="en-US" w:eastAsia="zh-CN" w:bidi="ar-SA"/>
        </w:rPr>
        <w:t>施工升降机整机安装工况吊装参数详见</w:t>
      </w:r>
      <w:r>
        <w:rPr>
          <w:rFonts w:hint="eastAsia" w:ascii="Times New Roman" w:hAnsi="Times New Roman" w:eastAsia="宋体" w:cs="Times New Roman"/>
          <w:bCs/>
          <w:kern w:val="2"/>
          <w:sz w:val="24"/>
          <w:szCs w:val="21"/>
          <w:lang w:val="en-US" w:eastAsia="zh-CN" w:bidi="ar-SA"/>
        </w:rPr>
        <w:fldChar w:fldCharType="begin"/>
      </w:r>
      <w:r>
        <w:rPr>
          <w:rFonts w:hint="eastAsia" w:ascii="Times New Roman" w:hAnsi="Times New Roman" w:eastAsia="宋体" w:cs="Times New Roman"/>
          <w:bCs/>
          <w:kern w:val="2"/>
          <w:sz w:val="24"/>
          <w:szCs w:val="21"/>
          <w:lang w:val="en-US" w:eastAsia="zh-CN" w:bidi="ar-SA"/>
        </w:rPr>
        <w:instrText xml:space="preserve"> REF _Ref121249921 \h </w:instrText>
      </w:r>
      <w:r>
        <w:rPr>
          <w:rFonts w:hint="eastAsia" w:ascii="Times New Roman" w:hAnsi="Times New Roman" w:eastAsia="宋体" w:cs="Times New Roman"/>
          <w:bCs/>
          <w:kern w:val="2"/>
          <w:sz w:val="24"/>
          <w:szCs w:val="21"/>
          <w:lang w:val="en-US" w:eastAsia="zh-CN" w:bidi="ar-SA"/>
        </w:rPr>
        <w:fldChar w:fldCharType="separate"/>
      </w:r>
      <w:r>
        <w:rPr>
          <w:rFonts w:hint="eastAsia" w:ascii="Times New Roman" w:hAnsi="Times New Roman" w:eastAsia="宋体" w:cs="Times New Roman"/>
          <w:bCs/>
          <w:kern w:val="2"/>
          <w:sz w:val="24"/>
          <w:szCs w:val="21"/>
          <w:lang w:val="en-US" w:eastAsia="zh-CN" w:bidi="ar-SA"/>
        </w:rPr>
        <w:t>表</w:t>
      </w:r>
      <w:r>
        <w:rPr>
          <w:rFonts w:hint="eastAsia" w:ascii="宋体" w:hAnsi="宋体" w:eastAsia="宋体" w:cs="黑体"/>
          <w:b/>
          <w:color w:val="auto"/>
          <w:kern w:val="2"/>
          <w:sz w:val="21"/>
          <w:szCs w:val="21"/>
          <w:lang w:val="en-US" w:eastAsia="zh-CN" w:bidi="ar-SA"/>
        </w:rPr>
        <w:t>11.1-</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SEQ 表 \* ARABIC \s 3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1</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 xml:space="preserve"> </w:t>
      </w:r>
      <w:r>
        <w:rPr>
          <w:rFonts w:hint="eastAsia" w:ascii="Times New Roman" w:hAnsi="Times New Roman" w:eastAsia="宋体" w:cs="Times New Roman"/>
          <w:bCs/>
          <w:kern w:val="2"/>
          <w:sz w:val="24"/>
          <w:szCs w:val="21"/>
          <w:lang w:val="en-US" w:eastAsia="zh-CN" w:bidi="ar-SA"/>
        </w:rPr>
        <w:fldChar w:fldCharType="end"/>
      </w:r>
      <w:r>
        <w:rPr>
          <w:rFonts w:hint="eastAsia" w:ascii="Times New Roman" w:hAnsi="Times New Roman" w:eastAsia="宋体" w:cs="Times New Roman"/>
          <w:bCs/>
          <w:kern w:val="2"/>
          <w:sz w:val="24"/>
          <w:szCs w:val="21"/>
          <w:lang w:val="en-US" w:eastAsia="zh-CN" w:bidi="ar-SA"/>
        </w:rPr>
        <w:t>所示。</w:t>
      </w:r>
    </w:p>
    <w:p w14:paraId="120AD741">
      <w:pPr>
        <w:pStyle w:val="12"/>
        <w:jc w:val="center"/>
        <w:rPr>
          <w:rFonts w:hint="eastAsia" w:ascii="宋体" w:hAnsi="宋体" w:eastAsia="宋体" w:cs="黑体"/>
          <w:b/>
          <w:color w:val="auto"/>
          <w:kern w:val="2"/>
          <w:sz w:val="21"/>
          <w:szCs w:val="21"/>
          <w:lang w:val="en-US" w:eastAsia="zh-CN" w:bidi="ar-SA"/>
        </w:rPr>
      </w:pPr>
      <w:r>
        <w:rPr>
          <w:rFonts w:hint="eastAsia" w:ascii="宋体" w:hAnsi="宋体" w:eastAsia="宋体" w:cs="黑体"/>
          <w:b/>
          <w:color w:val="auto"/>
          <w:kern w:val="2"/>
          <w:sz w:val="21"/>
          <w:szCs w:val="21"/>
          <w:lang w:val="en-US" w:eastAsia="zh-CN" w:bidi="ar-SA"/>
        </w:rPr>
        <w:t>表11.1-</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SEQ 表 \* ARABIC \s 3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1</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 xml:space="preserve"> </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REF 设备类型 \h  \* MERGEFORMAT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施工升降机</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安装工况吊装参数</w:t>
      </w:r>
    </w:p>
    <w:tbl>
      <w:tblPr>
        <w:tblStyle w:val="8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555"/>
        <w:gridCol w:w="636"/>
        <w:gridCol w:w="469"/>
        <w:gridCol w:w="636"/>
        <w:gridCol w:w="701"/>
        <w:gridCol w:w="1797"/>
        <w:gridCol w:w="1490"/>
        <w:gridCol w:w="616"/>
        <w:gridCol w:w="597"/>
        <w:gridCol w:w="556"/>
      </w:tblGrid>
      <w:tr w14:paraId="57A0C6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5" w:type="pct"/>
            <w:vMerge w:val="restart"/>
            <w:shd w:val="clear" w:color="auto" w:fill="auto"/>
            <w:vAlign w:val="center"/>
          </w:tcPr>
          <w:p w14:paraId="357C9027">
            <w:pPr>
              <w:pStyle w:val="13"/>
              <w:rPr>
                <w:b/>
              </w:rPr>
            </w:pPr>
            <w:r>
              <w:rPr>
                <w:rFonts w:hint="eastAsia"/>
                <w:b/>
              </w:rPr>
              <w:t>序号</w:t>
            </w:r>
          </w:p>
        </w:tc>
        <w:tc>
          <w:tcPr>
            <w:tcW w:w="325" w:type="pct"/>
            <w:vMerge w:val="restart"/>
            <w:shd w:val="clear" w:color="auto" w:fill="auto"/>
            <w:vAlign w:val="center"/>
          </w:tcPr>
          <w:p w14:paraId="2EDF01AD">
            <w:pPr>
              <w:pStyle w:val="13"/>
              <w:rPr>
                <w:b/>
              </w:rPr>
            </w:pPr>
            <w:r>
              <w:rPr>
                <w:rFonts w:hint="eastAsia"/>
                <w:b/>
              </w:rPr>
              <w:t>部件名称</w:t>
            </w:r>
          </w:p>
        </w:tc>
        <w:tc>
          <w:tcPr>
            <w:tcW w:w="373" w:type="pct"/>
            <w:vMerge w:val="restart"/>
            <w:shd w:val="clear" w:color="auto" w:fill="auto"/>
            <w:vAlign w:val="center"/>
          </w:tcPr>
          <w:p w14:paraId="5BC1EBDA">
            <w:pPr>
              <w:pStyle w:val="13"/>
              <w:rPr>
                <w:b/>
              </w:rPr>
            </w:pPr>
            <w:r>
              <w:rPr>
                <w:rFonts w:hint="eastAsia"/>
                <w:b/>
              </w:rPr>
              <w:t>单重</w:t>
            </w:r>
            <w:r>
              <w:rPr>
                <w:b/>
              </w:rPr>
              <w:t>(t)</w:t>
            </w:r>
          </w:p>
        </w:tc>
        <w:tc>
          <w:tcPr>
            <w:tcW w:w="275" w:type="pct"/>
            <w:vMerge w:val="restart"/>
            <w:shd w:val="clear" w:color="auto" w:fill="auto"/>
            <w:vAlign w:val="center"/>
          </w:tcPr>
          <w:p w14:paraId="080FFC4B">
            <w:pPr>
              <w:pStyle w:val="13"/>
              <w:rPr>
                <w:b/>
              </w:rPr>
            </w:pPr>
            <w:r>
              <w:rPr>
                <w:rFonts w:hint="eastAsia"/>
                <w:b/>
              </w:rPr>
              <w:t>数量</w:t>
            </w:r>
          </w:p>
        </w:tc>
        <w:tc>
          <w:tcPr>
            <w:tcW w:w="373" w:type="pct"/>
            <w:vMerge w:val="restart"/>
            <w:shd w:val="clear" w:color="auto" w:fill="auto"/>
            <w:vAlign w:val="center"/>
          </w:tcPr>
          <w:p w14:paraId="0311DFF5">
            <w:pPr>
              <w:pStyle w:val="13"/>
              <w:rPr>
                <w:b/>
              </w:rPr>
            </w:pPr>
            <w:r>
              <w:rPr>
                <w:rFonts w:hint="eastAsia"/>
                <w:b/>
              </w:rPr>
              <w:t>总重</w:t>
            </w:r>
            <w:r>
              <w:rPr>
                <w:b/>
              </w:rPr>
              <w:t>(t)</w:t>
            </w:r>
          </w:p>
        </w:tc>
        <w:tc>
          <w:tcPr>
            <w:tcW w:w="411" w:type="pct"/>
            <w:vMerge w:val="restart"/>
            <w:shd w:val="clear" w:color="auto" w:fill="auto"/>
            <w:vAlign w:val="center"/>
          </w:tcPr>
          <w:p w14:paraId="4E02AF13">
            <w:pPr>
              <w:pStyle w:val="13"/>
              <w:rPr>
                <w:b/>
              </w:rPr>
            </w:pPr>
            <w:r>
              <w:rPr>
                <w:rFonts w:hint="eastAsia"/>
                <w:b/>
              </w:rPr>
              <w:t>需求吊幅</w:t>
            </w:r>
            <w:r>
              <w:rPr>
                <w:b/>
              </w:rPr>
              <w:t>(m)</w:t>
            </w:r>
          </w:p>
        </w:tc>
        <w:tc>
          <w:tcPr>
            <w:tcW w:w="1053" w:type="pct"/>
            <w:vMerge w:val="restart"/>
            <w:shd w:val="clear" w:color="auto" w:fill="auto"/>
            <w:vAlign w:val="center"/>
          </w:tcPr>
          <w:p w14:paraId="7100DCEA">
            <w:pPr>
              <w:pStyle w:val="13"/>
              <w:rPr>
                <w:b/>
              </w:rPr>
            </w:pPr>
            <w:r>
              <w:rPr>
                <w:rFonts w:hint="eastAsia"/>
                <w:b/>
              </w:rPr>
              <w:t>型</w:t>
            </w:r>
            <w:bookmarkStart w:id="301" w:name="_GoBack"/>
            <w:bookmarkEnd w:id="301"/>
            <w:r>
              <w:rPr>
                <w:rFonts w:hint="eastAsia"/>
                <w:b/>
              </w:rPr>
              <w:t>号及数量</w:t>
            </w:r>
          </w:p>
        </w:tc>
        <w:tc>
          <w:tcPr>
            <w:tcW w:w="1584" w:type="pct"/>
            <w:gridSpan w:val="3"/>
            <w:shd w:val="clear" w:color="auto" w:fill="auto"/>
            <w:vAlign w:val="center"/>
          </w:tcPr>
          <w:p w14:paraId="7293876D">
            <w:pPr>
              <w:pStyle w:val="13"/>
              <w:rPr>
                <w:b/>
              </w:rPr>
            </w:pPr>
            <w:r>
              <w:rPr>
                <w:rFonts w:hint="eastAsia"/>
                <w:b/>
              </w:rPr>
              <w:t>起重设备选型及吊装参数</w:t>
            </w:r>
          </w:p>
        </w:tc>
        <w:tc>
          <w:tcPr>
            <w:tcW w:w="325" w:type="pct"/>
            <w:vMerge w:val="restart"/>
            <w:shd w:val="clear" w:color="auto" w:fill="auto"/>
            <w:vAlign w:val="center"/>
          </w:tcPr>
          <w:p w14:paraId="127A756D">
            <w:pPr>
              <w:pStyle w:val="13"/>
              <w:rPr>
                <w:b/>
              </w:rPr>
            </w:pPr>
            <w:r>
              <w:rPr>
                <w:rFonts w:hint="eastAsia"/>
                <w:b/>
              </w:rPr>
              <w:t>结论</w:t>
            </w:r>
          </w:p>
        </w:tc>
      </w:tr>
      <w:tr w14:paraId="61886E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5" w:type="pct"/>
            <w:vMerge w:val="continue"/>
            <w:shd w:val="clear" w:color="auto" w:fill="auto"/>
            <w:vAlign w:val="center"/>
          </w:tcPr>
          <w:p w14:paraId="48B2BDEC">
            <w:pPr>
              <w:pStyle w:val="13"/>
              <w:rPr>
                <w:b/>
              </w:rPr>
            </w:pPr>
          </w:p>
        </w:tc>
        <w:tc>
          <w:tcPr>
            <w:tcW w:w="325" w:type="pct"/>
            <w:vMerge w:val="continue"/>
            <w:shd w:val="clear" w:color="auto" w:fill="auto"/>
            <w:vAlign w:val="center"/>
          </w:tcPr>
          <w:p w14:paraId="2CE2D56D">
            <w:pPr>
              <w:pStyle w:val="13"/>
              <w:rPr>
                <w:b/>
              </w:rPr>
            </w:pPr>
          </w:p>
        </w:tc>
        <w:tc>
          <w:tcPr>
            <w:tcW w:w="373" w:type="pct"/>
            <w:vMerge w:val="continue"/>
            <w:shd w:val="clear" w:color="auto" w:fill="auto"/>
            <w:vAlign w:val="center"/>
          </w:tcPr>
          <w:p w14:paraId="4A6CD5A3">
            <w:pPr>
              <w:pStyle w:val="13"/>
              <w:rPr>
                <w:b/>
              </w:rPr>
            </w:pPr>
          </w:p>
        </w:tc>
        <w:tc>
          <w:tcPr>
            <w:tcW w:w="275" w:type="pct"/>
            <w:vMerge w:val="continue"/>
            <w:shd w:val="clear" w:color="auto" w:fill="auto"/>
            <w:vAlign w:val="center"/>
          </w:tcPr>
          <w:p w14:paraId="58BDEC20">
            <w:pPr>
              <w:pStyle w:val="13"/>
              <w:rPr>
                <w:b/>
              </w:rPr>
            </w:pPr>
          </w:p>
        </w:tc>
        <w:tc>
          <w:tcPr>
            <w:tcW w:w="373" w:type="pct"/>
            <w:vMerge w:val="continue"/>
            <w:shd w:val="clear" w:color="auto" w:fill="auto"/>
            <w:vAlign w:val="center"/>
          </w:tcPr>
          <w:p w14:paraId="51BA0CEE">
            <w:pPr>
              <w:pStyle w:val="13"/>
              <w:rPr>
                <w:b/>
              </w:rPr>
            </w:pPr>
          </w:p>
        </w:tc>
        <w:tc>
          <w:tcPr>
            <w:tcW w:w="411" w:type="pct"/>
            <w:vMerge w:val="continue"/>
            <w:shd w:val="clear" w:color="auto" w:fill="auto"/>
            <w:vAlign w:val="center"/>
          </w:tcPr>
          <w:p w14:paraId="2F7DCB87">
            <w:pPr>
              <w:pStyle w:val="13"/>
              <w:rPr>
                <w:b/>
              </w:rPr>
            </w:pPr>
          </w:p>
        </w:tc>
        <w:tc>
          <w:tcPr>
            <w:tcW w:w="1053" w:type="pct"/>
            <w:vMerge w:val="continue"/>
            <w:shd w:val="clear" w:color="auto" w:fill="auto"/>
            <w:vAlign w:val="center"/>
          </w:tcPr>
          <w:p w14:paraId="539DB9DA">
            <w:pPr>
              <w:pStyle w:val="13"/>
              <w:rPr>
                <w:b/>
              </w:rPr>
            </w:pPr>
          </w:p>
        </w:tc>
        <w:tc>
          <w:tcPr>
            <w:tcW w:w="873" w:type="pct"/>
            <w:shd w:val="clear" w:color="auto" w:fill="auto"/>
            <w:vAlign w:val="center"/>
          </w:tcPr>
          <w:p w14:paraId="31085800">
            <w:pPr>
              <w:pStyle w:val="13"/>
              <w:rPr>
                <w:b/>
              </w:rPr>
            </w:pPr>
            <w:r>
              <w:rPr>
                <w:rFonts w:hint="eastAsia"/>
                <w:b/>
              </w:rPr>
              <w:t>设备型号</w:t>
            </w:r>
          </w:p>
        </w:tc>
        <w:tc>
          <w:tcPr>
            <w:tcW w:w="361" w:type="pct"/>
            <w:shd w:val="clear" w:color="auto" w:fill="auto"/>
            <w:vAlign w:val="center"/>
          </w:tcPr>
          <w:p w14:paraId="5CD3FF50">
            <w:pPr>
              <w:pStyle w:val="13"/>
              <w:rPr>
                <w:b/>
              </w:rPr>
            </w:pPr>
            <w:r>
              <w:rPr>
                <w:rFonts w:hint="eastAsia"/>
                <w:b/>
              </w:rPr>
              <w:t>吊幅</w:t>
            </w:r>
            <w:r>
              <w:rPr>
                <w:b/>
              </w:rPr>
              <w:t>(m)</w:t>
            </w:r>
          </w:p>
        </w:tc>
        <w:tc>
          <w:tcPr>
            <w:tcW w:w="350" w:type="pct"/>
            <w:shd w:val="clear" w:color="auto" w:fill="auto"/>
            <w:vAlign w:val="center"/>
          </w:tcPr>
          <w:p w14:paraId="7CC1E761">
            <w:pPr>
              <w:pStyle w:val="13"/>
              <w:rPr>
                <w:b/>
              </w:rPr>
            </w:pPr>
            <w:r>
              <w:rPr>
                <w:rFonts w:hint="eastAsia"/>
                <w:b/>
              </w:rPr>
              <w:t>额定载荷</w:t>
            </w:r>
            <w:r>
              <w:rPr>
                <w:b/>
              </w:rPr>
              <w:t>(t)</w:t>
            </w:r>
          </w:p>
        </w:tc>
        <w:tc>
          <w:tcPr>
            <w:tcW w:w="325" w:type="pct"/>
            <w:vMerge w:val="continue"/>
            <w:shd w:val="clear" w:color="auto" w:fill="auto"/>
            <w:vAlign w:val="center"/>
          </w:tcPr>
          <w:p w14:paraId="601DC52C">
            <w:pPr>
              <w:pStyle w:val="13"/>
              <w:rPr>
                <w:b/>
              </w:rPr>
            </w:pPr>
          </w:p>
        </w:tc>
      </w:tr>
      <w:tr w14:paraId="317F80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5" w:type="pct"/>
            <w:shd w:val="clear" w:color="auto" w:fill="auto"/>
            <w:vAlign w:val="center"/>
          </w:tcPr>
          <w:p w14:paraId="45643606">
            <w:pPr>
              <w:pStyle w:val="13"/>
              <w:numPr>
                <w:ilvl w:val="0"/>
                <w:numId w:val="61"/>
              </w:numPr>
              <w:rPr>
                <w:b w:val="0"/>
                <w:bCs/>
              </w:rPr>
            </w:pPr>
          </w:p>
        </w:tc>
        <w:tc>
          <w:tcPr>
            <w:tcW w:w="325" w:type="pct"/>
            <w:shd w:val="clear" w:color="auto" w:fill="auto"/>
            <w:vAlign w:val="center"/>
          </w:tcPr>
          <w:p w14:paraId="0A32C919">
            <w:pPr>
              <w:pStyle w:val="13"/>
              <w:rPr>
                <w:b w:val="0"/>
                <w:bCs/>
              </w:rPr>
            </w:pPr>
            <w:r>
              <w:rPr>
                <w:rFonts w:hint="eastAsia"/>
                <w:b w:val="0"/>
                <w:bCs/>
              </w:rPr>
              <w:t>标准节</w:t>
            </w:r>
          </w:p>
        </w:tc>
        <w:tc>
          <w:tcPr>
            <w:tcW w:w="373" w:type="pct"/>
            <w:shd w:val="clear" w:color="auto" w:fill="auto"/>
            <w:vAlign w:val="center"/>
          </w:tcPr>
          <w:p w14:paraId="0D5D8E67">
            <w:pPr>
              <w:pStyle w:val="13"/>
              <w:rPr>
                <w:b w:val="0"/>
                <w:bCs/>
              </w:rPr>
            </w:pPr>
            <w:r>
              <w:rPr>
                <w:rFonts w:hint="eastAsia"/>
                <w:b w:val="0"/>
                <w:bCs/>
              </w:rPr>
              <w:t>0</w:t>
            </w:r>
            <w:r>
              <w:rPr>
                <w:b w:val="0"/>
                <w:bCs/>
              </w:rPr>
              <w:t>.16</w:t>
            </w:r>
          </w:p>
        </w:tc>
        <w:tc>
          <w:tcPr>
            <w:tcW w:w="275" w:type="pct"/>
            <w:shd w:val="clear" w:color="auto" w:fill="auto"/>
            <w:vAlign w:val="center"/>
          </w:tcPr>
          <w:p w14:paraId="5BFB6813">
            <w:pPr>
              <w:pStyle w:val="13"/>
              <w:rPr>
                <w:b w:val="0"/>
                <w:bCs/>
              </w:rPr>
            </w:pPr>
            <w:r>
              <w:rPr>
                <w:b w:val="0"/>
                <w:bCs/>
              </w:rPr>
              <w:t>3</w:t>
            </w:r>
          </w:p>
        </w:tc>
        <w:tc>
          <w:tcPr>
            <w:tcW w:w="373" w:type="pct"/>
            <w:shd w:val="clear" w:color="auto" w:fill="auto"/>
            <w:vAlign w:val="center"/>
          </w:tcPr>
          <w:p w14:paraId="06F0B732">
            <w:pPr>
              <w:pStyle w:val="13"/>
              <w:rPr>
                <w:b w:val="0"/>
                <w:bCs/>
              </w:rPr>
            </w:pPr>
            <w:r>
              <w:rPr>
                <w:b w:val="0"/>
                <w:bCs/>
              </w:rPr>
              <w:fldChar w:fldCharType="begin"/>
            </w:r>
            <w:r>
              <w:rPr>
                <w:b w:val="0"/>
                <w:bCs/>
              </w:rPr>
              <w:instrText xml:space="preserve"> =PRODUCT(LEFT) </w:instrText>
            </w:r>
            <w:r>
              <w:rPr>
                <w:b w:val="0"/>
                <w:bCs/>
              </w:rPr>
              <w:fldChar w:fldCharType="separate"/>
            </w:r>
            <w:r>
              <w:rPr>
                <w:b w:val="0"/>
                <w:bCs/>
              </w:rPr>
              <w:t>0.48</w:t>
            </w:r>
            <w:r>
              <w:rPr>
                <w:b w:val="0"/>
                <w:bCs/>
              </w:rPr>
              <w:fldChar w:fldCharType="end"/>
            </w:r>
          </w:p>
        </w:tc>
        <w:tc>
          <w:tcPr>
            <w:tcW w:w="411" w:type="pct"/>
            <w:shd w:val="clear" w:color="auto" w:fill="auto"/>
            <w:vAlign w:val="center"/>
          </w:tcPr>
          <w:p w14:paraId="7DF0692C">
            <w:pPr>
              <w:pStyle w:val="13"/>
              <w:rPr>
                <w:rFonts w:hint="default" w:eastAsia="宋体"/>
                <w:b w:val="0"/>
                <w:bCs/>
                <w:highlight w:val="none"/>
                <w:lang w:val="en-US" w:eastAsia="zh-CN"/>
              </w:rPr>
            </w:pPr>
            <w:r>
              <w:rPr>
                <w:rFonts w:hint="eastAsia"/>
                <w:b w:val="0"/>
                <w:bCs/>
                <w:highlight w:val="none"/>
                <w:lang w:val="en-US" w:eastAsia="zh-CN"/>
              </w:rPr>
              <w:t>15</w:t>
            </w:r>
          </w:p>
        </w:tc>
        <w:tc>
          <w:tcPr>
            <w:tcW w:w="1053" w:type="pct"/>
            <w:shd w:val="clear" w:color="auto" w:fill="auto"/>
            <w:vAlign w:val="center"/>
          </w:tcPr>
          <w:p w14:paraId="1FDE37E0">
            <w:pPr>
              <w:pStyle w:val="13"/>
              <w:rPr>
                <w:b w:val="0"/>
                <w:bCs/>
                <w:highlight w:val="none"/>
              </w:rPr>
            </w:pPr>
            <w:r>
              <w:rPr>
                <w:b w:val="0"/>
                <w:bCs/>
                <w:highlight w:val="none"/>
              </w:rPr>
              <w:t>1</w:t>
            </w:r>
            <w:r>
              <w:rPr>
                <w:rFonts w:hint="eastAsia"/>
                <w:b w:val="0"/>
                <w:bCs/>
                <w:highlight w:val="none"/>
              </w:rPr>
              <w:t>台</w:t>
            </w:r>
            <w:r>
              <w:rPr>
                <w:rFonts w:hint="eastAsia"/>
                <w:b w:val="0"/>
                <w:bCs/>
                <w:color w:val="auto"/>
                <w:sz w:val="21"/>
                <w:szCs w:val="21"/>
                <w:lang w:val="en-US" w:eastAsia="zh-CN"/>
              </w:rPr>
              <w:t>XGT6015-8S1</w:t>
            </w:r>
            <w:r>
              <w:rPr>
                <w:b w:val="0"/>
                <w:bCs/>
                <w:highlight w:val="none"/>
              </w:rPr>
              <w:fldChar w:fldCharType="begin"/>
            </w:r>
            <w:r>
              <w:rPr>
                <w:b w:val="0"/>
                <w:bCs/>
                <w:highlight w:val="none"/>
              </w:rPr>
              <w:instrText xml:space="preserve"> REF </w:instrText>
            </w:r>
            <w:r>
              <w:rPr>
                <w:rFonts w:hint="eastAsia"/>
                <w:b w:val="0"/>
                <w:bCs/>
                <w:highlight w:val="none"/>
              </w:rPr>
              <w:instrText xml:space="preserve">起重设备</w:instrText>
            </w:r>
            <w:r>
              <w:rPr>
                <w:b w:val="0"/>
                <w:bCs/>
                <w:highlight w:val="none"/>
              </w:rPr>
              <w:instrText xml:space="preserve">1</w:instrText>
            </w:r>
            <w:r>
              <w:rPr>
                <w:rFonts w:hint="eastAsia"/>
                <w:b w:val="0"/>
                <w:bCs/>
                <w:highlight w:val="none"/>
              </w:rPr>
              <w:instrText xml:space="preserve">类型</w:instrText>
            </w:r>
            <w:r>
              <w:rPr>
                <w:b w:val="0"/>
                <w:bCs/>
                <w:highlight w:val="none"/>
              </w:rPr>
              <w:instrText xml:space="preserve"> \h  \* MERGEFORMAT </w:instrText>
            </w:r>
            <w:r>
              <w:rPr>
                <w:b w:val="0"/>
                <w:bCs/>
                <w:highlight w:val="none"/>
              </w:rPr>
              <w:fldChar w:fldCharType="separate"/>
            </w:r>
            <w:r>
              <w:rPr>
                <w:rFonts w:hint="eastAsia"/>
                <w:b w:val="0"/>
                <w:bCs/>
                <w:highlight w:val="none"/>
              </w:rPr>
              <w:t>塔式起重机</w:t>
            </w:r>
            <w:r>
              <w:rPr>
                <w:b w:val="0"/>
                <w:bCs/>
                <w:highlight w:val="none"/>
              </w:rPr>
              <w:fldChar w:fldCharType="end"/>
            </w:r>
          </w:p>
        </w:tc>
        <w:tc>
          <w:tcPr>
            <w:tcW w:w="873" w:type="pct"/>
            <w:shd w:val="clear" w:color="auto" w:fill="auto"/>
            <w:vAlign w:val="center"/>
          </w:tcPr>
          <w:p w14:paraId="5C408696">
            <w:pPr>
              <w:pStyle w:val="13"/>
              <w:rPr>
                <w:b w:val="0"/>
                <w:bCs/>
                <w:highlight w:val="none"/>
              </w:rPr>
            </w:pPr>
            <w:r>
              <w:rPr>
                <w:rFonts w:hint="eastAsia"/>
                <w:b w:val="0"/>
                <w:bCs/>
                <w:color w:val="auto"/>
                <w:sz w:val="21"/>
                <w:szCs w:val="21"/>
                <w:lang w:val="en-US" w:eastAsia="zh-CN"/>
              </w:rPr>
              <w:t>XGT6015-8S1</w:t>
            </w:r>
          </w:p>
        </w:tc>
        <w:tc>
          <w:tcPr>
            <w:tcW w:w="361" w:type="pct"/>
            <w:shd w:val="clear" w:color="auto" w:fill="auto"/>
            <w:vAlign w:val="center"/>
          </w:tcPr>
          <w:p w14:paraId="6CA6C6ED">
            <w:pPr>
              <w:pStyle w:val="13"/>
              <w:ind w:firstLine="0" w:firstLineChars="0"/>
              <w:rPr>
                <w:rFonts w:hint="default" w:eastAsia="宋体"/>
                <w:b w:val="0"/>
                <w:bCs/>
                <w:highlight w:val="none"/>
                <w:lang w:val="en-US" w:eastAsia="zh-CN"/>
              </w:rPr>
            </w:pPr>
            <w:r>
              <w:rPr>
                <w:rFonts w:hint="eastAsia"/>
                <w:b w:val="0"/>
                <w:bCs/>
                <w:highlight w:val="none"/>
                <w:lang w:val="en-US" w:eastAsia="zh-CN"/>
              </w:rPr>
              <w:t>15</w:t>
            </w:r>
          </w:p>
        </w:tc>
        <w:tc>
          <w:tcPr>
            <w:tcW w:w="350" w:type="pct"/>
            <w:shd w:val="clear" w:color="auto" w:fill="auto"/>
            <w:vAlign w:val="center"/>
          </w:tcPr>
          <w:p w14:paraId="7DBB874D">
            <w:pPr>
              <w:pStyle w:val="13"/>
              <w:rPr>
                <w:rFonts w:hint="default" w:eastAsia="宋体"/>
                <w:b w:val="0"/>
                <w:bCs/>
                <w:highlight w:val="none"/>
                <w:lang w:val="en-US" w:eastAsia="zh-CN"/>
              </w:rPr>
            </w:pPr>
            <w:r>
              <w:rPr>
                <w:rFonts w:hint="eastAsia"/>
                <w:b w:val="0"/>
                <w:bCs/>
                <w:highlight w:val="none"/>
                <w:lang w:val="en-US" w:eastAsia="zh-CN"/>
              </w:rPr>
              <w:t>4</w:t>
            </w:r>
          </w:p>
        </w:tc>
        <w:tc>
          <w:tcPr>
            <w:tcW w:w="325" w:type="pct"/>
            <w:shd w:val="clear" w:color="auto" w:fill="auto"/>
            <w:vAlign w:val="center"/>
          </w:tcPr>
          <w:p w14:paraId="036D8FEE">
            <w:pPr>
              <w:pStyle w:val="13"/>
              <w:rPr>
                <w:b w:val="0"/>
                <w:bCs/>
              </w:rPr>
            </w:pPr>
            <w:r>
              <w:rPr>
                <w:rFonts w:hint="eastAsia"/>
                <w:b w:val="0"/>
                <w:bCs/>
              </w:rPr>
              <w:t>满足要求</w:t>
            </w:r>
          </w:p>
        </w:tc>
      </w:tr>
      <w:tr w14:paraId="380C13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5" w:type="pct"/>
            <w:shd w:val="clear" w:color="auto" w:fill="auto"/>
            <w:vAlign w:val="center"/>
          </w:tcPr>
          <w:p w14:paraId="0AAF9B86">
            <w:pPr>
              <w:pStyle w:val="13"/>
              <w:numPr>
                <w:ilvl w:val="0"/>
                <w:numId w:val="61"/>
              </w:numPr>
              <w:rPr>
                <w:b w:val="0"/>
                <w:bCs/>
              </w:rPr>
            </w:pPr>
          </w:p>
        </w:tc>
        <w:tc>
          <w:tcPr>
            <w:tcW w:w="325" w:type="pct"/>
            <w:shd w:val="clear" w:color="auto" w:fill="auto"/>
            <w:vAlign w:val="center"/>
          </w:tcPr>
          <w:p w14:paraId="45CC2E4B">
            <w:pPr>
              <w:pStyle w:val="13"/>
              <w:rPr>
                <w:b w:val="0"/>
                <w:bCs/>
              </w:rPr>
            </w:pPr>
            <w:r>
              <w:rPr>
                <w:rFonts w:hint="eastAsia"/>
                <w:b w:val="0"/>
                <w:bCs/>
              </w:rPr>
              <w:t>吊笼</w:t>
            </w:r>
          </w:p>
        </w:tc>
        <w:tc>
          <w:tcPr>
            <w:tcW w:w="373" w:type="pct"/>
            <w:shd w:val="clear" w:color="auto" w:fill="auto"/>
            <w:vAlign w:val="center"/>
          </w:tcPr>
          <w:p w14:paraId="416FA6CD">
            <w:pPr>
              <w:pStyle w:val="13"/>
              <w:rPr>
                <w:rFonts w:hint="eastAsia" w:eastAsia="宋体"/>
                <w:b w:val="0"/>
                <w:bCs/>
                <w:lang w:eastAsia="zh-CN"/>
              </w:rPr>
            </w:pPr>
            <w:r>
              <w:rPr>
                <w:rFonts w:hint="eastAsia"/>
                <w:b w:val="0"/>
                <w:bCs/>
                <w:lang w:eastAsia="zh-CN"/>
              </w:rPr>
              <w:t>2</w:t>
            </w:r>
          </w:p>
        </w:tc>
        <w:tc>
          <w:tcPr>
            <w:tcW w:w="275" w:type="pct"/>
            <w:shd w:val="clear" w:color="auto" w:fill="auto"/>
            <w:vAlign w:val="center"/>
          </w:tcPr>
          <w:p w14:paraId="18A40DC5">
            <w:pPr>
              <w:pStyle w:val="13"/>
              <w:rPr>
                <w:rFonts w:hint="eastAsia" w:eastAsia="宋体"/>
                <w:b w:val="0"/>
                <w:bCs/>
                <w:lang w:val="en-US" w:eastAsia="zh-CN"/>
              </w:rPr>
            </w:pPr>
            <w:r>
              <w:rPr>
                <w:rFonts w:hint="eastAsia"/>
                <w:b w:val="0"/>
                <w:bCs/>
                <w:lang w:val="en-US" w:eastAsia="zh-CN"/>
              </w:rPr>
              <w:t>1</w:t>
            </w:r>
          </w:p>
        </w:tc>
        <w:tc>
          <w:tcPr>
            <w:tcW w:w="373" w:type="pct"/>
            <w:shd w:val="clear" w:color="auto" w:fill="auto"/>
            <w:vAlign w:val="center"/>
          </w:tcPr>
          <w:p w14:paraId="25ABFC1A">
            <w:pPr>
              <w:pStyle w:val="13"/>
              <w:rPr>
                <w:b w:val="0"/>
                <w:bCs/>
              </w:rPr>
            </w:pPr>
            <w:r>
              <w:rPr>
                <w:b w:val="0"/>
                <w:bCs/>
              </w:rPr>
              <w:fldChar w:fldCharType="begin"/>
            </w:r>
            <w:r>
              <w:rPr>
                <w:b w:val="0"/>
                <w:bCs/>
              </w:rPr>
              <w:instrText xml:space="preserve"> =PRODUCT(LEFT) </w:instrText>
            </w:r>
            <w:r>
              <w:rPr>
                <w:b w:val="0"/>
                <w:bCs/>
              </w:rPr>
              <w:fldChar w:fldCharType="separate"/>
            </w:r>
            <w:r>
              <w:rPr>
                <w:b w:val="0"/>
                <w:bCs/>
              </w:rPr>
              <w:t>2</w:t>
            </w:r>
            <w:r>
              <w:rPr>
                <w:b w:val="0"/>
                <w:bCs/>
              </w:rPr>
              <w:fldChar w:fldCharType="end"/>
            </w:r>
          </w:p>
        </w:tc>
        <w:tc>
          <w:tcPr>
            <w:tcW w:w="411" w:type="pct"/>
            <w:shd w:val="clear" w:color="auto" w:fill="auto"/>
            <w:vAlign w:val="center"/>
          </w:tcPr>
          <w:p w14:paraId="71EE6F11">
            <w:pPr>
              <w:pStyle w:val="13"/>
              <w:rPr>
                <w:rFonts w:hint="default" w:eastAsia="宋体"/>
                <w:b w:val="0"/>
                <w:bCs/>
                <w:highlight w:val="none"/>
                <w:lang w:val="en-US" w:eastAsia="zh-CN"/>
              </w:rPr>
            </w:pPr>
            <w:r>
              <w:rPr>
                <w:rFonts w:hint="eastAsia"/>
                <w:b w:val="0"/>
                <w:bCs/>
                <w:highlight w:val="none"/>
                <w:lang w:val="en-US" w:eastAsia="zh-CN"/>
              </w:rPr>
              <w:t>16</w:t>
            </w:r>
          </w:p>
        </w:tc>
        <w:tc>
          <w:tcPr>
            <w:tcW w:w="1053" w:type="pct"/>
            <w:shd w:val="clear" w:color="auto" w:fill="auto"/>
            <w:vAlign w:val="center"/>
          </w:tcPr>
          <w:p w14:paraId="25F320A2">
            <w:pPr>
              <w:pStyle w:val="13"/>
              <w:rPr>
                <w:b w:val="0"/>
                <w:bCs/>
                <w:highlight w:val="none"/>
              </w:rPr>
            </w:pPr>
            <w:r>
              <w:rPr>
                <w:b w:val="0"/>
                <w:bCs/>
                <w:highlight w:val="none"/>
              </w:rPr>
              <w:t>1</w:t>
            </w:r>
            <w:r>
              <w:rPr>
                <w:rFonts w:hint="eastAsia"/>
                <w:b w:val="0"/>
                <w:bCs/>
                <w:highlight w:val="none"/>
              </w:rPr>
              <w:t>台</w:t>
            </w:r>
            <w:r>
              <w:rPr>
                <w:rFonts w:hint="eastAsia"/>
                <w:b w:val="0"/>
                <w:bCs/>
                <w:color w:val="auto"/>
                <w:sz w:val="21"/>
                <w:szCs w:val="21"/>
                <w:lang w:val="en-US" w:eastAsia="zh-CN"/>
              </w:rPr>
              <w:t>XGT6015-8S1</w:t>
            </w:r>
            <w:r>
              <w:rPr>
                <w:b w:val="0"/>
                <w:bCs/>
                <w:highlight w:val="none"/>
              </w:rPr>
              <w:fldChar w:fldCharType="begin"/>
            </w:r>
            <w:r>
              <w:rPr>
                <w:b w:val="0"/>
                <w:bCs/>
                <w:highlight w:val="none"/>
              </w:rPr>
              <w:instrText xml:space="preserve"> REF </w:instrText>
            </w:r>
            <w:r>
              <w:rPr>
                <w:rFonts w:hint="eastAsia"/>
                <w:b w:val="0"/>
                <w:bCs/>
                <w:highlight w:val="none"/>
              </w:rPr>
              <w:instrText xml:space="preserve">起重设备</w:instrText>
            </w:r>
            <w:r>
              <w:rPr>
                <w:b w:val="0"/>
                <w:bCs/>
                <w:highlight w:val="none"/>
              </w:rPr>
              <w:instrText xml:space="preserve">1</w:instrText>
            </w:r>
            <w:r>
              <w:rPr>
                <w:rFonts w:hint="eastAsia"/>
                <w:b w:val="0"/>
                <w:bCs/>
                <w:highlight w:val="none"/>
              </w:rPr>
              <w:instrText xml:space="preserve">类型</w:instrText>
            </w:r>
            <w:r>
              <w:rPr>
                <w:b w:val="0"/>
                <w:bCs/>
                <w:highlight w:val="none"/>
              </w:rPr>
              <w:instrText xml:space="preserve"> \h  \* MERGEFORMAT </w:instrText>
            </w:r>
            <w:r>
              <w:rPr>
                <w:b w:val="0"/>
                <w:bCs/>
                <w:highlight w:val="none"/>
              </w:rPr>
              <w:fldChar w:fldCharType="separate"/>
            </w:r>
            <w:r>
              <w:rPr>
                <w:rFonts w:hint="eastAsia"/>
                <w:b w:val="0"/>
                <w:bCs/>
                <w:highlight w:val="none"/>
              </w:rPr>
              <w:t>塔式起重机</w:t>
            </w:r>
            <w:r>
              <w:rPr>
                <w:b w:val="0"/>
                <w:bCs/>
                <w:highlight w:val="none"/>
              </w:rPr>
              <w:fldChar w:fldCharType="end"/>
            </w:r>
          </w:p>
        </w:tc>
        <w:tc>
          <w:tcPr>
            <w:tcW w:w="873" w:type="pct"/>
            <w:shd w:val="clear" w:color="auto" w:fill="auto"/>
            <w:vAlign w:val="center"/>
          </w:tcPr>
          <w:p w14:paraId="7123ED5E">
            <w:pPr>
              <w:pStyle w:val="13"/>
              <w:rPr>
                <w:b w:val="0"/>
                <w:bCs/>
                <w:highlight w:val="none"/>
              </w:rPr>
            </w:pPr>
            <w:r>
              <w:rPr>
                <w:rFonts w:hint="eastAsia"/>
                <w:b w:val="0"/>
                <w:bCs/>
                <w:color w:val="auto"/>
                <w:sz w:val="21"/>
                <w:szCs w:val="21"/>
                <w:lang w:val="en-US" w:eastAsia="zh-CN"/>
              </w:rPr>
              <w:t>XGT6015-8S1</w:t>
            </w:r>
          </w:p>
        </w:tc>
        <w:tc>
          <w:tcPr>
            <w:tcW w:w="361" w:type="pct"/>
            <w:shd w:val="clear" w:color="auto" w:fill="auto"/>
            <w:vAlign w:val="center"/>
          </w:tcPr>
          <w:p w14:paraId="7C0A2382">
            <w:pPr>
              <w:pStyle w:val="13"/>
              <w:ind w:firstLine="0" w:firstLineChars="0"/>
              <w:rPr>
                <w:rFonts w:hint="default" w:eastAsia="宋体"/>
                <w:b w:val="0"/>
                <w:bCs/>
                <w:highlight w:val="none"/>
                <w:lang w:val="en-US" w:eastAsia="zh-CN"/>
              </w:rPr>
            </w:pPr>
            <w:r>
              <w:rPr>
                <w:rFonts w:hint="eastAsia"/>
                <w:b w:val="0"/>
                <w:bCs/>
                <w:highlight w:val="none"/>
                <w:lang w:val="en-US" w:eastAsia="zh-CN"/>
              </w:rPr>
              <w:t>16</w:t>
            </w:r>
          </w:p>
        </w:tc>
        <w:tc>
          <w:tcPr>
            <w:tcW w:w="350" w:type="pct"/>
            <w:shd w:val="clear" w:color="auto" w:fill="auto"/>
            <w:vAlign w:val="center"/>
          </w:tcPr>
          <w:p w14:paraId="5725B98B">
            <w:pPr>
              <w:pStyle w:val="13"/>
              <w:rPr>
                <w:rFonts w:hint="default" w:eastAsia="宋体"/>
                <w:b w:val="0"/>
                <w:bCs/>
                <w:highlight w:val="none"/>
                <w:lang w:val="en-US" w:eastAsia="zh-CN"/>
              </w:rPr>
            </w:pPr>
            <w:r>
              <w:rPr>
                <w:rFonts w:hint="eastAsia"/>
                <w:b w:val="0"/>
                <w:bCs/>
                <w:highlight w:val="none"/>
                <w:lang w:val="en-US" w:eastAsia="zh-CN"/>
              </w:rPr>
              <w:t>4</w:t>
            </w:r>
          </w:p>
        </w:tc>
        <w:tc>
          <w:tcPr>
            <w:tcW w:w="325" w:type="pct"/>
            <w:shd w:val="clear" w:color="auto" w:fill="auto"/>
            <w:vAlign w:val="center"/>
          </w:tcPr>
          <w:p w14:paraId="1CFB35A5">
            <w:pPr>
              <w:pStyle w:val="13"/>
              <w:rPr>
                <w:b w:val="0"/>
                <w:bCs/>
              </w:rPr>
            </w:pPr>
            <w:r>
              <w:rPr>
                <w:rFonts w:hint="eastAsia"/>
                <w:b w:val="0"/>
                <w:bCs/>
              </w:rPr>
              <w:t>满足要求</w:t>
            </w:r>
          </w:p>
        </w:tc>
      </w:tr>
    </w:tbl>
    <w:p w14:paraId="531A35BC">
      <w:pPr>
        <w:pStyle w:val="49"/>
        <w:ind w:firstLine="480"/>
        <w:jc w:val="center"/>
        <w:rPr>
          <w:rFonts w:hint="eastAsia" w:ascii="宋体" w:hAnsi="宋体" w:eastAsia="宋体"/>
          <w:color w:val="auto"/>
          <w:szCs w:val="21"/>
          <w:lang w:eastAsia="zh-CN"/>
        </w:rPr>
      </w:pPr>
    </w:p>
    <w:p w14:paraId="2BBE84A2">
      <w:pPr>
        <w:ind w:firstLine="480"/>
      </w:pPr>
      <w:r>
        <w:rPr>
          <w:rFonts w:hint="eastAsia"/>
        </w:rPr>
        <w:t>施工升降机采用</w:t>
      </w:r>
      <w:r>
        <w:rPr>
          <w:rFonts w:hint="eastAsia" w:ascii="Times New Roman" w:hAnsi="Times New Roman" w:eastAsia="宋体" w:cs="Times New Roman"/>
          <w:lang w:val="en-US" w:eastAsia="zh-CN"/>
        </w:rPr>
        <w:t>1台XGT6015-8S1塔式起重机进行安装。依次在基础上安装底架、标准节、底架围栏、吊笼吊杆、电控系统及安全装</w:t>
      </w:r>
      <w:r>
        <w:rPr>
          <w:rFonts w:hint="eastAsia"/>
        </w:rPr>
        <w:t>置，通电整机调试完毕后进行导轨架加高安装、附墙架安装。</w:t>
      </w:r>
    </w:p>
    <w:p w14:paraId="3CFFB2B4">
      <w:pPr>
        <w:ind w:firstLine="480"/>
      </w:pPr>
      <w:r>
        <w:fldChar w:fldCharType="begin"/>
      </w:r>
      <w:r>
        <w:instrText xml:space="preserve"> REF </w:instrText>
      </w:r>
      <w:r>
        <w:rPr>
          <w:rFonts w:hint="eastAsia"/>
        </w:rPr>
        <w:instrText xml:space="preserve">设备类型</w:instrText>
      </w:r>
      <w:r>
        <w:instrText xml:space="preserve"> \h  \* MERGEFORMAT </w:instrText>
      </w:r>
      <w:r>
        <w:fldChar w:fldCharType="separate"/>
      </w:r>
      <w:r>
        <w:rPr>
          <w:rFonts w:hint="eastAsia"/>
        </w:rPr>
        <w:t>施工升降机</w:t>
      </w:r>
      <w:r>
        <w:fldChar w:fldCharType="end"/>
      </w:r>
      <w:r>
        <w:rPr>
          <w:rFonts w:hint="eastAsia"/>
        </w:rPr>
        <w:t>整机安装施工起重设备选型如</w:t>
      </w:r>
      <w:r>
        <w:fldChar w:fldCharType="begin"/>
      </w:r>
      <w:r>
        <w:instrText xml:space="preserve"> </w:instrText>
      </w:r>
      <w:r>
        <w:rPr>
          <w:rFonts w:hint="eastAsia"/>
        </w:rPr>
        <w:instrText xml:space="preserve">REF _Ref117774280 \h</w:instrText>
      </w:r>
      <w:r>
        <w:instrText xml:space="preserve"> </w:instrText>
      </w:r>
      <w:r>
        <w:fldChar w:fldCharType="separate"/>
      </w:r>
      <w:r>
        <w:rPr>
          <w:rFonts w:hint="eastAsia"/>
        </w:rPr>
        <w:t>表</w:t>
      </w:r>
      <w:r>
        <w:rPr>
          <w:rFonts w:hint="eastAsia" w:ascii="宋体" w:hAnsi="宋体" w:eastAsia="宋体" w:cs="黑体"/>
          <w:b/>
          <w:color w:val="auto"/>
          <w:kern w:val="2"/>
          <w:sz w:val="21"/>
          <w:szCs w:val="21"/>
          <w:lang w:val="en-US" w:eastAsia="zh-CN" w:bidi="ar-SA"/>
        </w:rPr>
        <w:t xml:space="preserve">11.1-2 </w:t>
      </w:r>
      <w:r>
        <w:fldChar w:fldCharType="end"/>
      </w:r>
      <w:r>
        <w:rPr>
          <w:rFonts w:hint="eastAsia"/>
        </w:rPr>
        <w:t>所示。</w:t>
      </w:r>
    </w:p>
    <w:p w14:paraId="182D45FD">
      <w:pPr>
        <w:pStyle w:val="12"/>
        <w:jc w:val="center"/>
        <w:rPr>
          <w:rFonts w:hint="eastAsia" w:ascii="宋体" w:hAnsi="宋体" w:eastAsia="宋体" w:cs="黑体"/>
          <w:b/>
          <w:color w:val="auto"/>
          <w:kern w:val="2"/>
          <w:sz w:val="21"/>
          <w:szCs w:val="21"/>
          <w:lang w:val="en-US" w:eastAsia="zh-CN" w:bidi="ar-SA"/>
        </w:rPr>
      </w:pPr>
      <w:r>
        <w:rPr>
          <w:rFonts w:hint="eastAsia" w:ascii="宋体" w:hAnsi="宋体" w:eastAsia="宋体" w:cs="黑体"/>
          <w:b/>
          <w:color w:val="auto"/>
          <w:kern w:val="2"/>
          <w:sz w:val="21"/>
          <w:szCs w:val="21"/>
          <w:lang w:val="en-US" w:eastAsia="zh-CN" w:bidi="ar-SA"/>
        </w:rPr>
        <w:t xml:space="preserve">表11.1-2 </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REF 设备类型 \h  \* MERGEFORMAT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施工升降机</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整机安装施工起重设备选型</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421"/>
        <w:gridCol w:w="1642"/>
        <w:gridCol w:w="716"/>
        <w:gridCol w:w="716"/>
        <w:gridCol w:w="2599"/>
        <w:gridCol w:w="715"/>
      </w:tblGrid>
      <w:tr w14:paraId="17B391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8" w:type="pct"/>
            <w:shd w:val="clear" w:color="auto" w:fill="auto"/>
            <w:vAlign w:val="center"/>
          </w:tcPr>
          <w:p w14:paraId="1005E6EA">
            <w:pPr>
              <w:pStyle w:val="13"/>
              <w:rPr>
                <w:b/>
              </w:rPr>
            </w:pPr>
            <w:r>
              <w:rPr>
                <w:rFonts w:hint="eastAsia"/>
                <w:b/>
              </w:rPr>
              <w:t>序号</w:t>
            </w:r>
          </w:p>
        </w:tc>
        <w:tc>
          <w:tcPr>
            <w:tcW w:w="833" w:type="pct"/>
            <w:shd w:val="clear" w:color="auto" w:fill="auto"/>
            <w:vAlign w:val="center"/>
          </w:tcPr>
          <w:p w14:paraId="44414E68">
            <w:pPr>
              <w:pStyle w:val="13"/>
              <w:rPr>
                <w:b/>
              </w:rPr>
            </w:pPr>
            <w:r>
              <w:rPr>
                <w:rFonts w:hint="eastAsia"/>
                <w:b/>
              </w:rPr>
              <w:t>设备名称</w:t>
            </w:r>
          </w:p>
        </w:tc>
        <w:tc>
          <w:tcPr>
            <w:tcW w:w="963" w:type="pct"/>
            <w:shd w:val="clear" w:color="auto" w:fill="auto"/>
            <w:vAlign w:val="center"/>
          </w:tcPr>
          <w:p w14:paraId="62DD5F63">
            <w:pPr>
              <w:pStyle w:val="13"/>
              <w:rPr>
                <w:b/>
              </w:rPr>
            </w:pPr>
            <w:r>
              <w:rPr>
                <w:rFonts w:hint="eastAsia"/>
                <w:b/>
              </w:rPr>
              <w:t>规格型号</w:t>
            </w:r>
          </w:p>
        </w:tc>
        <w:tc>
          <w:tcPr>
            <w:tcW w:w="420" w:type="pct"/>
            <w:shd w:val="clear" w:color="auto" w:fill="auto"/>
            <w:vAlign w:val="center"/>
          </w:tcPr>
          <w:p w14:paraId="6584689A">
            <w:pPr>
              <w:pStyle w:val="13"/>
              <w:rPr>
                <w:b/>
              </w:rPr>
            </w:pPr>
            <w:r>
              <w:rPr>
                <w:rFonts w:hint="eastAsia"/>
                <w:b/>
              </w:rPr>
              <w:t>单位</w:t>
            </w:r>
          </w:p>
        </w:tc>
        <w:tc>
          <w:tcPr>
            <w:tcW w:w="420" w:type="pct"/>
            <w:shd w:val="clear" w:color="auto" w:fill="auto"/>
            <w:vAlign w:val="center"/>
          </w:tcPr>
          <w:p w14:paraId="5B104C32">
            <w:pPr>
              <w:pStyle w:val="13"/>
              <w:rPr>
                <w:b/>
              </w:rPr>
            </w:pPr>
            <w:r>
              <w:rPr>
                <w:rFonts w:hint="eastAsia"/>
                <w:b/>
              </w:rPr>
              <w:t>数量</w:t>
            </w:r>
          </w:p>
        </w:tc>
        <w:tc>
          <w:tcPr>
            <w:tcW w:w="1524" w:type="pct"/>
            <w:shd w:val="clear" w:color="auto" w:fill="auto"/>
            <w:vAlign w:val="center"/>
          </w:tcPr>
          <w:p w14:paraId="39F0E2A6">
            <w:pPr>
              <w:pStyle w:val="13"/>
              <w:rPr>
                <w:b/>
              </w:rPr>
            </w:pPr>
            <w:r>
              <w:rPr>
                <w:rFonts w:hint="eastAsia"/>
                <w:b/>
              </w:rPr>
              <w:t>工作内容</w:t>
            </w:r>
          </w:p>
        </w:tc>
        <w:tc>
          <w:tcPr>
            <w:tcW w:w="419" w:type="pct"/>
            <w:shd w:val="clear" w:color="auto" w:fill="auto"/>
            <w:vAlign w:val="center"/>
          </w:tcPr>
          <w:p w14:paraId="69A430A4">
            <w:pPr>
              <w:pStyle w:val="13"/>
              <w:rPr>
                <w:b/>
              </w:rPr>
            </w:pPr>
            <w:r>
              <w:rPr>
                <w:rFonts w:hint="eastAsia"/>
                <w:b/>
              </w:rPr>
              <w:t>备注</w:t>
            </w:r>
          </w:p>
        </w:tc>
      </w:tr>
      <w:tr w14:paraId="415FC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148EAABE">
            <w:pPr>
              <w:pStyle w:val="13"/>
              <w:numPr>
                <w:ilvl w:val="0"/>
                <w:numId w:val="62"/>
              </w:numPr>
            </w:pPr>
          </w:p>
        </w:tc>
        <w:tc>
          <w:tcPr>
            <w:tcW w:w="833" w:type="pct"/>
            <w:shd w:val="clear" w:color="auto" w:fill="auto"/>
            <w:vAlign w:val="center"/>
          </w:tcPr>
          <w:p w14:paraId="0374378F">
            <w:pPr>
              <w:pStyle w:val="13"/>
            </w:pPr>
            <w:r>
              <w:rPr>
                <w:rFonts w:hint="eastAsia"/>
              </w:rPr>
              <w:t>塔式起重机</w:t>
            </w:r>
          </w:p>
        </w:tc>
        <w:tc>
          <w:tcPr>
            <w:tcW w:w="963" w:type="pct"/>
            <w:shd w:val="clear" w:color="auto" w:fill="auto"/>
            <w:vAlign w:val="center"/>
          </w:tcPr>
          <w:p w14:paraId="21A0D3F3">
            <w:pPr>
              <w:pStyle w:val="13"/>
              <w:rPr>
                <w:rFonts w:hint="eastAsia" w:eastAsia="宋体"/>
                <w:lang w:eastAsia="zh-CN"/>
              </w:rPr>
            </w:pPr>
            <w:r>
              <w:rPr>
                <w:rFonts w:hint="eastAsia"/>
                <w:color w:val="auto"/>
                <w:sz w:val="21"/>
                <w:szCs w:val="21"/>
                <w:lang w:val="en-US" w:eastAsia="zh-CN"/>
              </w:rPr>
              <w:t>XGT6015-8S1</w:t>
            </w:r>
          </w:p>
        </w:tc>
        <w:tc>
          <w:tcPr>
            <w:tcW w:w="420" w:type="pct"/>
            <w:shd w:val="clear" w:color="auto" w:fill="auto"/>
            <w:vAlign w:val="center"/>
          </w:tcPr>
          <w:p w14:paraId="075811B4">
            <w:pPr>
              <w:pStyle w:val="13"/>
            </w:pPr>
            <w:r>
              <w:rPr>
                <w:rFonts w:hint="eastAsia"/>
              </w:rPr>
              <w:t>台</w:t>
            </w:r>
          </w:p>
        </w:tc>
        <w:tc>
          <w:tcPr>
            <w:tcW w:w="420" w:type="pct"/>
            <w:shd w:val="clear" w:color="auto" w:fill="auto"/>
            <w:vAlign w:val="center"/>
          </w:tcPr>
          <w:p w14:paraId="760A92A3">
            <w:pPr>
              <w:pStyle w:val="13"/>
            </w:pPr>
            <w:r>
              <w:t>1</w:t>
            </w:r>
          </w:p>
        </w:tc>
        <w:tc>
          <w:tcPr>
            <w:tcW w:w="1524" w:type="pct"/>
            <w:shd w:val="clear" w:color="auto" w:fill="auto"/>
            <w:vAlign w:val="center"/>
          </w:tcPr>
          <w:p w14:paraId="630FA110">
            <w:pPr>
              <w:pStyle w:val="13"/>
            </w:pPr>
            <w:r>
              <w:rPr>
                <w:rFonts w:hint="eastAsia"/>
              </w:rPr>
              <w:t>安装施工起重作业</w:t>
            </w:r>
          </w:p>
        </w:tc>
        <w:tc>
          <w:tcPr>
            <w:tcW w:w="419" w:type="pct"/>
            <w:shd w:val="clear" w:color="auto" w:fill="auto"/>
            <w:vAlign w:val="center"/>
          </w:tcPr>
          <w:p w14:paraId="65725EBE">
            <w:pPr>
              <w:pStyle w:val="13"/>
            </w:pPr>
          </w:p>
        </w:tc>
      </w:tr>
    </w:tbl>
    <w:p w14:paraId="5457CAF2">
      <w:pPr>
        <w:bidi w:val="0"/>
        <w:rPr>
          <w:rFonts w:hint="default" w:eastAsia="宋体"/>
          <w:lang w:val="en-US" w:eastAsia="zh-CN"/>
        </w:rPr>
      </w:pPr>
      <w:r>
        <w:rPr>
          <w:rFonts w:hint="eastAsia"/>
          <w:lang w:val="en-US" w:eastAsia="zh-CN"/>
        </w:rPr>
        <w:t>XGT6015-8S1</w:t>
      </w:r>
      <w:r>
        <w:fldChar w:fldCharType="begin"/>
      </w:r>
      <w:r>
        <w:instrText xml:space="preserve"> REF 起重设备1类型 \h </w:instrText>
      </w:r>
      <w:r>
        <w:fldChar w:fldCharType="separate"/>
      </w:r>
      <w:r>
        <w:rPr>
          <w:rFonts w:hint="eastAsia"/>
        </w:rPr>
        <w:t>塔式起重机</w:t>
      </w:r>
      <w:r>
        <w:fldChar w:fldCharType="end"/>
      </w:r>
      <w:r>
        <w:rPr>
          <w:rFonts w:hint="eastAsia"/>
        </w:rPr>
        <w:t>整机尺寸、载荷性能如</w:t>
      </w:r>
      <w:r>
        <w:rPr>
          <w:rFonts w:hint="eastAsia"/>
          <w:lang w:val="en-US" w:eastAsia="zh-CN"/>
        </w:rPr>
        <w:t>图所示：</w:t>
      </w:r>
    </w:p>
    <w:p w14:paraId="7D6926BE">
      <w:pPr>
        <w:pStyle w:val="2"/>
        <w:ind w:left="0" w:leftChars="0" w:firstLine="0" w:firstLineChars="0"/>
        <w:jc w:val="center"/>
      </w:pPr>
      <w:r>
        <w:drawing>
          <wp:inline distT="0" distB="0" distL="114300" distR="114300">
            <wp:extent cx="5759450" cy="4058285"/>
            <wp:effectExtent l="0" t="0" r="12700" b="1841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25"/>
                    <a:stretch>
                      <a:fillRect/>
                    </a:stretch>
                  </pic:blipFill>
                  <pic:spPr>
                    <a:xfrm>
                      <a:off x="0" y="0"/>
                      <a:ext cx="5759450" cy="4058285"/>
                    </a:xfrm>
                    <a:prstGeom prst="rect">
                      <a:avLst/>
                    </a:prstGeom>
                    <a:noFill/>
                    <a:ln>
                      <a:noFill/>
                    </a:ln>
                  </pic:spPr>
                </pic:pic>
              </a:graphicData>
            </a:graphic>
          </wp:inline>
        </w:drawing>
      </w:r>
    </w:p>
    <w:p w14:paraId="1B2FBE7B">
      <w:pPr>
        <w:pStyle w:val="12"/>
        <w:jc w:val="center"/>
        <w:rPr>
          <w:rFonts w:hint="eastAsia" w:ascii="宋体" w:hAnsi="宋体" w:eastAsia="宋体" w:cs="黑体"/>
          <w:b/>
          <w:color w:val="auto"/>
          <w:kern w:val="2"/>
          <w:sz w:val="21"/>
          <w:szCs w:val="21"/>
          <w:lang w:val="en-US" w:eastAsia="zh-CN" w:bidi="ar-SA"/>
        </w:rPr>
      </w:pPr>
      <w:r>
        <w:rPr>
          <w:rFonts w:hint="eastAsia" w:ascii="宋体" w:hAnsi="宋体" w:eastAsia="宋体" w:cs="黑体"/>
          <w:b/>
          <w:color w:val="auto"/>
          <w:kern w:val="2"/>
          <w:sz w:val="21"/>
          <w:szCs w:val="21"/>
          <w:lang w:val="en-US" w:eastAsia="zh-CN" w:bidi="ar-SA"/>
        </w:rPr>
        <w:t>图 11.1-</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SEQ 图 \* ARABIC \s 3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1</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 xml:space="preserve"> XGT6015-8S1</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REF 起重设备1类型 \h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塔式起重机</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整机尺寸</w:t>
      </w:r>
    </w:p>
    <w:p w14:paraId="4F324FF4">
      <w:pPr>
        <w:pStyle w:val="12"/>
        <w:jc w:val="center"/>
        <w:rPr>
          <w:rFonts w:hint="eastAsia" w:ascii="宋体" w:hAnsi="宋体" w:eastAsia="宋体" w:cs="黑体"/>
          <w:b/>
          <w:color w:val="auto"/>
          <w:kern w:val="2"/>
          <w:sz w:val="21"/>
          <w:szCs w:val="21"/>
          <w:lang w:val="en-US" w:eastAsia="zh-CN" w:bidi="ar-SA"/>
        </w:rPr>
      </w:pPr>
    </w:p>
    <w:p w14:paraId="6BF34496">
      <w:pPr>
        <w:pStyle w:val="2"/>
        <w:ind w:left="0" w:leftChars="0" w:firstLine="0" w:firstLineChars="0"/>
        <w:jc w:val="center"/>
      </w:pPr>
      <w:r>
        <w:drawing>
          <wp:inline distT="0" distB="0" distL="114300" distR="114300">
            <wp:extent cx="5758180" cy="3143250"/>
            <wp:effectExtent l="0" t="0" r="13970" b="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6"/>
                    <a:stretch>
                      <a:fillRect/>
                    </a:stretch>
                  </pic:blipFill>
                  <pic:spPr>
                    <a:xfrm>
                      <a:off x="0" y="0"/>
                      <a:ext cx="5758180" cy="3143250"/>
                    </a:xfrm>
                    <a:prstGeom prst="rect">
                      <a:avLst/>
                    </a:prstGeom>
                    <a:noFill/>
                    <a:ln>
                      <a:noFill/>
                    </a:ln>
                  </pic:spPr>
                </pic:pic>
              </a:graphicData>
            </a:graphic>
          </wp:inline>
        </w:drawing>
      </w:r>
    </w:p>
    <w:p w14:paraId="6547A2DF">
      <w:pPr>
        <w:pStyle w:val="12"/>
        <w:jc w:val="center"/>
        <w:rPr>
          <w:rFonts w:hint="eastAsia" w:ascii="宋体" w:hAnsi="宋体" w:eastAsia="宋体" w:cs="黑体"/>
          <w:b/>
          <w:color w:val="auto"/>
          <w:kern w:val="2"/>
          <w:sz w:val="21"/>
          <w:szCs w:val="21"/>
          <w:lang w:val="en-US" w:eastAsia="zh-CN" w:bidi="ar-SA"/>
        </w:rPr>
      </w:pPr>
      <w:r>
        <w:rPr>
          <w:rFonts w:hint="eastAsia" w:ascii="宋体" w:hAnsi="宋体" w:eastAsia="宋体" w:cs="黑体"/>
          <w:b/>
          <w:color w:val="auto"/>
          <w:kern w:val="2"/>
          <w:sz w:val="21"/>
          <w:szCs w:val="21"/>
          <w:lang w:val="en-US" w:eastAsia="zh-CN" w:bidi="ar-SA"/>
        </w:rPr>
        <w:t>图 11.1-</w:t>
      </w:r>
      <w:r>
        <w:rPr>
          <w:rFonts w:hint="eastAsia" w:ascii="宋体" w:hAnsi="宋体" w:eastAsia="宋体" w:cs="黑体"/>
          <w:b/>
          <w:color w:val="auto"/>
          <w:kern w:val="2"/>
          <w:sz w:val="21"/>
          <w:szCs w:val="21"/>
          <w:lang w:val="en-US" w:eastAsia="zh-CN" w:bidi="ar-SA"/>
        </w:rPr>
        <w:fldChar w:fldCharType="begin"/>
      </w:r>
      <w:r>
        <w:rPr>
          <w:rFonts w:hint="eastAsia" w:ascii="宋体" w:hAnsi="宋体" w:eastAsia="宋体" w:cs="黑体"/>
          <w:b/>
          <w:color w:val="auto"/>
          <w:kern w:val="2"/>
          <w:sz w:val="21"/>
          <w:szCs w:val="21"/>
          <w:lang w:val="en-US" w:eastAsia="zh-CN" w:bidi="ar-SA"/>
        </w:rPr>
        <w:instrText xml:space="preserve"> SEQ 图 \* ARABIC \s 3 </w:instrText>
      </w:r>
      <w:r>
        <w:rPr>
          <w:rFonts w:hint="eastAsia" w:ascii="宋体" w:hAnsi="宋体" w:eastAsia="宋体" w:cs="黑体"/>
          <w:b/>
          <w:color w:val="auto"/>
          <w:kern w:val="2"/>
          <w:sz w:val="21"/>
          <w:szCs w:val="21"/>
          <w:lang w:val="en-US" w:eastAsia="zh-CN" w:bidi="ar-SA"/>
        </w:rPr>
        <w:fldChar w:fldCharType="separate"/>
      </w:r>
      <w:r>
        <w:rPr>
          <w:rFonts w:hint="eastAsia" w:ascii="宋体" w:hAnsi="宋体" w:eastAsia="宋体" w:cs="黑体"/>
          <w:b/>
          <w:color w:val="auto"/>
          <w:kern w:val="2"/>
          <w:sz w:val="21"/>
          <w:szCs w:val="21"/>
          <w:lang w:val="en-US" w:eastAsia="zh-CN" w:bidi="ar-SA"/>
        </w:rPr>
        <w:t>2</w:t>
      </w:r>
      <w:r>
        <w:rPr>
          <w:rFonts w:hint="eastAsia" w:ascii="宋体" w:hAnsi="宋体" w:eastAsia="宋体" w:cs="黑体"/>
          <w:b/>
          <w:color w:val="auto"/>
          <w:kern w:val="2"/>
          <w:sz w:val="21"/>
          <w:szCs w:val="21"/>
          <w:lang w:val="en-US" w:eastAsia="zh-CN" w:bidi="ar-SA"/>
        </w:rPr>
        <w:fldChar w:fldCharType="end"/>
      </w:r>
      <w:r>
        <w:rPr>
          <w:rFonts w:hint="eastAsia" w:ascii="宋体" w:hAnsi="宋体" w:eastAsia="宋体" w:cs="黑体"/>
          <w:b/>
          <w:color w:val="auto"/>
          <w:kern w:val="2"/>
          <w:sz w:val="21"/>
          <w:szCs w:val="21"/>
          <w:lang w:val="en-US" w:eastAsia="zh-CN" w:bidi="ar-SA"/>
        </w:rPr>
        <w:t xml:space="preserve"> XGT6015-8S1塔式起重机载荷性能</w:t>
      </w:r>
    </w:p>
    <w:p w14:paraId="052DC66F">
      <w:pPr>
        <w:ind w:left="0" w:leftChars="0" w:firstLine="0" w:firstLineChars="0"/>
        <w:jc w:val="center"/>
        <w:rPr>
          <w:rFonts w:hint="eastAsia"/>
          <w:color w:val="auto"/>
          <w:sz w:val="24"/>
          <w:szCs w:val="24"/>
          <w:lang w:val="en-US" w:eastAsia="zh-CN"/>
        </w:rPr>
      </w:pPr>
    </w:p>
    <w:p w14:paraId="4C296053">
      <w:pPr>
        <w:pStyle w:val="5"/>
        <w:numPr>
          <w:ilvl w:val="2"/>
          <w:numId w:val="0"/>
        </w:numPr>
        <w:spacing w:before="0" w:after="0" w:line="360" w:lineRule="auto"/>
        <w:ind w:leftChars="0"/>
        <w:outlineLvl w:val="1"/>
        <w:rPr>
          <w:rFonts w:hint="eastAsia" w:ascii="Times New Roman" w:hAnsi="Times New Roman"/>
          <w:color w:val="auto"/>
          <w:sz w:val="24"/>
          <w:szCs w:val="24"/>
        </w:rPr>
      </w:pPr>
      <w:bookmarkStart w:id="296" w:name="_Toc17800"/>
      <w:r>
        <w:rPr>
          <w:rFonts w:hint="default"/>
          <w:color w:val="auto"/>
          <w:sz w:val="24"/>
          <w:szCs w:val="24"/>
          <w:lang w:val="en-US" w:eastAsia="zh-CN"/>
        </w:rPr>
        <w:t>11.</w:t>
      </w:r>
      <w:r>
        <w:rPr>
          <w:rFonts w:hint="eastAsia"/>
          <w:color w:val="auto"/>
          <w:sz w:val="24"/>
          <w:szCs w:val="24"/>
          <w:lang w:val="en-US" w:eastAsia="zh-CN"/>
        </w:rPr>
        <w:t>2</w:t>
      </w:r>
      <w:r>
        <w:rPr>
          <w:rFonts w:hint="eastAsia" w:ascii="Times New Roman" w:hAnsi="Times New Roman"/>
          <w:color w:val="auto"/>
          <w:sz w:val="24"/>
          <w:szCs w:val="24"/>
        </w:rPr>
        <w:t>吊索具选型计算</w:t>
      </w:r>
      <w:bookmarkEnd w:id="294"/>
      <w:bookmarkEnd w:id="295"/>
      <w:bookmarkEnd w:id="296"/>
    </w:p>
    <w:p w14:paraId="1DFE89F8">
      <w:pP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1、</w:t>
      </w:r>
      <w:r>
        <w:rPr>
          <w:rFonts w:ascii="Times New Roman" w:hAnsi="Times New Roman" w:eastAsia="宋体" w:cs="Times New Roman"/>
          <w:color w:val="auto"/>
          <w:highlight w:val="none"/>
        </w:rPr>
        <w:t>钢丝绳选型依据</w:t>
      </w:r>
    </w:p>
    <w:p w14:paraId="11EA1A85">
      <w:pPr>
        <w:ind w:firstLine="480"/>
        <w:rPr>
          <w:rFonts w:ascii="Times New Roman" w:hAnsi="Times New Roman" w:eastAsia="宋体" w:cs="Times New Roman"/>
        </w:rPr>
      </w:pPr>
      <w:r>
        <w:rPr>
          <w:rFonts w:hint="eastAsia" w:ascii="Times New Roman" w:hAnsi="Times New Roman" w:eastAsia="宋体" w:cs="Times New Roman"/>
          <w:highlight w:val="none"/>
        </w:rPr>
        <w:t>根据起吊重量选择相</w:t>
      </w:r>
      <w:r>
        <w:rPr>
          <w:rFonts w:hint="eastAsia" w:ascii="Times New Roman" w:hAnsi="Times New Roman" w:eastAsia="宋体" w:cs="Times New Roman"/>
        </w:rPr>
        <w:t>对应的钢丝绳和卸扣。</w:t>
      </w:r>
    </w:p>
    <w:p w14:paraId="2EC70D37">
      <w:pPr>
        <w:ind w:firstLine="480"/>
        <w:rPr>
          <w:rFonts w:ascii="Times New Roman" w:hAnsi="Times New Roman" w:eastAsia="宋体" w:cs="Times New Roman"/>
        </w:rPr>
      </w:pPr>
      <w:r>
        <w:rPr>
          <w:rFonts w:hint="eastAsia" w:ascii="Times New Roman" w:hAnsi="Times New Roman" w:eastAsia="宋体" w:cs="Times New Roman"/>
        </w:rPr>
        <w:t>有对称分布的与垂直方向具有相同角度的单肢吊索组成的多肢吊索的工作荷载按《一般用途钢丝绳吊索特性和技术条件》公式计算：</w:t>
      </w:r>
    </w:p>
    <w:p w14:paraId="58E850BF">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WLL=</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d>
            <m:dPr>
              <m:ctrlPr>
                <w:rPr>
                  <w:rFonts w:ascii="Cambria Math" w:hAnsi="Cambria Math"/>
                </w:rPr>
              </m:ctrlPr>
            </m:dPr>
            <m:e>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e>
          </m:d>
        </m:oMath>
      </m:oMathPara>
    </w:p>
    <w:p w14:paraId="58E40978">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
        <w:gridCol w:w="831"/>
        <w:gridCol w:w="7288"/>
      </w:tblGrid>
      <w:tr w14:paraId="338BE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751793B">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6697E7C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WLL</w:t>
            </w:r>
          </w:p>
        </w:tc>
        <w:tc>
          <w:tcPr>
            <w:tcW w:w="8048" w:type="dxa"/>
          </w:tcPr>
          <w:p w14:paraId="4CDC1892">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——吊索额定工作荷载，单位为t；</w:t>
            </w:r>
          </w:p>
        </w:tc>
      </w:tr>
      <w:tr w14:paraId="5DDA7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BBC68CE">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03D20DC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48" w:type="dxa"/>
          </w:tcPr>
          <w:p w14:paraId="31A37148">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1866B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7A96C408">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3D7430BF">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e</w:t>
            </w:r>
          </w:p>
        </w:tc>
        <w:tc>
          <w:tcPr>
            <w:tcW w:w="8048" w:type="dxa"/>
          </w:tcPr>
          <w:p w14:paraId="090C031A">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——接头形式效能近似系数，压制接头取0.9，插编接头取0.75；</w:t>
            </w:r>
          </w:p>
        </w:tc>
      </w:tr>
      <w:tr w14:paraId="11345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11AB3E3F">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4AF7EDD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p>
        </w:tc>
        <w:tc>
          <w:tcPr>
            <w:tcW w:w="8048" w:type="dxa"/>
          </w:tcPr>
          <w:p w14:paraId="0E720DAF">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——肢的数量与垂直方向角度的相关系数，两肢吊索取1.4，3～4肢吊索取2.1；</w:t>
            </w:r>
          </w:p>
        </w:tc>
      </w:tr>
      <w:tr w14:paraId="5D531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60F49E60">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3848021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u</w:t>
            </w:r>
          </w:p>
        </w:tc>
        <w:tc>
          <w:tcPr>
            <w:tcW w:w="8048" w:type="dxa"/>
          </w:tcPr>
          <w:p w14:paraId="77E19D1F">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——安全系数，一般取6；</w:t>
            </w:r>
          </w:p>
        </w:tc>
      </w:tr>
      <w:tr w14:paraId="70191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0CE14A9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480A06D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m</w:t>
            </w:r>
          </w:p>
        </w:tc>
        <w:tc>
          <w:tcPr>
            <w:tcW w:w="8048" w:type="dxa"/>
          </w:tcPr>
          <w:p w14:paraId="6AC3B054">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——质量与力的转换系数，取值为9.80665。</w:t>
            </w:r>
          </w:p>
        </w:tc>
      </w:tr>
    </w:tbl>
    <w:p w14:paraId="15BED9E7">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钢丝绳最小破断拉力按《重要用途钢丝绳》公式计算：</w:t>
      </w:r>
    </w:p>
    <w:p w14:paraId="34987838">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p>
            <m:sSupPr>
              <m:ctrlPr>
                <w:rPr>
                  <w:rFonts w:ascii="Cambria Math" w:hAnsi="Cambria Math"/>
                </w:rPr>
              </m:ctrlPr>
            </m:sSupPr>
            <m:e>
              <m:r>
                <m:rPr>
                  <m:nor/>
                  <m:sty m:val="p"/>
                </m:rPr>
                <w:rPr>
                  <w:b w:val="0"/>
                  <w:i w:val="0"/>
                </w:rPr>
                <m:t>D</m:t>
              </m:r>
              <m:ctrlPr>
                <w:rPr>
                  <w:rFonts w:ascii="Cambria Math" w:hAnsi="Cambria Math"/>
                </w:rPr>
              </m:ctrlPr>
            </m:e>
            <m:sup>
              <m:r>
                <m:rPr>
                  <m:nor/>
                  <m:sty m:val="p"/>
                </m:rPr>
                <w:rPr>
                  <w:b w:val="0"/>
                  <w:i w:val="0"/>
                </w:rPr>
                <m:t>2</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÷1000</m:t>
          </m:r>
        </m:oMath>
      </m:oMathPara>
    </w:p>
    <w:p w14:paraId="6CB4F8FE">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
        <w:gridCol w:w="818"/>
        <w:gridCol w:w="7328"/>
      </w:tblGrid>
      <w:tr w14:paraId="4974F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345CEC02">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3E066958">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63" w:type="dxa"/>
          </w:tcPr>
          <w:p w14:paraId="2738BFD8">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751CE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26E8D756">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3AC635D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D</w:t>
            </w:r>
          </w:p>
        </w:tc>
        <w:tc>
          <w:tcPr>
            <w:tcW w:w="8063" w:type="dxa"/>
          </w:tcPr>
          <w:p w14:paraId="1648DB9A">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——钢丝绳公称直径，单位为mm；</w:t>
            </w:r>
          </w:p>
        </w:tc>
      </w:tr>
      <w:tr w14:paraId="4668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74316F0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459D17CE">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R</w:t>
            </w:r>
            <w:r>
              <w:rPr>
                <w:rFonts w:ascii="Times New Roman" w:hAnsi="Times New Roman" w:eastAsia="宋体" w:cs="Times New Roman"/>
                <w:i/>
                <w:kern w:val="0"/>
                <w:sz w:val="24"/>
                <w:szCs w:val="20"/>
                <w:vertAlign w:val="subscript"/>
                <w:lang w:val="en-US" w:eastAsia="zh-CN" w:bidi="ar-SA"/>
              </w:rPr>
              <w:t>0</w:t>
            </w:r>
          </w:p>
        </w:tc>
        <w:tc>
          <w:tcPr>
            <w:tcW w:w="8063" w:type="dxa"/>
          </w:tcPr>
          <w:p w14:paraId="4657681A">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——钢丝绳公称抗拉强度，取1870MPa；</w:t>
            </w:r>
          </w:p>
        </w:tc>
      </w:tr>
      <w:tr w14:paraId="76CFF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1AAB4378">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64D94821">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lang w:val="en-US" w:eastAsia="zh-CN" w:bidi="ar-SA"/>
              </w:rPr>
              <w:t>’</w:t>
            </w:r>
          </w:p>
        </w:tc>
        <w:tc>
          <w:tcPr>
            <w:tcW w:w="8063" w:type="dxa"/>
          </w:tcPr>
          <w:p w14:paraId="76B6E5D5">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——钢丝绳的最小破断拉力系数，6×19W+IWR钢丝绳取0.33。</w:t>
            </w:r>
          </w:p>
        </w:tc>
      </w:tr>
    </w:tbl>
    <w:p w14:paraId="1FC62EA5">
      <w:pPr>
        <w:ind w:firstLine="480"/>
        <w:rPr>
          <w:rFonts w:ascii="Times New Roman" w:hAnsi="Times New Roman" w:eastAsia="宋体" w:cs="Times New Roman"/>
        </w:rPr>
      </w:pPr>
      <w:r>
        <w:rPr>
          <w:rFonts w:hint="eastAsia" w:ascii="Times New Roman" w:hAnsi="Times New Roman" w:eastAsia="宋体" w:cs="Times New Roman"/>
        </w:rPr>
        <w:t>采用四点吊</w:t>
      </w:r>
      <w:r>
        <w:rPr>
          <w:rFonts w:hint="eastAsia" w:ascii="Times New Roman" w:hAnsi="Times New Roman" w:eastAsia="宋体" w:cs="Times New Roman"/>
          <w:lang w:eastAsia="zh-CN"/>
        </w:rPr>
        <w:t>的</w:t>
      </w:r>
      <w:r>
        <w:rPr>
          <w:rFonts w:hint="eastAsia" w:ascii="Times New Roman" w:hAnsi="Times New Roman" w:eastAsia="宋体" w:cs="Times New Roman"/>
          <w:lang w:val="en-US" w:eastAsia="zh-CN"/>
        </w:rPr>
        <w:t>施</w:t>
      </w:r>
      <w:r>
        <w:rPr>
          <w:rFonts w:hint="eastAsia" w:ascii="Times New Roman" w:hAnsi="Times New Roman" w:eastAsia="宋体" w:cs="Times New Roman"/>
          <w:highlight w:val="none"/>
          <w:lang w:val="en-US" w:eastAsia="zh-CN"/>
        </w:rPr>
        <w:t>工升降机</w:t>
      </w:r>
      <w:r>
        <w:rPr>
          <w:rFonts w:hint="eastAsia" w:ascii="Times New Roman" w:hAnsi="Times New Roman" w:eastAsia="宋体" w:cs="Times New Roman"/>
          <w:highlight w:val="none"/>
        </w:rPr>
        <w:t>主要部件</w:t>
      </w:r>
      <w:r>
        <w:rPr>
          <w:rFonts w:hint="eastAsia" w:ascii="Times New Roman" w:hAnsi="Times New Roman" w:eastAsia="宋体" w:cs="Times New Roman"/>
          <w:highlight w:val="none"/>
          <w:lang w:val="en-US" w:eastAsia="zh-CN"/>
        </w:rPr>
        <w:t>中</w:t>
      </w:r>
      <w:r>
        <w:rPr>
          <w:rFonts w:hint="eastAsia" w:ascii="Times New Roman" w:hAnsi="Times New Roman" w:eastAsia="宋体" w:cs="Times New Roman"/>
          <w:highlight w:val="none"/>
        </w:rPr>
        <w:t>最大重量为</w:t>
      </w:r>
      <w:r>
        <w:rPr>
          <w:rFonts w:hint="eastAsia" w:ascii="Times New Roman" w:hAnsi="Times New Roman" w:eastAsia="宋体" w:cs="Times New Roman"/>
          <w:highlight w:val="none"/>
          <w:lang w:val="en-US" w:eastAsia="zh-CN"/>
        </w:rPr>
        <w:t>吊笼</w:t>
      </w:r>
      <w:r>
        <w:rPr>
          <w:rFonts w:hint="eastAsia" w:ascii="Times New Roman" w:hAnsi="Times New Roman" w:eastAsia="宋体" w:cs="Times New Roman"/>
          <w:highlight w:val="none"/>
        </w:rPr>
        <w:t>，</w:t>
      </w:r>
      <w:r>
        <w:rPr>
          <w:rFonts w:hint="eastAsia" w:ascii="Times New Roman" w:hAnsi="Times New Roman" w:eastAsia="宋体" w:cs="Times New Roman"/>
          <w:highlight w:val="none"/>
          <w:lang w:val="en-US" w:eastAsia="zh-CN"/>
        </w:rPr>
        <w:t>吊笼</w:t>
      </w:r>
      <w:r>
        <w:rPr>
          <w:rFonts w:hint="eastAsia" w:ascii="Times New Roman" w:hAnsi="Times New Roman" w:eastAsia="宋体" w:cs="Times New Roman"/>
          <w:highlight w:val="none"/>
        </w:rPr>
        <w:t>起重量约</w:t>
      </w:r>
      <w:r>
        <w:rPr>
          <w:rFonts w:hint="eastAsia" w:cs="Times New Roman"/>
          <w:highlight w:val="none"/>
          <w:lang w:val="en-US" w:eastAsia="zh-CN"/>
        </w:rPr>
        <w:t>2</w:t>
      </w:r>
      <w:r>
        <w:rPr>
          <w:rFonts w:hint="eastAsia" w:ascii="Times New Roman" w:hAnsi="Times New Roman" w:eastAsia="宋体" w:cs="Times New Roman"/>
          <w:highlight w:val="none"/>
          <w:lang w:val="en-US" w:eastAsia="zh-CN"/>
        </w:rPr>
        <w:t>t</w:t>
      </w:r>
      <w:r>
        <w:rPr>
          <w:rFonts w:hint="eastAsia" w:ascii="Times New Roman" w:hAnsi="Times New Roman" w:eastAsia="宋体" w:cs="Times New Roman"/>
          <w:highlight w:val="none"/>
        </w:rPr>
        <w:t>，</w:t>
      </w:r>
      <w:r>
        <w:rPr>
          <w:rFonts w:hint="eastAsia" w:ascii="Times New Roman" w:hAnsi="Times New Roman" w:eastAsia="宋体" w:cs="Times New Roman"/>
        </w:rPr>
        <w:t>钢丝绳与</w:t>
      </w:r>
      <w:r>
        <w:rPr>
          <w:rFonts w:hint="eastAsia" w:ascii="Times New Roman" w:hAnsi="Times New Roman" w:eastAsia="宋体" w:cs="Times New Roman"/>
          <w:highlight w:val="none"/>
          <w:lang w:val="en-US" w:eastAsia="zh-CN"/>
        </w:rPr>
        <w:t>吊笼</w:t>
      </w:r>
      <w:r>
        <w:rPr>
          <w:rFonts w:hint="eastAsia" w:ascii="Times New Roman" w:hAnsi="Times New Roman" w:eastAsia="宋体" w:cs="Times New Roman"/>
        </w:rPr>
        <w:t>成60°夹角，以</w:t>
      </w:r>
      <w:r>
        <w:rPr>
          <w:rFonts w:hint="eastAsia" w:ascii="Times New Roman" w:hAnsi="Times New Roman" w:eastAsia="宋体" w:cs="Times New Roman"/>
          <w:highlight w:val="none"/>
          <w:lang w:val="en-US" w:eastAsia="zh-CN"/>
        </w:rPr>
        <w:t>吊笼</w:t>
      </w:r>
      <w:r>
        <w:rPr>
          <w:rFonts w:hint="eastAsia" w:ascii="Times New Roman" w:hAnsi="Times New Roman" w:eastAsia="宋体" w:cs="Times New Roman"/>
        </w:rPr>
        <w:t>顶部四个</w:t>
      </w:r>
      <w:r>
        <w:rPr>
          <w:rFonts w:hint="eastAsia" w:cs="Times New Roman"/>
          <w:lang w:val="en-US" w:eastAsia="zh-CN"/>
        </w:rPr>
        <w:t>吊耳</w:t>
      </w:r>
      <w:r>
        <w:rPr>
          <w:rFonts w:hint="eastAsia" w:ascii="Times New Roman" w:hAnsi="Times New Roman" w:eastAsia="宋体" w:cs="Times New Roman"/>
        </w:rPr>
        <w:t>孔作为吊装孔，钢丝绳采用压制接头。</w:t>
      </w:r>
    </w:p>
    <w:p w14:paraId="78ECADBE">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641B98E3">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highlight w:val="none"/>
                </w:rPr>
              </m:ctrlPr>
            </m:fPr>
            <m:num>
              <m:r>
                <m:rPr>
                  <m:nor/>
                  <m:sty m:val="p"/>
                </m:rPr>
                <w:rPr>
                  <w:rFonts w:hint="default" w:ascii="Cambria Math" w:hAnsi="Cambria Math"/>
                  <w:b w:val="0"/>
                  <w:i w:val="0"/>
                  <w:highlight w:val="none"/>
                  <w:lang w:val="en-US" w:eastAsia="zh-CN"/>
                </w:rPr>
                <m:t>2</m:t>
              </m:r>
              <m:r>
                <m:rPr>
                  <m:nor/>
                  <m:sty m:val="p"/>
                </m:rPr>
                <w:rPr>
                  <w:b w:val="0"/>
                  <w:i w:val="0"/>
                  <w:highlight w:val="none"/>
                </w:rPr>
                <m:t>×9.80665×6</m:t>
              </m:r>
              <m:ctrlPr>
                <w:rPr>
                  <w:rFonts w:ascii="Cambria Math" w:hAnsi="Cambria Math"/>
                  <w:highlight w:val="none"/>
                </w:rPr>
              </m:ctrlPr>
            </m:num>
            <m:den>
              <m:r>
                <m:rPr>
                  <m:nor/>
                  <m:sty m:val="p"/>
                </m:rPr>
                <w:rPr>
                  <w:b w:val="0"/>
                  <w:i w:val="0"/>
                  <w:highlight w:val="none"/>
                </w:rPr>
                <m:t>0.9×2.1</m:t>
              </m:r>
              <m:ctrlPr>
                <w:rPr>
                  <w:rFonts w:ascii="Cambria Math" w:hAnsi="Cambria Math"/>
                  <w:highlight w:val="none"/>
                </w:rPr>
              </m:ctrlPr>
            </m:den>
          </m:f>
          <m:r>
            <m:rPr>
              <m:nor/>
              <m:sty m:val="p"/>
            </m:rPr>
            <w:rPr>
              <w:b w:val="0"/>
              <w:i w:val="0"/>
              <w:highlight w:val="none"/>
            </w:rPr>
            <m:t>=</m:t>
          </m:r>
          <m:r>
            <m:rPr>
              <m:nor/>
              <m:sty m:val="p"/>
            </m:rPr>
            <w:rPr>
              <w:rFonts w:hint="default" w:ascii="Cambria Math" w:hAnsi="Cambria Math"/>
              <w:b w:val="0"/>
              <w:i w:val="0"/>
              <w:highlight w:val="none"/>
              <w:lang w:val="en-US" w:eastAsia="zh-CN"/>
            </w:rPr>
            <m:t>62.27</m:t>
          </m:r>
          <m:r>
            <m:rPr>
              <m:nor/>
              <m:sty m:val="p"/>
            </m:rPr>
            <w:rPr>
              <w:b w:val="0"/>
              <w:i w:val="0"/>
              <w:highlight w:val="none"/>
            </w:rPr>
            <m:t>kN</m:t>
          </m:r>
        </m:oMath>
      </m:oMathPara>
    </w:p>
    <w:p w14:paraId="75334144">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则钢丝绳最小公称直径：</w:t>
      </w:r>
    </w:p>
    <w:p w14:paraId="5D44ECD7">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r>
            <m:rPr>
              <m:nor/>
              <m:sty m:val="p"/>
            </m:rPr>
            <w:rPr>
              <w:b w:val="0"/>
              <w:i w:val="0"/>
              <w:highlight w:val="none"/>
            </w:rPr>
            <m:t>D=</m:t>
          </m:r>
          <m:rad>
            <m:radPr>
              <m:degHide m:val="1"/>
              <m:ctrlPr>
                <w:rPr>
                  <w:rFonts w:ascii="Cambria Math" w:hAnsi="Cambria Math"/>
                  <w:highlight w:val="none"/>
                </w:rPr>
              </m:ctrlPr>
            </m:radPr>
            <m:deg>
              <m:ctrlPr>
                <w:rPr>
                  <w:rFonts w:ascii="Cambria Math" w:hAnsi="Cambria Math"/>
                  <w:highlight w:val="none"/>
                </w:rPr>
              </m:ctrlPr>
            </m:deg>
            <m:e>
              <m:f>
                <m:fPr>
                  <m:ctrlPr>
                    <w:rPr>
                      <w:rFonts w:ascii="Cambria Math" w:hAnsi="Cambria Math"/>
                      <w:highlight w:val="none"/>
                    </w:rPr>
                  </m:ctrlPr>
                </m:fPr>
                <m:num>
                  <m:r>
                    <m:rPr>
                      <m:nor/>
                      <m:sty m:val="p"/>
                    </m:rPr>
                    <w:rPr>
                      <w:b w:val="0"/>
                      <w:i w:val="0"/>
                      <w:highlight w:val="none"/>
                    </w:rPr>
                    <m:t>1000×</m:t>
                  </m:r>
                  <m:sSub>
                    <m:sSubPr>
                      <m:ctrlPr>
                        <w:rPr>
                          <w:rFonts w:ascii="Cambria Math" w:hAnsi="Cambria Math"/>
                          <w:highlight w:val="none"/>
                        </w:rPr>
                      </m:ctrlPr>
                    </m:sSubPr>
                    <m:e>
                      <m:r>
                        <m:rPr>
                          <m:nor/>
                          <m:sty m:val="p"/>
                        </m:rPr>
                        <w:rPr>
                          <w:b w:val="0"/>
                          <w:i w:val="0"/>
                          <w:highlight w:val="none"/>
                        </w:rPr>
                        <m:t>F</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ctrlPr>
                    <w:rPr>
                      <w:rFonts w:ascii="Cambria Math" w:hAnsi="Cambria Math"/>
                      <w:highlight w:val="none"/>
                    </w:rPr>
                  </m:ctrlPr>
                </m:num>
                <m:den>
                  <m:sSup>
                    <m:sSupPr>
                      <m:ctrlPr>
                        <w:rPr>
                          <w:rFonts w:ascii="Cambria Math" w:hAnsi="Cambria Math"/>
                          <w:highlight w:val="none"/>
                        </w:rPr>
                      </m:ctrlPr>
                    </m:sSupPr>
                    <m:e>
                      <m:r>
                        <m:rPr>
                          <m:nor/>
                          <m:sty m:val="p"/>
                        </m:rPr>
                        <w:rPr>
                          <w:b w:val="0"/>
                          <w:i w:val="0"/>
                          <w:highlight w:val="none"/>
                        </w:rPr>
                        <m:t>K</m:t>
                      </m:r>
                      <m:ctrlPr>
                        <w:rPr>
                          <w:rFonts w:ascii="Cambria Math" w:hAnsi="Cambria Math"/>
                          <w:highlight w:val="none"/>
                        </w:rPr>
                      </m:ctrlPr>
                    </m:e>
                    <m:sup>
                      <m:r>
                        <m:rPr>
                          <m:nor/>
                          <m:sty m:val="p"/>
                        </m:rPr>
                        <w:rPr>
                          <w:b w:val="0"/>
                          <w:i w:val="0"/>
                          <w:highlight w:val="none"/>
                        </w:rPr>
                        <m:t>'</m:t>
                      </m:r>
                      <m:ctrlPr>
                        <w:rPr>
                          <w:rFonts w:ascii="Cambria Math" w:hAnsi="Cambria Math"/>
                          <w:highlight w:val="none"/>
                        </w:rPr>
                      </m:ctrlPr>
                    </m:sup>
                  </m:sSup>
                  <m:r>
                    <m:rPr>
                      <m:nor/>
                      <m:sty m:val="p"/>
                    </m:rPr>
                    <w:rPr>
                      <w:b w:val="0"/>
                      <w:i w:val="0"/>
                      <w:highlight w:val="none"/>
                    </w:rPr>
                    <m:t>×</m:t>
                  </m:r>
                  <m:sSub>
                    <m:sSubPr>
                      <m:ctrlPr>
                        <w:rPr>
                          <w:rFonts w:ascii="Cambria Math" w:hAnsi="Cambria Math"/>
                          <w:highlight w:val="none"/>
                        </w:rPr>
                      </m:ctrlPr>
                    </m:sSubPr>
                    <m:e>
                      <m:r>
                        <m:rPr>
                          <m:nor/>
                          <m:sty m:val="p"/>
                        </m:rPr>
                        <w:rPr>
                          <w:b w:val="0"/>
                          <w:i w:val="0"/>
                          <w:highlight w:val="none"/>
                        </w:rPr>
                        <m:t>R</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ctrlPr>
                    <w:rPr>
                      <w:rFonts w:ascii="Cambria Math" w:hAnsi="Cambria Math"/>
                      <w:highlight w:val="none"/>
                    </w:rPr>
                  </m:ctrlPr>
                </m:den>
              </m:f>
              <m:ctrlPr>
                <w:rPr>
                  <w:rFonts w:ascii="Cambria Math" w:hAnsi="Cambria Math"/>
                  <w:highlight w:val="none"/>
                </w:rPr>
              </m:ctrlPr>
            </m:e>
          </m:rad>
          <m:r>
            <m:rPr>
              <m:nor/>
              <m:sty m:val="p"/>
            </m:rPr>
            <w:rPr>
              <w:b w:val="0"/>
              <w:i w:val="0"/>
              <w:highlight w:val="none"/>
            </w:rPr>
            <m:t>=</m:t>
          </m:r>
          <m:rad>
            <m:radPr>
              <m:degHide m:val="1"/>
              <m:ctrlPr>
                <w:rPr>
                  <w:rFonts w:ascii="Cambria Math" w:hAnsi="Cambria Math"/>
                  <w:highlight w:val="none"/>
                </w:rPr>
              </m:ctrlPr>
            </m:radPr>
            <m:deg>
              <m:ctrlPr>
                <w:rPr>
                  <w:rFonts w:ascii="Cambria Math" w:hAnsi="Cambria Math"/>
                  <w:highlight w:val="none"/>
                </w:rPr>
              </m:ctrlPr>
            </m:deg>
            <m:e>
              <m:f>
                <m:fPr>
                  <m:ctrlPr>
                    <w:rPr>
                      <w:rFonts w:ascii="Cambria Math" w:hAnsi="Cambria Math"/>
                      <w:highlight w:val="none"/>
                    </w:rPr>
                  </m:ctrlPr>
                </m:fPr>
                <m:num>
                  <m:r>
                    <m:rPr>
                      <m:nor/>
                      <m:sty m:val="p"/>
                    </m:rPr>
                    <w:rPr>
                      <w:b w:val="0"/>
                      <w:i w:val="0"/>
                      <w:highlight w:val="none"/>
                    </w:rPr>
                    <m:t>1000×</m:t>
                  </m:r>
                  <m:r>
                    <m:rPr>
                      <m:nor/>
                      <m:sty m:val="p"/>
                    </m:rPr>
                    <w:rPr>
                      <w:rFonts w:hint="default" w:ascii="Cambria Math" w:hAnsi="Cambria Math"/>
                      <w:b w:val="0"/>
                      <w:i w:val="0"/>
                      <w:highlight w:val="none"/>
                      <w:lang w:val="en-US" w:eastAsia="zh-CN"/>
                    </w:rPr>
                    <m:t>62.27</m:t>
                  </m:r>
                  <m:ctrlPr>
                    <w:rPr>
                      <w:rFonts w:ascii="Cambria Math" w:hAnsi="Cambria Math"/>
                      <w:highlight w:val="none"/>
                    </w:rPr>
                  </m:ctrlPr>
                </m:num>
                <m:den>
                  <m:r>
                    <m:rPr>
                      <m:nor/>
                      <m:sty m:val="p"/>
                    </m:rPr>
                    <w:rPr>
                      <w:b w:val="0"/>
                      <w:i w:val="0"/>
                      <w:highlight w:val="none"/>
                    </w:rPr>
                    <m:t>0.33×1</m:t>
                  </m:r>
                  <m:r>
                    <m:rPr>
                      <m:nor/>
                      <m:sty m:val="p"/>
                    </m:rPr>
                    <w:rPr>
                      <w:rFonts w:hint="default" w:ascii="Cambria Math" w:hAnsi="Cambria Math"/>
                      <w:b w:val="0"/>
                      <w:i w:val="0"/>
                      <w:highlight w:val="none"/>
                      <w:lang w:val="en-US" w:eastAsia="zh-CN"/>
                    </w:rPr>
                    <m:t>87</m:t>
                  </m:r>
                  <m:r>
                    <m:rPr>
                      <m:nor/>
                      <m:sty m:val="p"/>
                    </m:rPr>
                    <w:rPr>
                      <w:b w:val="0"/>
                      <w:i w:val="0"/>
                      <w:highlight w:val="none"/>
                    </w:rPr>
                    <m:t>0</m:t>
                  </m:r>
                  <m:ctrlPr>
                    <w:rPr>
                      <w:rFonts w:ascii="Cambria Math" w:hAnsi="Cambria Math"/>
                      <w:highlight w:val="none"/>
                    </w:rPr>
                  </m:ctrlPr>
                </m:den>
              </m:f>
              <m:ctrlPr>
                <w:rPr>
                  <w:rFonts w:ascii="Cambria Math" w:hAnsi="Cambria Math"/>
                  <w:highlight w:val="none"/>
                </w:rPr>
              </m:ctrlPr>
            </m:e>
          </m:rad>
          <m:r>
            <m:rPr>
              <m:nor/>
              <m:sty m:val="p"/>
            </m:rPr>
            <w:rPr>
              <w:b w:val="0"/>
              <w:i w:val="0"/>
              <w:highlight w:val="none"/>
            </w:rPr>
            <m:t>=</m:t>
          </m:r>
          <m:r>
            <m:rPr>
              <m:nor/>
              <m:sty m:val="p"/>
            </m:rPr>
            <w:rPr>
              <w:rFonts w:hint="default" w:ascii="Cambria Math" w:hAnsi="Cambria Math"/>
              <w:b w:val="0"/>
              <w:i w:val="0"/>
              <w:highlight w:val="none"/>
              <w:lang w:val="en-US" w:eastAsia="zh-CN"/>
            </w:rPr>
            <m:t>10.05</m:t>
          </m:r>
          <m:r>
            <m:rPr>
              <m:nor/>
              <m:sty m:val="p"/>
            </m:rPr>
            <w:rPr>
              <w:b w:val="0"/>
              <w:i w:val="0"/>
              <w:highlight w:val="none"/>
            </w:rPr>
            <m:t>mm</m:t>
          </m:r>
        </m:oMath>
      </m:oMathPara>
    </w:p>
    <w:p w14:paraId="7BE10C10">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采用</w:t>
      </w:r>
      <w:r>
        <w:rPr>
          <w:rFonts w:hint="eastAsia" w:ascii="Times New Roman" w:hAnsi="Times New Roman" w:eastAsia="宋体" w:cs="Times New Roman"/>
          <w:highlight w:val="none"/>
          <w:lang w:val="en-US" w:eastAsia="zh-CN"/>
        </w:rPr>
        <w:t>φ1</w:t>
      </w:r>
      <w:r>
        <w:rPr>
          <w:rFonts w:hint="eastAsia" w:cs="Times New Roman"/>
          <w:highlight w:val="none"/>
          <w:lang w:val="en-US" w:eastAsia="zh-CN"/>
        </w:rPr>
        <w:t>2</w:t>
      </w:r>
      <w:r>
        <w:rPr>
          <w:rFonts w:hint="eastAsia" w:ascii="Times New Roman" w:hAnsi="Times New Roman" w:eastAsia="宋体" w:cs="Times New Roman"/>
          <w:highlight w:val="none"/>
        </w:rPr>
        <w:t>mm钢丝绳可满足要求。</w:t>
      </w:r>
    </w:p>
    <w:p w14:paraId="6560B87E">
      <w:pPr>
        <w:bidi w:val="0"/>
        <w:rPr>
          <w:lang w:val="en-US" w:eastAsia="zh-CN"/>
        </w:rPr>
      </w:pPr>
      <w:bookmarkStart w:id="297" w:name="_Toc132535969"/>
      <w:r>
        <w:rPr>
          <w:rFonts w:hint="eastAsia" w:ascii="Times New Roman" w:hAnsi="Times New Roman" w:eastAsia="宋体" w:cs="Times New Roman"/>
          <w:color w:val="auto"/>
          <w:highlight w:val="none"/>
          <w:lang w:val="en-US" w:eastAsia="zh-CN"/>
        </w:rPr>
        <w:t>2、</w:t>
      </w:r>
      <w:r>
        <w:rPr>
          <w:rFonts w:hint="eastAsia"/>
          <w:lang w:val="en-US" w:eastAsia="zh-CN"/>
        </w:rPr>
        <w:t>卸扣选型</w:t>
      </w:r>
      <w:bookmarkEnd w:id="297"/>
    </w:p>
    <w:p w14:paraId="09594DDF">
      <w:pPr>
        <w:ind w:firstLine="480"/>
        <w:rPr>
          <w:rFonts w:ascii="Times New Roman" w:hAnsi="Times New Roman" w:eastAsia="宋体" w:cs="Times New Roman"/>
        </w:rPr>
      </w:pPr>
      <w:r>
        <w:rPr>
          <w:rFonts w:hint="eastAsia" w:ascii="Times New Roman" w:hAnsi="Times New Roman" w:eastAsia="宋体" w:cs="Times New Roman"/>
        </w:rPr>
        <w:t>卸扣根据《一般起重用D形和弓形锻造卸扣》（GB/T25854-2010）的规定选用。</w:t>
      </w:r>
    </w:p>
    <w:p w14:paraId="0541FF98">
      <w:pPr>
        <w:widowControl w:val="0"/>
        <w:spacing w:line="240" w:lineRule="auto"/>
        <w:ind w:firstLine="0" w:firstLineChars="0"/>
        <w:jc w:val="center"/>
        <w:rPr>
          <w:rFonts w:ascii="Times New Roman" w:hAnsi="Times New Roman" w:eastAsia="宋体" w:cs="Times New Roman"/>
          <w:b/>
          <w:color w:val="auto"/>
          <w:kern w:val="2"/>
          <w:sz w:val="21"/>
          <w:szCs w:val="20"/>
          <w:lang w:val="en-US" w:eastAsia="zh-CN" w:bidi="ar-SA"/>
        </w:rPr>
      </w:pPr>
      <w:r>
        <w:rPr>
          <w:rFonts w:hint="eastAsia" w:ascii="Times New Roman" w:hAnsi="Times New Roman" w:eastAsia="宋体" w:cs="Times New Roman"/>
          <w:b/>
          <w:color w:val="auto"/>
          <w:kern w:val="2"/>
          <w:sz w:val="21"/>
          <w:szCs w:val="20"/>
          <w:lang w:val="en-US" w:eastAsia="zh-CN" w:bidi="ar-SA"/>
        </w:rPr>
        <w:t>表11.2</w:t>
      </w:r>
      <w:r>
        <w:rPr>
          <w:rFonts w:ascii="Times New Roman" w:hAnsi="Times New Roman" w:eastAsia="宋体" w:cs="Times New Roman"/>
          <w:b/>
          <w:color w:val="auto"/>
          <w:kern w:val="2"/>
          <w:sz w:val="21"/>
          <w:szCs w:val="20"/>
          <w:lang w:val="en-US" w:eastAsia="zh-CN" w:bidi="ar-SA"/>
        </w:rPr>
        <w:noBreakHyphen/>
      </w:r>
      <w:r>
        <w:rPr>
          <w:rFonts w:hint="eastAsia" w:ascii="Times New Roman" w:hAnsi="Times New Roman" w:eastAsia="宋体" w:cs="Times New Roman"/>
          <w:b/>
          <w:color w:val="auto"/>
          <w:kern w:val="2"/>
          <w:sz w:val="21"/>
          <w:szCs w:val="20"/>
          <w:lang w:val="en-US" w:eastAsia="zh-CN" w:bidi="ar-SA"/>
        </w:rPr>
        <w:t>1 D形卸扣尺寸</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03"/>
        <w:gridCol w:w="1104"/>
        <w:gridCol w:w="1104"/>
        <w:gridCol w:w="982"/>
        <w:gridCol w:w="982"/>
        <w:gridCol w:w="1125"/>
        <w:gridCol w:w="927"/>
        <w:gridCol w:w="1009"/>
      </w:tblGrid>
      <w:tr w14:paraId="0B45A2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986" w:type="pct"/>
            <w:gridSpan w:val="3"/>
            <w:shd w:val="clear" w:color="auto" w:fill="4472C4"/>
            <w:vAlign w:val="center"/>
          </w:tcPr>
          <w:p w14:paraId="52CBBC02">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极限工作荷载WLL</w:t>
            </w:r>
          </w:p>
        </w:tc>
        <w:tc>
          <w:tcPr>
            <w:tcW w:w="589" w:type="pct"/>
            <w:vMerge w:val="restart"/>
            <w:shd w:val="clear" w:color="auto" w:fill="4472C4"/>
            <w:vAlign w:val="center"/>
          </w:tcPr>
          <w:p w14:paraId="5CA7239A">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a</w:t>
            </w:r>
          </w:p>
          <w:p w14:paraId="4E8BE271">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89" w:type="pct"/>
            <w:vMerge w:val="restart"/>
            <w:shd w:val="clear" w:color="auto" w:fill="4472C4"/>
            <w:vAlign w:val="center"/>
          </w:tcPr>
          <w:p w14:paraId="2EA5BB53">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b</w:t>
            </w:r>
          </w:p>
          <w:p w14:paraId="116E4744">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675" w:type="pct"/>
            <w:vMerge w:val="restart"/>
            <w:shd w:val="clear" w:color="auto" w:fill="4472C4"/>
            <w:vAlign w:val="center"/>
          </w:tcPr>
          <w:p w14:paraId="3A8E40B2">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e</w:t>
            </w:r>
            <w:r>
              <w:rPr>
                <w:rFonts w:ascii="Times New Roman" w:hAnsi="Times New Roman" w:eastAsia="仿宋" w:cs="Times New Roman"/>
                <w:b/>
                <w:color w:val="FFFFFF"/>
                <w:kern w:val="0"/>
                <w:sz w:val="21"/>
                <w:szCs w:val="21"/>
                <w:vertAlign w:val="superscript"/>
                <w:lang w:val="en-US" w:eastAsia="zh-CN" w:bidi="ar-SA"/>
              </w:rPr>
              <w:t>c</w:t>
            </w:r>
          </w:p>
          <w:p w14:paraId="5099452D">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56" w:type="pct"/>
            <w:vMerge w:val="restart"/>
            <w:shd w:val="clear" w:color="auto" w:fill="4472C4"/>
            <w:vAlign w:val="center"/>
          </w:tcPr>
          <w:p w14:paraId="37FBA212">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S</w:t>
            </w:r>
            <w:r>
              <w:rPr>
                <w:rFonts w:ascii="Times New Roman" w:hAnsi="Times New Roman" w:eastAsia="仿宋" w:cs="Times New Roman"/>
                <w:b/>
                <w:color w:val="FFFFFF"/>
                <w:kern w:val="0"/>
                <w:sz w:val="21"/>
                <w:szCs w:val="21"/>
                <w:vertAlign w:val="superscript"/>
                <w:lang w:val="en-US" w:eastAsia="zh-CN" w:bidi="ar-SA"/>
              </w:rPr>
              <w:t>d</w:t>
            </w:r>
          </w:p>
          <w:p w14:paraId="1BBD1330">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c>
          <w:tcPr>
            <w:tcW w:w="605" w:type="pct"/>
            <w:vMerge w:val="restart"/>
            <w:shd w:val="clear" w:color="auto" w:fill="4472C4"/>
            <w:vAlign w:val="center"/>
          </w:tcPr>
          <w:p w14:paraId="159C0EC1">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W</w:t>
            </w:r>
            <w:r>
              <w:rPr>
                <w:rFonts w:ascii="Times New Roman" w:hAnsi="Times New Roman" w:eastAsia="仿宋" w:cs="Times New Roman"/>
                <w:b/>
                <w:color w:val="FFFFFF"/>
                <w:kern w:val="0"/>
                <w:sz w:val="21"/>
                <w:szCs w:val="21"/>
                <w:vertAlign w:val="superscript"/>
                <w:lang w:val="en-US" w:eastAsia="zh-CN" w:bidi="ar-SA"/>
              </w:rPr>
              <w:t>b</w:t>
            </w:r>
          </w:p>
          <w:p w14:paraId="08C4A518">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r>
      <w:tr w14:paraId="663F44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4472C4"/>
            <w:vAlign w:val="center"/>
          </w:tcPr>
          <w:p w14:paraId="34177299">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4级</w:t>
            </w:r>
          </w:p>
        </w:tc>
        <w:tc>
          <w:tcPr>
            <w:tcW w:w="662" w:type="pct"/>
            <w:shd w:val="clear" w:color="auto" w:fill="4472C4"/>
            <w:vAlign w:val="center"/>
          </w:tcPr>
          <w:p w14:paraId="039EEB3A">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6级</w:t>
            </w:r>
          </w:p>
        </w:tc>
        <w:tc>
          <w:tcPr>
            <w:tcW w:w="662" w:type="pct"/>
            <w:shd w:val="clear" w:color="auto" w:fill="4472C4"/>
            <w:vAlign w:val="center"/>
          </w:tcPr>
          <w:p w14:paraId="19272E47">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8级</w:t>
            </w:r>
          </w:p>
        </w:tc>
        <w:tc>
          <w:tcPr>
            <w:tcW w:w="589" w:type="pct"/>
            <w:vMerge w:val="continue"/>
            <w:shd w:val="clear" w:color="auto" w:fill="auto"/>
            <w:vAlign w:val="center"/>
          </w:tcPr>
          <w:p w14:paraId="1D414BF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89" w:type="pct"/>
            <w:vMerge w:val="continue"/>
            <w:shd w:val="clear" w:color="auto" w:fill="auto"/>
            <w:vAlign w:val="center"/>
          </w:tcPr>
          <w:p w14:paraId="66C6935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675" w:type="pct"/>
            <w:vMerge w:val="continue"/>
            <w:shd w:val="clear" w:color="auto" w:fill="auto"/>
            <w:vAlign w:val="center"/>
          </w:tcPr>
          <w:p w14:paraId="60653B0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56" w:type="pct"/>
            <w:vMerge w:val="continue"/>
            <w:shd w:val="clear" w:color="auto" w:fill="auto"/>
            <w:vAlign w:val="center"/>
          </w:tcPr>
          <w:p w14:paraId="7518486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605" w:type="pct"/>
            <w:vMerge w:val="continue"/>
            <w:shd w:val="clear" w:color="auto" w:fill="auto"/>
            <w:vAlign w:val="center"/>
          </w:tcPr>
          <w:p w14:paraId="556A938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r>
      <w:tr w14:paraId="08E73F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86" w:type="pct"/>
            <w:gridSpan w:val="3"/>
            <w:shd w:val="clear" w:color="auto" w:fill="auto"/>
            <w:vAlign w:val="center"/>
          </w:tcPr>
          <w:p w14:paraId="40FF4BD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t</w:t>
            </w:r>
          </w:p>
        </w:tc>
        <w:tc>
          <w:tcPr>
            <w:tcW w:w="3014" w:type="pct"/>
            <w:gridSpan w:val="5"/>
            <w:shd w:val="clear" w:color="auto" w:fill="auto"/>
            <w:vAlign w:val="center"/>
          </w:tcPr>
          <w:p w14:paraId="0673E00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mm</w:t>
            </w:r>
          </w:p>
        </w:tc>
      </w:tr>
      <w:tr w14:paraId="44E87D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4CD5E9F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w:t>
            </w:r>
          </w:p>
        </w:tc>
        <w:tc>
          <w:tcPr>
            <w:tcW w:w="662" w:type="pct"/>
            <w:shd w:val="clear" w:color="auto" w:fill="auto"/>
            <w:vAlign w:val="center"/>
          </w:tcPr>
          <w:p w14:paraId="20E6076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vAlign w:val="center"/>
          </w:tcPr>
          <w:p w14:paraId="026ADD1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589" w:type="pct"/>
            <w:shd w:val="clear" w:color="auto" w:fill="auto"/>
            <w:vAlign w:val="center"/>
          </w:tcPr>
          <w:p w14:paraId="11873A9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31.5</w:t>
            </w:r>
          </w:p>
        </w:tc>
        <w:tc>
          <w:tcPr>
            <w:tcW w:w="589" w:type="pct"/>
            <w:shd w:val="clear" w:color="auto" w:fill="auto"/>
            <w:vAlign w:val="center"/>
          </w:tcPr>
          <w:p w14:paraId="64FC0CA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675" w:type="pct"/>
            <w:shd w:val="clear" w:color="auto" w:fill="auto"/>
            <w:vAlign w:val="center"/>
          </w:tcPr>
          <w:p w14:paraId="0B88853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78.1</w:t>
            </w:r>
          </w:p>
        </w:tc>
        <w:tc>
          <w:tcPr>
            <w:tcW w:w="556" w:type="pct"/>
            <w:shd w:val="clear" w:color="auto" w:fill="auto"/>
            <w:vAlign w:val="center"/>
          </w:tcPr>
          <w:p w14:paraId="6F35581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605" w:type="pct"/>
            <w:shd w:val="clear" w:color="auto" w:fill="auto"/>
            <w:vAlign w:val="center"/>
          </w:tcPr>
          <w:p w14:paraId="1151264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r>
      <w:tr w14:paraId="2FA28B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5CDD906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vAlign w:val="center"/>
          </w:tcPr>
          <w:p w14:paraId="01F6453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vAlign w:val="center"/>
          </w:tcPr>
          <w:p w14:paraId="72F095F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589" w:type="pct"/>
            <w:shd w:val="clear" w:color="auto" w:fill="auto"/>
            <w:vAlign w:val="center"/>
          </w:tcPr>
          <w:p w14:paraId="1654404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589" w:type="pct"/>
            <w:shd w:val="clear" w:color="auto" w:fill="auto"/>
            <w:vAlign w:val="center"/>
          </w:tcPr>
          <w:p w14:paraId="226C90E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75" w:type="pct"/>
            <w:shd w:val="clear" w:color="auto" w:fill="auto"/>
            <w:vAlign w:val="center"/>
          </w:tcPr>
          <w:p w14:paraId="16FC6FD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88</w:t>
            </w:r>
          </w:p>
        </w:tc>
        <w:tc>
          <w:tcPr>
            <w:tcW w:w="556" w:type="pct"/>
            <w:shd w:val="clear" w:color="auto" w:fill="auto"/>
            <w:vAlign w:val="center"/>
          </w:tcPr>
          <w:p w14:paraId="77801FE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605" w:type="pct"/>
            <w:shd w:val="clear" w:color="auto" w:fill="auto"/>
            <w:vAlign w:val="center"/>
          </w:tcPr>
          <w:p w14:paraId="099A241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r>
      <w:tr w14:paraId="711D3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51589AD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vAlign w:val="center"/>
          </w:tcPr>
          <w:p w14:paraId="1CC0FC2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vAlign w:val="center"/>
          </w:tcPr>
          <w:p w14:paraId="5F018E6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589" w:type="pct"/>
            <w:shd w:val="clear" w:color="auto" w:fill="auto"/>
            <w:vAlign w:val="center"/>
          </w:tcPr>
          <w:p w14:paraId="57D2B9D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89" w:type="pct"/>
            <w:shd w:val="clear" w:color="auto" w:fill="auto"/>
            <w:vAlign w:val="center"/>
          </w:tcPr>
          <w:p w14:paraId="3EC89BF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675" w:type="pct"/>
            <w:shd w:val="clear" w:color="auto" w:fill="auto"/>
            <w:vAlign w:val="center"/>
          </w:tcPr>
          <w:p w14:paraId="062E4FE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99</w:t>
            </w:r>
          </w:p>
        </w:tc>
        <w:tc>
          <w:tcPr>
            <w:tcW w:w="556" w:type="pct"/>
            <w:shd w:val="clear" w:color="auto" w:fill="auto"/>
            <w:vAlign w:val="center"/>
          </w:tcPr>
          <w:p w14:paraId="579F9BE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605" w:type="pct"/>
            <w:shd w:val="clear" w:color="auto" w:fill="auto"/>
            <w:vAlign w:val="center"/>
          </w:tcPr>
          <w:p w14:paraId="36278CE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r>
      <w:tr w14:paraId="7146D5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2597FB8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vAlign w:val="center"/>
          </w:tcPr>
          <w:p w14:paraId="2D333DF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vAlign w:val="center"/>
          </w:tcPr>
          <w:p w14:paraId="3C81325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589" w:type="pct"/>
            <w:shd w:val="clear" w:color="auto" w:fill="auto"/>
            <w:vAlign w:val="center"/>
          </w:tcPr>
          <w:p w14:paraId="69AE800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589" w:type="pct"/>
            <w:shd w:val="clear" w:color="auto" w:fill="auto"/>
            <w:vAlign w:val="center"/>
          </w:tcPr>
          <w:p w14:paraId="1A3FBB3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675" w:type="pct"/>
            <w:shd w:val="clear" w:color="auto" w:fill="auto"/>
            <w:vAlign w:val="center"/>
          </w:tcPr>
          <w:p w14:paraId="770F44F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110</w:t>
            </w:r>
          </w:p>
        </w:tc>
        <w:tc>
          <w:tcPr>
            <w:tcW w:w="556" w:type="pct"/>
            <w:shd w:val="clear" w:color="auto" w:fill="auto"/>
            <w:vAlign w:val="center"/>
          </w:tcPr>
          <w:p w14:paraId="3E2663C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605" w:type="pct"/>
            <w:shd w:val="clear" w:color="auto" w:fill="auto"/>
            <w:vAlign w:val="center"/>
          </w:tcPr>
          <w:p w14:paraId="732142E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r>
      <w:tr w14:paraId="6CC99A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07ACBD3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vAlign w:val="center"/>
          </w:tcPr>
          <w:p w14:paraId="49DB01D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vAlign w:val="center"/>
          </w:tcPr>
          <w:p w14:paraId="3A1BAF3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589" w:type="pct"/>
            <w:shd w:val="clear" w:color="auto" w:fill="auto"/>
            <w:vAlign w:val="center"/>
          </w:tcPr>
          <w:p w14:paraId="4303338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89" w:type="pct"/>
            <w:shd w:val="clear" w:color="auto" w:fill="auto"/>
            <w:vAlign w:val="center"/>
          </w:tcPr>
          <w:p w14:paraId="29668A1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675" w:type="pct"/>
            <w:shd w:val="clear" w:color="auto" w:fill="auto"/>
            <w:vAlign w:val="center"/>
          </w:tcPr>
          <w:p w14:paraId="4C897D5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123.2</w:t>
            </w:r>
          </w:p>
        </w:tc>
        <w:tc>
          <w:tcPr>
            <w:tcW w:w="556" w:type="pct"/>
            <w:shd w:val="clear" w:color="auto" w:fill="auto"/>
            <w:vAlign w:val="center"/>
          </w:tcPr>
          <w:p w14:paraId="4410BA1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112</w:t>
            </w:r>
          </w:p>
        </w:tc>
        <w:tc>
          <w:tcPr>
            <w:tcW w:w="605" w:type="pct"/>
            <w:shd w:val="clear" w:color="auto" w:fill="auto"/>
            <w:vAlign w:val="center"/>
          </w:tcPr>
          <w:p w14:paraId="4802F39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r>
      <w:tr w14:paraId="0ACFC1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34F1D52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vAlign w:val="center"/>
          </w:tcPr>
          <w:p w14:paraId="4F2E139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vAlign w:val="center"/>
          </w:tcPr>
          <w:p w14:paraId="32AAEE3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589" w:type="pct"/>
            <w:shd w:val="clear" w:color="auto" w:fill="auto"/>
            <w:vAlign w:val="center"/>
          </w:tcPr>
          <w:p w14:paraId="3F06490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589" w:type="pct"/>
            <w:shd w:val="clear" w:color="auto" w:fill="auto"/>
            <w:vAlign w:val="center"/>
          </w:tcPr>
          <w:p w14:paraId="3E406DE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75" w:type="pct"/>
            <w:shd w:val="clear" w:color="auto" w:fill="auto"/>
            <w:vAlign w:val="center"/>
          </w:tcPr>
          <w:p w14:paraId="521E077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138.6</w:t>
            </w:r>
          </w:p>
        </w:tc>
        <w:tc>
          <w:tcPr>
            <w:tcW w:w="556" w:type="pct"/>
            <w:shd w:val="clear" w:color="auto" w:fill="auto"/>
            <w:vAlign w:val="center"/>
          </w:tcPr>
          <w:p w14:paraId="1D4970A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05" w:type="pct"/>
            <w:shd w:val="clear" w:color="auto" w:fill="auto"/>
            <w:vAlign w:val="center"/>
          </w:tcPr>
          <w:p w14:paraId="0BBC0F0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r>
      <w:tr w14:paraId="240C7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4572F70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vAlign w:val="center"/>
          </w:tcPr>
          <w:p w14:paraId="0A60347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vAlign w:val="center"/>
          </w:tcPr>
          <w:p w14:paraId="2197AB9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89" w:type="pct"/>
            <w:shd w:val="clear" w:color="auto" w:fill="auto"/>
            <w:vAlign w:val="center"/>
          </w:tcPr>
          <w:p w14:paraId="3999EAB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89" w:type="pct"/>
            <w:shd w:val="clear" w:color="auto" w:fill="auto"/>
            <w:vAlign w:val="center"/>
          </w:tcPr>
          <w:p w14:paraId="5D054BA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675" w:type="pct"/>
            <w:shd w:val="clear" w:color="auto" w:fill="auto"/>
            <w:vAlign w:val="center"/>
          </w:tcPr>
          <w:p w14:paraId="0928570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156.2</w:t>
            </w:r>
          </w:p>
        </w:tc>
        <w:tc>
          <w:tcPr>
            <w:tcW w:w="556" w:type="pct"/>
            <w:shd w:val="clear" w:color="auto" w:fill="auto"/>
            <w:vAlign w:val="center"/>
          </w:tcPr>
          <w:p w14:paraId="08CD858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140</w:t>
            </w:r>
          </w:p>
        </w:tc>
        <w:tc>
          <w:tcPr>
            <w:tcW w:w="605" w:type="pct"/>
            <w:shd w:val="clear" w:color="auto" w:fill="auto"/>
            <w:vAlign w:val="center"/>
          </w:tcPr>
          <w:p w14:paraId="407A35F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r>
      <w:tr w14:paraId="2ED7B4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3137ECE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vAlign w:val="center"/>
          </w:tcPr>
          <w:p w14:paraId="22A1070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vAlign w:val="center"/>
          </w:tcPr>
          <w:p w14:paraId="2187BB1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89" w:type="pct"/>
            <w:shd w:val="clear" w:color="auto" w:fill="auto"/>
            <w:vAlign w:val="center"/>
          </w:tcPr>
          <w:p w14:paraId="67903B0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589" w:type="pct"/>
            <w:shd w:val="clear" w:color="auto" w:fill="auto"/>
            <w:vAlign w:val="center"/>
          </w:tcPr>
          <w:p w14:paraId="1333A1E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675" w:type="pct"/>
            <w:shd w:val="clear" w:color="auto" w:fill="auto"/>
            <w:vAlign w:val="center"/>
          </w:tcPr>
          <w:p w14:paraId="3EF36F2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178</w:t>
            </w:r>
          </w:p>
        </w:tc>
        <w:tc>
          <w:tcPr>
            <w:tcW w:w="556" w:type="pct"/>
            <w:shd w:val="clear" w:color="auto" w:fill="auto"/>
            <w:vAlign w:val="center"/>
          </w:tcPr>
          <w:p w14:paraId="5F7BAAE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160</w:t>
            </w:r>
          </w:p>
        </w:tc>
        <w:tc>
          <w:tcPr>
            <w:tcW w:w="605" w:type="pct"/>
            <w:shd w:val="clear" w:color="auto" w:fill="auto"/>
            <w:vAlign w:val="center"/>
          </w:tcPr>
          <w:p w14:paraId="141A2FF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r>
      <w:tr w14:paraId="730A9B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4E00F82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vAlign w:val="center"/>
          </w:tcPr>
          <w:p w14:paraId="4634837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662" w:type="pct"/>
            <w:shd w:val="clear" w:color="auto" w:fill="auto"/>
            <w:vAlign w:val="center"/>
          </w:tcPr>
          <w:p w14:paraId="0B73B57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89" w:type="pct"/>
            <w:shd w:val="clear" w:color="auto" w:fill="auto"/>
            <w:vAlign w:val="center"/>
          </w:tcPr>
          <w:p w14:paraId="4BA9305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89" w:type="pct"/>
            <w:shd w:val="clear" w:color="auto" w:fill="auto"/>
            <w:vAlign w:val="center"/>
          </w:tcPr>
          <w:p w14:paraId="4240069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675" w:type="pct"/>
            <w:shd w:val="clear" w:color="auto" w:fill="auto"/>
            <w:vAlign w:val="center"/>
          </w:tcPr>
          <w:p w14:paraId="6D6B30A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198</w:t>
            </w:r>
          </w:p>
        </w:tc>
        <w:tc>
          <w:tcPr>
            <w:tcW w:w="556" w:type="pct"/>
            <w:shd w:val="clear" w:color="auto" w:fill="auto"/>
            <w:vAlign w:val="center"/>
          </w:tcPr>
          <w:p w14:paraId="69C8C49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180</w:t>
            </w:r>
          </w:p>
        </w:tc>
        <w:tc>
          <w:tcPr>
            <w:tcW w:w="605" w:type="pct"/>
            <w:shd w:val="clear" w:color="auto" w:fill="auto"/>
            <w:vAlign w:val="center"/>
          </w:tcPr>
          <w:p w14:paraId="74CC497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r>
      <w:tr w14:paraId="2D28B5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1AAB059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vAlign w:val="center"/>
          </w:tcPr>
          <w:p w14:paraId="7A99245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vAlign w:val="center"/>
          </w:tcPr>
          <w:p w14:paraId="0850883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89" w:type="pct"/>
            <w:shd w:val="clear" w:color="auto" w:fill="auto"/>
            <w:vAlign w:val="center"/>
          </w:tcPr>
          <w:p w14:paraId="19F9570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589" w:type="pct"/>
            <w:shd w:val="clear" w:color="auto" w:fill="auto"/>
            <w:vAlign w:val="center"/>
          </w:tcPr>
          <w:p w14:paraId="3A95BD3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675" w:type="pct"/>
            <w:shd w:val="clear" w:color="auto" w:fill="auto"/>
            <w:vAlign w:val="center"/>
          </w:tcPr>
          <w:p w14:paraId="137D407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220</w:t>
            </w:r>
          </w:p>
        </w:tc>
        <w:tc>
          <w:tcPr>
            <w:tcW w:w="556" w:type="pct"/>
            <w:shd w:val="clear" w:color="auto" w:fill="auto"/>
            <w:vAlign w:val="center"/>
          </w:tcPr>
          <w:p w14:paraId="538704C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200</w:t>
            </w:r>
          </w:p>
        </w:tc>
        <w:tc>
          <w:tcPr>
            <w:tcW w:w="605" w:type="pct"/>
            <w:shd w:val="clear" w:color="auto" w:fill="auto"/>
            <w:vAlign w:val="center"/>
          </w:tcPr>
          <w:p w14:paraId="64A61B7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r>
    </w:tbl>
    <w:p w14:paraId="11AE4ABD">
      <w:pPr>
        <w:ind w:firstLine="480"/>
        <w:rPr>
          <w:rFonts w:ascii="Times New Roman" w:hAnsi="Times New Roman" w:eastAsia="宋体" w:cs="Times New Roman"/>
        </w:rPr>
      </w:pPr>
      <w:r>
        <w:rPr>
          <w:rFonts w:hint="eastAsia" w:ascii="Times New Roman" w:hAnsi="Times New Roman" w:eastAsia="宋体" w:cs="Times New Roman"/>
        </w:rPr>
        <w:t>四点吊</w:t>
      </w:r>
      <w:r>
        <w:rPr>
          <w:rFonts w:hint="eastAsia" w:ascii="Times New Roman" w:hAnsi="Times New Roman" w:eastAsia="宋体" w:cs="Times New Roman"/>
          <w:lang w:eastAsia="zh-CN"/>
        </w:rPr>
        <w:t>的</w:t>
      </w:r>
      <w:r>
        <w:rPr>
          <w:rFonts w:hint="eastAsia" w:ascii="Times New Roman" w:hAnsi="Times New Roman" w:eastAsia="宋体" w:cs="Times New Roman"/>
          <w:lang w:val="en-US" w:eastAsia="zh-CN"/>
        </w:rPr>
        <w:t>施工升降机</w:t>
      </w:r>
      <w:r>
        <w:rPr>
          <w:rFonts w:hint="eastAsia" w:ascii="Times New Roman" w:hAnsi="Times New Roman" w:eastAsia="宋体" w:cs="Times New Roman"/>
        </w:rPr>
        <w:t>主要部件</w:t>
      </w:r>
      <w:r>
        <w:rPr>
          <w:rFonts w:hint="eastAsia" w:ascii="Times New Roman" w:hAnsi="Times New Roman" w:eastAsia="宋体" w:cs="Times New Roman"/>
          <w:lang w:val="en-US" w:eastAsia="zh-CN"/>
        </w:rPr>
        <w:t>中</w:t>
      </w:r>
      <w:r>
        <w:rPr>
          <w:rFonts w:hint="eastAsia" w:ascii="Times New Roman" w:hAnsi="Times New Roman" w:eastAsia="宋体" w:cs="Times New Roman"/>
        </w:rPr>
        <w:t>最大重</w:t>
      </w:r>
      <w:r>
        <w:rPr>
          <w:rFonts w:hint="eastAsia" w:ascii="Times New Roman" w:hAnsi="Times New Roman" w:eastAsia="宋体" w:cs="Times New Roman"/>
          <w:highlight w:val="none"/>
        </w:rPr>
        <w:t>量为</w:t>
      </w:r>
      <w:r>
        <w:rPr>
          <w:rFonts w:hint="eastAsia" w:ascii="Times New Roman" w:hAnsi="Times New Roman" w:eastAsia="宋体" w:cs="Times New Roman"/>
          <w:highlight w:val="none"/>
          <w:lang w:val="en-US" w:eastAsia="zh-CN"/>
        </w:rPr>
        <w:t>吊笼</w:t>
      </w:r>
      <w:r>
        <w:rPr>
          <w:rFonts w:hint="eastAsia" w:ascii="Times New Roman" w:hAnsi="Times New Roman" w:eastAsia="宋体" w:cs="Times New Roman"/>
          <w:highlight w:val="none"/>
        </w:rPr>
        <w:t>，</w:t>
      </w:r>
      <w:r>
        <w:rPr>
          <w:rFonts w:hint="eastAsia" w:ascii="Times New Roman" w:hAnsi="Times New Roman" w:eastAsia="宋体" w:cs="Times New Roman"/>
          <w:highlight w:val="none"/>
          <w:lang w:val="en-US" w:eastAsia="zh-CN"/>
        </w:rPr>
        <w:t>吊笼</w:t>
      </w:r>
      <w:r>
        <w:rPr>
          <w:rFonts w:hint="eastAsia" w:ascii="Times New Roman" w:hAnsi="Times New Roman" w:eastAsia="宋体" w:cs="Times New Roman"/>
          <w:highlight w:val="none"/>
        </w:rPr>
        <w:t>起重量约</w:t>
      </w:r>
      <w:r>
        <w:rPr>
          <w:rFonts w:hint="eastAsia" w:cs="Times New Roman"/>
          <w:highlight w:val="none"/>
          <w:lang w:val="en-US" w:eastAsia="zh-CN"/>
        </w:rPr>
        <w:t>2</w:t>
      </w:r>
      <w:r>
        <w:rPr>
          <w:rFonts w:hint="eastAsia" w:ascii="Times New Roman" w:hAnsi="Times New Roman" w:eastAsia="宋体" w:cs="Times New Roman"/>
          <w:highlight w:val="none"/>
          <w:lang w:val="en-US" w:eastAsia="zh-CN"/>
        </w:rPr>
        <w:t>t</w:t>
      </w:r>
      <w:r>
        <w:rPr>
          <w:rFonts w:hint="eastAsia" w:ascii="Times New Roman" w:hAnsi="Times New Roman" w:eastAsia="宋体" w:cs="Times New Roman"/>
          <w:highlight w:val="none"/>
        </w:rPr>
        <w:t>，</w:t>
      </w:r>
      <w:r>
        <w:rPr>
          <w:rFonts w:hint="eastAsia" w:ascii="Times New Roman" w:hAnsi="Times New Roman" w:eastAsia="宋体" w:cs="Times New Roman"/>
        </w:rPr>
        <w:t>钢丝绳连接卸扣工作荷载：</w:t>
      </w:r>
    </w:p>
    <w:p w14:paraId="6E4DB07E">
      <w:pPr>
        <w:ind w:firstLine="480"/>
        <w:rPr>
          <w:rFonts w:ascii="Times New Roman" w:hAnsi="Times New Roman" w:eastAsia="宋体" w:cs="Times New Roman"/>
        </w:rPr>
      </w:pPr>
      <m:oMath>
        <m:r>
          <m:rPr>
            <m:nor/>
            <m:sty m:val="p"/>
          </m:rPr>
          <w:rPr>
            <w:b w:val="0"/>
            <w:i w:val="0"/>
          </w:rPr>
          <m:t>WL</m:t>
        </m:r>
        <m:sSub>
          <m:sSubPr>
            <m:ctrlPr>
              <w:rPr>
                <w:rFonts w:ascii="Cambria Math" w:hAnsi="Cambria Math"/>
                <w:i/>
              </w:rPr>
            </m:ctrlPr>
          </m:sSubPr>
          <m:e>
            <m:r>
              <m:rPr>
                <m:nor/>
                <m:sty m:val="p"/>
              </m:rPr>
              <w:rPr>
                <w:b w:val="0"/>
                <w:i w:val="0"/>
              </w:rPr>
              <m:t>L</m:t>
            </m:r>
            <m:ctrlPr>
              <w:rPr>
                <w:rFonts w:ascii="Cambria Math" w:hAnsi="Cambria Math"/>
                <w:i/>
              </w:rPr>
            </m:ctrlPr>
          </m:e>
          <m:sub>
            <m:r>
              <m:rPr>
                <m:nor/>
                <m:sty m:val="p"/>
              </m:rPr>
              <w:rPr>
                <w:b w:val="0"/>
                <w:i w:val="0"/>
              </w:rPr>
              <m:t>0</m:t>
            </m:r>
            <m:ctrlPr>
              <w:rPr>
                <w:rFonts w:ascii="Cambria Math" w:hAnsi="Cambria Math"/>
                <w:i/>
              </w:rPr>
            </m:ctrlPr>
          </m:sub>
        </m:sSub>
        <m:r>
          <m:rPr>
            <m:nor/>
            <m:sty m:val="p"/>
          </m:rPr>
          <w:rPr>
            <w:b w:val="0"/>
            <w:i w:val="0"/>
          </w:rPr>
          <m:t>=</m:t>
        </m:r>
        <m:f>
          <m:fPr>
            <m:ctrlPr>
              <w:rPr>
                <w:rFonts w:ascii="Cambria Math" w:hAnsi="Cambria Math"/>
                <w:i/>
              </w:rPr>
            </m:ctrlPr>
          </m:fPr>
          <m:num>
            <m:r>
              <m:rPr/>
              <w:rPr>
                <w:rFonts w:hint="default" w:ascii="Cambria Math" w:hAnsi="Cambria Math"/>
                <w:lang w:val="en-US" w:eastAsia="zh-CN"/>
              </w:rPr>
              <m:t>62.27</m:t>
            </m:r>
            <m:ctrlPr>
              <w:rPr>
                <w:rFonts w:ascii="Cambria Math" w:hAnsi="Cambria Math"/>
                <w:i/>
              </w:rPr>
            </m:ctrlPr>
          </m:num>
          <m:den>
            <m:r>
              <m:rPr>
                <m:nor/>
                <m:sty m:val="p"/>
              </m:rPr>
              <w:rPr>
                <w:b w:val="0"/>
                <w:i w:val="0"/>
              </w:rPr>
              <m:t>6</m:t>
            </m:r>
            <m:ctrlPr>
              <w:rPr>
                <w:rFonts w:ascii="Cambria Math" w:hAnsi="Cambria Math"/>
                <w:i/>
              </w:rPr>
            </m:ctrlPr>
          </m:den>
        </m:f>
        <m:r>
          <m:rPr>
            <m:nor/>
            <m:sty m:val="p"/>
          </m:rPr>
          <w:rPr>
            <w:b w:val="0"/>
            <w:i w:val="0"/>
          </w:rPr>
          <m:t>=</m:t>
        </m:r>
        <m:r>
          <m:rPr>
            <m:nor/>
            <m:sty m:val="p"/>
          </m:rPr>
          <w:rPr>
            <w:rFonts w:hint="default" w:ascii="Cambria Math" w:hAnsi="Cambria Math"/>
            <w:b w:val="0"/>
            <w:i w:val="0"/>
            <w:lang w:val="en-US" w:eastAsia="zh-CN"/>
          </w:rPr>
          <m:t>10.38</m:t>
        </m:r>
        <m:r>
          <m:rPr>
            <m:nor/>
            <m:sty m:val="p"/>
          </m:rPr>
          <w:rPr>
            <w:b w:val="0"/>
            <w:i w:val="0"/>
          </w:rPr>
          <m:t>kN</m:t>
        </m:r>
      </m:oMath>
      <w:r>
        <w:rPr>
          <w:rFonts w:hint="eastAsia" w:ascii="Times New Roman" w:hAnsi="Times New Roman" w:eastAsia="宋体" w:cs="Times New Roman"/>
        </w:rPr>
        <w:t>，选用卸扣GB/T25854-6-DW</w:t>
      </w:r>
      <w:r>
        <w:rPr>
          <w:rFonts w:hint="eastAsia" w:ascii="Times New Roman" w:hAnsi="Times New Roman" w:eastAsia="宋体" w:cs="Times New Roman"/>
          <w:lang w:val="en-US" w:eastAsia="zh-CN"/>
        </w:rPr>
        <w:t>5</w:t>
      </w:r>
      <w:r>
        <w:rPr>
          <w:rFonts w:hint="eastAsia" w:ascii="Times New Roman" w:hAnsi="Times New Roman" w:eastAsia="宋体" w:cs="Times New Roman"/>
        </w:rPr>
        <w:t>。</w:t>
      </w:r>
    </w:p>
    <w:p w14:paraId="01D4C0EC">
      <w:pPr>
        <w:rPr>
          <w:rFonts w:ascii="Times New Roman" w:hAnsi="Times New Roman" w:eastAsia="宋体" w:cs="Times New Roman"/>
        </w:rPr>
      </w:pPr>
      <w:r>
        <w:rPr>
          <w:rFonts w:ascii="Times New Roman" w:hAnsi="Times New Roman" w:eastAsia="宋体" w:cs="Times New Roman"/>
          <w:color w:val="auto"/>
        </w:rPr>
        <w:t>根据</w:t>
      </w:r>
      <w:r>
        <w:rPr>
          <w:rFonts w:hint="eastAsia" w:cs="Times New Roman"/>
          <w:color w:val="auto"/>
          <w:lang w:val="en-US" w:eastAsia="zh-CN"/>
        </w:rPr>
        <w:t>施工升降机</w:t>
      </w:r>
      <w:r>
        <w:rPr>
          <w:rFonts w:ascii="Times New Roman" w:hAnsi="Times New Roman" w:eastAsia="宋体" w:cs="Times New Roman"/>
          <w:color w:val="auto"/>
        </w:rPr>
        <w:t>基础设计参数及主要部件重量及吊</w:t>
      </w:r>
      <w:r>
        <w:rPr>
          <w:rFonts w:hint="eastAsia" w:ascii="Times New Roman" w:hAnsi="Times New Roman" w:eastAsia="宋体" w:cs="Times New Roman"/>
          <w:color w:val="auto"/>
        </w:rPr>
        <w:t>装</w:t>
      </w:r>
      <w:r>
        <w:rPr>
          <w:rFonts w:ascii="Times New Roman" w:hAnsi="Times New Roman" w:eastAsia="宋体" w:cs="Times New Roman"/>
          <w:color w:val="auto"/>
        </w:rPr>
        <w:t>高度，确定安装过程中所需的最大吊重、最大钢丝绳夹角，结合施工现场实际情况，确定起重钢丝绳型号。钢丝绳及卸扣选型见下表。</w:t>
      </w:r>
    </w:p>
    <w:p w14:paraId="1BC8F312">
      <w:pPr>
        <w:widowControl w:val="0"/>
        <w:spacing w:line="240" w:lineRule="auto"/>
        <w:ind w:firstLine="0" w:firstLineChars="0"/>
        <w:jc w:val="center"/>
        <w:rPr>
          <w:rFonts w:ascii="Times New Roman" w:hAnsi="Times New Roman" w:eastAsia="宋体" w:cs="Times New Roman"/>
          <w:b/>
          <w:color w:val="auto"/>
          <w:kern w:val="2"/>
          <w:sz w:val="21"/>
          <w:szCs w:val="20"/>
          <w:lang w:val="en-US" w:eastAsia="zh-CN" w:bidi="ar-SA"/>
        </w:rPr>
      </w:pPr>
      <w:r>
        <w:rPr>
          <w:rFonts w:ascii="Times New Roman" w:hAnsi="Times New Roman" w:eastAsia="宋体" w:cs="Times New Roman"/>
          <w:b/>
          <w:color w:val="auto"/>
          <w:kern w:val="2"/>
          <w:sz w:val="21"/>
          <w:szCs w:val="20"/>
          <w:lang w:val="en-US" w:eastAsia="zh-CN" w:bidi="ar-SA"/>
        </w:rPr>
        <w:t>表</w:t>
      </w:r>
      <w:r>
        <w:rPr>
          <w:rFonts w:hint="eastAsia" w:ascii="Times New Roman" w:hAnsi="Times New Roman" w:eastAsia="宋体" w:cs="Times New Roman"/>
          <w:b/>
          <w:color w:val="auto"/>
          <w:kern w:val="2"/>
          <w:sz w:val="21"/>
          <w:szCs w:val="20"/>
          <w:lang w:val="en-US" w:eastAsia="zh-CN" w:bidi="ar-SA"/>
        </w:rPr>
        <w:t>11.2-2</w:t>
      </w:r>
      <w:r>
        <w:rPr>
          <w:rFonts w:ascii="Times New Roman" w:hAnsi="Times New Roman" w:eastAsia="宋体" w:cs="Times New Roman"/>
          <w:b/>
          <w:color w:val="auto"/>
          <w:kern w:val="2"/>
          <w:sz w:val="21"/>
          <w:szCs w:val="20"/>
          <w:lang w:val="en-US" w:eastAsia="zh-CN" w:bidi="ar-SA"/>
        </w:rPr>
        <w:t>钢丝绳选型表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88"/>
        <w:gridCol w:w="2236"/>
        <w:gridCol w:w="4068"/>
        <w:gridCol w:w="813"/>
        <w:gridCol w:w="814"/>
      </w:tblGrid>
      <w:tr w14:paraId="01C0A4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tblHeader/>
          <w:jc w:val="center"/>
        </w:trPr>
        <w:tc>
          <w:tcPr>
            <w:tcW w:w="345" w:type="pct"/>
            <w:vAlign w:val="center"/>
          </w:tcPr>
          <w:p w14:paraId="03A54913">
            <w:pPr>
              <w:pStyle w:val="13"/>
              <w:bidi w:val="0"/>
              <w:rPr>
                <w:lang w:val="en-US" w:eastAsia="zh-CN"/>
              </w:rPr>
            </w:pPr>
            <w:r>
              <w:rPr>
                <w:lang w:val="en-US" w:eastAsia="zh-CN"/>
              </w:rPr>
              <w:t>序号</w:t>
            </w:r>
          </w:p>
        </w:tc>
        <w:tc>
          <w:tcPr>
            <w:tcW w:w="1312" w:type="pct"/>
            <w:vAlign w:val="center"/>
          </w:tcPr>
          <w:p w14:paraId="105E9858">
            <w:pPr>
              <w:pStyle w:val="13"/>
              <w:bidi w:val="0"/>
              <w:rPr>
                <w:lang w:val="en-US" w:eastAsia="zh-CN"/>
              </w:rPr>
            </w:pPr>
            <w:r>
              <w:rPr>
                <w:lang w:val="en-US" w:eastAsia="zh-CN"/>
              </w:rPr>
              <w:t>设备名称</w:t>
            </w:r>
          </w:p>
        </w:tc>
        <w:tc>
          <w:tcPr>
            <w:tcW w:w="2387" w:type="pct"/>
            <w:vAlign w:val="center"/>
          </w:tcPr>
          <w:p w14:paraId="6B32FA50">
            <w:pPr>
              <w:pStyle w:val="13"/>
              <w:bidi w:val="0"/>
              <w:rPr>
                <w:lang w:val="en-US" w:eastAsia="zh-CN"/>
              </w:rPr>
            </w:pPr>
            <w:r>
              <w:rPr>
                <w:lang w:val="en-US" w:eastAsia="zh-CN"/>
              </w:rPr>
              <w:t>规格型号</w:t>
            </w:r>
          </w:p>
        </w:tc>
        <w:tc>
          <w:tcPr>
            <w:tcW w:w="477" w:type="pct"/>
            <w:vAlign w:val="center"/>
          </w:tcPr>
          <w:p w14:paraId="54F5C61F">
            <w:pPr>
              <w:pStyle w:val="13"/>
              <w:bidi w:val="0"/>
              <w:rPr>
                <w:lang w:val="en-US" w:eastAsia="zh-CN"/>
              </w:rPr>
            </w:pPr>
            <w:r>
              <w:rPr>
                <w:lang w:val="en-US" w:eastAsia="zh-CN"/>
              </w:rPr>
              <w:t>单位</w:t>
            </w:r>
          </w:p>
        </w:tc>
        <w:tc>
          <w:tcPr>
            <w:tcW w:w="477" w:type="pct"/>
            <w:vAlign w:val="center"/>
          </w:tcPr>
          <w:p w14:paraId="4652600A">
            <w:pPr>
              <w:pStyle w:val="13"/>
              <w:bidi w:val="0"/>
              <w:rPr>
                <w:lang w:val="en-US" w:eastAsia="zh-CN"/>
              </w:rPr>
            </w:pPr>
            <w:r>
              <w:rPr>
                <w:lang w:val="en-US" w:eastAsia="zh-CN"/>
              </w:rPr>
              <w:t>数量</w:t>
            </w:r>
          </w:p>
        </w:tc>
      </w:tr>
      <w:tr w14:paraId="75DE13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8" w:hRule="atLeast"/>
          <w:jc w:val="center"/>
        </w:trPr>
        <w:tc>
          <w:tcPr>
            <w:tcW w:w="345" w:type="pct"/>
            <w:vAlign w:val="center"/>
          </w:tcPr>
          <w:p w14:paraId="75434649">
            <w:pPr>
              <w:pStyle w:val="13"/>
              <w:bidi w:val="0"/>
              <w:rPr>
                <w:rFonts w:hint="default"/>
                <w:b w:val="0"/>
                <w:bCs/>
                <w:lang w:val="en-US" w:eastAsia="zh-CN"/>
              </w:rPr>
            </w:pPr>
            <w:r>
              <w:rPr>
                <w:rFonts w:hint="eastAsia"/>
                <w:b w:val="0"/>
                <w:bCs/>
                <w:lang w:val="en-US" w:eastAsia="zh-CN"/>
              </w:rPr>
              <w:t>1</w:t>
            </w:r>
          </w:p>
        </w:tc>
        <w:tc>
          <w:tcPr>
            <w:tcW w:w="1312" w:type="pct"/>
            <w:vAlign w:val="center"/>
          </w:tcPr>
          <w:p w14:paraId="6983CF2C">
            <w:pPr>
              <w:pStyle w:val="13"/>
              <w:bidi w:val="0"/>
              <w:rPr>
                <w:b w:val="0"/>
                <w:bCs/>
                <w:lang w:val="en-US" w:eastAsia="zh-CN"/>
              </w:rPr>
            </w:pPr>
            <w:r>
              <w:rPr>
                <w:b w:val="0"/>
                <w:bCs/>
                <w:lang w:val="en-US" w:eastAsia="zh-CN"/>
              </w:rPr>
              <w:t>起重用钢丝绳</w:t>
            </w:r>
          </w:p>
        </w:tc>
        <w:tc>
          <w:tcPr>
            <w:tcW w:w="2387" w:type="pct"/>
            <w:vAlign w:val="center"/>
          </w:tcPr>
          <w:p w14:paraId="1101BA7B">
            <w:pPr>
              <w:pStyle w:val="13"/>
              <w:bidi w:val="0"/>
              <w:rPr>
                <w:b w:val="0"/>
                <w:bCs/>
                <w:lang w:val="en-US" w:eastAsia="zh-CN"/>
              </w:rPr>
            </w:pPr>
            <w:bookmarkStart w:id="298" w:name="吊装钢丝绳"/>
            <w:r>
              <w:rPr>
                <w:rFonts w:hint="eastAsia"/>
                <w:b w:val="0"/>
                <w:bCs/>
                <w:lang w:val="en-US" w:eastAsia="zh-CN"/>
              </w:rPr>
              <w:t>12mm6×19W+IWR1870Mpa</w:t>
            </w:r>
            <w:bookmarkEnd w:id="298"/>
          </w:p>
        </w:tc>
        <w:tc>
          <w:tcPr>
            <w:tcW w:w="477" w:type="pct"/>
            <w:vAlign w:val="center"/>
          </w:tcPr>
          <w:p w14:paraId="6EE43A2C">
            <w:pPr>
              <w:pStyle w:val="13"/>
              <w:bidi w:val="0"/>
              <w:rPr>
                <w:b w:val="0"/>
                <w:bCs/>
                <w:lang w:val="en-US" w:eastAsia="zh-CN"/>
              </w:rPr>
            </w:pPr>
            <w:r>
              <w:rPr>
                <w:b w:val="0"/>
                <w:bCs/>
                <w:lang w:val="en-US" w:eastAsia="zh-CN"/>
              </w:rPr>
              <w:t>根</w:t>
            </w:r>
          </w:p>
        </w:tc>
        <w:tc>
          <w:tcPr>
            <w:tcW w:w="477" w:type="pct"/>
            <w:vAlign w:val="center"/>
          </w:tcPr>
          <w:p w14:paraId="57F4F2D6">
            <w:pPr>
              <w:pStyle w:val="13"/>
              <w:bidi w:val="0"/>
              <w:rPr>
                <w:rFonts w:hint="eastAsia"/>
                <w:b w:val="0"/>
                <w:bCs/>
                <w:lang w:val="en-US" w:eastAsia="zh-CN"/>
              </w:rPr>
            </w:pPr>
            <w:r>
              <w:rPr>
                <w:rFonts w:hint="eastAsia"/>
                <w:b w:val="0"/>
                <w:bCs/>
                <w:lang w:val="en-US" w:eastAsia="zh-CN"/>
              </w:rPr>
              <w:t>4</w:t>
            </w:r>
          </w:p>
        </w:tc>
      </w:tr>
      <w:tr w14:paraId="4AF7E2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9" w:hRule="atLeast"/>
          <w:jc w:val="center"/>
        </w:trPr>
        <w:tc>
          <w:tcPr>
            <w:tcW w:w="345" w:type="pct"/>
            <w:vAlign w:val="center"/>
          </w:tcPr>
          <w:p w14:paraId="35797D2D">
            <w:pPr>
              <w:pStyle w:val="13"/>
              <w:bidi w:val="0"/>
              <w:rPr>
                <w:rFonts w:hint="default"/>
                <w:b w:val="0"/>
                <w:bCs/>
                <w:lang w:val="en-US" w:eastAsia="zh-CN"/>
              </w:rPr>
            </w:pPr>
            <w:r>
              <w:rPr>
                <w:rFonts w:hint="eastAsia"/>
                <w:b w:val="0"/>
                <w:bCs/>
                <w:lang w:val="en-US" w:eastAsia="zh-CN"/>
              </w:rPr>
              <w:t>2</w:t>
            </w:r>
          </w:p>
        </w:tc>
        <w:tc>
          <w:tcPr>
            <w:tcW w:w="1312" w:type="pct"/>
            <w:vAlign w:val="center"/>
          </w:tcPr>
          <w:p w14:paraId="333C3CB1">
            <w:pPr>
              <w:pStyle w:val="13"/>
              <w:bidi w:val="0"/>
              <w:rPr>
                <w:b w:val="0"/>
                <w:bCs/>
                <w:lang w:val="en-US" w:eastAsia="zh-CN"/>
              </w:rPr>
            </w:pPr>
            <w:r>
              <w:rPr>
                <w:b w:val="0"/>
                <w:bCs/>
                <w:lang w:val="en-US" w:eastAsia="zh-CN"/>
              </w:rPr>
              <w:t>卸扣</w:t>
            </w:r>
          </w:p>
        </w:tc>
        <w:tc>
          <w:tcPr>
            <w:tcW w:w="2387" w:type="pct"/>
            <w:vAlign w:val="center"/>
          </w:tcPr>
          <w:p w14:paraId="5D6D8A5E">
            <w:pPr>
              <w:pStyle w:val="13"/>
              <w:bidi w:val="0"/>
              <w:rPr>
                <w:rFonts w:hint="default"/>
                <w:b w:val="0"/>
                <w:bCs/>
                <w:lang w:val="en-US" w:eastAsia="zh-CN"/>
              </w:rPr>
            </w:pPr>
            <w:bookmarkStart w:id="299" w:name="吊装卸扣"/>
            <w:r>
              <w:rPr>
                <w:rFonts w:hint="eastAsia"/>
                <w:b w:val="0"/>
                <w:bCs/>
                <w:lang w:val="en-US" w:eastAsia="zh-CN"/>
              </w:rPr>
              <w:t>GB/T 25854-6-DW5</w:t>
            </w:r>
            <w:bookmarkEnd w:id="299"/>
          </w:p>
        </w:tc>
        <w:tc>
          <w:tcPr>
            <w:tcW w:w="477" w:type="pct"/>
            <w:vAlign w:val="center"/>
          </w:tcPr>
          <w:p w14:paraId="1324422F">
            <w:pPr>
              <w:pStyle w:val="13"/>
              <w:bidi w:val="0"/>
              <w:rPr>
                <w:b w:val="0"/>
                <w:bCs/>
                <w:lang w:val="en-US" w:eastAsia="zh-CN"/>
              </w:rPr>
            </w:pPr>
            <w:r>
              <w:rPr>
                <w:b w:val="0"/>
                <w:bCs/>
                <w:lang w:val="en-US" w:eastAsia="zh-CN"/>
              </w:rPr>
              <w:t>个</w:t>
            </w:r>
          </w:p>
        </w:tc>
        <w:tc>
          <w:tcPr>
            <w:tcW w:w="477" w:type="pct"/>
            <w:vAlign w:val="center"/>
          </w:tcPr>
          <w:p w14:paraId="223D41B2">
            <w:pPr>
              <w:pStyle w:val="13"/>
              <w:bidi w:val="0"/>
              <w:rPr>
                <w:b w:val="0"/>
                <w:bCs/>
                <w:lang w:val="en-US" w:eastAsia="zh-CN"/>
              </w:rPr>
            </w:pPr>
            <w:r>
              <w:rPr>
                <w:b w:val="0"/>
                <w:bCs/>
                <w:lang w:val="en-US" w:eastAsia="zh-CN"/>
              </w:rPr>
              <w:t>4</w:t>
            </w:r>
          </w:p>
        </w:tc>
      </w:tr>
    </w:tbl>
    <w:p w14:paraId="194DD55A">
      <w:pPr>
        <w:ind w:firstLine="480"/>
        <w:rPr>
          <w:rFonts w:ascii="Times New Roman" w:hAnsi="Times New Roman" w:eastAsia="宋体" w:cs="Times New Roman"/>
          <w:highlight w:val="none"/>
        </w:rPr>
      </w:pPr>
    </w:p>
    <w:p w14:paraId="1B8DBB86">
      <w:pPr>
        <w:pStyle w:val="5"/>
        <w:numPr>
          <w:ilvl w:val="2"/>
          <w:numId w:val="0"/>
        </w:numPr>
        <w:spacing w:before="0" w:after="0" w:line="360" w:lineRule="auto"/>
        <w:ind w:leftChars="0"/>
        <w:outlineLvl w:val="1"/>
        <w:rPr>
          <w:rFonts w:hint="eastAsia" w:ascii="Times New Roman" w:hAnsi="Times New Roman" w:eastAsia="宋体" w:cs="Times New Roman"/>
          <w:color w:val="auto"/>
          <w:sz w:val="24"/>
          <w:szCs w:val="24"/>
          <w:lang w:val="en-US" w:eastAsia="zh-CN"/>
        </w:rPr>
      </w:pPr>
      <w:bookmarkStart w:id="300" w:name="_Toc25719"/>
      <w:r>
        <w:rPr>
          <w:rFonts w:hint="eastAsia" w:ascii="Times New Roman" w:hAnsi="Times New Roman" w:eastAsia="宋体" w:cs="Times New Roman"/>
          <w:color w:val="auto"/>
          <w:sz w:val="24"/>
          <w:szCs w:val="24"/>
          <w:lang w:val="en-US" w:eastAsia="zh-CN"/>
        </w:rPr>
        <w:t>11.3 施工平面布置示意图</w:t>
      </w:r>
      <w:bookmarkEnd w:id="300"/>
    </w:p>
    <w:p w14:paraId="63652927">
      <w:pPr>
        <w:pStyle w:val="10"/>
        <w:jc w:val="both"/>
      </w:pPr>
      <w:r>
        <w:drawing>
          <wp:inline distT="0" distB="0" distL="114300" distR="114300">
            <wp:extent cx="5270500" cy="3164205"/>
            <wp:effectExtent l="0" t="0" r="6350" b="17145"/>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30"/>
                    <a:stretch>
                      <a:fillRect/>
                    </a:stretch>
                  </pic:blipFill>
                  <pic:spPr>
                    <a:xfrm>
                      <a:off x="0" y="0"/>
                      <a:ext cx="5270500" cy="3164205"/>
                    </a:xfrm>
                    <a:prstGeom prst="rect">
                      <a:avLst/>
                    </a:prstGeom>
                    <a:noFill/>
                    <a:ln>
                      <a:noFill/>
                    </a:ln>
                  </pic:spPr>
                </pic:pic>
              </a:graphicData>
            </a:graphic>
          </wp:inline>
        </w:drawing>
      </w:r>
    </w:p>
    <w:p w14:paraId="3C5F9003">
      <w:pPr>
        <w:pStyle w:val="10"/>
        <w:jc w:val="center"/>
        <w:rPr>
          <w:rFonts w:hint="eastAsia"/>
          <w:b/>
          <w:bCs/>
          <w:sz w:val="32"/>
          <w:szCs w:val="40"/>
          <w:lang w:val="en-US" w:eastAsia="zh-CN"/>
        </w:rPr>
      </w:pPr>
      <w:r>
        <w:rPr>
          <w:rFonts w:hint="eastAsia" w:ascii="宋体" w:hAnsi="宋体" w:eastAsia="宋体" w:cs="宋体"/>
          <w:b/>
          <w:bCs/>
          <w:color w:val="auto"/>
          <w:sz w:val="21"/>
          <w:szCs w:val="21"/>
          <w:lang w:val="en-US" w:eastAsia="zh-CN"/>
        </w:rPr>
        <w:t>图11.3-1 施工平面布置</w:t>
      </w: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49CC7">
    <w:pPr>
      <w:pStyle w:val="19"/>
      <w:ind w:firstLine="360"/>
      <w:jc w:val="center"/>
    </w:pPr>
  </w:p>
  <w:p w14:paraId="5B3AA10E">
    <w:pPr>
      <w:pStyle w:val="1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AD642">
    <w:pPr>
      <w:pStyle w:val="1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35D06">
    <w:pPr>
      <w:pStyle w:val="1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3E901">
    <w:pPr>
      <w:pStyle w:val="19"/>
      <w:ind w:firstLine="360"/>
      <w:jc w:val="center"/>
    </w:pPr>
  </w:p>
  <w:p w14:paraId="0B6EE707">
    <w:pPr>
      <w:pStyle w:val="1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CCF60">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DA8547">
                          <w:pPr>
                            <w:pStyle w:val="19"/>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78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14:paraId="2DDA8547">
                    <w:pPr>
                      <w:pStyle w:val="19"/>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78</w:t>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4ECB7">
    <w:pPr>
      <w:pStyle w:val="19"/>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5A40C987">
                          <w:pPr>
                            <w:pStyle w:val="19"/>
                            <w:ind w:firstLine="360"/>
                          </w:pPr>
                          <w:r>
                            <w:t xml:space="preserve">第 </w:t>
                          </w:r>
                          <w:r>
                            <w:fldChar w:fldCharType="begin"/>
                          </w:r>
                          <w:r>
                            <w:instrText xml:space="preserve"> PAGE  \* MERGEFORMAT </w:instrText>
                          </w:r>
                          <w:r>
                            <w:fldChar w:fldCharType="separate"/>
                          </w:r>
                          <w:r>
                            <w:t>84</w:t>
                          </w:r>
                          <w:r>
                            <w:fldChar w:fldCharType="end"/>
                          </w:r>
                          <w:r>
                            <w:t xml:space="preserve"> 页 共 </w:t>
                          </w:r>
                          <w:r>
                            <w:rPr>
                              <w:rFonts w:hint="eastAsia"/>
                              <w:lang w:val="en-US" w:eastAsia="zh-CN"/>
                            </w:rPr>
                            <w:t>78</w:t>
                          </w:r>
                          <w:r>
                            <w:t xml:space="preserve"> 页</w:t>
                          </w:r>
                        </w:p>
                      </w:txbxContent>
                    </wps:txbx>
                    <wps:bodyPr vert="horz" wrap="none" lIns="0" tIns="0" rIns="0" bIns="0" anchor="t">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sKwNkBAACtAwAADgAAAGRycy9lMm9Eb2MueG1srVNLbtswEN0XyB0I&#10;7mMpAlK4gukggZGiQJEWSHsAmqIsAvyBQ1tyDtDeoKtuuu+5fI4OKckp0k0W3UhDzsybeW+Gq5vB&#10;aHKQAZSzjF4tSkqkFa5Rdsfo1y/3l0tKIHLbcO2sZPQogd6sL96sel/LynVONzIQBLFQ957RLkZf&#10;FwWIThoOC+elRWfrguERj2FXNIH3iG50UZXl26J3ofHBCQmAt5vRSSfE8BpA17ZKyI0TeyNtHFGD&#10;1DwiJeiUB7rO3batFPFT24KMRDOKTGP+YhG0t+lbrFe83gXuOyWmFvhrWnjByXBlsegZasMjJ/ug&#10;/oEySgQHro0L4UwxEsmKIIur8oU2jx33MnNBqcGfRYf/ByseDp8DUQ2jFSWWGxz46cf308/fp1/f&#10;SJXk6T3UGPXoMS4Od27ApZnvAS8T66ENJv2RD0E/ins8iyuHSERKWlbLZYkugb75gPjFc7oPEN9L&#10;Z0gyGA04vSwqP3yEOIbOIamadfdK6zxBbUnP6Lvr6jonnD0Iri3WSCTGZpMVh+0wMdu65ojE8D1g&#10;wc6FJ0p63AZGLS4/JfqDRbHT4sxGmI3tbHArMJHRsVfwt/uIjeV+U7GxwtQDTjEznjYurcnf5xz1&#10;/Mr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ZMsKwNkBAACtAwAADgAAAAAAAAABACAA&#10;AAAeAQAAZHJzL2Uyb0RvYy54bWxQSwUGAAAAAAYABgBZAQAAaQUAAAAA&#10;">
              <v:fill on="f" focussize="0,0"/>
              <v:stroke on="f"/>
              <v:imagedata o:title=""/>
              <o:lock v:ext="edit" aspectratio="f"/>
              <v:textbox inset="0mm,0mm,0mm,0mm" style="mso-fit-shape-to-text:t;">
                <w:txbxContent>
                  <w:p w14:paraId="5A40C987">
                    <w:pPr>
                      <w:pStyle w:val="19"/>
                      <w:ind w:firstLine="360"/>
                    </w:pPr>
                    <w:r>
                      <w:t xml:space="preserve">第 </w:t>
                    </w:r>
                    <w:r>
                      <w:fldChar w:fldCharType="begin"/>
                    </w:r>
                    <w:r>
                      <w:instrText xml:space="preserve"> PAGE  \* MERGEFORMAT </w:instrText>
                    </w:r>
                    <w:r>
                      <w:fldChar w:fldCharType="separate"/>
                    </w:r>
                    <w:r>
                      <w:t>84</w:t>
                    </w:r>
                    <w:r>
                      <w:fldChar w:fldCharType="end"/>
                    </w:r>
                    <w:r>
                      <w:t xml:space="preserve"> 页 共 </w:t>
                    </w:r>
                    <w:r>
                      <w:rPr>
                        <w:rFonts w:hint="eastAsia"/>
                        <w:lang w:val="en-US" w:eastAsia="zh-CN"/>
                      </w:rPr>
                      <w:t>78</w:t>
                    </w:r>
                    <w:r>
                      <w:t xml:space="preserve"> 页</w:t>
                    </w:r>
                  </w:p>
                </w:txbxContent>
              </v:textbox>
            </v:shape>
          </w:pict>
        </mc:Fallback>
      </mc:AlternateContent>
    </w:r>
  </w:p>
  <w:p w14:paraId="7DC20D0B">
    <w:pPr>
      <w:pStyle w:val="1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98141">
    <w:pPr>
      <w:pStyle w:val="19"/>
      <w:ind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4088C8">
                          <w:pPr>
                            <w:pStyle w:val="19"/>
                          </w:pPr>
                          <w:r>
                            <w:t xml:space="preserve">第 </w:t>
                          </w:r>
                          <w:r>
                            <w:fldChar w:fldCharType="begin"/>
                          </w:r>
                          <w:r>
                            <w:instrText xml:space="preserve"> PAGE  \* MERGEFORMAT </w:instrText>
                          </w:r>
                          <w:r>
                            <w:fldChar w:fldCharType="separate"/>
                          </w:r>
                          <w:r>
                            <w:t>111</w:t>
                          </w:r>
                          <w:r>
                            <w:fldChar w:fldCharType="end"/>
                          </w:r>
                          <w:r>
                            <w:t xml:space="preserve"> 页 共</w:t>
                          </w:r>
                          <w:r>
                            <w:rPr>
                              <w:rFonts w:hint="eastAsia"/>
                              <w:lang w:val="en-US" w:eastAsia="zh-CN"/>
                            </w:rPr>
                            <w:t>78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204088C8">
                    <w:pPr>
                      <w:pStyle w:val="19"/>
                    </w:pPr>
                    <w:r>
                      <w:t xml:space="preserve">第 </w:t>
                    </w:r>
                    <w:r>
                      <w:fldChar w:fldCharType="begin"/>
                    </w:r>
                    <w:r>
                      <w:instrText xml:space="preserve"> PAGE  \* MERGEFORMAT </w:instrText>
                    </w:r>
                    <w:r>
                      <w:fldChar w:fldCharType="separate"/>
                    </w:r>
                    <w:r>
                      <w:t>111</w:t>
                    </w:r>
                    <w:r>
                      <w:fldChar w:fldCharType="end"/>
                    </w:r>
                    <w:r>
                      <w:t xml:space="preserve"> 页 共</w:t>
                    </w:r>
                    <w:r>
                      <w:rPr>
                        <w:rFonts w:hint="eastAsia"/>
                        <w:lang w:val="en-US" w:eastAsia="zh-CN"/>
                      </w:rPr>
                      <w:t>78</w:t>
                    </w:r>
                    <w:r>
                      <w:t xml:space="preserve"> 页</w:t>
                    </w:r>
                  </w:p>
                </w:txbxContent>
              </v:textbox>
            </v:shape>
          </w:pict>
        </mc:Fallback>
      </mc:AlternateContent>
    </w:r>
  </w:p>
  <w:p w14:paraId="3E722D9A">
    <w:pPr>
      <w:pStyle w:val="2"/>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61F5C">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E71D5">
    <w:pPr>
      <w:pStyle w:val="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88C0F">
    <w:pPr>
      <w:pStyle w:val="2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96D26">
    <w:pPr>
      <w:ind w:left="480" w:firstLine="0" w:firstLineChars="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17C5E">
    <w:pPr>
      <w:pStyle w:val="20"/>
      <w:pBdr>
        <w:bottom w:val="none" w:color="auto" w:sz="0" w:space="1"/>
      </w:pBdr>
      <w:spacing w:line="240" w:lineRule="auto"/>
      <w:ind w:left="0" w:leftChars="0" w:firstLine="0" w:firstLineChars="0"/>
      <w:jc w:val="left"/>
      <w:rPr>
        <w:rFonts w:hint="default" w:ascii="宋体" w:hAnsi="宋体" w:eastAsia="宋体" w:cs="宋体"/>
        <w:lang w:val="en-US" w:eastAsia="zh-CN"/>
      </w:rPr>
    </w:pPr>
    <w:r>
      <w:rPr>
        <w:rFonts w:hint="eastAsia" w:ascii="微软雅黑" w:hAnsi="微软雅黑" w:eastAsia="微软雅黑" w:cs="微软雅黑"/>
        <w:lang w:val="en-US" w:eastAsia="zh-CN"/>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BA118">
    <w:pPr>
      <w:pStyle w:val="20"/>
      <w:pBdr>
        <w:bottom w:val="none" w:color="auto" w:sz="0" w:space="1"/>
      </w:pBdr>
      <w:ind w:firstLine="0" w:firstLineChars="0"/>
      <w:jc w:val="both"/>
      <w:rPr>
        <w:rFonts w:hint="eastAsia" w:ascii="楷体" w:hAnsi="楷体" w:eastAsia="楷体" w:cs="楷体"/>
        <w:lang w:val="en-US"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53762">
    <w:pPr>
      <w:pStyle w:val="2"/>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3296285</wp:posOffset>
              </wp:positionH>
              <wp:positionV relativeFrom="page">
                <wp:posOffset>469265</wp:posOffset>
              </wp:positionV>
              <wp:extent cx="2165350" cy="203835"/>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2165350" cy="203835"/>
                      </a:xfrm>
                      <a:prstGeom prst="rect">
                        <a:avLst/>
                      </a:prstGeom>
                      <a:noFill/>
                      <a:ln>
                        <a:noFill/>
                      </a:ln>
                      <a:effectLst/>
                    </wps:spPr>
                    <wps:txbx>
                      <w:txbxContent>
                        <w:p w14:paraId="32C3B2CB">
                          <w:pPr>
                            <w:spacing w:line="321" w:lineRule="exact"/>
                            <w:ind w:left="20" w:firstLine="560"/>
                            <w:jc w:val="left"/>
                            <w:rPr>
                              <w:sz w:val="28"/>
                            </w:rPr>
                          </w:pPr>
                        </w:p>
                      </w:txbxContent>
                    </wps:txbx>
                    <wps:bodyPr lIns="0" tIns="0" rIns="0" bIns="0" upright="1"/>
                  </wps:wsp>
                </a:graphicData>
              </a:graphic>
            </wp:anchor>
          </w:drawing>
        </mc:Choice>
        <mc:Fallback>
          <w:pict>
            <v:shape id="_x0000_s1026" o:spid="_x0000_s1026" o:spt="202" type="#_x0000_t202" style="position:absolute;left:0pt;margin-left:259.55pt;margin-top:36.95pt;height:16.05pt;width:170.5pt;mso-position-horizontal-relative:page;mso-position-vertical-relative:page;z-index:-251656192;mso-width-relative:page;mso-height-relative:page;" filled="f" stroked="f" coordsize="21600,21600" o:gfxdata="UEsDBAoAAAAAAIdO4kAAAAAAAAAAAAAAAAAEAAAAZHJzL1BLAwQUAAAACACHTuJAAzKVrNgAAAAK&#10;AQAADwAAAGRycy9kb3ducmV2LnhtbE2PTU/DMAyG70j7D5EncWNJQZS1NJ0QghMSoisHjmnjtdUa&#10;pzTZB/8ec2JH249eP2+xObtRHHEOgycNyUqBQGq9HajT8Fm/3qxBhGjImtETavjBAJtycVWY3PoT&#10;VXjcxk5wCIXcaOhjnHIpQ9ujM2HlJyS+7fzsTORx7qSdzYnD3ShvlUqlMwPxh95M+Nxju98enIan&#10;L6pehu/35qPaVUNdZ4re0r3W18tEPYKIeI7/MPzpszqU7NT4A9kgRg33SZYwquHhLgPBwDpVvGiY&#10;VKkCWRbyskL5C1BLAwQUAAAACACHTuJAXeCIvMABAACCAwAADgAAAGRycy9lMm9Eb2MueG1srVPN&#10;jtMwEL4j8Q6W7zRpS1dV1HSlVbUICQHSwgO4zrix5D/ZbpO+ALwBJy7cea4+B2MnKcty2cNenPHM&#10;+Jv5vplsbnutyAl8kNbUdD4rKQHDbSPNoaZfv9y/WVMSIjMNU9ZATc8Q6O329atN5ypY2NaqBjxB&#10;EBOqztW0jdFVRRF4C5qFmXVgMCis1yzi1R+KxrMO0bUqFmV5U3TWN85bDiGgdzcE6YjonwNohZAc&#10;dpYfNZg4oHpQLCKl0EoX6DZ3KwTw+EmIAJGomiLTmE8sgvY+ncV2w6qDZ66VfGyBPaeFJ5w0kwaL&#10;XqF2LDJy9PI/KC25t8GKOONWFwORrAiymJdPtHlomYPMBaUO7ip6eDlY/vH02RPZ1HT9lhLDNE78&#10;8uP75efvy69vBH0oUOdChXkPDjNjf2d7XJvJH9CZePfC6/RFRgTjKO/5Ki/0kXB0LuY3q+UKQxxj&#10;i3K5Xq4STPH3tfMhvgOrSTJq6nF8WVV2+hDikDqlpGLG3kul8giV+ceBmIMH8g6MrxORoeFkxX7f&#10;j+z2tjkjOfXeoLRpTSbDT8Z+Mo7Oy0OLzWUJigSEo8ksxjVKs398R/vxr7P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MylazYAAAACgEAAA8AAAAAAAAAAQAgAAAAIgAAAGRycy9kb3ducmV2Lnht&#10;bFBLAQIUABQAAAAIAIdO4kBd4Ii8wAEAAIIDAAAOAAAAAAAAAAEAIAAAACcBAABkcnMvZTJvRG9j&#10;LnhtbFBLBQYAAAAABgAGAFkBAABZBQAAAAA=&#10;">
              <v:fill on="f" focussize="0,0"/>
              <v:stroke on="f"/>
              <v:imagedata o:title=""/>
              <o:lock v:ext="edit" aspectratio="f"/>
              <v:textbox inset="0mm,0mm,0mm,0mm">
                <w:txbxContent>
                  <w:p w14:paraId="32C3B2CB">
                    <w:pPr>
                      <w:spacing w:line="321" w:lineRule="exact"/>
                      <w:ind w:left="20" w:firstLine="560"/>
                      <w:jc w:val="left"/>
                      <w:rPr>
                        <w:sz w:val="28"/>
                      </w:rPr>
                    </w:pP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5706110</wp:posOffset>
              </wp:positionH>
              <wp:positionV relativeFrom="page">
                <wp:posOffset>507365</wp:posOffset>
              </wp:positionV>
              <wp:extent cx="763905" cy="16002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763905" cy="160020"/>
                      </a:xfrm>
                      <a:prstGeom prst="rect">
                        <a:avLst/>
                      </a:prstGeom>
                      <a:noFill/>
                      <a:ln>
                        <a:noFill/>
                      </a:ln>
                      <a:effectLst/>
                    </wps:spPr>
                    <wps:txbx>
                      <w:txbxContent>
                        <w:p w14:paraId="492A3BC3">
                          <w:pPr>
                            <w:spacing w:line="251" w:lineRule="exact"/>
                            <w:ind w:firstLine="420"/>
                            <w:jc w:val="left"/>
                            <w:rPr>
                              <w:sz w:val="21"/>
                            </w:rPr>
                          </w:pPr>
                        </w:p>
                      </w:txbxContent>
                    </wps:txbx>
                    <wps:bodyPr lIns="0" tIns="0" rIns="0" bIns="0" upright="1"/>
                  </wps:wsp>
                </a:graphicData>
              </a:graphic>
            </wp:anchor>
          </w:drawing>
        </mc:Choice>
        <mc:Fallback>
          <w:pict>
            <v:shape id="_x0000_s1026" o:spid="_x0000_s1026" o:spt="202" type="#_x0000_t202" style="position:absolute;left:0pt;margin-left:449.3pt;margin-top:39.95pt;height:12.6pt;width:60.15pt;mso-position-horizontal-relative:page;mso-position-vertical-relative:page;z-index:-251655168;mso-width-relative:page;mso-height-relative:page;" filled="f" stroked="f" coordsize="21600,21600" o:gfxdata="UEsDBAoAAAAAAIdO4kAAAAAAAAAAAAAAAAAEAAAAZHJzL1BLAwQUAAAACACHTuJAJpyDqtgAAAAL&#10;AQAADwAAAGRycy9kb3ducmV2LnhtbE2PTU+EMBCG7yb7H5ox8ea2mIiAlM3G6MnEyOLBY6Gz0Cyd&#10;Iu1++O8tJ/f2TubJO8+Um4sd2QlnbxxJSNYCGFLntKFewlfzdp8B80GRVqMjlPCLHjbV6qZUhXZn&#10;qvG0Cz2LJeQLJWEIYSo4992AVvm1m5Dibu9mq0Ic557rWZ1juR35gxApt8pQvDCoCV8G7A67o5Ww&#10;/ab61fx8tJ/1vjZNkwt6Tw9S3t0m4hlYwEv4h2HRj+pQRafWHUl7NkrI8iyNqISnPAe2ACLJYmqX&#10;9JgAr0p+/UP1B1BLAwQUAAAACACHTuJAuzoaf8EBAACBAwAADgAAAGRycy9lMm9Eb2MueG1srVNL&#10;btswEN0XyB0I7mPJLuKmguUAhZGgQNEWSHoAmhpaBPgDSVvyBdobdNVN9z2Xz9EhJblpsskiG2o4&#10;M3wz781oddNrRQ7gg7SmpvNZSQkYbhtpdjX99nB7eU1JiMw0TFkDNT1CoDfrizerzlWwsK1VDXiC&#10;ICZUnatpG6OriiLwFjQLM+vAYFBYr1nEq98VjWcdomtVLMpyWXTWN85bDiGgdzME6YjoXwJohZAc&#10;NpbvNZg4oHpQLCKl0EoX6Dp3KwTw+EWIAJGomiLTmE8sgvY2ncV6xaqdZ66VfGyBvaSFJ5w0kwaL&#10;nqE2LDKy9/IZlJbc22BFnHGri4FIVgRZzMsn2ty3zEHmglIHdxY9vB4s/3z46olsanq9pMQwjRM/&#10;/fxx+vXn9Ps7QR8K1LlQYd69w8zYf7A9rs3kD+hMvHvhdfoiI4JxlPd4lhf6SDg63y3fvi+vKOEY&#10;mi/LcpHlL/49dj7EO7CaJKOmHqeXRWWHTyFiI5g6paRaxt5KpfIElfnPgYmDB/IKjK8Tj6HfZMV+&#10;24/ktrY5Ijf10aCyaUsmw0/GdjL2zstdi81lBYoEhJPJrY1blEb/+I724z9n/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mnIOq2AAAAAsBAAAPAAAAAAAAAAEAIAAAACIAAABkcnMvZG93bnJldi54&#10;bWxQSwECFAAUAAAACACHTuJAuzoaf8EBAACBAwAADgAAAAAAAAABACAAAAAnAQAAZHJzL2Uyb0Rv&#10;Yy54bWxQSwUGAAAAAAYABgBZAQAAWgUAAAAA&#10;">
              <v:fill on="f" focussize="0,0"/>
              <v:stroke on="f"/>
              <v:imagedata o:title=""/>
              <o:lock v:ext="edit" aspectratio="f"/>
              <v:textbox inset="0mm,0mm,0mm,0mm">
                <w:txbxContent>
                  <w:p w14:paraId="492A3BC3">
                    <w:pPr>
                      <w:spacing w:line="251" w:lineRule="exact"/>
                      <w:ind w:firstLine="420"/>
                      <w:jc w:val="left"/>
                      <w:rPr>
                        <w:sz w:val="21"/>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883534"/>
    <w:multiLevelType w:val="singleLevel"/>
    <w:tmpl w:val="80883534"/>
    <w:lvl w:ilvl="0" w:tentative="0">
      <w:start w:val="1"/>
      <w:numFmt w:val="decimal"/>
      <w:suff w:val="nothing"/>
      <w:lvlText w:val="（%1）"/>
      <w:lvlJc w:val="left"/>
    </w:lvl>
  </w:abstractNum>
  <w:abstractNum w:abstractNumId="1">
    <w:nsid w:val="8DA9059E"/>
    <w:multiLevelType w:val="multilevel"/>
    <w:tmpl w:val="8DA9059E"/>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9CDE886C"/>
    <w:multiLevelType w:val="singleLevel"/>
    <w:tmpl w:val="9CDE886C"/>
    <w:lvl w:ilvl="0" w:tentative="0">
      <w:start w:val="1"/>
      <w:numFmt w:val="decimal"/>
      <w:suff w:val="nothing"/>
      <w:lvlText w:val="（%1）"/>
      <w:lvlJc w:val="left"/>
    </w:lvl>
  </w:abstractNum>
  <w:abstractNum w:abstractNumId="3">
    <w:nsid w:val="9E7FBD4E"/>
    <w:multiLevelType w:val="multilevel"/>
    <w:tmpl w:val="9E7FBD4E"/>
    <w:lvl w:ilvl="0" w:tentative="0">
      <w:start w:val="1"/>
      <w:numFmt w:val="decimal"/>
      <w:suff w:val="space"/>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D55F7B60"/>
    <w:multiLevelType w:val="singleLevel"/>
    <w:tmpl w:val="D55F7B60"/>
    <w:lvl w:ilvl="0" w:tentative="0">
      <w:start w:val="1"/>
      <w:numFmt w:val="decimal"/>
      <w:lvlText w:val="(%1)"/>
      <w:lvlJc w:val="left"/>
      <w:pPr>
        <w:ind w:left="425" w:hanging="425"/>
      </w:pPr>
      <w:rPr>
        <w:rFonts w:hint="default" w:ascii="Times New Roman" w:hAnsi="Times New Roman" w:eastAsia="宋体" w:cs="Times New Roman"/>
      </w:rPr>
    </w:lvl>
  </w:abstractNum>
  <w:abstractNum w:abstractNumId="5">
    <w:nsid w:val="01205E23"/>
    <w:multiLevelType w:val="multilevel"/>
    <w:tmpl w:val="01205E23"/>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33C3CFC"/>
    <w:multiLevelType w:val="multilevel"/>
    <w:tmpl w:val="033C3CF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044615A5"/>
    <w:multiLevelType w:val="multilevel"/>
    <w:tmpl w:val="044615A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06562F80"/>
    <w:multiLevelType w:val="multilevel"/>
    <w:tmpl w:val="06562F80"/>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07796466"/>
    <w:multiLevelType w:val="multilevel"/>
    <w:tmpl w:val="0779646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07D47F01"/>
    <w:multiLevelType w:val="multilevel"/>
    <w:tmpl w:val="07D47F0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0A307259"/>
    <w:multiLevelType w:val="multilevel"/>
    <w:tmpl w:val="0A30725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0EC25B78"/>
    <w:multiLevelType w:val="multilevel"/>
    <w:tmpl w:val="0EC25B7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0F0274CD"/>
    <w:multiLevelType w:val="multilevel"/>
    <w:tmpl w:val="0F0274CD"/>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15092DA5"/>
    <w:multiLevelType w:val="multilevel"/>
    <w:tmpl w:val="15092DA5"/>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15D11E82"/>
    <w:multiLevelType w:val="multilevel"/>
    <w:tmpl w:val="15D11E82"/>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17110110"/>
    <w:multiLevelType w:val="singleLevel"/>
    <w:tmpl w:val="17110110"/>
    <w:lvl w:ilvl="0" w:tentative="0">
      <w:start w:val="1"/>
      <w:numFmt w:val="decimal"/>
      <w:suff w:val="nothing"/>
      <w:lvlText w:val="（%1）"/>
      <w:lvlJc w:val="left"/>
      <w:pPr>
        <w:ind w:left="240"/>
      </w:pPr>
    </w:lvl>
  </w:abstractNum>
  <w:abstractNum w:abstractNumId="17">
    <w:nsid w:val="17BB0625"/>
    <w:multiLevelType w:val="multilevel"/>
    <w:tmpl w:val="17BB0625"/>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1B7B647C"/>
    <w:multiLevelType w:val="multilevel"/>
    <w:tmpl w:val="1B7B647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1BE27290"/>
    <w:multiLevelType w:val="multilevel"/>
    <w:tmpl w:val="1BE2729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1D0869BD"/>
    <w:multiLevelType w:val="multilevel"/>
    <w:tmpl w:val="1D0869BD"/>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1D8C2DFD"/>
    <w:multiLevelType w:val="multilevel"/>
    <w:tmpl w:val="1D8C2DFD"/>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decimal"/>
      <w:lvlText w:val="%2）"/>
      <w:lvlJc w:val="left"/>
      <w:pPr>
        <w:ind w:left="1260" w:hanging="360"/>
      </w:pPr>
      <w:rPr>
        <w:rFonts w:hint="default"/>
      </w:rPr>
    </w:lvl>
    <w:lvl w:ilvl="2" w:tentative="0">
      <w:start w:val="1"/>
      <w:numFmt w:val="lowerLetter"/>
      <w:lvlText w:val="%3."/>
      <w:lvlJc w:val="left"/>
      <w:pPr>
        <w:ind w:left="1680" w:hanging="360"/>
      </w:pPr>
      <w:rPr>
        <w:rFonts w:hint="default"/>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1F7F77FF"/>
    <w:multiLevelType w:val="multilevel"/>
    <w:tmpl w:val="1F7F77FF"/>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22095F80"/>
    <w:multiLevelType w:val="multilevel"/>
    <w:tmpl w:val="22095F80"/>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225E2CFE"/>
    <w:multiLevelType w:val="multilevel"/>
    <w:tmpl w:val="225E2CFE"/>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decimal"/>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237323FF"/>
    <w:multiLevelType w:val="multilevel"/>
    <w:tmpl w:val="237323FF"/>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6">
    <w:nsid w:val="2A37CE0D"/>
    <w:multiLevelType w:val="singleLevel"/>
    <w:tmpl w:val="2A37CE0D"/>
    <w:lvl w:ilvl="0" w:tentative="0">
      <w:start w:val="1"/>
      <w:numFmt w:val="decimal"/>
      <w:suff w:val="nothing"/>
      <w:lvlText w:val="（%1）"/>
      <w:lvlJc w:val="left"/>
      <w:pPr>
        <w:ind w:left="240"/>
      </w:pPr>
    </w:lvl>
  </w:abstractNum>
  <w:abstractNum w:abstractNumId="27">
    <w:nsid w:val="2E2321FC"/>
    <w:multiLevelType w:val="multilevel"/>
    <w:tmpl w:val="2E2321F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2FC67928"/>
    <w:multiLevelType w:val="multilevel"/>
    <w:tmpl w:val="2FC6792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300C7EC9"/>
    <w:multiLevelType w:val="multilevel"/>
    <w:tmpl w:val="300C7EC9"/>
    <w:lvl w:ilvl="0" w:tentative="0">
      <w:start w:val="1"/>
      <w:numFmt w:val="decimal"/>
      <w:suff w:val="space"/>
      <w:lvlText w:val="%1"/>
      <w:lvlJc w:val="left"/>
      <w:pPr>
        <w:ind w:left="0" w:firstLine="0"/>
      </w:pPr>
      <w:rPr>
        <w:rFonts w:hint="eastAsia" w:ascii="宋体" w:hAnsi="宋体" w:eastAsia="宋体"/>
        <w:b/>
        <w:i w:val="0"/>
        <w:color w:val="auto"/>
        <w:sz w:val="30"/>
      </w:rPr>
    </w:lvl>
    <w:lvl w:ilvl="1" w:tentative="0">
      <w:start w:val="1"/>
      <w:numFmt w:val="decimal"/>
      <w:isLgl/>
      <w:suff w:val="space"/>
      <w:lvlText w:val="%1.%2"/>
      <w:lvlJc w:val="left"/>
      <w:pPr>
        <w:ind w:left="0" w:firstLine="0"/>
      </w:pPr>
      <w:rPr>
        <w:rFonts w:hint="eastAsia" w:ascii="宋体" w:hAnsi="宋体" w:eastAsia="宋体"/>
        <w:b/>
        <w:i w:val="0"/>
        <w:color w:val="000000"/>
        <w:sz w:val="24"/>
      </w:rPr>
    </w:lvl>
    <w:lvl w:ilvl="2" w:tentative="0">
      <w:start w:val="1"/>
      <w:numFmt w:val="decimal"/>
      <w:pStyle w:val="31"/>
      <w:isLgl/>
      <w:suff w:val="space"/>
      <w:lvlText w:val="%1.%2.%3"/>
      <w:lvlJc w:val="left"/>
      <w:pPr>
        <w:ind w:left="0" w:firstLine="0"/>
      </w:pPr>
      <w:rPr>
        <w:rFonts w:hint="eastAsia" w:ascii="宋体" w:hAnsi="宋体"/>
        <w:b/>
        <w:bCs/>
        <w:i w:val="0"/>
        <w:iCs w:val="0"/>
        <w:caps w:val="0"/>
        <w:smallCaps w:val="0"/>
        <w:strike w:val="0"/>
        <w:dstrike w:val="0"/>
        <w:vanish w:val="0"/>
        <w:color w:val="000000"/>
        <w:spacing w:val="0"/>
        <w:position w:val="0"/>
        <w:sz w:val="24"/>
        <w:u w:val="none"/>
        <w:vertAlign w:val="baseline"/>
      </w:rPr>
    </w:lvl>
    <w:lvl w:ilvl="3" w:tentative="0">
      <w:start w:val="1"/>
      <w:numFmt w:val="decimal"/>
      <w:isLgl/>
      <w:suff w:val="space"/>
      <w:lvlText w:val="%1.%2.%3.%4"/>
      <w:lvlJc w:val="left"/>
      <w:pPr>
        <w:ind w:left="0" w:firstLine="0"/>
      </w:pPr>
      <w:rPr>
        <w:rFonts w:hint="eastAsia" w:ascii="宋体" w:hAnsi="宋体" w:cs="Times New Roman"/>
        <w:b/>
        <w:bCs/>
        <w:i w:val="0"/>
        <w:iCs w:val="0"/>
        <w:caps w:val="0"/>
        <w:smallCaps w:val="0"/>
        <w:strike w:val="0"/>
        <w:dstrike w:val="0"/>
        <w:vanish w:val="0"/>
        <w:color w:val="000000"/>
        <w:spacing w:val="0"/>
        <w:kern w:val="0"/>
        <w:position w:val="0"/>
        <w:sz w:val="24"/>
        <w:u w:val="none"/>
        <w:vertAlign w:val="baseline"/>
      </w:rPr>
    </w:lvl>
    <w:lvl w:ilvl="4" w:tentative="0">
      <w:start w:val="1"/>
      <w:numFmt w:val="decimal"/>
      <w:suff w:val="space"/>
      <w:lvlText w:val="%1.%2.%3.%4.%5"/>
      <w:lvlJc w:val="left"/>
      <w:pPr>
        <w:ind w:left="0" w:firstLine="0"/>
      </w:pPr>
      <w:rPr>
        <w:rFonts w:hint="eastAsia" w:ascii="宋体" w:hAnsi="宋体" w:eastAsia="宋体"/>
        <w:b/>
        <w:i w:val="0"/>
        <w:color w:val="000000"/>
        <w:sz w:val="24"/>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0">
    <w:nsid w:val="34FC5520"/>
    <w:multiLevelType w:val="multilevel"/>
    <w:tmpl w:val="34FC5520"/>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3625651A"/>
    <w:multiLevelType w:val="multilevel"/>
    <w:tmpl w:val="3625651A"/>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2">
    <w:nsid w:val="3DC7CD6B"/>
    <w:multiLevelType w:val="multilevel"/>
    <w:tmpl w:val="3DC7CD6B"/>
    <w:lvl w:ilvl="0" w:tentative="0">
      <w:start w:val="1"/>
      <w:numFmt w:val="decimal"/>
      <w:pStyle w:val="3"/>
      <w:suff w:val="space"/>
      <w:lvlText w:val="%1 "/>
      <w:lvlJc w:val="left"/>
      <w:pPr>
        <w:tabs>
          <w:tab w:val="left" w:pos="0"/>
        </w:tabs>
        <w:ind w:left="0" w:firstLine="0"/>
      </w:pPr>
      <w:rPr>
        <w:rFonts w:hint="default" w:ascii="宋体" w:hAnsi="宋体" w:eastAsia="宋体" w:cs="宋体"/>
        <w:b/>
        <w:sz w:val="32"/>
        <w:szCs w:val="32"/>
      </w:rPr>
    </w:lvl>
    <w:lvl w:ilvl="1" w:tentative="0">
      <w:start w:val="1"/>
      <w:numFmt w:val="decimal"/>
      <w:pStyle w:val="4"/>
      <w:suff w:val="space"/>
      <w:lvlText w:val="%1.%2 "/>
      <w:lvlJc w:val="left"/>
      <w:pPr>
        <w:ind w:left="480" w:firstLine="0"/>
      </w:pPr>
      <w:rPr>
        <w:rFonts w:hint="default" w:ascii="宋体" w:hAnsi="宋体" w:eastAsia="宋体" w:cs="宋体"/>
        <w:b/>
        <w:sz w:val="28"/>
      </w:rPr>
    </w:lvl>
    <w:lvl w:ilvl="2" w:tentative="0">
      <w:start w:val="1"/>
      <w:numFmt w:val="decimal"/>
      <w:pStyle w:val="5"/>
      <w:suff w:val="space"/>
      <w:lvlText w:val="%1.%2.%3 "/>
      <w:lvlJc w:val="left"/>
      <w:pPr>
        <w:ind w:left="0" w:firstLine="0"/>
      </w:pPr>
      <w:rPr>
        <w:rFonts w:hint="default" w:ascii="Times New Roman" w:hAnsi="Times New Roman" w:eastAsia="宋体" w:cs="宋体"/>
        <w:b/>
        <w:sz w:val="24"/>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3">
    <w:nsid w:val="3F6E2F42"/>
    <w:multiLevelType w:val="multilevel"/>
    <w:tmpl w:val="3F6E2F42"/>
    <w:lvl w:ilvl="0" w:tentative="0">
      <w:start w:val="1"/>
      <w:numFmt w:val="decimal"/>
      <w:suff w:val="nothing"/>
      <w:lvlText w:val="（%1）"/>
      <w:lvlJc w:val="left"/>
      <w:pPr>
        <w:ind w:left="-480" w:firstLine="48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3FF8488D"/>
    <w:multiLevelType w:val="multilevel"/>
    <w:tmpl w:val="3FF8488D"/>
    <w:lvl w:ilvl="0" w:tentative="0">
      <w:start w:val="1"/>
      <w:numFmt w:val="decimal"/>
      <w:lvlText w:val="%1"/>
      <w:lvlJc w:val="left"/>
      <w:pPr>
        <w:ind w:left="3539" w:hanging="420"/>
      </w:pPr>
      <w:rPr>
        <w:rFonts w:hint="eastAsia"/>
      </w:rPr>
    </w:lvl>
    <w:lvl w:ilvl="1" w:tentative="0">
      <w:start w:val="1"/>
      <w:numFmt w:val="decimal"/>
      <w:suff w:val="space"/>
      <w:lvlText w:val="%1.%2"/>
      <w:lvlJc w:val="left"/>
      <w:pPr>
        <w:ind w:left="993" w:firstLine="0"/>
      </w:pPr>
    </w:lvl>
    <w:lvl w:ilvl="2" w:tentative="0">
      <w:start w:val="1"/>
      <w:numFmt w:val="decimal"/>
      <w:suff w:val="space"/>
      <w:lvlText w:val="%1.%2.%3"/>
      <w:lvlJc w:val="left"/>
      <w:pPr>
        <w:ind w:left="992" w:firstLine="0"/>
      </w:pPr>
    </w:lvl>
    <w:lvl w:ilvl="3" w:tentative="0">
      <w:start w:val="1"/>
      <w:numFmt w:val="decimal"/>
      <w:suff w:val="space"/>
      <w:lvlText w:val="%1.%2.%3.%4"/>
      <w:lvlJc w:val="left"/>
      <w:pPr>
        <w:ind w:left="1986" w:firstLine="0"/>
      </w:pPr>
    </w:lvl>
    <w:lvl w:ilvl="4" w:tentative="0">
      <w:start w:val="1"/>
      <w:numFmt w:val="decimal"/>
      <w:lvlRestart w:val="2"/>
      <w:pStyle w:val="84"/>
      <w:suff w:val="space"/>
      <w:lvlText w:val="图%1.%2-%5"/>
      <w:lvlJc w:val="center"/>
      <w:pPr>
        <w:ind w:left="5529" w:firstLine="0"/>
      </w:pPr>
    </w:lvl>
    <w:lvl w:ilvl="5" w:tentative="0">
      <w:start w:val="1"/>
      <w:numFmt w:val="decimal"/>
      <w:lvlRestart w:val="2"/>
      <w:pStyle w:val="83"/>
      <w:suff w:val="space"/>
      <w:lvlText w:val="表%1.%2-%6"/>
      <w:lvlJc w:val="center"/>
      <w:pPr>
        <w:ind w:left="0" w:firstLine="288"/>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40CE5C25"/>
    <w:multiLevelType w:val="multilevel"/>
    <w:tmpl w:val="40CE5C2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44D268F5"/>
    <w:multiLevelType w:val="multilevel"/>
    <w:tmpl w:val="44D268F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7">
    <w:nsid w:val="4521537E"/>
    <w:multiLevelType w:val="multilevel"/>
    <w:tmpl w:val="4521537E"/>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8">
    <w:nsid w:val="46E16618"/>
    <w:multiLevelType w:val="multilevel"/>
    <w:tmpl w:val="46E1661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9">
    <w:nsid w:val="47D4485E"/>
    <w:multiLevelType w:val="multilevel"/>
    <w:tmpl w:val="47D4485E"/>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4C3D1204"/>
    <w:multiLevelType w:val="multilevel"/>
    <w:tmpl w:val="4C3D1204"/>
    <w:lvl w:ilvl="0" w:tentative="0">
      <w:start w:val="1"/>
      <w:numFmt w:val="decimal"/>
      <w:suff w:val="nothing"/>
      <w:lvlText w:val="%1"/>
      <w:lvlJc w:val="center"/>
      <w:pPr>
        <w:ind w:left="420" w:hanging="420"/>
      </w:pPr>
      <w:rPr>
        <w:rFonts w:hint="default" w:ascii="Times New Roman" w:hAnsi="Times New Roman"/>
        <w:b w:val="0"/>
        <w:i w:val="0"/>
        <w:sz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1">
    <w:nsid w:val="4FAD579C"/>
    <w:multiLevelType w:val="multilevel"/>
    <w:tmpl w:val="4FAD579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6031BC5C"/>
    <w:multiLevelType w:val="singleLevel"/>
    <w:tmpl w:val="6031BC5C"/>
    <w:lvl w:ilvl="0" w:tentative="0">
      <w:start w:val="1"/>
      <w:numFmt w:val="decimal"/>
      <w:suff w:val="nothing"/>
      <w:lvlText w:val="（%1）"/>
      <w:lvlJc w:val="left"/>
    </w:lvl>
  </w:abstractNum>
  <w:abstractNum w:abstractNumId="43">
    <w:nsid w:val="61541125"/>
    <w:multiLevelType w:val="multilevel"/>
    <w:tmpl w:val="6154112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62180085"/>
    <w:multiLevelType w:val="singleLevel"/>
    <w:tmpl w:val="62180085"/>
    <w:lvl w:ilvl="0" w:tentative="0">
      <w:start w:val="1"/>
      <w:numFmt w:val="decimal"/>
      <w:suff w:val="nothing"/>
      <w:lvlText w:val="（%1）"/>
      <w:lvlJc w:val="left"/>
      <w:pPr>
        <w:ind w:left="0" w:firstLine="482"/>
      </w:pPr>
      <w:rPr>
        <w:rFonts w:hint="eastAsia"/>
      </w:rPr>
    </w:lvl>
  </w:abstractNum>
  <w:abstractNum w:abstractNumId="45">
    <w:nsid w:val="63AF0736"/>
    <w:multiLevelType w:val="multilevel"/>
    <w:tmpl w:val="63AF073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6">
    <w:nsid w:val="644160A8"/>
    <w:multiLevelType w:val="multilevel"/>
    <w:tmpl w:val="644160A8"/>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7">
    <w:nsid w:val="66552978"/>
    <w:multiLevelType w:val="multilevel"/>
    <w:tmpl w:val="6655297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8">
    <w:nsid w:val="6B5277C9"/>
    <w:multiLevelType w:val="multilevel"/>
    <w:tmpl w:val="6B5277C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9">
    <w:nsid w:val="6C0304A2"/>
    <w:multiLevelType w:val="multilevel"/>
    <w:tmpl w:val="6C0304A2"/>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6C1E1AB8"/>
    <w:multiLevelType w:val="multilevel"/>
    <w:tmpl w:val="6C1E1AB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1">
    <w:nsid w:val="6C4D06A4"/>
    <w:multiLevelType w:val="multilevel"/>
    <w:tmpl w:val="6C4D06A4"/>
    <w:lvl w:ilvl="0" w:tentative="0">
      <w:start w:val="1"/>
      <w:numFmt w:val="decimalEnclosedCircle"/>
      <w:suff w:val="nothing"/>
      <w:lvlText w:val="%1"/>
      <w:lvlJc w:val="left"/>
      <w:pPr>
        <w:ind w:left="0" w:firstLine="480"/>
      </w:pPr>
      <w:rPr>
        <w:rFonts w:ascii="宋体" w:hAnsi="宋体" w:eastAsia="宋体" w:cs="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2">
    <w:nsid w:val="6D6A43CE"/>
    <w:multiLevelType w:val="multilevel"/>
    <w:tmpl w:val="6D6A43CE"/>
    <w:lvl w:ilvl="0" w:tentative="0">
      <w:start w:val="1"/>
      <w:numFmt w:val="decimal"/>
      <w:suff w:val="space"/>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3">
    <w:nsid w:val="704843E9"/>
    <w:multiLevelType w:val="multilevel"/>
    <w:tmpl w:val="704843E9"/>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73357FAF"/>
    <w:multiLevelType w:val="multilevel"/>
    <w:tmpl w:val="73357FAF"/>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5">
    <w:nsid w:val="745000D6"/>
    <w:multiLevelType w:val="multilevel"/>
    <w:tmpl w:val="745000D6"/>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6">
    <w:nsid w:val="74907EAD"/>
    <w:multiLevelType w:val="multilevel"/>
    <w:tmpl w:val="74907EAD"/>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7583B4C7"/>
    <w:multiLevelType w:val="multilevel"/>
    <w:tmpl w:val="7583B4C7"/>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78582707"/>
    <w:multiLevelType w:val="multilevel"/>
    <w:tmpl w:val="78582707"/>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9">
    <w:nsid w:val="787C05E0"/>
    <w:multiLevelType w:val="multilevel"/>
    <w:tmpl w:val="787C05E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0">
    <w:nsid w:val="7A8E6424"/>
    <w:multiLevelType w:val="multilevel"/>
    <w:tmpl w:val="7A8E6424"/>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1">
    <w:nsid w:val="7C6A4418"/>
    <w:multiLevelType w:val="multilevel"/>
    <w:tmpl w:val="7C6A441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32"/>
  </w:num>
  <w:num w:numId="2">
    <w:abstractNumId w:val="29"/>
  </w:num>
  <w:num w:numId="3">
    <w:abstractNumId w:val="34"/>
  </w:num>
  <w:num w:numId="4">
    <w:abstractNumId w:val="52"/>
  </w:num>
  <w:num w:numId="5">
    <w:abstractNumId w:val="3"/>
  </w:num>
  <w:num w:numId="6">
    <w:abstractNumId w:val="42"/>
  </w:num>
  <w:num w:numId="7">
    <w:abstractNumId w:val="16"/>
  </w:num>
  <w:num w:numId="8">
    <w:abstractNumId w:val="26"/>
  </w:num>
  <w:num w:numId="9">
    <w:abstractNumId w:val="5"/>
  </w:num>
  <w:num w:numId="10">
    <w:abstractNumId w:val="13"/>
  </w:num>
  <w:num w:numId="11">
    <w:abstractNumId w:val="22"/>
  </w:num>
  <w:num w:numId="12">
    <w:abstractNumId w:val="7"/>
  </w:num>
  <w:num w:numId="13">
    <w:abstractNumId w:val="50"/>
  </w:num>
  <w:num w:numId="14">
    <w:abstractNumId w:val="20"/>
  </w:num>
  <w:num w:numId="15">
    <w:abstractNumId w:val="6"/>
  </w:num>
  <w:num w:numId="16">
    <w:abstractNumId w:val="25"/>
  </w:num>
  <w:num w:numId="17">
    <w:abstractNumId w:val="60"/>
  </w:num>
  <w:num w:numId="18">
    <w:abstractNumId w:val="58"/>
  </w:num>
  <w:num w:numId="19">
    <w:abstractNumId w:val="23"/>
  </w:num>
  <w:num w:numId="20">
    <w:abstractNumId w:val="36"/>
  </w:num>
  <w:num w:numId="21">
    <w:abstractNumId w:val="9"/>
  </w:num>
  <w:num w:numId="22">
    <w:abstractNumId w:val="35"/>
  </w:num>
  <w:num w:numId="23">
    <w:abstractNumId w:val="61"/>
  </w:num>
  <w:num w:numId="24">
    <w:abstractNumId w:val="31"/>
  </w:num>
  <w:num w:numId="25">
    <w:abstractNumId w:val="51"/>
  </w:num>
  <w:num w:numId="26">
    <w:abstractNumId w:val="4"/>
  </w:num>
  <w:num w:numId="27">
    <w:abstractNumId w:val="24"/>
  </w:num>
  <w:num w:numId="28">
    <w:abstractNumId w:val="43"/>
  </w:num>
  <w:num w:numId="29">
    <w:abstractNumId w:val="41"/>
  </w:num>
  <w:num w:numId="30">
    <w:abstractNumId w:val="21"/>
  </w:num>
  <w:num w:numId="31">
    <w:abstractNumId w:val="49"/>
  </w:num>
  <w:num w:numId="32">
    <w:abstractNumId w:val="11"/>
  </w:num>
  <w:num w:numId="33">
    <w:abstractNumId w:val="39"/>
  </w:num>
  <w:num w:numId="34">
    <w:abstractNumId w:val="27"/>
  </w:num>
  <w:num w:numId="35">
    <w:abstractNumId w:val="56"/>
  </w:num>
  <w:num w:numId="36">
    <w:abstractNumId w:val="17"/>
  </w:num>
  <w:num w:numId="37">
    <w:abstractNumId w:val="33"/>
  </w:num>
  <w:num w:numId="38">
    <w:abstractNumId w:val="40"/>
  </w:num>
  <w:num w:numId="39">
    <w:abstractNumId w:val="53"/>
  </w:num>
  <w:num w:numId="40">
    <w:abstractNumId w:val="55"/>
  </w:num>
  <w:num w:numId="41">
    <w:abstractNumId w:val="46"/>
  </w:num>
  <w:num w:numId="42">
    <w:abstractNumId w:val="54"/>
  </w:num>
  <w:num w:numId="43">
    <w:abstractNumId w:val="10"/>
  </w:num>
  <w:num w:numId="44">
    <w:abstractNumId w:val="48"/>
  </w:num>
  <w:num w:numId="45">
    <w:abstractNumId w:val="18"/>
  </w:num>
  <w:num w:numId="46">
    <w:abstractNumId w:val="37"/>
  </w:num>
  <w:num w:numId="47">
    <w:abstractNumId w:val="12"/>
  </w:num>
  <w:num w:numId="48">
    <w:abstractNumId w:val="45"/>
  </w:num>
  <w:num w:numId="49">
    <w:abstractNumId w:val="30"/>
  </w:num>
  <w:num w:numId="50">
    <w:abstractNumId w:val="38"/>
  </w:num>
  <w:num w:numId="51">
    <w:abstractNumId w:val="8"/>
  </w:num>
  <w:num w:numId="52">
    <w:abstractNumId w:val="47"/>
  </w:num>
  <w:num w:numId="53">
    <w:abstractNumId w:val="28"/>
  </w:num>
  <w:num w:numId="54">
    <w:abstractNumId w:val="2"/>
  </w:num>
  <w:num w:numId="55">
    <w:abstractNumId w:val="44"/>
  </w:num>
  <w:num w:numId="56">
    <w:abstractNumId w:val="15"/>
  </w:num>
  <w:num w:numId="57">
    <w:abstractNumId w:val="14"/>
  </w:num>
  <w:num w:numId="58">
    <w:abstractNumId w:val="59"/>
  </w:num>
  <w:num w:numId="59">
    <w:abstractNumId w:val="19"/>
  </w:num>
  <w:num w:numId="60">
    <w:abstractNumId w:val="0"/>
  </w:num>
  <w:num w:numId="61">
    <w:abstractNumId w:val="1"/>
  </w:num>
  <w:num w:numId="62">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xNTJhZDk4YWUyMTE1MmFhNTc4OTE0NzQ4ZjIzMzkifQ=="/>
  </w:docVars>
  <w:rsids>
    <w:rsidRoot w:val="002B2E32"/>
    <w:rsid w:val="00000FB1"/>
    <w:rsid w:val="000112F2"/>
    <w:rsid w:val="00015CD6"/>
    <w:rsid w:val="00020314"/>
    <w:rsid w:val="00031C95"/>
    <w:rsid w:val="0003233C"/>
    <w:rsid w:val="0005660D"/>
    <w:rsid w:val="00061784"/>
    <w:rsid w:val="000648E9"/>
    <w:rsid w:val="00087972"/>
    <w:rsid w:val="0009010D"/>
    <w:rsid w:val="00096AF3"/>
    <w:rsid w:val="000C70E7"/>
    <w:rsid w:val="000F0B4F"/>
    <w:rsid w:val="000F158F"/>
    <w:rsid w:val="000F7ACF"/>
    <w:rsid w:val="001101E7"/>
    <w:rsid w:val="00115533"/>
    <w:rsid w:val="00115643"/>
    <w:rsid w:val="001166E1"/>
    <w:rsid w:val="0012016E"/>
    <w:rsid w:val="0012580D"/>
    <w:rsid w:val="001260CF"/>
    <w:rsid w:val="0014520E"/>
    <w:rsid w:val="00161DAA"/>
    <w:rsid w:val="0016739C"/>
    <w:rsid w:val="00173C2E"/>
    <w:rsid w:val="00192F49"/>
    <w:rsid w:val="001A4708"/>
    <w:rsid w:val="001A69A0"/>
    <w:rsid w:val="001C1588"/>
    <w:rsid w:val="001C4C41"/>
    <w:rsid w:val="001C6DF3"/>
    <w:rsid w:val="001C79E0"/>
    <w:rsid w:val="001D06D1"/>
    <w:rsid w:val="001D33A5"/>
    <w:rsid w:val="001E12C7"/>
    <w:rsid w:val="001E65D2"/>
    <w:rsid w:val="00200AFB"/>
    <w:rsid w:val="00204AF5"/>
    <w:rsid w:val="00210A8A"/>
    <w:rsid w:val="00225C51"/>
    <w:rsid w:val="00236A11"/>
    <w:rsid w:val="00236E65"/>
    <w:rsid w:val="00247054"/>
    <w:rsid w:val="0026315E"/>
    <w:rsid w:val="002653E4"/>
    <w:rsid w:val="00271BE7"/>
    <w:rsid w:val="00286A15"/>
    <w:rsid w:val="00286B5C"/>
    <w:rsid w:val="002873C3"/>
    <w:rsid w:val="0029039B"/>
    <w:rsid w:val="00297F07"/>
    <w:rsid w:val="002B2E32"/>
    <w:rsid w:val="002B4845"/>
    <w:rsid w:val="002B758B"/>
    <w:rsid w:val="002C1D98"/>
    <w:rsid w:val="002E6143"/>
    <w:rsid w:val="002E61C8"/>
    <w:rsid w:val="002F689E"/>
    <w:rsid w:val="0030352A"/>
    <w:rsid w:val="003047D7"/>
    <w:rsid w:val="003172C9"/>
    <w:rsid w:val="003245B6"/>
    <w:rsid w:val="00332855"/>
    <w:rsid w:val="00340C42"/>
    <w:rsid w:val="00343B98"/>
    <w:rsid w:val="00353774"/>
    <w:rsid w:val="003565F3"/>
    <w:rsid w:val="00367E97"/>
    <w:rsid w:val="003740CC"/>
    <w:rsid w:val="00377DD7"/>
    <w:rsid w:val="003821A3"/>
    <w:rsid w:val="00383701"/>
    <w:rsid w:val="00393A8A"/>
    <w:rsid w:val="003947D6"/>
    <w:rsid w:val="00396CF6"/>
    <w:rsid w:val="003B0BC4"/>
    <w:rsid w:val="003C72CF"/>
    <w:rsid w:val="003D0093"/>
    <w:rsid w:val="003D0852"/>
    <w:rsid w:val="003D7458"/>
    <w:rsid w:val="003E367B"/>
    <w:rsid w:val="003F3ACE"/>
    <w:rsid w:val="003F4AD8"/>
    <w:rsid w:val="004122BB"/>
    <w:rsid w:val="004225C7"/>
    <w:rsid w:val="00425E28"/>
    <w:rsid w:val="00432E1A"/>
    <w:rsid w:val="00446236"/>
    <w:rsid w:val="00452FB9"/>
    <w:rsid w:val="00466173"/>
    <w:rsid w:val="00474598"/>
    <w:rsid w:val="00477F4E"/>
    <w:rsid w:val="00482C71"/>
    <w:rsid w:val="004866C2"/>
    <w:rsid w:val="00487707"/>
    <w:rsid w:val="0049093C"/>
    <w:rsid w:val="004B13FC"/>
    <w:rsid w:val="004C09E7"/>
    <w:rsid w:val="004E1FC1"/>
    <w:rsid w:val="00516DD0"/>
    <w:rsid w:val="005176C4"/>
    <w:rsid w:val="005308B5"/>
    <w:rsid w:val="0053261F"/>
    <w:rsid w:val="00532FD8"/>
    <w:rsid w:val="00534576"/>
    <w:rsid w:val="00547D4C"/>
    <w:rsid w:val="005509BC"/>
    <w:rsid w:val="00560243"/>
    <w:rsid w:val="00564D23"/>
    <w:rsid w:val="005735A0"/>
    <w:rsid w:val="005767BC"/>
    <w:rsid w:val="00584239"/>
    <w:rsid w:val="00587363"/>
    <w:rsid w:val="0059237A"/>
    <w:rsid w:val="00595D4B"/>
    <w:rsid w:val="005978B7"/>
    <w:rsid w:val="005A6FC2"/>
    <w:rsid w:val="005D0BEC"/>
    <w:rsid w:val="005D1A55"/>
    <w:rsid w:val="005D3085"/>
    <w:rsid w:val="005E2048"/>
    <w:rsid w:val="005E4BAC"/>
    <w:rsid w:val="005E5AE6"/>
    <w:rsid w:val="005F7928"/>
    <w:rsid w:val="00614F3C"/>
    <w:rsid w:val="0063387B"/>
    <w:rsid w:val="006338CF"/>
    <w:rsid w:val="006376B7"/>
    <w:rsid w:val="00645364"/>
    <w:rsid w:val="006504D5"/>
    <w:rsid w:val="006554CA"/>
    <w:rsid w:val="00665715"/>
    <w:rsid w:val="0066633B"/>
    <w:rsid w:val="0067799B"/>
    <w:rsid w:val="00684B0E"/>
    <w:rsid w:val="00690997"/>
    <w:rsid w:val="006A3136"/>
    <w:rsid w:val="006B244F"/>
    <w:rsid w:val="006B301B"/>
    <w:rsid w:val="006B3E2E"/>
    <w:rsid w:val="006B3F66"/>
    <w:rsid w:val="006C59AC"/>
    <w:rsid w:val="006D60F8"/>
    <w:rsid w:val="006E2BF1"/>
    <w:rsid w:val="006E44F6"/>
    <w:rsid w:val="006F1355"/>
    <w:rsid w:val="006F580B"/>
    <w:rsid w:val="007016F8"/>
    <w:rsid w:val="0070181C"/>
    <w:rsid w:val="00707D10"/>
    <w:rsid w:val="007102B9"/>
    <w:rsid w:val="007127F9"/>
    <w:rsid w:val="0071318A"/>
    <w:rsid w:val="00721202"/>
    <w:rsid w:val="00725182"/>
    <w:rsid w:val="00731577"/>
    <w:rsid w:val="0073261F"/>
    <w:rsid w:val="0073282E"/>
    <w:rsid w:val="0073781E"/>
    <w:rsid w:val="007378D5"/>
    <w:rsid w:val="00740FBD"/>
    <w:rsid w:val="00742458"/>
    <w:rsid w:val="007778AE"/>
    <w:rsid w:val="00781760"/>
    <w:rsid w:val="00785FDA"/>
    <w:rsid w:val="00790F46"/>
    <w:rsid w:val="007A15FA"/>
    <w:rsid w:val="007A17DF"/>
    <w:rsid w:val="007A341F"/>
    <w:rsid w:val="007B60AE"/>
    <w:rsid w:val="007C60D9"/>
    <w:rsid w:val="007D3C65"/>
    <w:rsid w:val="007D6600"/>
    <w:rsid w:val="007D7F1E"/>
    <w:rsid w:val="007E1C70"/>
    <w:rsid w:val="007E2A4A"/>
    <w:rsid w:val="007E6A0C"/>
    <w:rsid w:val="007E7D7A"/>
    <w:rsid w:val="007F44D2"/>
    <w:rsid w:val="00800F7A"/>
    <w:rsid w:val="00810D44"/>
    <w:rsid w:val="00812151"/>
    <w:rsid w:val="00814533"/>
    <w:rsid w:val="00816956"/>
    <w:rsid w:val="00831FEE"/>
    <w:rsid w:val="00834CE0"/>
    <w:rsid w:val="00837571"/>
    <w:rsid w:val="00844A07"/>
    <w:rsid w:val="00856BC7"/>
    <w:rsid w:val="00874012"/>
    <w:rsid w:val="00883920"/>
    <w:rsid w:val="008A45C9"/>
    <w:rsid w:val="008B16C0"/>
    <w:rsid w:val="008B28ED"/>
    <w:rsid w:val="008B2D51"/>
    <w:rsid w:val="008B301D"/>
    <w:rsid w:val="008B6EC7"/>
    <w:rsid w:val="008C41CF"/>
    <w:rsid w:val="008D28FA"/>
    <w:rsid w:val="008E781E"/>
    <w:rsid w:val="008F2EE0"/>
    <w:rsid w:val="008F34C6"/>
    <w:rsid w:val="0090381F"/>
    <w:rsid w:val="00903B10"/>
    <w:rsid w:val="009078C8"/>
    <w:rsid w:val="00921812"/>
    <w:rsid w:val="00922D32"/>
    <w:rsid w:val="00924562"/>
    <w:rsid w:val="009254F3"/>
    <w:rsid w:val="0093034F"/>
    <w:rsid w:val="009429D1"/>
    <w:rsid w:val="00946E9C"/>
    <w:rsid w:val="0095125F"/>
    <w:rsid w:val="00972784"/>
    <w:rsid w:val="00977768"/>
    <w:rsid w:val="009804E5"/>
    <w:rsid w:val="00982BBC"/>
    <w:rsid w:val="00982C93"/>
    <w:rsid w:val="00984BF4"/>
    <w:rsid w:val="00985E7D"/>
    <w:rsid w:val="00992AA5"/>
    <w:rsid w:val="009A1A1A"/>
    <w:rsid w:val="009B3FAB"/>
    <w:rsid w:val="009D102A"/>
    <w:rsid w:val="009D44DF"/>
    <w:rsid w:val="009D7221"/>
    <w:rsid w:val="009F1C30"/>
    <w:rsid w:val="009F630F"/>
    <w:rsid w:val="009F7248"/>
    <w:rsid w:val="00A11696"/>
    <w:rsid w:val="00A15210"/>
    <w:rsid w:val="00A15764"/>
    <w:rsid w:val="00A2573B"/>
    <w:rsid w:val="00A262D3"/>
    <w:rsid w:val="00A40CD8"/>
    <w:rsid w:val="00A432B3"/>
    <w:rsid w:val="00A47055"/>
    <w:rsid w:val="00A8436E"/>
    <w:rsid w:val="00AB1759"/>
    <w:rsid w:val="00AB49B4"/>
    <w:rsid w:val="00AE13C6"/>
    <w:rsid w:val="00AF7859"/>
    <w:rsid w:val="00B05772"/>
    <w:rsid w:val="00B05A65"/>
    <w:rsid w:val="00B165FB"/>
    <w:rsid w:val="00B23B5E"/>
    <w:rsid w:val="00B242C5"/>
    <w:rsid w:val="00B40B81"/>
    <w:rsid w:val="00B46540"/>
    <w:rsid w:val="00B56CA1"/>
    <w:rsid w:val="00B56E40"/>
    <w:rsid w:val="00B63B1D"/>
    <w:rsid w:val="00B74B68"/>
    <w:rsid w:val="00B7587A"/>
    <w:rsid w:val="00B8323B"/>
    <w:rsid w:val="00B96548"/>
    <w:rsid w:val="00BA0809"/>
    <w:rsid w:val="00BA2B64"/>
    <w:rsid w:val="00BB06F5"/>
    <w:rsid w:val="00BB3EB6"/>
    <w:rsid w:val="00BB65C9"/>
    <w:rsid w:val="00BC02E3"/>
    <w:rsid w:val="00BC1EFD"/>
    <w:rsid w:val="00BC6DDA"/>
    <w:rsid w:val="00BD4903"/>
    <w:rsid w:val="00BD73E1"/>
    <w:rsid w:val="00BE365B"/>
    <w:rsid w:val="00BF7F4E"/>
    <w:rsid w:val="00C11E4A"/>
    <w:rsid w:val="00C25374"/>
    <w:rsid w:val="00C4434C"/>
    <w:rsid w:val="00C46919"/>
    <w:rsid w:val="00C658B0"/>
    <w:rsid w:val="00C67D26"/>
    <w:rsid w:val="00C71D7C"/>
    <w:rsid w:val="00C76057"/>
    <w:rsid w:val="00C92B4C"/>
    <w:rsid w:val="00C93D40"/>
    <w:rsid w:val="00C94E39"/>
    <w:rsid w:val="00CA0BB4"/>
    <w:rsid w:val="00CA208E"/>
    <w:rsid w:val="00CB7636"/>
    <w:rsid w:val="00CC1E2B"/>
    <w:rsid w:val="00CC1FD6"/>
    <w:rsid w:val="00CC3B20"/>
    <w:rsid w:val="00CC51DB"/>
    <w:rsid w:val="00CC74EF"/>
    <w:rsid w:val="00CD465E"/>
    <w:rsid w:val="00CD6E2A"/>
    <w:rsid w:val="00CE529F"/>
    <w:rsid w:val="00D00EC4"/>
    <w:rsid w:val="00D14C4C"/>
    <w:rsid w:val="00D15C1B"/>
    <w:rsid w:val="00D20D3B"/>
    <w:rsid w:val="00D31A91"/>
    <w:rsid w:val="00D46606"/>
    <w:rsid w:val="00D477A5"/>
    <w:rsid w:val="00D53842"/>
    <w:rsid w:val="00D62374"/>
    <w:rsid w:val="00D81782"/>
    <w:rsid w:val="00D82FBA"/>
    <w:rsid w:val="00D9752F"/>
    <w:rsid w:val="00DB112C"/>
    <w:rsid w:val="00DC3685"/>
    <w:rsid w:val="00DC7D04"/>
    <w:rsid w:val="00DD68C6"/>
    <w:rsid w:val="00DF0AAC"/>
    <w:rsid w:val="00DF58E4"/>
    <w:rsid w:val="00E005F1"/>
    <w:rsid w:val="00E00BEC"/>
    <w:rsid w:val="00E03A6A"/>
    <w:rsid w:val="00E052E2"/>
    <w:rsid w:val="00E06D69"/>
    <w:rsid w:val="00E22DE9"/>
    <w:rsid w:val="00E27C2B"/>
    <w:rsid w:val="00E3379B"/>
    <w:rsid w:val="00E44C01"/>
    <w:rsid w:val="00E4685F"/>
    <w:rsid w:val="00E53D8A"/>
    <w:rsid w:val="00E5485E"/>
    <w:rsid w:val="00E67793"/>
    <w:rsid w:val="00E71469"/>
    <w:rsid w:val="00E84CD0"/>
    <w:rsid w:val="00E867AF"/>
    <w:rsid w:val="00EA5507"/>
    <w:rsid w:val="00EA7699"/>
    <w:rsid w:val="00EB04FC"/>
    <w:rsid w:val="00EC2891"/>
    <w:rsid w:val="00EC3C8F"/>
    <w:rsid w:val="00EC4779"/>
    <w:rsid w:val="00EE22DD"/>
    <w:rsid w:val="00EF4AA4"/>
    <w:rsid w:val="00F2059D"/>
    <w:rsid w:val="00F36082"/>
    <w:rsid w:val="00F40808"/>
    <w:rsid w:val="00F4514C"/>
    <w:rsid w:val="00F56D9B"/>
    <w:rsid w:val="00F60C4F"/>
    <w:rsid w:val="00F61B97"/>
    <w:rsid w:val="00F63C45"/>
    <w:rsid w:val="00F93E49"/>
    <w:rsid w:val="00F94115"/>
    <w:rsid w:val="00FA4991"/>
    <w:rsid w:val="00FB1F25"/>
    <w:rsid w:val="00FB28B1"/>
    <w:rsid w:val="00FE12CB"/>
    <w:rsid w:val="00FE5998"/>
    <w:rsid w:val="00FF0C32"/>
    <w:rsid w:val="014F5B4F"/>
    <w:rsid w:val="02686764"/>
    <w:rsid w:val="02AC3AF3"/>
    <w:rsid w:val="03791562"/>
    <w:rsid w:val="039B3DC0"/>
    <w:rsid w:val="040C727D"/>
    <w:rsid w:val="041E5859"/>
    <w:rsid w:val="04221DEB"/>
    <w:rsid w:val="043E0B49"/>
    <w:rsid w:val="044367B0"/>
    <w:rsid w:val="048F6BA5"/>
    <w:rsid w:val="0490200A"/>
    <w:rsid w:val="04A7540B"/>
    <w:rsid w:val="04D347A3"/>
    <w:rsid w:val="0553688F"/>
    <w:rsid w:val="057364CF"/>
    <w:rsid w:val="05AC4062"/>
    <w:rsid w:val="05B747B5"/>
    <w:rsid w:val="05C55731"/>
    <w:rsid w:val="05D13AC9"/>
    <w:rsid w:val="05E5600D"/>
    <w:rsid w:val="05F709DC"/>
    <w:rsid w:val="06184EA7"/>
    <w:rsid w:val="063D772F"/>
    <w:rsid w:val="066861C0"/>
    <w:rsid w:val="075D3645"/>
    <w:rsid w:val="08CC26F8"/>
    <w:rsid w:val="09AD74FA"/>
    <w:rsid w:val="09F9205B"/>
    <w:rsid w:val="0A024166"/>
    <w:rsid w:val="0AD16353"/>
    <w:rsid w:val="0B5604C3"/>
    <w:rsid w:val="0BB83A54"/>
    <w:rsid w:val="0BC34CFF"/>
    <w:rsid w:val="0C4166DB"/>
    <w:rsid w:val="0C8E794D"/>
    <w:rsid w:val="0CA752C2"/>
    <w:rsid w:val="0CAC4889"/>
    <w:rsid w:val="0CCE5F43"/>
    <w:rsid w:val="0D1A7E23"/>
    <w:rsid w:val="0DDA57BF"/>
    <w:rsid w:val="0DFC5E8E"/>
    <w:rsid w:val="0E8D65A6"/>
    <w:rsid w:val="0E9919B5"/>
    <w:rsid w:val="0EB12455"/>
    <w:rsid w:val="0F2541EA"/>
    <w:rsid w:val="0F6337DB"/>
    <w:rsid w:val="0F7C6E5E"/>
    <w:rsid w:val="0FA02DE0"/>
    <w:rsid w:val="10F86C2E"/>
    <w:rsid w:val="11092A62"/>
    <w:rsid w:val="11267A8B"/>
    <w:rsid w:val="11344598"/>
    <w:rsid w:val="116B5255"/>
    <w:rsid w:val="11B1784D"/>
    <w:rsid w:val="11C2332F"/>
    <w:rsid w:val="12394A8E"/>
    <w:rsid w:val="12FF1DCD"/>
    <w:rsid w:val="13301502"/>
    <w:rsid w:val="14D72A6E"/>
    <w:rsid w:val="15294D65"/>
    <w:rsid w:val="15681628"/>
    <w:rsid w:val="15B5306E"/>
    <w:rsid w:val="16256973"/>
    <w:rsid w:val="16854E42"/>
    <w:rsid w:val="17883E12"/>
    <w:rsid w:val="17967BF3"/>
    <w:rsid w:val="17BE6E6F"/>
    <w:rsid w:val="17CA7D24"/>
    <w:rsid w:val="17F27330"/>
    <w:rsid w:val="18701620"/>
    <w:rsid w:val="18C27C4F"/>
    <w:rsid w:val="18CB010E"/>
    <w:rsid w:val="18F552DE"/>
    <w:rsid w:val="195425EF"/>
    <w:rsid w:val="197D7D98"/>
    <w:rsid w:val="1A2C190C"/>
    <w:rsid w:val="1A8F4166"/>
    <w:rsid w:val="1B6D59DB"/>
    <w:rsid w:val="1BCD1F93"/>
    <w:rsid w:val="1C313BDC"/>
    <w:rsid w:val="1C316C17"/>
    <w:rsid w:val="1D0545A1"/>
    <w:rsid w:val="1D396851"/>
    <w:rsid w:val="1D4C4205"/>
    <w:rsid w:val="1D567FB1"/>
    <w:rsid w:val="1DDB6705"/>
    <w:rsid w:val="1E2E78B2"/>
    <w:rsid w:val="1E380731"/>
    <w:rsid w:val="1EEF0DDB"/>
    <w:rsid w:val="1F44616C"/>
    <w:rsid w:val="1FC42B64"/>
    <w:rsid w:val="1FDB38E4"/>
    <w:rsid w:val="20146634"/>
    <w:rsid w:val="201E74B3"/>
    <w:rsid w:val="201F63D8"/>
    <w:rsid w:val="20505730"/>
    <w:rsid w:val="205816C0"/>
    <w:rsid w:val="2080305E"/>
    <w:rsid w:val="209B6D55"/>
    <w:rsid w:val="20A2041A"/>
    <w:rsid w:val="20E81160"/>
    <w:rsid w:val="20F327E0"/>
    <w:rsid w:val="21092637"/>
    <w:rsid w:val="212E1977"/>
    <w:rsid w:val="2142359F"/>
    <w:rsid w:val="223631D9"/>
    <w:rsid w:val="22794E74"/>
    <w:rsid w:val="22D402FC"/>
    <w:rsid w:val="22F7393E"/>
    <w:rsid w:val="23D45A8E"/>
    <w:rsid w:val="23D719E2"/>
    <w:rsid w:val="250255F5"/>
    <w:rsid w:val="25D84C3D"/>
    <w:rsid w:val="26F57A5A"/>
    <w:rsid w:val="27C45A95"/>
    <w:rsid w:val="28047CEE"/>
    <w:rsid w:val="284303FE"/>
    <w:rsid w:val="285E713A"/>
    <w:rsid w:val="28BE1DE2"/>
    <w:rsid w:val="28D8189E"/>
    <w:rsid w:val="295E32B3"/>
    <w:rsid w:val="29C12F55"/>
    <w:rsid w:val="2AED63FF"/>
    <w:rsid w:val="2C7C5DFA"/>
    <w:rsid w:val="2CAD5165"/>
    <w:rsid w:val="2CC64AC8"/>
    <w:rsid w:val="2CDB502F"/>
    <w:rsid w:val="2CE275EC"/>
    <w:rsid w:val="2CEA1F1D"/>
    <w:rsid w:val="2DAF2092"/>
    <w:rsid w:val="2E100D83"/>
    <w:rsid w:val="2E411543"/>
    <w:rsid w:val="2EE77D80"/>
    <w:rsid w:val="2EF00F52"/>
    <w:rsid w:val="2FC040E2"/>
    <w:rsid w:val="2FD972FC"/>
    <w:rsid w:val="30144EC2"/>
    <w:rsid w:val="30802720"/>
    <w:rsid w:val="30E0426E"/>
    <w:rsid w:val="30FF0FEF"/>
    <w:rsid w:val="31206871"/>
    <w:rsid w:val="3156044E"/>
    <w:rsid w:val="32E90793"/>
    <w:rsid w:val="334C2479"/>
    <w:rsid w:val="33C80504"/>
    <w:rsid w:val="33D939C5"/>
    <w:rsid w:val="34323FE8"/>
    <w:rsid w:val="34A04CF3"/>
    <w:rsid w:val="350C09E7"/>
    <w:rsid w:val="35952AEC"/>
    <w:rsid w:val="365C0720"/>
    <w:rsid w:val="36D15B8A"/>
    <w:rsid w:val="36D56B05"/>
    <w:rsid w:val="372C539E"/>
    <w:rsid w:val="37932249"/>
    <w:rsid w:val="37A246EA"/>
    <w:rsid w:val="37B646A0"/>
    <w:rsid w:val="37F72B67"/>
    <w:rsid w:val="381B0A50"/>
    <w:rsid w:val="38763ED8"/>
    <w:rsid w:val="38BF1907"/>
    <w:rsid w:val="38E5211B"/>
    <w:rsid w:val="397502F0"/>
    <w:rsid w:val="397B4C7C"/>
    <w:rsid w:val="39AB02EF"/>
    <w:rsid w:val="39F02B60"/>
    <w:rsid w:val="3B123582"/>
    <w:rsid w:val="3C352E0B"/>
    <w:rsid w:val="3C4F1C44"/>
    <w:rsid w:val="3C610E7A"/>
    <w:rsid w:val="3DE03BA2"/>
    <w:rsid w:val="3DF338D5"/>
    <w:rsid w:val="3DFF11AB"/>
    <w:rsid w:val="3E0A5BCC"/>
    <w:rsid w:val="3E26436F"/>
    <w:rsid w:val="3E7563E2"/>
    <w:rsid w:val="3EB5522B"/>
    <w:rsid w:val="3EB703CA"/>
    <w:rsid w:val="3F4A7E6C"/>
    <w:rsid w:val="3FB007F3"/>
    <w:rsid w:val="401C34CE"/>
    <w:rsid w:val="40375B30"/>
    <w:rsid w:val="408D0FB0"/>
    <w:rsid w:val="40BA1402"/>
    <w:rsid w:val="40BE45CB"/>
    <w:rsid w:val="40C85D34"/>
    <w:rsid w:val="413E755D"/>
    <w:rsid w:val="418A09F4"/>
    <w:rsid w:val="424109D0"/>
    <w:rsid w:val="42990C13"/>
    <w:rsid w:val="42AF6F0F"/>
    <w:rsid w:val="42BD2703"/>
    <w:rsid w:val="42BE2445"/>
    <w:rsid w:val="42C96083"/>
    <w:rsid w:val="434D7F2B"/>
    <w:rsid w:val="436546FA"/>
    <w:rsid w:val="436A002C"/>
    <w:rsid w:val="440063D8"/>
    <w:rsid w:val="440B642A"/>
    <w:rsid w:val="44CF359C"/>
    <w:rsid w:val="45444586"/>
    <w:rsid w:val="45650595"/>
    <w:rsid w:val="45A46EB6"/>
    <w:rsid w:val="45A55DFD"/>
    <w:rsid w:val="46696C70"/>
    <w:rsid w:val="4690622E"/>
    <w:rsid w:val="47480B36"/>
    <w:rsid w:val="48153421"/>
    <w:rsid w:val="482D0B2E"/>
    <w:rsid w:val="48494DFD"/>
    <w:rsid w:val="48572488"/>
    <w:rsid w:val="48640BAC"/>
    <w:rsid w:val="490B74CC"/>
    <w:rsid w:val="493723C8"/>
    <w:rsid w:val="49725D2E"/>
    <w:rsid w:val="499F7100"/>
    <w:rsid w:val="49D54999"/>
    <w:rsid w:val="49FB63FB"/>
    <w:rsid w:val="4BCC53FA"/>
    <w:rsid w:val="4BCF3BD3"/>
    <w:rsid w:val="4C18631D"/>
    <w:rsid w:val="4CCE4A32"/>
    <w:rsid w:val="4DCD2983"/>
    <w:rsid w:val="4DF0525E"/>
    <w:rsid w:val="4E3247D7"/>
    <w:rsid w:val="4E4667F5"/>
    <w:rsid w:val="4EA2714D"/>
    <w:rsid w:val="4EE321CB"/>
    <w:rsid w:val="4F472F49"/>
    <w:rsid w:val="4FCB1C0C"/>
    <w:rsid w:val="504358FF"/>
    <w:rsid w:val="509158B4"/>
    <w:rsid w:val="50A740FF"/>
    <w:rsid w:val="50DA7F96"/>
    <w:rsid w:val="50DC3179"/>
    <w:rsid w:val="50F76935"/>
    <w:rsid w:val="510846F1"/>
    <w:rsid w:val="514B72BE"/>
    <w:rsid w:val="51612C25"/>
    <w:rsid w:val="51917235"/>
    <w:rsid w:val="51FB09CD"/>
    <w:rsid w:val="520D74BE"/>
    <w:rsid w:val="522377D2"/>
    <w:rsid w:val="525A6192"/>
    <w:rsid w:val="52956406"/>
    <w:rsid w:val="52D171BF"/>
    <w:rsid w:val="53434019"/>
    <w:rsid w:val="536605E8"/>
    <w:rsid w:val="53D13C3D"/>
    <w:rsid w:val="541615DB"/>
    <w:rsid w:val="54574DC4"/>
    <w:rsid w:val="554D6913"/>
    <w:rsid w:val="55BC113D"/>
    <w:rsid w:val="55EE0CF5"/>
    <w:rsid w:val="56405B1B"/>
    <w:rsid w:val="570B7614"/>
    <w:rsid w:val="570D7553"/>
    <w:rsid w:val="58352FDD"/>
    <w:rsid w:val="586B4901"/>
    <w:rsid w:val="58E84AE0"/>
    <w:rsid w:val="59AD3E0E"/>
    <w:rsid w:val="59C4289D"/>
    <w:rsid w:val="59F35F3A"/>
    <w:rsid w:val="59FD6606"/>
    <w:rsid w:val="5A072453"/>
    <w:rsid w:val="5A0E1D6B"/>
    <w:rsid w:val="5A4C5F01"/>
    <w:rsid w:val="5AB665E6"/>
    <w:rsid w:val="5B94004E"/>
    <w:rsid w:val="5C0F1DCA"/>
    <w:rsid w:val="5C6C4B26"/>
    <w:rsid w:val="5C893F80"/>
    <w:rsid w:val="5DAA3484"/>
    <w:rsid w:val="5E46061A"/>
    <w:rsid w:val="5E5A60BC"/>
    <w:rsid w:val="5E9706DB"/>
    <w:rsid w:val="5EDF7832"/>
    <w:rsid w:val="5F0C25F1"/>
    <w:rsid w:val="5F7A7D2B"/>
    <w:rsid w:val="609F196E"/>
    <w:rsid w:val="60C213F0"/>
    <w:rsid w:val="61477A44"/>
    <w:rsid w:val="61842912"/>
    <w:rsid w:val="619066B6"/>
    <w:rsid w:val="619C36C0"/>
    <w:rsid w:val="61FB21BD"/>
    <w:rsid w:val="62A431C3"/>
    <w:rsid w:val="63414F5F"/>
    <w:rsid w:val="63486F48"/>
    <w:rsid w:val="637D650F"/>
    <w:rsid w:val="637F68EC"/>
    <w:rsid w:val="63E04B73"/>
    <w:rsid w:val="646C4666"/>
    <w:rsid w:val="649E5E88"/>
    <w:rsid w:val="64C157F9"/>
    <w:rsid w:val="64D85DCB"/>
    <w:rsid w:val="65FC6F1B"/>
    <w:rsid w:val="66316B15"/>
    <w:rsid w:val="66A86E60"/>
    <w:rsid w:val="6703077D"/>
    <w:rsid w:val="67043091"/>
    <w:rsid w:val="67200ABA"/>
    <w:rsid w:val="6747066A"/>
    <w:rsid w:val="678F409C"/>
    <w:rsid w:val="679F4002"/>
    <w:rsid w:val="67AF0F91"/>
    <w:rsid w:val="67B400E8"/>
    <w:rsid w:val="681177DB"/>
    <w:rsid w:val="68137BB3"/>
    <w:rsid w:val="681C2994"/>
    <w:rsid w:val="68412472"/>
    <w:rsid w:val="688D6550"/>
    <w:rsid w:val="688F2159"/>
    <w:rsid w:val="68C0684E"/>
    <w:rsid w:val="68F86A3F"/>
    <w:rsid w:val="69173577"/>
    <w:rsid w:val="69F5100D"/>
    <w:rsid w:val="6A39493D"/>
    <w:rsid w:val="6A3D7F36"/>
    <w:rsid w:val="6ACB3360"/>
    <w:rsid w:val="6AD06BC8"/>
    <w:rsid w:val="6BA35E9F"/>
    <w:rsid w:val="6D182DF4"/>
    <w:rsid w:val="6D5E6C64"/>
    <w:rsid w:val="6D644638"/>
    <w:rsid w:val="6DA877B4"/>
    <w:rsid w:val="6E5556CF"/>
    <w:rsid w:val="6E755ABD"/>
    <w:rsid w:val="6E943D08"/>
    <w:rsid w:val="6E9B0000"/>
    <w:rsid w:val="6EB75CDA"/>
    <w:rsid w:val="6EF07839"/>
    <w:rsid w:val="6F3117B3"/>
    <w:rsid w:val="6FDB2297"/>
    <w:rsid w:val="70620B3D"/>
    <w:rsid w:val="70DB1624"/>
    <w:rsid w:val="717F1767"/>
    <w:rsid w:val="72166F6B"/>
    <w:rsid w:val="725B321B"/>
    <w:rsid w:val="72BF34BD"/>
    <w:rsid w:val="73072B50"/>
    <w:rsid w:val="73AB7A96"/>
    <w:rsid w:val="73C459A0"/>
    <w:rsid w:val="74483AB6"/>
    <w:rsid w:val="747D1622"/>
    <w:rsid w:val="74DE57AF"/>
    <w:rsid w:val="75CB429F"/>
    <w:rsid w:val="75F50DF5"/>
    <w:rsid w:val="75FA5932"/>
    <w:rsid w:val="76884DE6"/>
    <w:rsid w:val="76B15B80"/>
    <w:rsid w:val="76E407C3"/>
    <w:rsid w:val="77627C1E"/>
    <w:rsid w:val="786660B9"/>
    <w:rsid w:val="78FD412D"/>
    <w:rsid w:val="792F7BAA"/>
    <w:rsid w:val="793A3350"/>
    <w:rsid w:val="79B130C3"/>
    <w:rsid w:val="7A674EB5"/>
    <w:rsid w:val="7ABE2599"/>
    <w:rsid w:val="7B2D7FC8"/>
    <w:rsid w:val="7BA55C65"/>
    <w:rsid w:val="7CAD1877"/>
    <w:rsid w:val="7D642475"/>
    <w:rsid w:val="7D650453"/>
    <w:rsid w:val="7D882BC9"/>
    <w:rsid w:val="7E4D3697"/>
    <w:rsid w:val="7E505BFE"/>
    <w:rsid w:val="7E9D74D7"/>
    <w:rsid w:val="7F4766A2"/>
    <w:rsid w:val="7F50002E"/>
    <w:rsid w:val="7FFF42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qFormat="1" w:unhideWhenUsed="0" w:uiPriority="39" w:semiHidden="0"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3">
    <w:name w:val="heading 1"/>
    <w:basedOn w:val="1"/>
    <w:next w:val="1"/>
    <w:link w:val="40"/>
    <w:qFormat/>
    <w:uiPriority w:val="9"/>
    <w:pPr>
      <w:keepNext/>
      <w:keepLines/>
      <w:numPr>
        <w:ilvl w:val="0"/>
        <w:numId w:val="1"/>
      </w:numPr>
      <w:spacing w:before="50" w:beforeLines="50" w:after="50" w:afterLines="50"/>
      <w:ind w:firstLineChars="0"/>
      <w:jc w:val="center"/>
      <w:outlineLvl w:val="0"/>
    </w:pPr>
    <w:rPr>
      <w:b/>
      <w:bCs/>
      <w:kern w:val="44"/>
      <w:sz w:val="32"/>
      <w:szCs w:val="44"/>
    </w:rPr>
  </w:style>
  <w:style w:type="paragraph" w:styleId="4">
    <w:name w:val="heading 2"/>
    <w:basedOn w:val="1"/>
    <w:next w:val="1"/>
    <w:link w:val="36"/>
    <w:unhideWhenUsed/>
    <w:qFormat/>
    <w:uiPriority w:val="9"/>
    <w:pPr>
      <w:keepNext/>
      <w:keepLines/>
      <w:numPr>
        <w:ilvl w:val="1"/>
        <w:numId w:val="1"/>
      </w:numPr>
      <w:spacing w:before="50" w:beforeLines="50" w:after="50" w:afterLines="50"/>
      <w:ind w:firstLineChars="0"/>
      <w:jc w:val="left"/>
      <w:outlineLvl w:val="1"/>
    </w:pPr>
    <w:rPr>
      <w:rFonts w:asciiTheme="majorHAnsi" w:hAnsiTheme="majorHAnsi" w:cstheme="majorBidi"/>
      <w:b/>
      <w:bCs/>
      <w:sz w:val="28"/>
      <w:szCs w:val="32"/>
    </w:rPr>
  </w:style>
  <w:style w:type="paragraph" w:styleId="5">
    <w:name w:val="heading 3"/>
    <w:basedOn w:val="4"/>
    <w:next w:val="1"/>
    <w:link w:val="37"/>
    <w:unhideWhenUsed/>
    <w:qFormat/>
    <w:uiPriority w:val="9"/>
    <w:pPr>
      <w:keepNext/>
      <w:keepLines/>
      <w:numPr>
        <w:ilvl w:val="2"/>
        <w:numId w:val="1"/>
      </w:numPr>
      <w:spacing w:before="50" w:beforeLines="50" w:after="50" w:afterLines="50"/>
      <w:ind w:firstLineChars="0"/>
      <w:outlineLvl w:val="2"/>
    </w:pPr>
    <w:rPr>
      <w:rFonts w:ascii="Times New Roman" w:hAnsi="Times New Roman" w:eastAsia="宋体"/>
      <w:color w:val="auto"/>
      <w:szCs w:val="32"/>
    </w:rPr>
  </w:style>
  <w:style w:type="paragraph" w:styleId="6">
    <w:name w:val="heading 4"/>
    <w:basedOn w:val="1"/>
    <w:next w:val="1"/>
    <w:link w:val="38"/>
    <w:unhideWhenUsed/>
    <w:qFormat/>
    <w:uiPriority w:val="9"/>
    <w:pPr>
      <w:keepNext/>
      <w:keepLines/>
      <w:ind w:firstLine="560"/>
      <w:outlineLvl w:val="3"/>
    </w:pPr>
    <w:rPr>
      <w:rFonts w:asciiTheme="majorHAnsi" w:hAnsiTheme="majorHAnsi" w:eastAsiaTheme="majorEastAsia" w:cstheme="majorBidi"/>
      <w:bCs/>
      <w:szCs w:val="28"/>
    </w:rPr>
  </w:style>
  <w:style w:type="paragraph" w:styleId="7">
    <w:name w:val="heading 5"/>
    <w:basedOn w:val="1"/>
    <w:next w:val="1"/>
    <w:link w:val="41"/>
    <w:unhideWhenUsed/>
    <w:qFormat/>
    <w:uiPriority w:val="9"/>
    <w:pPr>
      <w:keepNext/>
      <w:keepLines/>
      <w:outlineLvl w:val="4"/>
    </w:pPr>
    <w:rPr>
      <w:bCs/>
      <w:szCs w:val="28"/>
    </w:rPr>
  </w:style>
  <w:style w:type="paragraph" w:styleId="8">
    <w:name w:val="heading 6"/>
    <w:basedOn w:val="1"/>
    <w:next w:val="1"/>
    <w:semiHidden/>
    <w:unhideWhenUsed/>
    <w:qFormat/>
    <w:uiPriority w:val="9"/>
    <w:pPr>
      <w:keepNext/>
      <w:keepLines/>
      <w:outlineLvl w:val="5"/>
    </w:pPr>
    <w:rPr>
      <w:rFonts w:ascii="Arial" w:hAnsi="Arial"/>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unhideWhenUsed/>
    <w:qFormat/>
    <w:uiPriority w:val="99"/>
    <w:pPr>
      <w:ind w:firstLine="560"/>
    </w:pPr>
    <w:rPr>
      <w:szCs w:val="24"/>
    </w:rPr>
  </w:style>
  <w:style w:type="paragraph" w:styleId="9">
    <w:name w:val="Normal Indent"/>
    <w:basedOn w:val="1"/>
    <w:next w:val="10"/>
    <w:unhideWhenUsed/>
    <w:qFormat/>
    <w:uiPriority w:val="99"/>
    <w:pPr>
      <w:ind w:firstLine="420"/>
    </w:pPr>
    <w:rPr>
      <w:rFonts w:hint="eastAsia"/>
    </w:rPr>
  </w:style>
  <w:style w:type="paragraph" w:styleId="10">
    <w:name w:val="Body Text First Indent"/>
    <w:basedOn w:val="2"/>
    <w:next w:val="11"/>
    <w:unhideWhenUsed/>
    <w:qFormat/>
    <w:uiPriority w:val="99"/>
    <w:pPr>
      <w:spacing w:before="154"/>
      <w:ind w:left="121" w:firstLine="420" w:firstLineChars="100"/>
    </w:pPr>
    <w:rPr>
      <w:rFonts w:hint="eastAsia" w:ascii="仿宋" w:hAnsi="仿宋" w:eastAsia="仿宋"/>
      <w:szCs w:val="21"/>
    </w:rPr>
  </w:style>
  <w:style w:type="paragraph" w:styleId="11">
    <w:name w:val="toc 6"/>
    <w:basedOn w:val="1"/>
    <w:next w:val="1"/>
    <w:qFormat/>
    <w:uiPriority w:val="39"/>
    <w:pPr>
      <w:ind w:left="1050"/>
      <w:jc w:val="left"/>
    </w:pPr>
    <w:rPr>
      <w:sz w:val="18"/>
      <w:szCs w:val="18"/>
    </w:rPr>
  </w:style>
  <w:style w:type="paragraph" w:styleId="12">
    <w:name w:val="caption"/>
    <w:basedOn w:val="1"/>
    <w:next w:val="13"/>
    <w:unhideWhenUsed/>
    <w:qFormat/>
    <w:uiPriority w:val="35"/>
    <w:rPr>
      <w:rFonts w:eastAsia="黑体" w:asciiTheme="majorHAnsi" w:hAnsiTheme="majorHAnsi" w:cstheme="majorBidi"/>
      <w:sz w:val="20"/>
      <w:szCs w:val="20"/>
    </w:rPr>
  </w:style>
  <w:style w:type="paragraph" w:customStyle="1" w:styleId="13">
    <w:name w:val="表内文字"/>
    <w:basedOn w:val="14"/>
    <w:next w:val="1"/>
    <w:qFormat/>
    <w:uiPriority w:val="0"/>
    <w:pPr>
      <w:spacing w:line="240" w:lineRule="auto"/>
      <w:ind w:firstLine="0" w:firstLineChars="0"/>
      <w:jc w:val="center"/>
    </w:pPr>
    <w:rPr>
      <w:sz w:val="21"/>
    </w:rPr>
  </w:style>
  <w:style w:type="paragraph" w:customStyle="1" w:styleId="14">
    <w:name w:val="图表名称"/>
    <w:basedOn w:val="1"/>
    <w:qFormat/>
    <w:uiPriority w:val="0"/>
    <w:pPr>
      <w:ind w:firstLine="480"/>
      <w:jc w:val="center"/>
    </w:pPr>
    <w:rPr>
      <w:b/>
      <w:sz w:val="21"/>
    </w:rPr>
  </w:style>
  <w:style w:type="paragraph" w:styleId="15">
    <w:name w:val="Body Text Indent"/>
    <w:basedOn w:val="1"/>
    <w:unhideWhenUsed/>
    <w:qFormat/>
    <w:uiPriority w:val="99"/>
    <w:pPr>
      <w:spacing w:after="120"/>
      <w:ind w:left="420" w:leftChars="200"/>
    </w:pPr>
  </w:style>
  <w:style w:type="paragraph" w:styleId="16">
    <w:name w:val="Block Text"/>
    <w:basedOn w:val="1"/>
    <w:next w:val="1"/>
    <w:qFormat/>
    <w:uiPriority w:val="0"/>
    <w:pPr>
      <w:spacing w:line="20" w:lineRule="atLeast"/>
      <w:ind w:left="1260" w:leftChars="100" w:right="339" w:hanging="944" w:hangingChars="482"/>
    </w:pPr>
  </w:style>
  <w:style w:type="paragraph" w:styleId="17">
    <w:name w:val="toc 3"/>
    <w:basedOn w:val="1"/>
    <w:next w:val="1"/>
    <w:unhideWhenUsed/>
    <w:qFormat/>
    <w:uiPriority w:val="39"/>
    <w:pPr>
      <w:ind w:left="840" w:leftChars="400"/>
    </w:pPr>
  </w:style>
  <w:style w:type="paragraph" w:styleId="18">
    <w:name w:val="Plain Text"/>
    <w:basedOn w:val="1"/>
    <w:unhideWhenUsed/>
    <w:qFormat/>
    <w:uiPriority w:val="0"/>
    <w:rPr>
      <w:rFonts w:ascii="宋体" w:hAnsi="Courier New"/>
      <w:sz w:val="19"/>
    </w:rPr>
  </w:style>
  <w:style w:type="paragraph" w:styleId="19">
    <w:name w:val="footer"/>
    <w:basedOn w:val="1"/>
    <w:link w:val="35"/>
    <w:unhideWhenUsed/>
    <w:qFormat/>
    <w:uiPriority w:val="99"/>
    <w:pPr>
      <w:tabs>
        <w:tab w:val="center" w:pos="4153"/>
        <w:tab w:val="right" w:pos="8306"/>
      </w:tabs>
      <w:snapToGrid w:val="0"/>
      <w:jc w:val="left"/>
    </w:pPr>
    <w:rPr>
      <w:sz w:val="18"/>
      <w:szCs w:val="18"/>
    </w:rPr>
  </w:style>
  <w:style w:type="paragraph" w:styleId="20">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tabs>
        <w:tab w:val="right" w:leader="dot" w:pos="9060"/>
      </w:tabs>
      <w:ind w:firstLine="0" w:firstLineChars="0"/>
      <w:jc w:val="center"/>
    </w:pPr>
    <w:rPr>
      <w:b/>
      <w:sz w:val="28"/>
    </w:rPr>
  </w:style>
  <w:style w:type="paragraph" w:styleId="22">
    <w:name w:val="Subtitle"/>
    <w:basedOn w:val="1"/>
    <w:next w:val="1"/>
    <w:link w:val="39"/>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23">
    <w:name w:val="toc 2"/>
    <w:basedOn w:val="1"/>
    <w:next w:val="1"/>
    <w:unhideWhenUsed/>
    <w:qFormat/>
    <w:uiPriority w:val="39"/>
    <w:pPr>
      <w:tabs>
        <w:tab w:val="right" w:leader="dot" w:pos="9060"/>
      </w:tabs>
      <w:ind w:firstLine="560"/>
      <w:jc w:val="center"/>
    </w:pPr>
    <w:rPr>
      <w:sz w:val="28"/>
    </w:rPr>
  </w:style>
  <w:style w:type="paragraph" w:styleId="24">
    <w:name w:val="Normal (Web)"/>
    <w:basedOn w:val="1"/>
    <w:unhideWhenUsed/>
    <w:qFormat/>
    <w:uiPriority w:val="99"/>
    <w:pPr>
      <w:spacing w:line="360" w:lineRule="auto"/>
      <w:ind w:firstLine="960" w:firstLineChars="200"/>
    </w:pPr>
    <w:rPr>
      <w:sz w:val="24"/>
      <w:szCs w:val="20"/>
    </w:rPr>
  </w:style>
  <w:style w:type="paragraph" w:styleId="25">
    <w:name w:val="Title"/>
    <w:basedOn w:val="1"/>
    <w:next w:val="1"/>
    <w:qFormat/>
    <w:uiPriority w:val="10"/>
    <w:pPr>
      <w:spacing w:before="240" w:after="60"/>
      <w:jc w:val="center"/>
      <w:outlineLvl w:val="0"/>
    </w:pPr>
    <w:rPr>
      <w:rFonts w:eastAsia="黑体" w:asciiTheme="majorHAnsi" w:hAnsiTheme="majorHAnsi" w:cstheme="majorBidi"/>
      <w:b/>
      <w:bCs/>
      <w:sz w:val="28"/>
      <w:szCs w:val="32"/>
    </w:rPr>
  </w:style>
  <w:style w:type="paragraph" w:styleId="26">
    <w:name w:val="Body Text First Indent 2"/>
    <w:basedOn w:val="15"/>
    <w:qFormat/>
    <w:uiPriority w:val="0"/>
    <w:pPr>
      <w:ind w:firstLine="420" w:firstLineChars="200"/>
    </w:pPr>
    <w:rPr>
      <w:rFonts w:ascii="Times New Roman" w:hAnsi="Times New Roman" w:eastAsia="宋体" w:cs="Times New Roman"/>
      <w:szCs w:val="24"/>
    </w:rPr>
  </w:style>
  <w:style w:type="table" w:styleId="28">
    <w:name w:val="Table Grid"/>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Hyperlink"/>
    <w:basedOn w:val="29"/>
    <w:unhideWhenUsed/>
    <w:qFormat/>
    <w:uiPriority w:val="99"/>
    <w:rPr>
      <w:color w:val="0000FF" w:themeColor="hyperlink"/>
      <w:u w:val="single"/>
      <w14:textFill>
        <w14:solidFill>
          <w14:schemeClr w14:val="hlink"/>
        </w14:solidFill>
      </w14:textFill>
    </w:rPr>
  </w:style>
  <w:style w:type="paragraph" w:customStyle="1" w:styleId="31">
    <w:name w:val="1.1.1 标题"/>
    <w:qFormat/>
    <w:uiPriority w:val="2"/>
    <w:pPr>
      <w:numPr>
        <w:ilvl w:val="2"/>
        <w:numId w:val="2"/>
      </w:numPr>
      <w:snapToGrid w:val="0"/>
      <w:spacing w:line="360" w:lineRule="auto"/>
      <w:outlineLvl w:val="2"/>
    </w:pPr>
    <w:rPr>
      <w:rFonts w:ascii="Times New Roman" w:hAnsi="Times New Roman" w:eastAsia="宋体" w:cs="Times New Roman"/>
      <w:b/>
      <w:color w:val="215868"/>
      <w:kern w:val="2"/>
      <w:sz w:val="24"/>
      <w:szCs w:val="24"/>
      <w:lang w:val="en-US" w:eastAsia="zh-CN" w:bidi="ar-SA"/>
    </w:rPr>
  </w:style>
  <w:style w:type="paragraph" w:customStyle="1" w:styleId="32">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33">
    <w:name w:val="正文（缩进）"/>
    <w:qFormat/>
    <w:uiPriority w:val="0"/>
    <w:pPr>
      <w:widowControl w:val="0"/>
      <w:spacing w:before="156" w:after="156"/>
      <w:jc w:val="both"/>
    </w:pPr>
    <w:rPr>
      <w:rFonts w:ascii="Calibri" w:hAnsi="Calibri" w:eastAsia="宋体" w:cs="Times New Roman"/>
      <w:kern w:val="2"/>
      <w:sz w:val="21"/>
      <w:szCs w:val="24"/>
      <w:lang w:val="en-US" w:eastAsia="zh-CN" w:bidi="ar-SA"/>
    </w:rPr>
  </w:style>
  <w:style w:type="character" w:customStyle="1" w:styleId="34">
    <w:name w:val="页眉 字符"/>
    <w:basedOn w:val="29"/>
    <w:link w:val="20"/>
    <w:qFormat/>
    <w:uiPriority w:val="99"/>
    <w:rPr>
      <w:sz w:val="18"/>
      <w:szCs w:val="18"/>
    </w:rPr>
  </w:style>
  <w:style w:type="character" w:customStyle="1" w:styleId="35">
    <w:name w:val="页脚 字符"/>
    <w:basedOn w:val="29"/>
    <w:link w:val="19"/>
    <w:qFormat/>
    <w:uiPriority w:val="99"/>
    <w:rPr>
      <w:rFonts w:eastAsia="宋体"/>
      <w:sz w:val="18"/>
      <w:szCs w:val="18"/>
    </w:rPr>
  </w:style>
  <w:style w:type="character" w:customStyle="1" w:styleId="36">
    <w:name w:val="标题 2 字符"/>
    <w:basedOn w:val="29"/>
    <w:link w:val="4"/>
    <w:qFormat/>
    <w:uiPriority w:val="9"/>
    <w:rPr>
      <w:rFonts w:eastAsia="宋体" w:asciiTheme="majorHAnsi" w:hAnsiTheme="majorHAnsi" w:cstheme="majorBidi"/>
      <w:b/>
      <w:bCs/>
      <w:sz w:val="28"/>
      <w:szCs w:val="32"/>
    </w:rPr>
  </w:style>
  <w:style w:type="character" w:customStyle="1" w:styleId="37">
    <w:name w:val="标题 3 字符"/>
    <w:basedOn w:val="29"/>
    <w:link w:val="5"/>
    <w:qFormat/>
    <w:uiPriority w:val="9"/>
    <w:rPr>
      <w:rFonts w:ascii="Times New Roman" w:hAnsi="Times New Roman" w:eastAsia="宋体" w:cs="Times New Roman"/>
      <w:b/>
      <w:bCs/>
      <w:color w:val="auto"/>
      <w:sz w:val="24"/>
      <w:szCs w:val="32"/>
    </w:rPr>
  </w:style>
  <w:style w:type="character" w:customStyle="1" w:styleId="38">
    <w:name w:val="标题 4 字符"/>
    <w:basedOn w:val="29"/>
    <w:link w:val="6"/>
    <w:qFormat/>
    <w:uiPriority w:val="9"/>
    <w:rPr>
      <w:rFonts w:asciiTheme="majorHAnsi" w:hAnsiTheme="majorHAnsi" w:eastAsiaTheme="majorEastAsia" w:cstheme="majorBidi"/>
      <w:bCs/>
      <w:sz w:val="24"/>
      <w:szCs w:val="28"/>
    </w:rPr>
  </w:style>
  <w:style w:type="character" w:customStyle="1" w:styleId="39">
    <w:name w:val="副标题 字符"/>
    <w:basedOn w:val="29"/>
    <w:link w:val="22"/>
    <w:qFormat/>
    <w:uiPriority w:val="11"/>
    <w:rPr>
      <w:rFonts w:eastAsia="宋体" w:asciiTheme="majorHAnsi" w:hAnsiTheme="majorHAnsi" w:cstheme="majorBidi"/>
      <w:b/>
      <w:bCs/>
      <w:kern w:val="28"/>
      <w:sz w:val="32"/>
      <w:szCs w:val="32"/>
    </w:rPr>
  </w:style>
  <w:style w:type="character" w:customStyle="1" w:styleId="40">
    <w:name w:val="标题 1 字符"/>
    <w:basedOn w:val="29"/>
    <w:link w:val="3"/>
    <w:qFormat/>
    <w:uiPriority w:val="9"/>
    <w:rPr>
      <w:rFonts w:ascii="Times New Roman" w:hAnsi="Times New Roman" w:eastAsia="宋体" w:cs="Times New Roman"/>
      <w:b/>
      <w:bCs/>
      <w:kern w:val="44"/>
      <w:sz w:val="32"/>
      <w:szCs w:val="44"/>
    </w:rPr>
  </w:style>
  <w:style w:type="character" w:customStyle="1" w:styleId="41">
    <w:name w:val="标题 5 字符"/>
    <w:basedOn w:val="29"/>
    <w:link w:val="7"/>
    <w:qFormat/>
    <w:uiPriority w:val="9"/>
    <w:rPr>
      <w:rFonts w:ascii="Times New Roman" w:hAnsi="Times New Roman" w:eastAsia="宋体" w:cs="Times New Roman"/>
      <w:bCs/>
      <w:sz w:val="24"/>
      <w:szCs w:val="28"/>
    </w:rPr>
  </w:style>
  <w:style w:type="paragraph" w:customStyle="1" w:styleId="42">
    <w:name w:val="图名表名"/>
    <w:basedOn w:val="1"/>
    <w:qFormat/>
    <w:uiPriority w:val="0"/>
    <w:pPr>
      <w:spacing w:line="240" w:lineRule="auto"/>
      <w:ind w:firstLine="0" w:firstLineChars="0"/>
      <w:jc w:val="center"/>
    </w:pPr>
    <w:rPr>
      <w:b/>
      <w:sz w:val="21"/>
    </w:rPr>
  </w:style>
  <w:style w:type="paragraph" w:customStyle="1" w:styleId="43">
    <w:name w:val="封面标题"/>
    <w:basedOn w:val="1"/>
    <w:next w:val="1"/>
    <w:qFormat/>
    <w:uiPriority w:val="0"/>
    <w:pPr>
      <w:ind w:firstLine="0" w:firstLineChars="0"/>
      <w:jc w:val="center"/>
    </w:pPr>
    <w:rPr>
      <w:b/>
      <w:sz w:val="32"/>
    </w:rPr>
  </w:style>
  <w:style w:type="paragraph" w:customStyle="1" w:styleId="44">
    <w:name w:val="表格居中"/>
    <w:basedOn w:val="45"/>
    <w:next w:val="1"/>
    <w:qFormat/>
    <w:uiPriority w:val="0"/>
    <w:pPr>
      <w:adjustRightInd w:val="0"/>
      <w:snapToGrid w:val="0"/>
      <w:spacing w:line="288" w:lineRule="auto"/>
      <w:ind w:firstLine="0" w:firstLineChars="0"/>
      <w:jc w:val="center"/>
      <w:textAlignment w:val="center"/>
    </w:pPr>
    <w:rPr>
      <w:rFonts w:ascii="宋体" w:hAnsi="宋体"/>
      <w:kern w:val="22"/>
    </w:rPr>
  </w:style>
  <w:style w:type="paragraph" w:customStyle="1" w:styleId="45">
    <w:name w:val="插图"/>
    <w:basedOn w:val="46"/>
    <w:qFormat/>
    <w:uiPriority w:val="0"/>
    <w:pPr>
      <w:spacing w:line="240" w:lineRule="auto"/>
      <w:ind w:firstLine="0"/>
      <w:jc w:val="center"/>
    </w:pPr>
  </w:style>
  <w:style w:type="paragraph" w:customStyle="1" w:styleId="46">
    <w:name w:val="方案正文"/>
    <w:basedOn w:val="1"/>
    <w:qFormat/>
    <w:uiPriority w:val="0"/>
    <w:pPr>
      <w:adjustRightInd w:val="0"/>
      <w:snapToGrid w:val="0"/>
      <w:spacing w:line="312" w:lineRule="auto"/>
      <w:ind w:firstLine="425"/>
    </w:pPr>
    <w:rPr>
      <w:sz w:val="24"/>
    </w:rPr>
  </w:style>
  <w:style w:type="paragraph" w:customStyle="1" w:styleId="47">
    <w:name w:val="列出段落1"/>
    <w:basedOn w:val="1"/>
    <w:qFormat/>
    <w:uiPriority w:val="34"/>
    <w:pPr>
      <w:ind w:firstLine="420" w:firstLineChars="200"/>
    </w:pPr>
  </w:style>
  <w:style w:type="paragraph" w:customStyle="1" w:styleId="48">
    <w:name w:val="正文C"/>
    <w:basedOn w:val="1"/>
    <w:link w:val="73"/>
    <w:qFormat/>
    <w:uiPriority w:val="0"/>
    <w:pPr>
      <w:widowControl/>
      <w:adjustRightInd w:val="0"/>
      <w:snapToGrid w:val="0"/>
      <w:spacing w:line="360" w:lineRule="auto"/>
      <w:ind w:firstLine="200" w:firstLineChars="200"/>
      <w:jc w:val="left"/>
    </w:pPr>
    <w:rPr>
      <w:rFonts w:ascii="宋体" w:hAnsi="宋体" w:eastAsia="宋体" w:cs="宋体"/>
      <w:color w:val="525252"/>
      <w:kern w:val="0"/>
      <w:sz w:val="24"/>
      <w:szCs w:val="24"/>
    </w:rPr>
  </w:style>
  <w:style w:type="paragraph" w:customStyle="1" w:styleId="49">
    <w:name w:val="余杭图表"/>
    <w:next w:val="1"/>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paragraph" w:styleId="50">
    <w:name w:val="List Paragraph"/>
    <w:basedOn w:val="1"/>
    <w:qFormat/>
    <w:uiPriority w:val="34"/>
    <w:pPr>
      <w:ind w:firstLine="420" w:firstLineChars="200"/>
    </w:pPr>
  </w:style>
  <w:style w:type="paragraph" w:customStyle="1" w:styleId="51">
    <w:name w:val="图表名字"/>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52">
    <w:name w:val="空港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styleId="53">
    <w:name w:val="No Spacing"/>
    <w:qFormat/>
    <w:uiPriority w:val="99"/>
    <w:pPr>
      <w:widowControl w:val="0"/>
      <w:spacing w:line="360" w:lineRule="auto"/>
      <w:jc w:val="center"/>
    </w:pPr>
    <w:rPr>
      <w:rFonts w:ascii="黑体" w:hAnsi="黑体" w:eastAsia="黑体" w:cs="Times New Roman"/>
      <w:sz w:val="21"/>
      <w:lang w:val="en-US" w:eastAsia="zh-CN" w:bidi="ar-SA"/>
    </w:rPr>
  </w:style>
  <w:style w:type="paragraph" w:customStyle="1" w:styleId="54">
    <w:name w:val="正文缩2"/>
    <w:qFormat/>
    <w:uiPriority w:val="0"/>
    <w:pPr>
      <w:spacing w:line="360" w:lineRule="auto"/>
      <w:ind w:firstLine="240" w:firstLineChars="100"/>
    </w:pPr>
    <w:rPr>
      <w:rFonts w:ascii="Calibri" w:hAnsi="Calibri" w:eastAsia="宋体" w:cs="Times New Roman"/>
      <w:sz w:val="24"/>
      <w:szCs w:val="24"/>
      <w:lang w:val="en-US" w:eastAsia="zh-CN" w:bidi="ar-SA"/>
    </w:rPr>
  </w:style>
  <w:style w:type="paragraph" w:customStyle="1" w:styleId="55">
    <w:name w:val="余杭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kern w:val="0"/>
      <w:sz w:val="24"/>
      <w:szCs w:val="20"/>
      <w:lang w:val="en-US" w:eastAsia="zh-CN" w:bidi="ar-SA"/>
    </w:rPr>
  </w:style>
  <w:style w:type="paragraph" w:customStyle="1" w:styleId="56">
    <w:name w:val="余杭表内"/>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paragraph" w:customStyle="1" w:styleId="57">
    <w:name w:val="正文2"/>
    <w:basedOn w:val="53"/>
    <w:qFormat/>
    <w:uiPriority w:val="0"/>
    <w:pPr>
      <w:adjustRightInd w:val="0"/>
      <w:jc w:val="left"/>
    </w:pPr>
    <w:rPr>
      <w:szCs w:val="28"/>
      <w:lang w:bidi="en-US"/>
    </w:rPr>
  </w:style>
  <w:style w:type="paragraph" w:customStyle="1" w:styleId="58">
    <w:name w:val="无间隔1"/>
    <w:qFormat/>
    <w:uiPriority w:val="0"/>
    <w:pPr>
      <w:widowControl w:val="0"/>
      <w:jc w:val="center"/>
    </w:pPr>
    <w:rPr>
      <w:rFonts w:ascii="宋体" w:hAnsi="Times New Roman" w:eastAsiaTheme="minorEastAsia" w:cstheme="minorBidi"/>
      <w:kern w:val="2"/>
      <w:sz w:val="21"/>
      <w:szCs w:val="22"/>
      <w:lang w:val="en-US" w:eastAsia="zh-CN" w:bidi="ar-SA"/>
    </w:rPr>
  </w:style>
  <w:style w:type="paragraph" w:customStyle="1" w:styleId="59">
    <w:name w:val="正文z1"/>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60">
    <w:name w:val="Table Paragraph"/>
    <w:basedOn w:val="1"/>
    <w:qFormat/>
    <w:uiPriority w:val="1"/>
    <w:pPr>
      <w:jc w:val="left"/>
    </w:pPr>
    <w:rPr>
      <w:rFonts w:ascii="Calibri" w:hAnsi="Calibri" w:eastAsia="宋体" w:cs="Times New Roman"/>
      <w:kern w:val="0"/>
      <w:sz w:val="22"/>
      <w:lang w:eastAsia="en-US"/>
    </w:rPr>
  </w:style>
  <w:style w:type="paragraph" w:customStyle="1" w:styleId="61">
    <w:name w:val="正文B"/>
    <w:basedOn w:val="1"/>
    <w:qFormat/>
    <w:uiPriority w:val="0"/>
    <w:pPr>
      <w:spacing w:line="360" w:lineRule="auto"/>
      <w:ind w:firstLine="560" w:firstLineChars="200"/>
    </w:pPr>
    <w:rPr>
      <w:rFonts w:ascii="宋体" w:hAnsi="宋体" w:eastAsia="黑体" w:cs="宋体"/>
      <w:color w:val="FF0000"/>
      <w:kern w:val="0"/>
      <w:sz w:val="24"/>
      <w:szCs w:val="24"/>
    </w:rPr>
  </w:style>
  <w:style w:type="paragraph" w:customStyle="1" w:styleId="62">
    <w:name w:val="表格标准"/>
    <w:basedOn w:val="1"/>
    <w:qFormat/>
    <w:uiPriority w:val="0"/>
    <w:pPr>
      <w:jc w:val="center"/>
    </w:pPr>
    <w:rPr>
      <w:rFonts w:ascii="仿宋" w:hAnsi="仿宋" w:eastAsia="仿宋"/>
    </w:rPr>
  </w:style>
  <w:style w:type="paragraph" w:customStyle="1" w:styleId="63">
    <w:name w:val="表格居左"/>
    <w:basedOn w:val="64"/>
    <w:qFormat/>
    <w:uiPriority w:val="7"/>
    <w:pPr>
      <w:ind w:firstLine="0" w:firstLineChars="0"/>
    </w:pPr>
    <w:rPr>
      <w:rFonts w:ascii="Times New Roman" w:cs="Times New Roman"/>
      <w:szCs w:val="21"/>
    </w:rPr>
  </w:style>
  <w:style w:type="paragraph" w:customStyle="1" w:styleId="64">
    <w:name w:val="表格首行缩进"/>
    <w:basedOn w:val="1"/>
    <w:qFormat/>
    <w:uiPriority w:val="0"/>
    <w:pPr>
      <w:adjustRightInd w:val="0"/>
      <w:snapToGrid w:val="0"/>
      <w:spacing w:line="288" w:lineRule="auto"/>
      <w:ind w:firstLine="420"/>
      <w:jc w:val="left"/>
      <w:textAlignment w:val="center"/>
    </w:pPr>
    <w:rPr>
      <w:rFonts w:ascii="宋体" w:cs="宋体"/>
      <w:snapToGrid w:val="0"/>
      <w:kern w:val="0"/>
      <w:szCs w:val="20"/>
    </w:rPr>
  </w:style>
  <w:style w:type="paragraph" w:customStyle="1" w:styleId="65">
    <w:name w:val="WPSOffice手动目录 1"/>
    <w:qFormat/>
    <w:uiPriority w:val="0"/>
    <w:pPr>
      <w:ind w:leftChars="0"/>
    </w:pPr>
    <w:rPr>
      <w:rFonts w:ascii="Times New Roman" w:hAnsi="Times New Roman" w:eastAsia="宋体" w:cs="Times New Roman"/>
      <w:sz w:val="20"/>
      <w:szCs w:val="20"/>
    </w:rPr>
  </w:style>
  <w:style w:type="paragraph" w:customStyle="1" w:styleId="66">
    <w:name w:val="WPSOffice手动目录 2"/>
    <w:qFormat/>
    <w:uiPriority w:val="0"/>
    <w:pPr>
      <w:ind w:leftChars="200"/>
    </w:pPr>
    <w:rPr>
      <w:rFonts w:ascii="Times New Roman" w:hAnsi="Times New Roman" w:eastAsia="宋体" w:cs="Times New Roman"/>
      <w:sz w:val="20"/>
      <w:szCs w:val="20"/>
    </w:rPr>
  </w:style>
  <w:style w:type="paragraph" w:customStyle="1" w:styleId="67">
    <w:name w:val="标题3"/>
    <w:basedOn w:val="68"/>
    <w:qFormat/>
    <w:uiPriority w:val="0"/>
    <w:pPr>
      <w:spacing w:before="20" w:after="20" w:line="360" w:lineRule="auto"/>
      <w:ind w:firstLine="100" w:firstLineChars="100"/>
      <w:outlineLvl w:val="2"/>
    </w:pPr>
    <w:rPr>
      <w:sz w:val="24"/>
    </w:rPr>
  </w:style>
  <w:style w:type="paragraph" w:customStyle="1" w:styleId="68">
    <w:name w:val="标题2"/>
    <w:basedOn w:val="1"/>
    <w:qFormat/>
    <w:uiPriority w:val="0"/>
    <w:pPr>
      <w:spacing w:before="40" w:after="40"/>
      <w:jc w:val="left"/>
      <w:outlineLvl w:val="1"/>
    </w:pPr>
    <w:rPr>
      <w:rFonts w:ascii="宋体" w:hAnsi="宋体"/>
      <w:b/>
      <w:bCs/>
      <w:color w:val="000000"/>
      <w:szCs w:val="24"/>
    </w:rPr>
  </w:style>
  <w:style w:type="paragraph" w:customStyle="1" w:styleId="69">
    <w:name w:val="表格"/>
    <w:basedOn w:val="1"/>
    <w:qFormat/>
    <w:uiPriority w:val="0"/>
    <w:pPr>
      <w:adjustRightInd w:val="0"/>
      <w:snapToGrid w:val="0"/>
      <w:spacing w:line="500" w:lineRule="exact"/>
      <w:ind w:firstLine="200" w:firstLineChars="200"/>
      <w:jc w:val="center"/>
    </w:pPr>
    <w:rPr>
      <w:rFonts w:ascii="仿宋" w:hAnsi="Calibri"/>
      <w:b/>
      <w:szCs w:val="20"/>
    </w:rPr>
  </w:style>
  <w:style w:type="paragraph" w:customStyle="1" w:styleId="70">
    <w:name w:val="表格文字"/>
    <w:basedOn w:val="1"/>
    <w:next w:val="1"/>
    <w:qFormat/>
    <w:uiPriority w:val="0"/>
    <w:pPr>
      <w:adjustRightInd w:val="0"/>
      <w:snapToGrid w:val="0"/>
      <w:spacing w:line="360" w:lineRule="exact"/>
      <w:jc w:val="center"/>
    </w:pPr>
    <w:rPr>
      <w:rFonts w:ascii="宋体" w:hAnsi="宋体" w:eastAsia="宋体" w:cs="宋体"/>
      <w:snapToGrid w:val="0"/>
      <w:kern w:val="0"/>
      <w:szCs w:val="24"/>
    </w:rPr>
  </w:style>
  <w:style w:type="paragraph" w:customStyle="1" w:styleId="71">
    <w:name w:val="正文标题"/>
    <w:basedOn w:val="1"/>
    <w:qFormat/>
    <w:uiPriority w:val="0"/>
    <w:pPr>
      <w:adjustRightInd w:val="0"/>
      <w:snapToGrid w:val="0"/>
      <w:jc w:val="left"/>
    </w:pPr>
    <w:rPr>
      <w:b/>
      <w:sz w:val="28"/>
      <w:szCs w:val="24"/>
    </w:rPr>
  </w:style>
  <w:style w:type="paragraph" w:customStyle="1" w:styleId="72">
    <w:name w:val="正文2.13"/>
    <w:basedOn w:val="1"/>
    <w:qFormat/>
    <w:uiPriority w:val="99"/>
    <w:pPr>
      <w:topLinePunct/>
      <w:adjustRightInd w:val="0"/>
      <w:snapToGrid w:val="0"/>
      <w:spacing w:line="360" w:lineRule="auto"/>
      <w:ind w:firstLine="200" w:firstLineChars="200"/>
    </w:pPr>
    <w:rPr>
      <w:rFonts w:ascii="Calibri" w:hAnsi="Calibri" w:eastAsia="仿宋_GB2312"/>
      <w:sz w:val="24"/>
      <w:szCs w:val="24"/>
    </w:rPr>
  </w:style>
  <w:style w:type="character" w:customStyle="1" w:styleId="73">
    <w:name w:val="正文C Char"/>
    <w:link w:val="48"/>
    <w:qFormat/>
    <w:uiPriority w:val="0"/>
    <w:rPr>
      <w:rFonts w:ascii="宋体" w:hAnsi="宋体" w:eastAsia="宋体" w:cs="宋体"/>
      <w:color w:val="525252"/>
      <w:kern w:val="0"/>
      <w:sz w:val="24"/>
      <w:szCs w:val="24"/>
    </w:rPr>
  </w:style>
  <w:style w:type="character" w:customStyle="1" w:styleId="74">
    <w:name w:val="表头 Char"/>
    <w:link w:val="75"/>
    <w:qFormat/>
    <w:uiPriority w:val="0"/>
    <w:rPr>
      <w:rFonts w:ascii="Calibri" w:hAnsi="Calibri"/>
      <w:color w:val="auto"/>
      <w:kern w:val="2"/>
    </w:rPr>
  </w:style>
  <w:style w:type="paragraph" w:customStyle="1" w:styleId="75">
    <w:name w:val="表头"/>
    <w:basedOn w:val="76"/>
    <w:link w:val="74"/>
    <w:qFormat/>
    <w:uiPriority w:val="0"/>
    <w:pPr>
      <w:spacing w:line="300" w:lineRule="auto"/>
    </w:pPr>
    <w:rPr>
      <w:rFonts w:ascii="Calibri" w:hAnsi="Calibri"/>
      <w:color w:val="auto"/>
      <w:kern w:val="2"/>
    </w:rPr>
  </w:style>
  <w:style w:type="paragraph" w:customStyle="1" w:styleId="76">
    <w:name w:val="表格方字"/>
    <w:basedOn w:val="1"/>
    <w:qFormat/>
    <w:uiPriority w:val="0"/>
    <w:pPr>
      <w:adjustRightInd w:val="0"/>
      <w:spacing w:before="60" w:after="60" w:line="420" w:lineRule="atLeast"/>
      <w:jc w:val="left"/>
      <w:textAlignment w:val="baseline"/>
    </w:pPr>
    <w:rPr>
      <w:kern w:val="0"/>
      <w:sz w:val="21"/>
      <w:szCs w:val="20"/>
    </w:rPr>
  </w:style>
  <w:style w:type="paragraph" w:customStyle="1" w:styleId="77">
    <w:name w:val="图表标题"/>
    <w:basedOn w:val="78"/>
    <w:qFormat/>
    <w:uiPriority w:val="0"/>
    <w:pPr>
      <w:adjustRightInd w:val="0"/>
      <w:snapToGrid w:val="0"/>
      <w:jc w:val="center"/>
    </w:pPr>
    <w:rPr>
      <w:rFonts w:eastAsia="黑体" w:asciiTheme="minorHAnsi" w:hAnsiTheme="minorHAnsi"/>
      <w:color w:val="0000FF"/>
      <w:sz w:val="21"/>
    </w:rPr>
  </w:style>
  <w:style w:type="paragraph" w:customStyle="1" w:styleId="78">
    <w:name w:val="正文1"/>
    <w:basedOn w:val="1"/>
    <w:qFormat/>
    <w:uiPriority w:val="0"/>
    <w:pPr>
      <w:overflowPunct w:val="0"/>
      <w:autoSpaceDE w:val="0"/>
      <w:adjustRightInd w:val="0"/>
      <w:snapToGrid w:val="0"/>
      <w:ind w:firstLine="510"/>
      <w:textAlignment w:val="center"/>
    </w:pPr>
    <w:rPr>
      <w:kern w:val="0"/>
      <w:szCs w:val="20"/>
    </w:rPr>
  </w:style>
  <w:style w:type="character" w:customStyle="1" w:styleId="79">
    <w:name w:val="表格内文字"/>
    <w:qFormat/>
    <w:uiPriority w:val="0"/>
    <w:rPr>
      <w:rFonts w:ascii="Times New Roman" w:hAnsi="Times New Roman" w:eastAsia="宋体"/>
      <w:color w:val="auto"/>
      <w:sz w:val="21"/>
    </w:rPr>
  </w:style>
  <w:style w:type="paragraph" w:customStyle="1" w:styleId="80">
    <w:name w:val="70标题表格"/>
    <w:basedOn w:val="1"/>
    <w:next w:val="1"/>
    <w:qFormat/>
    <w:uiPriority w:val="0"/>
    <w:pPr>
      <w:tabs>
        <w:tab w:val="left" w:pos="420"/>
      </w:tabs>
      <w:adjustRightInd w:val="0"/>
      <w:snapToGrid w:val="0"/>
      <w:spacing w:before="120" w:after="60" w:line="430" w:lineRule="exact"/>
      <w:jc w:val="center"/>
    </w:pPr>
    <w:rPr>
      <w:rFonts w:ascii="宋体" w:hAnsi="宋体" w:eastAsia="宋体" w:cs="宋体"/>
      <w:b/>
      <w:bCs/>
      <w:snapToGrid w:val="0"/>
      <w:kern w:val="0"/>
      <w:szCs w:val="21"/>
    </w:rPr>
  </w:style>
  <w:style w:type="paragraph" w:customStyle="1" w:styleId="81">
    <w:name w:val="6正文"/>
    <w:basedOn w:val="1"/>
    <w:qFormat/>
    <w:uiPriority w:val="0"/>
    <w:pPr>
      <w:widowControl/>
      <w:adjustRightInd w:val="0"/>
      <w:snapToGrid w:val="0"/>
      <w:spacing w:line="360" w:lineRule="auto"/>
      <w:ind w:firstLine="480" w:firstLineChars="200"/>
    </w:pPr>
    <w:rPr>
      <w:rFonts w:ascii="宋体" w:hAnsi="宋体" w:eastAsia="宋体" w:cs="宋体"/>
      <w:kern w:val="0"/>
      <w:sz w:val="24"/>
      <w:szCs w:val="24"/>
    </w:rPr>
  </w:style>
  <w:style w:type="paragraph" w:customStyle="1" w:styleId="82">
    <w:name w:val="越秀A地块 正文"/>
    <w:basedOn w:val="1"/>
    <w:qFormat/>
    <w:uiPriority w:val="0"/>
    <w:pPr>
      <w:spacing w:line="440" w:lineRule="exact"/>
      <w:ind w:firstLine="480"/>
      <w:jc w:val="left"/>
    </w:pPr>
    <w:rPr>
      <w:rFonts w:ascii="宋体"/>
    </w:rPr>
  </w:style>
  <w:style w:type="paragraph" w:customStyle="1" w:styleId="83">
    <w:name w:val="表格标题"/>
    <w:basedOn w:val="84"/>
    <w:next w:val="1"/>
    <w:qFormat/>
    <w:uiPriority w:val="0"/>
    <w:pPr>
      <w:numPr>
        <w:ilvl w:val="5"/>
      </w:numPr>
      <w:adjustRightInd w:val="0"/>
      <w:spacing w:before="0" w:beforeLines="0"/>
      <w:ind w:firstLine="0"/>
    </w:pPr>
    <w:rPr>
      <w:rFonts w:eastAsia="宋体"/>
    </w:rPr>
  </w:style>
  <w:style w:type="paragraph" w:customStyle="1" w:styleId="84">
    <w:name w:val="图片标题"/>
    <w:next w:val="1"/>
    <w:qFormat/>
    <w:uiPriority w:val="0"/>
    <w:pPr>
      <w:numPr>
        <w:ilvl w:val="4"/>
        <w:numId w:val="3"/>
      </w:numPr>
      <w:spacing w:before="20" w:beforeLines="20" w:line="360" w:lineRule="auto"/>
      <w:ind w:left="0"/>
      <w:jc w:val="center"/>
    </w:pPr>
    <w:rPr>
      <w:rFonts w:ascii="宋体" w:hAnsiTheme="minorHAnsi" w:eastAsiaTheme="minorEastAsia" w:cstheme="minorBidi"/>
      <w:b/>
      <w:kern w:val="2"/>
      <w:sz w:val="21"/>
      <w:szCs w:val="28"/>
      <w:lang w:val="en-US" w:eastAsia="zh-CN" w:bidi="ar-SA"/>
    </w:rPr>
  </w:style>
  <w:style w:type="paragraph" w:customStyle="1" w:styleId="85">
    <w:name w:val="表格文字居中"/>
    <w:basedOn w:val="1"/>
    <w:qFormat/>
    <w:uiPriority w:val="0"/>
    <w:pPr>
      <w:adjustRightInd w:val="0"/>
      <w:snapToGrid w:val="0"/>
      <w:ind w:firstLine="0" w:firstLineChars="0"/>
      <w:jc w:val="center"/>
    </w:pPr>
    <w:rPr>
      <w:rFonts w:ascii="宋体"/>
    </w:rPr>
  </w:style>
  <w:style w:type="table" w:customStyle="1" w:styleId="86">
    <w:name w:val="网格型1"/>
    <w:basedOn w:val="27"/>
    <w:autoRedefine/>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
    <w:name w:val="方案表格"/>
    <w:autoRedefine/>
    <w:qFormat/>
    <w:uiPriority w:val="99"/>
    <w:rPr>
      <w:rFonts w:ascii="Times New Roman" w:hAnsi="Times New Roman" w:eastAsia="宋体"/>
      <w:color w:val="00000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shd w:val="clear" w:color="auto" w:fill="auto"/>
      <w:vAlign w:val="center"/>
    </w:tcPr>
    <w:tblStylePr w:type="firstRow">
      <w:rPr>
        <w:rFonts w:ascii="Times New Roman" w:hAnsi="Times New Roman" w:eastAsia="黑体"/>
        <w:b/>
        <w:color w:val="FFFFFF"/>
      </w:rPr>
      <w:tblPr/>
      <w:trPr>
        <w:tblHeader/>
      </w:trPr>
      <w:tcPr>
        <w:shd w:val="clear" w:color="auto" w:fill="4472C4"/>
      </w:tcPr>
    </w:tblStylePr>
    <w:tblStylePr w:type="lastRow">
      <w:rPr>
        <w:b/>
        <w:color w:val="000000"/>
      </w:rPr>
    </w:tblStylePr>
    <w:tblStylePr w:type="firstCol">
      <w:rPr>
        <w:color w:val="000000"/>
      </w:rPr>
    </w:tblStylePr>
  </w:style>
  <w:style w:type="paragraph" w:customStyle="1" w:styleId="88">
    <w:name w:val="燕矶表格文字"/>
    <w:basedOn w:val="1"/>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 w:type="table" w:customStyle="1" w:styleId="89">
    <w:name w:val="表格标准1"/>
    <w:basedOn w:val="27"/>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paragraph" w:customStyle="1" w:styleId="90">
    <w:name w:val="图片"/>
    <w:basedOn w:val="1"/>
    <w:next w:val="1"/>
    <w:qFormat/>
    <w:uiPriority w:val="0"/>
    <w:pPr>
      <w:spacing w:line="240" w:lineRule="auto"/>
      <w:ind w:firstLine="0" w:firstLineChars="0"/>
      <w:jc w:val="center"/>
    </w:pPr>
    <w:rPr>
      <w:rFonts w:hint="default" w:ascii="Times New Roman" w:hAnsi="Times New Roman"/>
    </w:rPr>
  </w:style>
  <w:style w:type="table" w:customStyle="1" w:styleId="91">
    <w:name w:val="样式15"/>
    <w:basedOn w:val="27"/>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92">
    <w:name w:val="样式1"/>
    <w:basedOn w:val="27"/>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5.emf"/><Relationship Id="rId45" Type="http://schemas.openxmlformats.org/officeDocument/2006/relationships/oleObject" Target="embeddings/oleObject2.bin"/><Relationship Id="rId44" Type="http://schemas.openxmlformats.org/officeDocument/2006/relationships/image" Target="media/image24.emf"/><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emf"/><Relationship Id="rId27" Type="http://schemas.openxmlformats.org/officeDocument/2006/relationships/oleObject" Target="embeddings/oleObject1.bin"/><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83</Pages>
  <Words>8573</Words>
  <Characters>9557</Characters>
  <Lines>49</Lines>
  <Paragraphs>14</Paragraphs>
  <TotalTime>0</TotalTime>
  <ScaleCrop>false</ScaleCrop>
  <LinksUpToDate>false</LinksUpToDate>
  <CharactersWithSpaces>9964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2019-12-24T07:31:00Z</dcterms:created>
  <dc:creator>刘丹</dc:creator>
  <cp:lastModifiedBy>杭州渝港机械施工有限公司</cp:lastModifiedBy>
  <cp:lastPrinted>2025-03-14T02:33:00Z</cp:lastPrinted>
  <dcterms:modified xsi:type="dcterms:W3CDTF">2025-11-20T01:33:56Z</dcterms:modified>
  <cp:revision>161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5F86CBEB1AEF4307B142C19033D580BE</vt:lpwstr>
  </property>
  <property fmtid="{D5CDD505-2E9C-101B-9397-08002B2CF9AE}" pid="4" name="KSOTemplateDocerSaveRecord">
    <vt:lpwstr>eyJoZGlkIjoiYjMyYjBlMGJhZjI3ZDdiYzUzOWVmOGZjYTMwOWZhYzEiLCJ1c2VySWQiOiIyMDEyMTQ5OSJ9</vt:lpwstr>
  </property>
</Properties>
</file>