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75AE4D">
      <w:pPr>
        <w:ind w:firstLine="480"/>
      </w:pPr>
    </w:p>
    <w:p w14:paraId="712AD4D9">
      <w:pPr>
        <w:ind w:firstLine="480"/>
      </w:pPr>
    </w:p>
    <w:p w14:paraId="5D975CC3">
      <w:pPr>
        <w:ind w:firstLine="480"/>
      </w:pPr>
    </w:p>
    <w:p w14:paraId="451C3064">
      <w:pPr>
        <w:ind w:left="0" w:leftChars="0" w:firstLine="0" w:firstLineChars="0"/>
        <w:jc w:val="center"/>
        <w:rPr>
          <w:rFonts w:hint="eastAsia" w:ascii="仿宋" w:hAnsi="仿宋" w:cs="仿宋"/>
          <w:b/>
          <w:bCs/>
          <w:sz w:val="32"/>
          <w:szCs w:val="32"/>
        </w:rPr>
      </w:pPr>
      <w:bookmarkStart w:id="0" w:name="_Toc9816"/>
      <w:r>
        <w:rPr>
          <w:rFonts w:hint="eastAsia" w:ascii="仿宋" w:hAnsi="仿宋" w:cs="仿宋"/>
          <w:b/>
          <w:bCs/>
          <w:sz w:val="32"/>
          <w:szCs w:val="32"/>
        </w:rPr>
        <w:t>十堰经镇坪至巫溪高速公路溢水至镇坪段SWYZ-2标</w:t>
      </w:r>
    </w:p>
    <w:p w14:paraId="0321AA3A">
      <w:pPr>
        <w:ind w:left="0" w:leftChars="0" w:firstLine="0" w:firstLineChars="0"/>
        <w:jc w:val="center"/>
        <w:rPr>
          <w:rFonts w:ascii="仿宋" w:hAnsi="仿宋" w:cs="仿宋"/>
          <w:b/>
          <w:bCs/>
          <w:sz w:val="32"/>
          <w:szCs w:val="32"/>
        </w:rPr>
      </w:pPr>
      <w:r>
        <w:rPr>
          <w:rFonts w:hint="eastAsia" w:ascii="仿宋" w:hAnsi="仿宋" w:cs="仿宋"/>
          <w:b/>
          <w:bCs/>
          <w:sz w:val="32"/>
          <w:szCs w:val="32"/>
          <w:lang w:eastAsia="zh-CN"/>
        </w:rPr>
        <w:t>新洲特大桥</w:t>
      </w:r>
      <w:r>
        <w:rPr>
          <w:rFonts w:hint="eastAsia" w:ascii="仿宋" w:hAnsi="仿宋" w:cs="仿宋"/>
          <w:b/>
          <w:bCs/>
          <w:sz w:val="32"/>
          <w:szCs w:val="32"/>
        </w:rPr>
        <w:t>索塔</w:t>
      </w:r>
      <w:r>
        <w:rPr>
          <w:rFonts w:hint="eastAsia" w:ascii="仿宋" w:hAnsi="仿宋" w:cs="仿宋"/>
          <w:b/>
          <w:bCs/>
          <w:sz w:val="32"/>
          <w:szCs w:val="32"/>
          <w:lang w:val="en-US" w:eastAsia="zh-CN"/>
        </w:rPr>
        <w:t>施工升降机安装</w:t>
      </w:r>
      <w:r>
        <w:rPr>
          <w:rFonts w:hint="eastAsia" w:ascii="仿宋" w:hAnsi="仿宋" w:cs="仿宋"/>
          <w:b/>
          <w:bCs/>
          <w:sz w:val="32"/>
          <w:szCs w:val="32"/>
        </w:rPr>
        <w:t>专项施工方案</w:t>
      </w:r>
      <w:bookmarkEnd w:id="0"/>
    </w:p>
    <w:p w14:paraId="1217FA41">
      <w:pPr>
        <w:ind w:firstLine="480"/>
      </w:pPr>
    </w:p>
    <w:p w14:paraId="21154F30">
      <w:pPr>
        <w:ind w:firstLine="480"/>
      </w:pPr>
    </w:p>
    <w:p w14:paraId="264A3D65">
      <w:pPr>
        <w:ind w:firstLine="480"/>
      </w:pPr>
    </w:p>
    <w:p w14:paraId="5A41B283">
      <w:pPr>
        <w:ind w:firstLine="480"/>
      </w:pPr>
    </w:p>
    <w:p w14:paraId="2276CC95">
      <w:pPr>
        <w:ind w:firstLine="480"/>
      </w:pPr>
    </w:p>
    <w:p w14:paraId="42932A33">
      <w:pPr>
        <w:ind w:firstLine="480"/>
      </w:pPr>
    </w:p>
    <w:p w14:paraId="420607D9">
      <w:pPr>
        <w:ind w:firstLine="480"/>
      </w:pPr>
    </w:p>
    <w:p w14:paraId="3259E7A3">
      <w:pPr>
        <w:ind w:firstLine="480"/>
      </w:pPr>
    </w:p>
    <w:p w14:paraId="55D90AE1">
      <w:pPr>
        <w:ind w:firstLine="480"/>
      </w:pPr>
    </w:p>
    <w:p w14:paraId="7B24B0D8">
      <w:pPr>
        <w:ind w:firstLine="480"/>
      </w:pPr>
    </w:p>
    <w:p w14:paraId="4B7C57DB">
      <w:pPr>
        <w:ind w:firstLine="480"/>
      </w:pPr>
    </w:p>
    <w:p w14:paraId="3C32A5C1">
      <w:pPr>
        <w:ind w:firstLine="480"/>
      </w:pPr>
    </w:p>
    <w:p w14:paraId="6C6D6020">
      <w:pPr>
        <w:ind w:firstLine="480"/>
      </w:pPr>
    </w:p>
    <w:p w14:paraId="13275C90">
      <w:pPr>
        <w:ind w:firstLine="480"/>
      </w:pPr>
    </w:p>
    <w:p w14:paraId="22FF7422">
      <w:pPr>
        <w:ind w:firstLine="480"/>
      </w:pPr>
    </w:p>
    <w:p w14:paraId="38457849">
      <w:pPr>
        <w:ind w:firstLine="480"/>
      </w:pPr>
    </w:p>
    <w:p w14:paraId="7A993832">
      <w:pPr>
        <w:ind w:firstLine="480"/>
      </w:pPr>
    </w:p>
    <w:p w14:paraId="37308E5E">
      <w:pPr>
        <w:ind w:firstLine="480"/>
      </w:pPr>
    </w:p>
    <w:p w14:paraId="3DF1C5B6">
      <w:pPr>
        <w:pStyle w:val="71"/>
        <w:rPr>
          <w:rFonts w:hint="default" w:eastAsia="宋体"/>
          <w:lang w:val="en-US" w:eastAsia="zh-CN"/>
        </w:rPr>
      </w:pPr>
      <w:r>
        <w:rPr>
          <w:rFonts w:hint="eastAsia"/>
          <w:lang w:val="en-US" w:eastAsia="zh-CN"/>
        </w:rPr>
        <w:t>四川科斗文智能装备有限公司</w:t>
      </w:r>
    </w:p>
    <w:p w14:paraId="791EA215">
      <w:pPr>
        <w:pStyle w:val="71"/>
      </w:pPr>
      <w:r>
        <w:rPr>
          <w:rFonts w:hint="eastAsia"/>
        </w:rPr>
        <w:t>二</w:t>
      </w:r>
      <w:r>
        <w:t>〇二</w:t>
      </w:r>
      <w:r>
        <w:rPr>
          <w:rFonts w:hint="eastAsia"/>
          <w:lang w:val="en-US" w:eastAsia="zh-CN"/>
        </w:rPr>
        <w:t>四</w:t>
      </w:r>
      <w:r>
        <w:rPr>
          <w:rFonts w:hint="eastAsia"/>
        </w:rPr>
        <w:t>年</w:t>
      </w:r>
      <w:r>
        <w:rPr>
          <w:rFonts w:hint="eastAsia"/>
          <w:lang w:val="en-US" w:eastAsia="zh-CN"/>
        </w:rPr>
        <w:t>十</w:t>
      </w:r>
      <w:r>
        <w:rPr>
          <w:rFonts w:hint="eastAsia"/>
        </w:rPr>
        <w:t>月</w:t>
      </w:r>
      <w:r>
        <w:br w:type="page"/>
      </w:r>
    </w:p>
    <w:p w14:paraId="09861972">
      <w:pPr>
        <w:ind w:firstLine="480"/>
      </w:pPr>
    </w:p>
    <w:p w14:paraId="788AD62B">
      <w:pPr>
        <w:ind w:firstLine="480"/>
      </w:pPr>
    </w:p>
    <w:p w14:paraId="014732D3">
      <w:pPr>
        <w:ind w:firstLine="480"/>
      </w:pPr>
    </w:p>
    <w:p w14:paraId="4D4F6545">
      <w:pPr>
        <w:ind w:left="0" w:leftChars="0" w:firstLine="0" w:firstLineChars="0"/>
        <w:jc w:val="center"/>
        <w:rPr>
          <w:rFonts w:hint="eastAsia" w:ascii="仿宋" w:hAnsi="仿宋" w:cs="仿宋"/>
          <w:b/>
          <w:bCs/>
          <w:sz w:val="32"/>
          <w:szCs w:val="32"/>
        </w:rPr>
      </w:pPr>
      <w:r>
        <w:rPr>
          <w:rFonts w:hint="eastAsia" w:ascii="仿宋" w:hAnsi="仿宋" w:cs="仿宋"/>
          <w:b/>
          <w:bCs/>
          <w:sz w:val="32"/>
          <w:szCs w:val="32"/>
        </w:rPr>
        <w:t>十堰经镇坪至巫溪高速公路溢水至镇坪段SWYZ-2标</w:t>
      </w:r>
    </w:p>
    <w:p w14:paraId="71DA20AE">
      <w:pPr>
        <w:ind w:left="0" w:leftChars="0" w:firstLine="0" w:firstLineChars="0"/>
        <w:jc w:val="center"/>
        <w:rPr>
          <w:rFonts w:ascii="仿宋" w:hAnsi="仿宋" w:cs="仿宋"/>
          <w:b/>
          <w:bCs/>
          <w:sz w:val="32"/>
          <w:szCs w:val="32"/>
        </w:rPr>
      </w:pPr>
      <w:r>
        <w:rPr>
          <w:rFonts w:hint="eastAsia" w:ascii="仿宋" w:hAnsi="仿宋" w:cs="仿宋"/>
          <w:b/>
          <w:bCs/>
          <w:sz w:val="32"/>
          <w:szCs w:val="32"/>
          <w:lang w:eastAsia="zh-CN"/>
        </w:rPr>
        <w:t>新洲特大桥</w:t>
      </w:r>
      <w:r>
        <w:rPr>
          <w:rFonts w:hint="eastAsia" w:ascii="仿宋" w:hAnsi="仿宋" w:cs="仿宋"/>
          <w:b/>
          <w:bCs/>
          <w:sz w:val="32"/>
          <w:szCs w:val="32"/>
        </w:rPr>
        <w:t>索塔</w:t>
      </w:r>
      <w:r>
        <w:rPr>
          <w:rFonts w:hint="eastAsia" w:ascii="仿宋" w:hAnsi="仿宋" w:cs="仿宋"/>
          <w:b/>
          <w:bCs/>
          <w:sz w:val="32"/>
          <w:szCs w:val="32"/>
          <w:lang w:val="en-US" w:eastAsia="zh-CN"/>
        </w:rPr>
        <w:t>施工升降机安装</w:t>
      </w:r>
      <w:r>
        <w:rPr>
          <w:rFonts w:hint="eastAsia" w:ascii="仿宋" w:hAnsi="仿宋" w:cs="仿宋"/>
          <w:b/>
          <w:bCs/>
          <w:sz w:val="32"/>
          <w:szCs w:val="32"/>
        </w:rPr>
        <w:t>专项施工方案</w:t>
      </w:r>
    </w:p>
    <w:p w14:paraId="1B2D08B8">
      <w:pPr>
        <w:pStyle w:val="56"/>
      </w:pPr>
    </w:p>
    <w:p w14:paraId="75E593E5">
      <w:pPr>
        <w:ind w:firstLine="480"/>
      </w:pPr>
    </w:p>
    <w:p w14:paraId="1B0C3E04">
      <w:pPr>
        <w:ind w:firstLine="480"/>
      </w:pPr>
    </w:p>
    <w:p w14:paraId="3FB3DB52">
      <w:pPr>
        <w:ind w:firstLine="480"/>
      </w:pPr>
    </w:p>
    <w:p w14:paraId="71F1B7A5">
      <w:pPr>
        <w:ind w:firstLine="480"/>
      </w:pPr>
    </w:p>
    <w:p w14:paraId="0367A79D">
      <w:pPr>
        <w:ind w:firstLine="480"/>
      </w:pPr>
    </w:p>
    <w:p w14:paraId="3A95E968">
      <w:pPr>
        <w:ind w:firstLine="480"/>
      </w:pPr>
    </w:p>
    <w:p w14:paraId="24281D8A">
      <w:pPr>
        <w:ind w:firstLine="480"/>
      </w:pPr>
    </w:p>
    <w:p w14:paraId="3201FA0C">
      <w:pPr>
        <w:ind w:firstLine="480"/>
      </w:pPr>
    </w:p>
    <w:p w14:paraId="10E259B5">
      <w:pPr>
        <w:ind w:firstLine="480"/>
      </w:pPr>
    </w:p>
    <w:p w14:paraId="569822D5">
      <w:pPr>
        <w:ind w:firstLine="480"/>
      </w:pPr>
    </w:p>
    <w:p w14:paraId="257D3A6B">
      <w:pPr>
        <w:ind w:firstLine="480"/>
      </w:pPr>
    </w:p>
    <w:p w14:paraId="5036EA12">
      <w:pPr>
        <w:ind w:firstLine="480"/>
      </w:pPr>
    </w:p>
    <w:p w14:paraId="6548A715">
      <w:pPr>
        <w:ind w:firstLine="1960" w:firstLineChars="700"/>
        <w:jc w:val="left"/>
        <w:rPr>
          <w:bCs/>
          <w:color w:val="000000"/>
          <w:sz w:val="28"/>
          <w:szCs w:val="28"/>
        </w:rPr>
      </w:pPr>
      <w:r>
        <w:rPr>
          <w:rFonts w:hint="eastAsia"/>
          <w:bCs/>
          <w:color w:val="000000"/>
          <w:sz w:val="28"/>
          <w:szCs w:val="28"/>
        </w:rPr>
        <w:t>编</w:t>
      </w:r>
      <w:r>
        <w:rPr>
          <w:bCs/>
          <w:color w:val="000000"/>
          <w:sz w:val="28"/>
          <w:szCs w:val="28"/>
        </w:rPr>
        <w:t xml:space="preserve"> </w:t>
      </w:r>
      <w:r>
        <w:rPr>
          <w:rFonts w:hint="eastAsia"/>
          <w:bCs/>
          <w:color w:val="000000"/>
          <w:sz w:val="28"/>
          <w:szCs w:val="28"/>
        </w:rPr>
        <w:t>制：</w:t>
      </w:r>
      <w:r>
        <w:rPr>
          <w:bCs/>
          <w:color w:val="000000"/>
          <w:sz w:val="28"/>
          <w:szCs w:val="28"/>
        </w:rPr>
        <w:t xml:space="preserve">  </w:t>
      </w:r>
      <w:r>
        <w:rPr>
          <w:bCs/>
          <w:color w:val="000000"/>
          <w:sz w:val="28"/>
          <w:szCs w:val="28"/>
          <w:u w:val="single"/>
        </w:rPr>
        <w:t xml:space="preserve">                              </w:t>
      </w:r>
    </w:p>
    <w:p w14:paraId="22D39CCD">
      <w:pPr>
        <w:ind w:firstLine="1960" w:firstLineChars="700"/>
        <w:jc w:val="left"/>
        <w:rPr>
          <w:bCs/>
          <w:color w:val="000000"/>
          <w:sz w:val="28"/>
          <w:szCs w:val="28"/>
        </w:rPr>
      </w:pPr>
      <w:r>
        <w:rPr>
          <w:rFonts w:hint="eastAsia"/>
          <w:bCs/>
          <w:color w:val="000000"/>
          <w:sz w:val="28"/>
          <w:szCs w:val="28"/>
        </w:rPr>
        <w:t>校</w:t>
      </w:r>
      <w:r>
        <w:rPr>
          <w:bCs/>
          <w:color w:val="000000"/>
          <w:sz w:val="28"/>
          <w:szCs w:val="28"/>
        </w:rPr>
        <w:t xml:space="preserve"> </w:t>
      </w:r>
      <w:r>
        <w:rPr>
          <w:rFonts w:hint="eastAsia"/>
          <w:bCs/>
          <w:color w:val="000000"/>
          <w:sz w:val="28"/>
          <w:szCs w:val="28"/>
        </w:rPr>
        <w:t>核：</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r>
        <w:rPr>
          <w:rFonts w:hint="eastAsia"/>
          <w:bCs/>
          <w:color w:val="000000"/>
          <w:sz w:val="28"/>
          <w:szCs w:val="28"/>
          <w:u w:val="single"/>
        </w:rPr>
        <w:t xml:space="preserve"> </w:t>
      </w:r>
      <w:r>
        <w:rPr>
          <w:bCs/>
          <w:color w:val="000000"/>
          <w:sz w:val="28"/>
          <w:szCs w:val="28"/>
          <w:u w:val="single"/>
        </w:rPr>
        <w:t xml:space="preserve"> </w:t>
      </w:r>
    </w:p>
    <w:p w14:paraId="27332EB0">
      <w:pPr>
        <w:ind w:firstLine="1960" w:firstLineChars="700"/>
        <w:jc w:val="left"/>
        <w:rPr>
          <w:bCs/>
          <w:color w:val="000000"/>
          <w:sz w:val="28"/>
          <w:szCs w:val="28"/>
        </w:rPr>
      </w:pPr>
      <w:r>
        <w:rPr>
          <w:rFonts w:hint="eastAsia"/>
          <w:bCs/>
          <w:color w:val="000000"/>
          <w:sz w:val="28"/>
          <w:szCs w:val="28"/>
        </w:rPr>
        <w:t>审</w:t>
      </w:r>
      <w:r>
        <w:rPr>
          <w:bCs/>
          <w:color w:val="000000"/>
          <w:sz w:val="28"/>
          <w:szCs w:val="28"/>
        </w:rPr>
        <w:t xml:space="preserve"> </w:t>
      </w:r>
      <w:r>
        <w:rPr>
          <w:rFonts w:hint="eastAsia"/>
          <w:bCs/>
          <w:color w:val="000000"/>
          <w:sz w:val="28"/>
          <w:szCs w:val="28"/>
        </w:rPr>
        <w:t>批：</w:t>
      </w:r>
      <w:r>
        <w:rPr>
          <w:bCs/>
          <w:color w:val="000000"/>
          <w:sz w:val="28"/>
          <w:szCs w:val="28"/>
        </w:rPr>
        <w:t xml:space="preserve">  </w:t>
      </w:r>
      <w:r>
        <w:rPr>
          <w:bCs/>
          <w:color w:val="000000"/>
          <w:sz w:val="28"/>
          <w:szCs w:val="28"/>
          <w:u w:val="single"/>
        </w:rPr>
        <w:t xml:space="preserve">    </w:t>
      </w:r>
      <w:r>
        <w:rPr>
          <w:rFonts w:hint="eastAsia"/>
          <w:bCs/>
          <w:color w:val="000000"/>
          <w:sz w:val="28"/>
          <w:szCs w:val="28"/>
          <w:u w:val="single"/>
          <w:lang w:val="en-US" w:eastAsia="zh-CN"/>
        </w:rPr>
        <w:t xml:space="preserve">                      </w:t>
      </w:r>
      <w:r>
        <w:rPr>
          <w:bCs/>
          <w:color w:val="000000"/>
          <w:sz w:val="28"/>
          <w:szCs w:val="28"/>
          <w:u w:val="single"/>
        </w:rPr>
        <w:t xml:space="preserve">    </w:t>
      </w:r>
    </w:p>
    <w:p w14:paraId="56DBD45C">
      <w:pPr>
        <w:ind w:firstLine="480"/>
      </w:pPr>
    </w:p>
    <w:p w14:paraId="09BC80B5">
      <w:pPr>
        <w:ind w:firstLine="480"/>
      </w:pPr>
    </w:p>
    <w:p w14:paraId="53314394">
      <w:pPr>
        <w:ind w:firstLine="480"/>
      </w:pPr>
    </w:p>
    <w:p w14:paraId="1C60B9ED">
      <w:pPr>
        <w:pStyle w:val="71"/>
        <w:rPr>
          <w:rFonts w:hint="eastAsia" w:eastAsia="宋体"/>
          <w:lang w:eastAsia="zh-CN"/>
        </w:rPr>
      </w:pPr>
      <w:r>
        <w:rPr>
          <w:rFonts w:hint="eastAsia"/>
          <w:lang w:val="en-US" w:eastAsia="zh-CN"/>
        </w:rPr>
        <w:t>四川科斗文智能装备有限公司</w:t>
      </w:r>
    </w:p>
    <w:p w14:paraId="13DA726E">
      <w:pPr>
        <w:ind w:firstLine="0" w:firstLineChars="0"/>
        <w:jc w:val="left"/>
        <w:rPr>
          <w:bCs/>
          <w:color w:val="000000" w:themeColor="text1"/>
          <w:sz w:val="28"/>
          <w:szCs w:val="28"/>
          <w14:textFill>
            <w14:solidFill>
              <w14:schemeClr w14:val="tx1"/>
            </w14:solidFill>
          </w14:textFill>
        </w:rPr>
      </w:pPr>
    </w:p>
    <w:p w14:paraId="60F3554A">
      <w:pPr>
        <w:ind w:firstLine="0" w:firstLineChars="0"/>
        <w:rPr>
          <w:b/>
          <w:color w:val="000000" w:themeColor="text1"/>
          <w:sz w:val="48"/>
          <w:szCs w:val="32"/>
          <w14:textFill>
            <w14:solidFill>
              <w14:schemeClr w14:val="tx1"/>
            </w14:solidFill>
          </w14:textFill>
        </w:rPr>
        <w:sectPr>
          <w:headerReference r:id="rId9" w:type="first"/>
          <w:footerReference r:id="rId12" w:type="first"/>
          <w:headerReference r:id="rId7" w:type="default"/>
          <w:footerReference r:id="rId10" w:type="default"/>
          <w:headerReference r:id="rId8" w:type="even"/>
          <w:footerReference r:id="rId11" w:type="even"/>
          <w:pgSz w:w="11906" w:h="16838"/>
          <w:pgMar w:top="1418" w:right="1418" w:bottom="1418" w:left="1418" w:header="851" w:footer="992" w:gutter="0"/>
          <w:cols w:space="425" w:num="1"/>
          <w:docGrid w:linePitch="498" w:charSpace="17788"/>
        </w:sectPr>
      </w:pPr>
    </w:p>
    <w:p w14:paraId="260A57BF">
      <w:pPr>
        <w:pStyle w:val="26"/>
        <w:spacing w:line="480" w:lineRule="exact"/>
        <w:ind w:firstLine="643"/>
        <w:rPr>
          <w:rFonts w:ascii="Times New Roman" w:hAnsi="Times New Roman" w:eastAsia="宋体" w:cs="Times New Roman"/>
          <w:b/>
          <w:color w:val="000000"/>
          <w:kern w:val="2"/>
          <w:sz w:val="28"/>
          <w:szCs w:val="32"/>
          <w:lang w:val="en-US" w:eastAsia="zh-CN" w:bidi="ar-SA"/>
        </w:rPr>
      </w:pPr>
      <w:r>
        <w:rPr>
          <w:rFonts w:hint="eastAsia"/>
          <w:b/>
          <w:bCs/>
          <w:sz w:val="32"/>
          <w:szCs w:val="32"/>
        </w:rPr>
        <w:t>目    录</w:t>
      </w:r>
      <w:r>
        <w:rPr>
          <w:color w:val="000000"/>
          <w:sz w:val="48"/>
          <w:szCs w:val="32"/>
        </w:rPr>
        <w:fldChar w:fldCharType="begin"/>
      </w:r>
      <w:r>
        <w:rPr>
          <w:color w:val="000000"/>
          <w:sz w:val="48"/>
          <w:szCs w:val="32"/>
        </w:rPr>
        <w:instrText xml:space="preserve">TOC \o "1-2" \h \u </w:instrText>
      </w:r>
      <w:r>
        <w:rPr>
          <w:color w:val="000000"/>
          <w:sz w:val="48"/>
          <w:szCs w:val="32"/>
        </w:rPr>
        <w:fldChar w:fldCharType="separate"/>
      </w:r>
    </w:p>
    <w:p w14:paraId="2C798090">
      <w:pPr>
        <w:pStyle w:val="26"/>
        <w:tabs>
          <w:tab w:val="right" w:leader="dot" w:pos="9070"/>
          <w:tab w:val="clear" w:pos="9060"/>
        </w:tabs>
      </w:pPr>
      <w:r>
        <w:rPr>
          <w:color w:val="000000"/>
          <w:szCs w:val="32"/>
        </w:rPr>
        <w:fldChar w:fldCharType="begin"/>
      </w:r>
      <w:r>
        <w:rPr>
          <w:szCs w:val="32"/>
        </w:rPr>
        <w:instrText xml:space="preserve"> HYPERLINK \l _Toc2179 </w:instrText>
      </w:r>
      <w:r>
        <w:rPr>
          <w:szCs w:val="32"/>
        </w:rPr>
        <w:fldChar w:fldCharType="separate"/>
      </w:r>
      <w:r>
        <w:rPr>
          <w:rFonts w:hint="default" w:ascii="Times New Roman" w:hAnsi="Times New Roman" w:eastAsia="宋体"/>
        </w:rPr>
        <w:t xml:space="preserve">1 </w:t>
      </w:r>
      <w:r>
        <w:rPr>
          <w:rFonts w:hint="eastAsia"/>
        </w:rPr>
        <w:t>编制说明、依据及适用范围</w:t>
      </w:r>
      <w:r>
        <w:tab/>
      </w:r>
      <w:r>
        <w:fldChar w:fldCharType="begin"/>
      </w:r>
      <w:r>
        <w:instrText xml:space="preserve"> PAGEREF _Toc2179 \h </w:instrText>
      </w:r>
      <w:r>
        <w:fldChar w:fldCharType="separate"/>
      </w:r>
      <w:r>
        <w:t>3</w:t>
      </w:r>
      <w:r>
        <w:fldChar w:fldCharType="end"/>
      </w:r>
      <w:r>
        <w:rPr>
          <w:color w:val="000000"/>
          <w:szCs w:val="32"/>
        </w:rPr>
        <w:fldChar w:fldCharType="end"/>
      </w:r>
    </w:p>
    <w:p w14:paraId="70DC923C">
      <w:pPr>
        <w:pStyle w:val="30"/>
        <w:tabs>
          <w:tab w:val="right" w:leader="dot" w:pos="9070"/>
          <w:tab w:val="clear" w:pos="9060"/>
        </w:tabs>
      </w:pPr>
      <w:r>
        <w:rPr>
          <w:color w:val="000000"/>
          <w:szCs w:val="32"/>
        </w:rPr>
        <w:fldChar w:fldCharType="begin"/>
      </w:r>
      <w:r>
        <w:rPr>
          <w:szCs w:val="32"/>
        </w:rPr>
        <w:instrText xml:space="preserve"> HYPERLINK \l _Toc27457 </w:instrText>
      </w:r>
      <w:r>
        <w:rPr>
          <w:szCs w:val="32"/>
        </w:rPr>
        <w:fldChar w:fldCharType="separate"/>
      </w:r>
      <w:r>
        <w:rPr>
          <w:rFonts w:hint="default" w:ascii="Times New Roman" w:hAnsi="Times New Roman" w:eastAsia="宋体"/>
        </w:rPr>
        <w:t xml:space="preserve">1.1 </w:t>
      </w:r>
      <w:r>
        <w:rPr>
          <w:rFonts w:hint="eastAsia"/>
        </w:rPr>
        <w:t>编制说明</w:t>
      </w:r>
      <w:r>
        <w:tab/>
      </w:r>
      <w:r>
        <w:fldChar w:fldCharType="begin"/>
      </w:r>
      <w:r>
        <w:instrText xml:space="preserve"> PAGEREF _Toc27457 \h </w:instrText>
      </w:r>
      <w:r>
        <w:fldChar w:fldCharType="separate"/>
      </w:r>
      <w:r>
        <w:t>3</w:t>
      </w:r>
      <w:r>
        <w:fldChar w:fldCharType="end"/>
      </w:r>
      <w:r>
        <w:rPr>
          <w:color w:val="000000"/>
          <w:szCs w:val="32"/>
        </w:rPr>
        <w:fldChar w:fldCharType="end"/>
      </w:r>
    </w:p>
    <w:p w14:paraId="04618FB5">
      <w:pPr>
        <w:pStyle w:val="30"/>
        <w:tabs>
          <w:tab w:val="right" w:leader="dot" w:pos="9070"/>
          <w:tab w:val="clear" w:pos="9060"/>
        </w:tabs>
      </w:pPr>
      <w:r>
        <w:rPr>
          <w:color w:val="000000"/>
          <w:szCs w:val="32"/>
        </w:rPr>
        <w:fldChar w:fldCharType="begin"/>
      </w:r>
      <w:r>
        <w:rPr>
          <w:szCs w:val="32"/>
        </w:rPr>
        <w:instrText xml:space="preserve"> HYPERLINK \l _Toc19638 </w:instrText>
      </w:r>
      <w:r>
        <w:rPr>
          <w:szCs w:val="32"/>
        </w:rPr>
        <w:fldChar w:fldCharType="separate"/>
      </w:r>
      <w:r>
        <w:rPr>
          <w:rFonts w:hint="default" w:ascii="Times New Roman" w:hAnsi="Times New Roman" w:eastAsia="宋体"/>
        </w:rPr>
        <w:t xml:space="preserve">1.2 </w:t>
      </w:r>
      <w:r>
        <w:rPr>
          <w:rFonts w:hint="eastAsia"/>
        </w:rPr>
        <w:t>编制依据</w:t>
      </w:r>
      <w:r>
        <w:tab/>
      </w:r>
      <w:r>
        <w:fldChar w:fldCharType="begin"/>
      </w:r>
      <w:r>
        <w:instrText xml:space="preserve"> PAGEREF _Toc19638 \h </w:instrText>
      </w:r>
      <w:r>
        <w:fldChar w:fldCharType="separate"/>
      </w:r>
      <w:r>
        <w:t>3</w:t>
      </w:r>
      <w:r>
        <w:fldChar w:fldCharType="end"/>
      </w:r>
      <w:r>
        <w:rPr>
          <w:color w:val="000000"/>
          <w:szCs w:val="32"/>
        </w:rPr>
        <w:fldChar w:fldCharType="end"/>
      </w:r>
    </w:p>
    <w:p w14:paraId="08C3AAAE">
      <w:pPr>
        <w:pStyle w:val="30"/>
        <w:tabs>
          <w:tab w:val="right" w:leader="dot" w:pos="9070"/>
          <w:tab w:val="clear" w:pos="9060"/>
        </w:tabs>
      </w:pPr>
      <w:r>
        <w:rPr>
          <w:color w:val="000000"/>
          <w:szCs w:val="32"/>
        </w:rPr>
        <w:fldChar w:fldCharType="begin"/>
      </w:r>
      <w:r>
        <w:rPr>
          <w:szCs w:val="32"/>
        </w:rPr>
        <w:instrText xml:space="preserve"> HYPERLINK \l _Toc15927 </w:instrText>
      </w:r>
      <w:r>
        <w:rPr>
          <w:szCs w:val="32"/>
        </w:rPr>
        <w:fldChar w:fldCharType="separate"/>
      </w:r>
      <w:r>
        <w:rPr>
          <w:rFonts w:hint="default" w:ascii="Times New Roman" w:hAnsi="Times New Roman" w:eastAsia="宋体"/>
        </w:rPr>
        <w:t xml:space="preserve">1.3 </w:t>
      </w:r>
      <w:r>
        <w:rPr>
          <w:rFonts w:hint="eastAsia"/>
        </w:rPr>
        <w:t>适用范围</w:t>
      </w:r>
      <w:r>
        <w:tab/>
      </w:r>
      <w:r>
        <w:fldChar w:fldCharType="begin"/>
      </w:r>
      <w:r>
        <w:instrText xml:space="preserve"> PAGEREF _Toc15927 \h </w:instrText>
      </w:r>
      <w:r>
        <w:fldChar w:fldCharType="separate"/>
      </w:r>
      <w:r>
        <w:t>4</w:t>
      </w:r>
      <w:r>
        <w:fldChar w:fldCharType="end"/>
      </w:r>
      <w:r>
        <w:rPr>
          <w:color w:val="000000"/>
          <w:szCs w:val="32"/>
        </w:rPr>
        <w:fldChar w:fldCharType="end"/>
      </w:r>
    </w:p>
    <w:p w14:paraId="6B36408E">
      <w:pPr>
        <w:pStyle w:val="26"/>
        <w:tabs>
          <w:tab w:val="right" w:leader="dot" w:pos="9070"/>
          <w:tab w:val="clear" w:pos="9060"/>
        </w:tabs>
      </w:pPr>
      <w:r>
        <w:rPr>
          <w:color w:val="000000"/>
          <w:szCs w:val="32"/>
        </w:rPr>
        <w:fldChar w:fldCharType="begin"/>
      </w:r>
      <w:r>
        <w:rPr>
          <w:szCs w:val="32"/>
        </w:rPr>
        <w:instrText xml:space="preserve"> HYPERLINK \l _Toc20292 </w:instrText>
      </w:r>
      <w:r>
        <w:rPr>
          <w:szCs w:val="32"/>
        </w:rPr>
        <w:fldChar w:fldCharType="separate"/>
      </w:r>
      <w:r>
        <w:rPr>
          <w:rFonts w:hint="default" w:ascii="Times New Roman" w:hAnsi="Times New Roman" w:eastAsia="宋体"/>
        </w:rPr>
        <w:t xml:space="preserve">2 </w:t>
      </w:r>
      <w:r>
        <w:rPr>
          <w:rFonts w:hint="eastAsia"/>
        </w:rPr>
        <w:t>工程概况</w:t>
      </w:r>
      <w:r>
        <w:tab/>
      </w:r>
      <w:r>
        <w:fldChar w:fldCharType="begin"/>
      </w:r>
      <w:r>
        <w:instrText xml:space="preserve"> PAGEREF _Toc20292 \h </w:instrText>
      </w:r>
      <w:r>
        <w:fldChar w:fldCharType="separate"/>
      </w:r>
      <w:r>
        <w:t>5</w:t>
      </w:r>
      <w:r>
        <w:fldChar w:fldCharType="end"/>
      </w:r>
      <w:r>
        <w:rPr>
          <w:color w:val="000000"/>
          <w:szCs w:val="32"/>
        </w:rPr>
        <w:fldChar w:fldCharType="end"/>
      </w:r>
    </w:p>
    <w:p w14:paraId="61C809FA">
      <w:pPr>
        <w:pStyle w:val="30"/>
        <w:tabs>
          <w:tab w:val="right" w:leader="dot" w:pos="9070"/>
          <w:tab w:val="clear" w:pos="9060"/>
        </w:tabs>
      </w:pPr>
      <w:r>
        <w:rPr>
          <w:color w:val="000000"/>
          <w:szCs w:val="32"/>
        </w:rPr>
        <w:fldChar w:fldCharType="begin"/>
      </w:r>
      <w:r>
        <w:rPr>
          <w:szCs w:val="32"/>
        </w:rPr>
        <w:instrText xml:space="preserve"> HYPERLINK \l _Toc13790 </w:instrText>
      </w:r>
      <w:r>
        <w:rPr>
          <w:szCs w:val="32"/>
        </w:rPr>
        <w:fldChar w:fldCharType="separate"/>
      </w:r>
      <w:r>
        <w:rPr>
          <w:rFonts w:hint="default" w:ascii="Times New Roman" w:hAnsi="Times New Roman" w:eastAsia="宋体"/>
        </w:rPr>
        <w:t xml:space="preserve">2.1 </w:t>
      </w:r>
      <w:r>
        <w:rPr>
          <w:rFonts w:hint="eastAsia"/>
        </w:rPr>
        <w:t>工程概况</w:t>
      </w:r>
      <w:r>
        <w:tab/>
      </w:r>
      <w:r>
        <w:fldChar w:fldCharType="begin"/>
      </w:r>
      <w:r>
        <w:instrText xml:space="preserve"> PAGEREF _Toc13790 \h </w:instrText>
      </w:r>
      <w:r>
        <w:fldChar w:fldCharType="separate"/>
      </w:r>
      <w:r>
        <w:t>5</w:t>
      </w:r>
      <w:r>
        <w:fldChar w:fldCharType="end"/>
      </w:r>
      <w:r>
        <w:rPr>
          <w:color w:val="000000"/>
          <w:szCs w:val="32"/>
        </w:rPr>
        <w:fldChar w:fldCharType="end"/>
      </w:r>
    </w:p>
    <w:p w14:paraId="3174540A">
      <w:pPr>
        <w:pStyle w:val="30"/>
        <w:tabs>
          <w:tab w:val="right" w:leader="dot" w:pos="9070"/>
          <w:tab w:val="clear" w:pos="9060"/>
        </w:tabs>
      </w:pPr>
      <w:r>
        <w:rPr>
          <w:color w:val="000000"/>
          <w:szCs w:val="32"/>
        </w:rPr>
        <w:fldChar w:fldCharType="begin"/>
      </w:r>
      <w:r>
        <w:rPr>
          <w:szCs w:val="32"/>
        </w:rPr>
        <w:instrText xml:space="preserve"> HYPERLINK \l _Toc5502 </w:instrText>
      </w:r>
      <w:r>
        <w:rPr>
          <w:szCs w:val="32"/>
        </w:rPr>
        <w:fldChar w:fldCharType="separate"/>
      </w:r>
      <w:r>
        <w:rPr>
          <w:rFonts w:hint="default" w:ascii="Times New Roman" w:hAnsi="Times New Roman" w:eastAsia="宋体"/>
        </w:rPr>
        <w:t xml:space="preserve">2.2 </w:t>
      </w:r>
      <w:r>
        <w:rPr>
          <w:rFonts w:hint="eastAsia"/>
        </w:rPr>
        <w:t>工程特点</w:t>
      </w:r>
      <w:r>
        <w:tab/>
      </w:r>
      <w:r>
        <w:fldChar w:fldCharType="begin"/>
      </w:r>
      <w:r>
        <w:instrText xml:space="preserve"> PAGEREF _Toc5502 \h </w:instrText>
      </w:r>
      <w:r>
        <w:fldChar w:fldCharType="separate"/>
      </w:r>
      <w:r>
        <w:t>5</w:t>
      </w:r>
      <w:r>
        <w:fldChar w:fldCharType="end"/>
      </w:r>
      <w:r>
        <w:rPr>
          <w:color w:val="000000"/>
          <w:szCs w:val="32"/>
        </w:rPr>
        <w:fldChar w:fldCharType="end"/>
      </w:r>
    </w:p>
    <w:p w14:paraId="3F67C8DB">
      <w:pPr>
        <w:pStyle w:val="30"/>
        <w:tabs>
          <w:tab w:val="right" w:leader="dot" w:pos="9070"/>
          <w:tab w:val="clear" w:pos="9060"/>
        </w:tabs>
      </w:pPr>
      <w:r>
        <w:rPr>
          <w:color w:val="000000"/>
          <w:szCs w:val="32"/>
        </w:rPr>
        <w:fldChar w:fldCharType="begin"/>
      </w:r>
      <w:r>
        <w:rPr>
          <w:szCs w:val="32"/>
        </w:rPr>
        <w:instrText xml:space="preserve"> HYPERLINK \l _Toc23106 </w:instrText>
      </w:r>
      <w:r>
        <w:rPr>
          <w:szCs w:val="32"/>
        </w:rPr>
        <w:fldChar w:fldCharType="separate"/>
      </w:r>
      <w:r>
        <w:rPr>
          <w:rFonts w:hint="default" w:ascii="Times New Roman" w:hAnsi="Times New Roman" w:eastAsia="宋体"/>
        </w:rPr>
        <w:t xml:space="preserve">2.3 </w:t>
      </w:r>
      <w:r>
        <w:rPr>
          <w:rFonts w:hint="eastAsia"/>
        </w:rPr>
        <w:t>施工平面布置</w:t>
      </w:r>
      <w:r>
        <w:tab/>
      </w:r>
      <w:r>
        <w:fldChar w:fldCharType="begin"/>
      </w:r>
      <w:r>
        <w:instrText xml:space="preserve"> PAGEREF _Toc23106 \h </w:instrText>
      </w:r>
      <w:r>
        <w:fldChar w:fldCharType="separate"/>
      </w:r>
      <w:r>
        <w:t>5</w:t>
      </w:r>
      <w:r>
        <w:fldChar w:fldCharType="end"/>
      </w:r>
      <w:r>
        <w:rPr>
          <w:color w:val="000000"/>
          <w:szCs w:val="32"/>
        </w:rPr>
        <w:fldChar w:fldCharType="end"/>
      </w:r>
    </w:p>
    <w:p w14:paraId="639BF8CF">
      <w:pPr>
        <w:pStyle w:val="30"/>
        <w:tabs>
          <w:tab w:val="right" w:leader="dot" w:pos="9070"/>
          <w:tab w:val="clear" w:pos="9060"/>
        </w:tabs>
      </w:pPr>
      <w:r>
        <w:rPr>
          <w:color w:val="000000"/>
          <w:szCs w:val="32"/>
        </w:rPr>
        <w:fldChar w:fldCharType="begin"/>
      </w:r>
      <w:r>
        <w:rPr>
          <w:szCs w:val="32"/>
        </w:rPr>
        <w:instrText xml:space="preserve"> HYPERLINK \l _Toc18236 </w:instrText>
      </w:r>
      <w:r>
        <w:rPr>
          <w:szCs w:val="32"/>
        </w:rPr>
        <w:fldChar w:fldCharType="separate"/>
      </w:r>
      <w:r>
        <w:rPr>
          <w:rFonts w:hint="default" w:ascii="Times New Roman" w:hAnsi="Times New Roman" w:eastAsia="宋体"/>
        </w:rPr>
        <w:t xml:space="preserve">2.4 </w:t>
      </w:r>
      <w:r>
        <w:rPr>
          <w:rFonts w:hint="eastAsia"/>
        </w:rPr>
        <w:t>施工要求</w:t>
      </w:r>
      <w:r>
        <w:tab/>
      </w:r>
      <w:r>
        <w:fldChar w:fldCharType="begin"/>
      </w:r>
      <w:r>
        <w:instrText xml:space="preserve"> PAGEREF _Toc18236 \h </w:instrText>
      </w:r>
      <w:r>
        <w:fldChar w:fldCharType="separate"/>
      </w:r>
      <w:r>
        <w:t>5</w:t>
      </w:r>
      <w:r>
        <w:fldChar w:fldCharType="end"/>
      </w:r>
      <w:r>
        <w:rPr>
          <w:color w:val="000000"/>
          <w:szCs w:val="32"/>
        </w:rPr>
        <w:fldChar w:fldCharType="end"/>
      </w:r>
    </w:p>
    <w:p w14:paraId="726191D7">
      <w:pPr>
        <w:pStyle w:val="30"/>
        <w:tabs>
          <w:tab w:val="right" w:leader="dot" w:pos="9070"/>
          <w:tab w:val="clear" w:pos="9060"/>
        </w:tabs>
      </w:pPr>
      <w:r>
        <w:rPr>
          <w:color w:val="000000"/>
          <w:szCs w:val="32"/>
        </w:rPr>
        <w:fldChar w:fldCharType="begin"/>
      </w:r>
      <w:r>
        <w:rPr>
          <w:szCs w:val="32"/>
        </w:rPr>
        <w:instrText xml:space="preserve"> HYPERLINK \l _Toc23535 </w:instrText>
      </w:r>
      <w:r>
        <w:rPr>
          <w:szCs w:val="32"/>
        </w:rPr>
        <w:fldChar w:fldCharType="separate"/>
      </w:r>
      <w:r>
        <w:rPr>
          <w:rFonts w:hint="default" w:ascii="Times New Roman" w:hAnsi="Times New Roman" w:eastAsia="宋体"/>
        </w:rPr>
        <w:t xml:space="preserve">2.5 </w:t>
      </w:r>
      <w:r>
        <w:rPr>
          <w:rFonts w:hint="eastAsia"/>
        </w:rPr>
        <w:t>技术保证条件</w:t>
      </w:r>
      <w:r>
        <w:tab/>
      </w:r>
      <w:r>
        <w:fldChar w:fldCharType="begin"/>
      </w:r>
      <w:r>
        <w:instrText xml:space="preserve"> PAGEREF _Toc23535 \h </w:instrText>
      </w:r>
      <w:r>
        <w:fldChar w:fldCharType="separate"/>
      </w:r>
      <w:r>
        <w:t>6</w:t>
      </w:r>
      <w:r>
        <w:fldChar w:fldCharType="end"/>
      </w:r>
      <w:r>
        <w:rPr>
          <w:color w:val="000000"/>
          <w:szCs w:val="32"/>
        </w:rPr>
        <w:fldChar w:fldCharType="end"/>
      </w:r>
    </w:p>
    <w:p w14:paraId="567990E1">
      <w:pPr>
        <w:pStyle w:val="26"/>
        <w:tabs>
          <w:tab w:val="right" w:leader="dot" w:pos="9070"/>
          <w:tab w:val="clear" w:pos="9060"/>
        </w:tabs>
      </w:pPr>
      <w:r>
        <w:rPr>
          <w:color w:val="000000"/>
          <w:szCs w:val="32"/>
        </w:rPr>
        <w:fldChar w:fldCharType="begin"/>
      </w:r>
      <w:r>
        <w:rPr>
          <w:szCs w:val="32"/>
        </w:rPr>
        <w:instrText xml:space="preserve"> HYPERLINK \l _Toc8863 </w:instrText>
      </w:r>
      <w:r>
        <w:rPr>
          <w:szCs w:val="32"/>
        </w:rPr>
        <w:fldChar w:fldCharType="separate"/>
      </w:r>
      <w:r>
        <w:rPr>
          <w:rFonts w:hint="default" w:ascii="Times New Roman" w:hAnsi="Times New Roman" w:eastAsia="宋体"/>
        </w:rPr>
        <w:t xml:space="preserve">3 </w:t>
      </w:r>
      <w:r>
        <w:rPr>
          <w:rFonts w:hint="eastAsia"/>
        </w:rPr>
        <w:t>施工计划</w:t>
      </w:r>
      <w:r>
        <w:tab/>
      </w:r>
      <w:r>
        <w:fldChar w:fldCharType="begin"/>
      </w:r>
      <w:r>
        <w:instrText xml:space="preserve"> PAGEREF _Toc8863 \h </w:instrText>
      </w:r>
      <w:r>
        <w:fldChar w:fldCharType="separate"/>
      </w:r>
      <w:r>
        <w:t>7</w:t>
      </w:r>
      <w:r>
        <w:fldChar w:fldCharType="end"/>
      </w:r>
      <w:r>
        <w:rPr>
          <w:color w:val="000000"/>
          <w:szCs w:val="32"/>
        </w:rPr>
        <w:fldChar w:fldCharType="end"/>
      </w:r>
    </w:p>
    <w:p w14:paraId="36D18E3C">
      <w:pPr>
        <w:pStyle w:val="30"/>
        <w:tabs>
          <w:tab w:val="right" w:leader="dot" w:pos="9070"/>
          <w:tab w:val="clear" w:pos="9060"/>
        </w:tabs>
      </w:pPr>
      <w:r>
        <w:rPr>
          <w:color w:val="000000"/>
          <w:szCs w:val="32"/>
        </w:rPr>
        <w:fldChar w:fldCharType="begin"/>
      </w:r>
      <w:r>
        <w:rPr>
          <w:szCs w:val="32"/>
        </w:rPr>
        <w:instrText xml:space="preserve"> HYPERLINK \l _Toc14628 </w:instrText>
      </w:r>
      <w:r>
        <w:rPr>
          <w:szCs w:val="32"/>
        </w:rPr>
        <w:fldChar w:fldCharType="separate"/>
      </w:r>
      <w:r>
        <w:rPr>
          <w:rFonts w:hint="default" w:ascii="Times New Roman" w:hAnsi="Times New Roman" w:eastAsia="宋体"/>
        </w:rPr>
        <w:t xml:space="preserve">3.1 </w:t>
      </w:r>
      <w:r>
        <w:rPr>
          <w:rFonts w:hint="eastAsia"/>
        </w:rPr>
        <w:t>施工进度计划</w:t>
      </w:r>
      <w:r>
        <w:tab/>
      </w:r>
      <w:r>
        <w:fldChar w:fldCharType="begin"/>
      </w:r>
      <w:r>
        <w:instrText xml:space="preserve"> PAGEREF _Toc14628 \h </w:instrText>
      </w:r>
      <w:r>
        <w:fldChar w:fldCharType="separate"/>
      </w:r>
      <w:r>
        <w:t>7</w:t>
      </w:r>
      <w:r>
        <w:fldChar w:fldCharType="end"/>
      </w:r>
      <w:r>
        <w:rPr>
          <w:color w:val="000000"/>
          <w:szCs w:val="32"/>
        </w:rPr>
        <w:fldChar w:fldCharType="end"/>
      </w:r>
    </w:p>
    <w:p w14:paraId="09F743B7">
      <w:pPr>
        <w:pStyle w:val="30"/>
        <w:tabs>
          <w:tab w:val="right" w:leader="dot" w:pos="9070"/>
          <w:tab w:val="clear" w:pos="9060"/>
        </w:tabs>
      </w:pPr>
      <w:r>
        <w:rPr>
          <w:color w:val="000000"/>
          <w:szCs w:val="32"/>
        </w:rPr>
        <w:fldChar w:fldCharType="begin"/>
      </w:r>
      <w:r>
        <w:rPr>
          <w:szCs w:val="32"/>
        </w:rPr>
        <w:instrText xml:space="preserve"> HYPERLINK \l _Toc2827 </w:instrText>
      </w:r>
      <w:r>
        <w:rPr>
          <w:szCs w:val="32"/>
        </w:rPr>
        <w:fldChar w:fldCharType="separate"/>
      </w:r>
      <w:r>
        <w:rPr>
          <w:rFonts w:hint="default" w:ascii="Times New Roman" w:hAnsi="Times New Roman" w:eastAsia="宋体"/>
        </w:rPr>
        <w:t xml:space="preserve">3.2 </w:t>
      </w:r>
      <w:r>
        <w:rPr>
          <w:rFonts w:hint="eastAsia"/>
        </w:rPr>
        <w:t>材料计划</w:t>
      </w:r>
      <w:r>
        <w:tab/>
      </w:r>
      <w:r>
        <w:fldChar w:fldCharType="begin"/>
      </w:r>
      <w:r>
        <w:instrText xml:space="preserve"> PAGEREF _Toc2827 \h </w:instrText>
      </w:r>
      <w:r>
        <w:fldChar w:fldCharType="separate"/>
      </w:r>
      <w:r>
        <w:t>8</w:t>
      </w:r>
      <w:r>
        <w:fldChar w:fldCharType="end"/>
      </w:r>
      <w:r>
        <w:rPr>
          <w:color w:val="000000"/>
          <w:szCs w:val="32"/>
        </w:rPr>
        <w:fldChar w:fldCharType="end"/>
      </w:r>
    </w:p>
    <w:p w14:paraId="17EBB3D4">
      <w:pPr>
        <w:pStyle w:val="30"/>
        <w:tabs>
          <w:tab w:val="right" w:leader="dot" w:pos="9070"/>
          <w:tab w:val="clear" w:pos="9060"/>
        </w:tabs>
      </w:pPr>
      <w:r>
        <w:rPr>
          <w:color w:val="000000"/>
          <w:szCs w:val="32"/>
        </w:rPr>
        <w:fldChar w:fldCharType="begin"/>
      </w:r>
      <w:r>
        <w:rPr>
          <w:szCs w:val="32"/>
        </w:rPr>
        <w:instrText xml:space="preserve"> HYPERLINK \l _Toc5478 </w:instrText>
      </w:r>
      <w:r>
        <w:rPr>
          <w:szCs w:val="32"/>
        </w:rPr>
        <w:fldChar w:fldCharType="separate"/>
      </w:r>
      <w:r>
        <w:rPr>
          <w:rFonts w:hint="default" w:ascii="Times New Roman" w:hAnsi="Times New Roman" w:eastAsia="宋体"/>
        </w:rPr>
        <w:t xml:space="preserve">3.3 </w:t>
      </w:r>
      <w:r>
        <w:rPr>
          <w:rFonts w:hint="eastAsia"/>
        </w:rPr>
        <w:t>设备及工具计划</w:t>
      </w:r>
      <w:r>
        <w:tab/>
      </w:r>
      <w:r>
        <w:fldChar w:fldCharType="begin"/>
      </w:r>
      <w:r>
        <w:instrText xml:space="preserve"> PAGEREF _Toc5478 \h </w:instrText>
      </w:r>
      <w:r>
        <w:fldChar w:fldCharType="separate"/>
      </w:r>
      <w:r>
        <w:t>9</w:t>
      </w:r>
      <w:r>
        <w:fldChar w:fldCharType="end"/>
      </w:r>
      <w:r>
        <w:rPr>
          <w:color w:val="000000"/>
          <w:szCs w:val="32"/>
        </w:rPr>
        <w:fldChar w:fldCharType="end"/>
      </w:r>
    </w:p>
    <w:p w14:paraId="6FD739D4">
      <w:pPr>
        <w:pStyle w:val="26"/>
        <w:tabs>
          <w:tab w:val="right" w:leader="dot" w:pos="9070"/>
          <w:tab w:val="clear" w:pos="9060"/>
        </w:tabs>
      </w:pPr>
      <w:r>
        <w:rPr>
          <w:color w:val="000000"/>
          <w:szCs w:val="32"/>
        </w:rPr>
        <w:fldChar w:fldCharType="begin"/>
      </w:r>
      <w:r>
        <w:rPr>
          <w:szCs w:val="32"/>
        </w:rPr>
        <w:instrText xml:space="preserve"> HYPERLINK \l _Toc29909 </w:instrText>
      </w:r>
      <w:r>
        <w:rPr>
          <w:szCs w:val="32"/>
        </w:rPr>
        <w:fldChar w:fldCharType="separate"/>
      </w:r>
      <w:r>
        <w:rPr>
          <w:rFonts w:hint="default" w:ascii="Times New Roman" w:hAnsi="Times New Roman" w:eastAsia="宋体"/>
        </w:rPr>
        <w:t xml:space="preserve">4 </w:t>
      </w:r>
      <w:r>
        <w:rPr>
          <w:rFonts w:hint="eastAsia"/>
        </w:rPr>
        <w:t>施工工艺</w:t>
      </w:r>
      <w:r>
        <w:tab/>
      </w:r>
      <w:r>
        <w:fldChar w:fldCharType="begin"/>
      </w:r>
      <w:r>
        <w:instrText xml:space="preserve"> PAGEREF _Toc29909 \h </w:instrText>
      </w:r>
      <w:r>
        <w:fldChar w:fldCharType="separate"/>
      </w:r>
      <w:r>
        <w:t>11</w:t>
      </w:r>
      <w:r>
        <w:fldChar w:fldCharType="end"/>
      </w:r>
      <w:r>
        <w:rPr>
          <w:color w:val="000000"/>
          <w:szCs w:val="32"/>
        </w:rPr>
        <w:fldChar w:fldCharType="end"/>
      </w:r>
    </w:p>
    <w:p w14:paraId="23DA4366">
      <w:pPr>
        <w:pStyle w:val="30"/>
        <w:tabs>
          <w:tab w:val="right" w:leader="dot" w:pos="9070"/>
          <w:tab w:val="clear" w:pos="9060"/>
        </w:tabs>
      </w:pPr>
      <w:r>
        <w:rPr>
          <w:color w:val="000000"/>
          <w:szCs w:val="32"/>
        </w:rPr>
        <w:fldChar w:fldCharType="begin"/>
      </w:r>
      <w:r>
        <w:rPr>
          <w:szCs w:val="32"/>
        </w:rPr>
        <w:instrText xml:space="preserve"> HYPERLINK \l _Toc7925 </w:instrText>
      </w:r>
      <w:r>
        <w:rPr>
          <w:szCs w:val="32"/>
        </w:rPr>
        <w:fldChar w:fldCharType="separate"/>
      </w:r>
      <w:r>
        <w:rPr>
          <w:rFonts w:hint="default" w:ascii="Times New Roman" w:hAnsi="Times New Roman" w:eastAsia="宋体"/>
        </w:rPr>
        <w:t xml:space="preserve">4.1 </w:t>
      </w:r>
      <w:r>
        <w:rPr>
          <w:rFonts w:hint="eastAsia"/>
        </w:rPr>
        <w:t>施工方案概述</w:t>
      </w:r>
      <w:r>
        <w:tab/>
      </w:r>
      <w:r>
        <w:fldChar w:fldCharType="begin"/>
      </w:r>
      <w:r>
        <w:instrText xml:space="preserve"> PAGEREF _Toc7925 \h </w:instrText>
      </w:r>
      <w:r>
        <w:fldChar w:fldCharType="separate"/>
      </w:r>
      <w:r>
        <w:t>11</w:t>
      </w:r>
      <w:r>
        <w:fldChar w:fldCharType="end"/>
      </w:r>
      <w:r>
        <w:rPr>
          <w:color w:val="000000"/>
          <w:szCs w:val="32"/>
        </w:rPr>
        <w:fldChar w:fldCharType="end"/>
      </w:r>
    </w:p>
    <w:p w14:paraId="499DA039">
      <w:pPr>
        <w:pStyle w:val="30"/>
        <w:tabs>
          <w:tab w:val="right" w:leader="dot" w:pos="9070"/>
          <w:tab w:val="clear" w:pos="9060"/>
        </w:tabs>
      </w:pPr>
      <w:r>
        <w:rPr>
          <w:color w:val="000000"/>
          <w:szCs w:val="32"/>
        </w:rPr>
        <w:fldChar w:fldCharType="begin"/>
      </w:r>
      <w:r>
        <w:rPr>
          <w:szCs w:val="32"/>
        </w:rPr>
        <w:instrText xml:space="preserve"> HYPERLINK \l _Toc15224 </w:instrText>
      </w:r>
      <w:r>
        <w:rPr>
          <w:szCs w:val="32"/>
        </w:rPr>
        <w:fldChar w:fldCharType="separate"/>
      </w:r>
      <w:r>
        <w:rPr>
          <w:rFonts w:hint="default" w:ascii="Times New Roman" w:hAnsi="Times New Roman" w:eastAsia="宋体"/>
        </w:rPr>
        <w:t xml:space="preserve">4.2 </w:t>
      </w:r>
      <w:r>
        <w:rPr>
          <w:rFonts w:hint="eastAsia"/>
        </w:rPr>
        <w:t>主要设备选型</w:t>
      </w:r>
      <w:r>
        <w:tab/>
      </w:r>
      <w:r>
        <w:fldChar w:fldCharType="begin"/>
      </w:r>
      <w:r>
        <w:instrText xml:space="preserve"> PAGEREF _Toc15224 \h </w:instrText>
      </w:r>
      <w:r>
        <w:fldChar w:fldCharType="separate"/>
      </w:r>
      <w:r>
        <w:t>11</w:t>
      </w:r>
      <w:r>
        <w:fldChar w:fldCharType="end"/>
      </w:r>
      <w:r>
        <w:rPr>
          <w:color w:val="000000"/>
          <w:szCs w:val="32"/>
        </w:rPr>
        <w:fldChar w:fldCharType="end"/>
      </w:r>
    </w:p>
    <w:p w14:paraId="3BBE22BF">
      <w:pPr>
        <w:pStyle w:val="30"/>
        <w:tabs>
          <w:tab w:val="right" w:leader="dot" w:pos="9070"/>
          <w:tab w:val="clear" w:pos="9060"/>
        </w:tabs>
      </w:pPr>
      <w:r>
        <w:rPr>
          <w:color w:val="000000"/>
          <w:szCs w:val="32"/>
        </w:rPr>
        <w:fldChar w:fldCharType="begin"/>
      </w:r>
      <w:r>
        <w:rPr>
          <w:szCs w:val="32"/>
        </w:rPr>
        <w:instrText xml:space="preserve"> HYPERLINK \l _Toc30905 </w:instrText>
      </w:r>
      <w:r>
        <w:rPr>
          <w:szCs w:val="32"/>
        </w:rPr>
        <w:fldChar w:fldCharType="separate"/>
      </w:r>
      <w:r>
        <w:rPr>
          <w:rFonts w:hint="default" w:ascii="Times New Roman" w:hAnsi="Times New Roman" w:eastAsia="宋体"/>
        </w:rPr>
        <w:t xml:space="preserve">4.3 </w:t>
      </w:r>
      <w:r>
        <w:rPr>
          <w:rFonts w:hint="eastAsia"/>
        </w:rPr>
        <w:t>施工准备</w:t>
      </w:r>
      <w:r>
        <w:tab/>
      </w:r>
      <w:r>
        <w:fldChar w:fldCharType="begin"/>
      </w:r>
      <w:r>
        <w:instrText xml:space="preserve"> PAGEREF _Toc30905 \h </w:instrText>
      </w:r>
      <w:r>
        <w:fldChar w:fldCharType="separate"/>
      </w:r>
      <w:r>
        <w:t>17</w:t>
      </w:r>
      <w:r>
        <w:fldChar w:fldCharType="end"/>
      </w:r>
      <w:r>
        <w:rPr>
          <w:color w:val="000000"/>
          <w:szCs w:val="32"/>
        </w:rPr>
        <w:fldChar w:fldCharType="end"/>
      </w:r>
    </w:p>
    <w:p w14:paraId="035C1510">
      <w:pPr>
        <w:pStyle w:val="30"/>
        <w:tabs>
          <w:tab w:val="right" w:leader="dot" w:pos="9070"/>
          <w:tab w:val="clear" w:pos="9060"/>
        </w:tabs>
      </w:pPr>
      <w:r>
        <w:rPr>
          <w:color w:val="000000"/>
          <w:szCs w:val="32"/>
        </w:rPr>
        <w:fldChar w:fldCharType="begin"/>
      </w:r>
      <w:r>
        <w:rPr>
          <w:szCs w:val="32"/>
        </w:rPr>
        <w:instrText xml:space="preserve"> HYPERLINK \l _Toc7753 </w:instrText>
      </w:r>
      <w:r>
        <w:rPr>
          <w:szCs w:val="32"/>
        </w:rPr>
        <w:fldChar w:fldCharType="separate"/>
      </w:r>
      <w:r>
        <w:rPr>
          <w:rFonts w:hint="default" w:ascii="Times New Roman" w:hAnsi="Times New Roman" w:eastAsia="宋体"/>
        </w:rPr>
        <w:t xml:space="preserve">4.4 </w:t>
      </w:r>
      <w:r>
        <w:rPr>
          <w:rFonts w:hint="eastAsia"/>
        </w:rPr>
        <w:t>施工工艺流程图</w:t>
      </w:r>
      <w:r>
        <w:tab/>
      </w:r>
      <w:r>
        <w:fldChar w:fldCharType="begin"/>
      </w:r>
      <w:r>
        <w:instrText xml:space="preserve"> PAGEREF _Toc7753 \h </w:instrText>
      </w:r>
      <w:r>
        <w:fldChar w:fldCharType="separate"/>
      </w:r>
      <w:r>
        <w:t>18</w:t>
      </w:r>
      <w:r>
        <w:fldChar w:fldCharType="end"/>
      </w:r>
      <w:r>
        <w:rPr>
          <w:color w:val="000000"/>
          <w:szCs w:val="32"/>
        </w:rPr>
        <w:fldChar w:fldCharType="end"/>
      </w:r>
    </w:p>
    <w:p w14:paraId="597EE33D">
      <w:pPr>
        <w:pStyle w:val="30"/>
        <w:tabs>
          <w:tab w:val="right" w:leader="dot" w:pos="9070"/>
          <w:tab w:val="clear" w:pos="9060"/>
        </w:tabs>
      </w:pPr>
      <w:r>
        <w:rPr>
          <w:color w:val="000000"/>
          <w:szCs w:val="32"/>
        </w:rPr>
        <w:fldChar w:fldCharType="begin"/>
      </w:r>
      <w:r>
        <w:rPr>
          <w:szCs w:val="32"/>
        </w:rPr>
        <w:instrText xml:space="preserve"> HYPERLINK \l _Toc5263 </w:instrText>
      </w:r>
      <w:r>
        <w:rPr>
          <w:szCs w:val="32"/>
        </w:rPr>
        <w:fldChar w:fldCharType="separate"/>
      </w:r>
      <w:r>
        <w:rPr>
          <w:rFonts w:hint="default" w:ascii="Times New Roman" w:hAnsi="Times New Roman" w:eastAsia="宋体"/>
        </w:rPr>
        <w:t xml:space="preserve">4.5 </w:t>
      </w:r>
      <w:r>
        <w:rPr>
          <w:rFonts w:hint="eastAsia"/>
        </w:rPr>
        <w:t>施工方法</w:t>
      </w:r>
      <w:r>
        <w:tab/>
      </w:r>
      <w:r>
        <w:fldChar w:fldCharType="begin"/>
      </w:r>
      <w:r>
        <w:instrText xml:space="preserve"> PAGEREF _Toc5263 \h </w:instrText>
      </w:r>
      <w:r>
        <w:fldChar w:fldCharType="separate"/>
      </w:r>
      <w:r>
        <w:t>20</w:t>
      </w:r>
      <w:r>
        <w:fldChar w:fldCharType="end"/>
      </w:r>
      <w:r>
        <w:rPr>
          <w:color w:val="000000"/>
          <w:szCs w:val="32"/>
        </w:rPr>
        <w:fldChar w:fldCharType="end"/>
      </w:r>
    </w:p>
    <w:p w14:paraId="07E07BAB">
      <w:pPr>
        <w:pStyle w:val="30"/>
        <w:tabs>
          <w:tab w:val="right" w:leader="dot" w:pos="9070"/>
          <w:tab w:val="clear" w:pos="9060"/>
        </w:tabs>
      </w:pPr>
      <w:r>
        <w:rPr>
          <w:color w:val="000000"/>
          <w:szCs w:val="32"/>
        </w:rPr>
        <w:fldChar w:fldCharType="begin"/>
      </w:r>
      <w:r>
        <w:rPr>
          <w:szCs w:val="32"/>
        </w:rPr>
        <w:instrText xml:space="preserve"> HYPERLINK \l _Toc16392 </w:instrText>
      </w:r>
      <w:r>
        <w:rPr>
          <w:szCs w:val="32"/>
        </w:rPr>
        <w:fldChar w:fldCharType="separate"/>
      </w:r>
      <w:r>
        <w:rPr>
          <w:rFonts w:hint="default" w:ascii="Times New Roman" w:hAnsi="Times New Roman" w:eastAsia="宋体"/>
        </w:rPr>
        <w:t xml:space="preserve">4.6 </w:t>
      </w:r>
      <w:r>
        <w:rPr>
          <w:rFonts w:hint="eastAsia"/>
        </w:rPr>
        <w:t>检查要求</w:t>
      </w:r>
      <w:r>
        <w:tab/>
      </w:r>
      <w:r>
        <w:fldChar w:fldCharType="begin"/>
      </w:r>
      <w:r>
        <w:instrText xml:space="preserve"> PAGEREF _Toc16392 \h </w:instrText>
      </w:r>
      <w:r>
        <w:fldChar w:fldCharType="separate"/>
      </w:r>
      <w:r>
        <w:t>42</w:t>
      </w:r>
      <w:r>
        <w:fldChar w:fldCharType="end"/>
      </w:r>
      <w:r>
        <w:rPr>
          <w:color w:val="000000"/>
          <w:szCs w:val="32"/>
        </w:rPr>
        <w:fldChar w:fldCharType="end"/>
      </w:r>
    </w:p>
    <w:p w14:paraId="422368C6">
      <w:pPr>
        <w:pStyle w:val="26"/>
        <w:tabs>
          <w:tab w:val="right" w:leader="dot" w:pos="9070"/>
          <w:tab w:val="clear" w:pos="9060"/>
        </w:tabs>
      </w:pPr>
      <w:r>
        <w:rPr>
          <w:color w:val="000000"/>
          <w:szCs w:val="32"/>
        </w:rPr>
        <w:fldChar w:fldCharType="begin"/>
      </w:r>
      <w:r>
        <w:rPr>
          <w:szCs w:val="32"/>
        </w:rPr>
        <w:instrText xml:space="preserve"> HYPERLINK \l _Toc2349 </w:instrText>
      </w:r>
      <w:r>
        <w:rPr>
          <w:szCs w:val="32"/>
        </w:rPr>
        <w:fldChar w:fldCharType="separate"/>
      </w:r>
      <w:r>
        <w:rPr>
          <w:rFonts w:hint="default" w:ascii="Times New Roman" w:hAnsi="Times New Roman" w:eastAsia="宋体"/>
        </w:rPr>
        <w:t xml:space="preserve">5 </w:t>
      </w:r>
      <w:r>
        <w:rPr>
          <w:rFonts w:hint="eastAsia"/>
        </w:rPr>
        <w:t>质量管理</w:t>
      </w:r>
      <w:r>
        <w:t>措施</w:t>
      </w:r>
      <w:r>
        <w:tab/>
      </w:r>
      <w:r>
        <w:fldChar w:fldCharType="begin"/>
      </w:r>
      <w:r>
        <w:instrText xml:space="preserve"> PAGEREF _Toc2349 \h </w:instrText>
      </w:r>
      <w:r>
        <w:fldChar w:fldCharType="separate"/>
      </w:r>
      <w:r>
        <w:t>44</w:t>
      </w:r>
      <w:r>
        <w:fldChar w:fldCharType="end"/>
      </w:r>
      <w:r>
        <w:rPr>
          <w:color w:val="000000"/>
          <w:szCs w:val="32"/>
        </w:rPr>
        <w:fldChar w:fldCharType="end"/>
      </w:r>
    </w:p>
    <w:p w14:paraId="66D854F9">
      <w:pPr>
        <w:pStyle w:val="30"/>
        <w:tabs>
          <w:tab w:val="right" w:leader="dot" w:pos="9070"/>
          <w:tab w:val="clear" w:pos="9060"/>
        </w:tabs>
      </w:pPr>
      <w:r>
        <w:rPr>
          <w:color w:val="000000"/>
          <w:szCs w:val="32"/>
        </w:rPr>
        <w:fldChar w:fldCharType="begin"/>
      </w:r>
      <w:r>
        <w:rPr>
          <w:szCs w:val="32"/>
        </w:rPr>
        <w:instrText xml:space="preserve"> HYPERLINK \l _Toc10176 </w:instrText>
      </w:r>
      <w:r>
        <w:rPr>
          <w:szCs w:val="32"/>
        </w:rPr>
        <w:fldChar w:fldCharType="separate"/>
      </w:r>
      <w:r>
        <w:rPr>
          <w:rFonts w:hint="default" w:ascii="Times New Roman" w:hAnsi="Times New Roman" w:eastAsia="宋体"/>
        </w:rPr>
        <w:t xml:space="preserve">5.1 </w:t>
      </w:r>
      <w:r>
        <w:rPr>
          <w:rFonts w:hint="eastAsia"/>
        </w:rPr>
        <w:t>质量管理组织机构</w:t>
      </w:r>
      <w:r>
        <w:tab/>
      </w:r>
      <w:r>
        <w:fldChar w:fldCharType="begin"/>
      </w:r>
      <w:r>
        <w:instrText xml:space="preserve"> PAGEREF _Toc10176 \h </w:instrText>
      </w:r>
      <w:r>
        <w:fldChar w:fldCharType="separate"/>
      </w:r>
      <w:r>
        <w:t>44</w:t>
      </w:r>
      <w:r>
        <w:fldChar w:fldCharType="end"/>
      </w:r>
      <w:r>
        <w:rPr>
          <w:color w:val="000000"/>
          <w:szCs w:val="32"/>
        </w:rPr>
        <w:fldChar w:fldCharType="end"/>
      </w:r>
    </w:p>
    <w:p w14:paraId="0618E235">
      <w:pPr>
        <w:pStyle w:val="30"/>
        <w:tabs>
          <w:tab w:val="right" w:leader="dot" w:pos="9070"/>
          <w:tab w:val="clear" w:pos="9060"/>
        </w:tabs>
      </w:pPr>
      <w:r>
        <w:rPr>
          <w:color w:val="000000"/>
          <w:szCs w:val="32"/>
        </w:rPr>
        <w:fldChar w:fldCharType="begin"/>
      </w:r>
      <w:r>
        <w:rPr>
          <w:szCs w:val="32"/>
        </w:rPr>
        <w:instrText xml:space="preserve"> HYPERLINK \l _Toc2033 </w:instrText>
      </w:r>
      <w:r>
        <w:rPr>
          <w:szCs w:val="32"/>
        </w:rPr>
        <w:fldChar w:fldCharType="separate"/>
      </w:r>
      <w:r>
        <w:rPr>
          <w:rFonts w:hint="default" w:ascii="Times New Roman" w:hAnsi="Times New Roman" w:eastAsia="宋体"/>
        </w:rPr>
        <w:t xml:space="preserve">5.2 </w:t>
      </w:r>
      <w:r>
        <w:rPr>
          <w:rFonts w:hint="eastAsia"/>
        </w:rPr>
        <w:t>质量保证措施</w:t>
      </w:r>
      <w:r>
        <w:tab/>
      </w:r>
      <w:r>
        <w:fldChar w:fldCharType="begin"/>
      </w:r>
      <w:r>
        <w:instrText xml:space="preserve"> PAGEREF _Toc2033 \h </w:instrText>
      </w:r>
      <w:r>
        <w:fldChar w:fldCharType="separate"/>
      </w:r>
      <w:r>
        <w:t>44</w:t>
      </w:r>
      <w:r>
        <w:fldChar w:fldCharType="end"/>
      </w:r>
      <w:r>
        <w:rPr>
          <w:color w:val="000000"/>
          <w:szCs w:val="32"/>
        </w:rPr>
        <w:fldChar w:fldCharType="end"/>
      </w:r>
    </w:p>
    <w:p w14:paraId="5C266F95">
      <w:pPr>
        <w:pStyle w:val="26"/>
        <w:tabs>
          <w:tab w:val="right" w:leader="dot" w:pos="9070"/>
          <w:tab w:val="clear" w:pos="9060"/>
        </w:tabs>
      </w:pPr>
      <w:r>
        <w:rPr>
          <w:color w:val="000000"/>
          <w:szCs w:val="32"/>
        </w:rPr>
        <w:fldChar w:fldCharType="begin"/>
      </w:r>
      <w:r>
        <w:rPr>
          <w:szCs w:val="32"/>
        </w:rPr>
        <w:instrText xml:space="preserve"> HYPERLINK \l _Toc30160 </w:instrText>
      </w:r>
      <w:r>
        <w:rPr>
          <w:szCs w:val="32"/>
        </w:rPr>
        <w:fldChar w:fldCharType="separate"/>
      </w:r>
      <w:r>
        <w:rPr>
          <w:rFonts w:hint="default" w:ascii="Times New Roman" w:hAnsi="Times New Roman" w:eastAsia="宋体"/>
        </w:rPr>
        <w:t xml:space="preserve">6 </w:t>
      </w:r>
      <w:r>
        <w:rPr>
          <w:rFonts w:hint="eastAsia"/>
        </w:rPr>
        <w:t>施工风险源辨识及安全保障措施</w:t>
      </w:r>
      <w:r>
        <w:tab/>
      </w:r>
      <w:r>
        <w:fldChar w:fldCharType="begin"/>
      </w:r>
      <w:r>
        <w:instrText xml:space="preserve"> PAGEREF _Toc30160 \h </w:instrText>
      </w:r>
      <w:r>
        <w:fldChar w:fldCharType="separate"/>
      </w:r>
      <w:r>
        <w:t>46</w:t>
      </w:r>
      <w:r>
        <w:fldChar w:fldCharType="end"/>
      </w:r>
      <w:r>
        <w:rPr>
          <w:color w:val="000000"/>
          <w:szCs w:val="32"/>
        </w:rPr>
        <w:fldChar w:fldCharType="end"/>
      </w:r>
    </w:p>
    <w:p w14:paraId="6EE029A4">
      <w:pPr>
        <w:pStyle w:val="30"/>
        <w:tabs>
          <w:tab w:val="right" w:leader="dot" w:pos="9070"/>
          <w:tab w:val="clear" w:pos="9060"/>
        </w:tabs>
      </w:pPr>
      <w:r>
        <w:rPr>
          <w:color w:val="000000"/>
          <w:szCs w:val="32"/>
        </w:rPr>
        <w:fldChar w:fldCharType="begin"/>
      </w:r>
      <w:r>
        <w:rPr>
          <w:szCs w:val="32"/>
        </w:rPr>
        <w:instrText xml:space="preserve"> HYPERLINK \l _Toc31316 </w:instrText>
      </w:r>
      <w:r>
        <w:rPr>
          <w:szCs w:val="32"/>
        </w:rPr>
        <w:fldChar w:fldCharType="separate"/>
      </w:r>
      <w:r>
        <w:rPr>
          <w:rFonts w:hint="default" w:ascii="Times New Roman" w:hAnsi="Times New Roman" w:eastAsia="宋体"/>
        </w:rPr>
        <w:t xml:space="preserve">6.1 </w:t>
      </w:r>
      <w:r>
        <w:rPr>
          <w:rFonts w:hint="eastAsia"/>
        </w:rPr>
        <w:t>风险源辨识及分析</w:t>
      </w:r>
      <w:r>
        <w:tab/>
      </w:r>
      <w:r>
        <w:fldChar w:fldCharType="begin"/>
      </w:r>
      <w:r>
        <w:instrText xml:space="preserve"> PAGEREF _Toc31316 \h </w:instrText>
      </w:r>
      <w:r>
        <w:fldChar w:fldCharType="separate"/>
      </w:r>
      <w:r>
        <w:t>46</w:t>
      </w:r>
      <w:r>
        <w:fldChar w:fldCharType="end"/>
      </w:r>
      <w:r>
        <w:rPr>
          <w:color w:val="000000"/>
          <w:szCs w:val="32"/>
        </w:rPr>
        <w:fldChar w:fldCharType="end"/>
      </w:r>
    </w:p>
    <w:p w14:paraId="36ECB40C">
      <w:pPr>
        <w:pStyle w:val="30"/>
        <w:tabs>
          <w:tab w:val="right" w:leader="dot" w:pos="9070"/>
          <w:tab w:val="clear" w:pos="9060"/>
        </w:tabs>
      </w:pPr>
      <w:r>
        <w:rPr>
          <w:color w:val="000000"/>
          <w:szCs w:val="32"/>
        </w:rPr>
        <w:fldChar w:fldCharType="begin"/>
      </w:r>
      <w:r>
        <w:rPr>
          <w:szCs w:val="32"/>
        </w:rPr>
        <w:instrText xml:space="preserve"> HYPERLINK \l _Toc22035 </w:instrText>
      </w:r>
      <w:r>
        <w:rPr>
          <w:szCs w:val="32"/>
        </w:rPr>
        <w:fldChar w:fldCharType="separate"/>
      </w:r>
      <w:r>
        <w:rPr>
          <w:rFonts w:hint="default" w:ascii="Times New Roman" w:hAnsi="Times New Roman" w:eastAsia="宋体"/>
        </w:rPr>
        <w:t xml:space="preserve">6.2 </w:t>
      </w:r>
      <w:r>
        <w:rPr>
          <w:rFonts w:hint="eastAsia"/>
        </w:rPr>
        <w:t>组织保障措施</w:t>
      </w:r>
      <w:r>
        <w:tab/>
      </w:r>
      <w:r>
        <w:fldChar w:fldCharType="begin"/>
      </w:r>
      <w:r>
        <w:instrText xml:space="preserve"> PAGEREF _Toc22035 \h </w:instrText>
      </w:r>
      <w:r>
        <w:fldChar w:fldCharType="separate"/>
      </w:r>
      <w:r>
        <w:t>49</w:t>
      </w:r>
      <w:r>
        <w:fldChar w:fldCharType="end"/>
      </w:r>
      <w:r>
        <w:rPr>
          <w:color w:val="000000"/>
          <w:szCs w:val="32"/>
        </w:rPr>
        <w:fldChar w:fldCharType="end"/>
      </w:r>
    </w:p>
    <w:p w14:paraId="0B27429C">
      <w:pPr>
        <w:pStyle w:val="30"/>
        <w:tabs>
          <w:tab w:val="right" w:leader="dot" w:pos="9070"/>
          <w:tab w:val="clear" w:pos="9060"/>
        </w:tabs>
      </w:pPr>
      <w:r>
        <w:rPr>
          <w:color w:val="000000"/>
          <w:szCs w:val="32"/>
        </w:rPr>
        <w:fldChar w:fldCharType="begin"/>
      </w:r>
      <w:r>
        <w:rPr>
          <w:szCs w:val="32"/>
        </w:rPr>
        <w:instrText xml:space="preserve"> HYPERLINK \l _Toc19425 </w:instrText>
      </w:r>
      <w:r>
        <w:rPr>
          <w:szCs w:val="32"/>
        </w:rPr>
        <w:fldChar w:fldCharType="separate"/>
      </w:r>
      <w:r>
        <w:rPr>
          <w:rFonts w:hint="default" w:ascii="Times New Roman" w:hAnsi="Times New Roman" w:eastAsia="宋体"/>
          <w:shd w:val="clear" w:fill="FFFFFF" w:themeFill="background1"/>
        </w:rPr>
        <w:t xml:space="preserve">6.3 </w:t>
      </w:r>
      <w:r>
        <w:rPr>
          <w:rFonts w:hint="eastAsia"/>
          <w:shd w:val="clear" w:color="auto" w:fill="FFFFFF" w:themeFill="background1"/>
        </w:rPr>
        <w:t>施工安全技术控制措施</w:t>
      </w:r>
      <w:r>
        <w:tab/>
      </w:r>
      <w:r>
        <w:fldChar w:fldCharType="begin"/>
      </w:r>
      <w:r>
        <w:instrText xml:space="preserve"> PAGEREF _Toc19425 \h </w:instrText>
      </w:r>
      <w:r>
        <w:fldChar w:fldCharType="separate"/>
      </w:r>
      <w:r>
        <w:t>50</w:t>
      </w:r>
      <w:r>
        <w:fldChar w:fldCharType="end"/>
      </w:r>
      <w:r>
        <w:rPr>
          <w:color w:val="000000"/>
          <w:szCs w:val="32"/>
        </w:rPr>
        <w:fldChar w:fldCharType="end"/>
      </w:r>
    </w:p>
    <w:p w14:paraId="56F69BE6">
      <w:pPr>
        <w:pStyle w:val="30"/>
        <w:tabs>
          <w:tab w:val="right" w:leader="dot" w:pos="9070"/>
          <w:tab w:val="clear" w:pos="9060"/>
        </w:tabs>
      </w:pPr>
      <w:r>
        <w:rPr>
          <w:color w:val="000000"/>
          <w:szCs w:val="32"/>
        </w:rPr>
        <w:fldChar w:fldCharType="begin"/>
      </w:r>
      <w:r>
        <w:rPr>
          <w:szCs w:val="32"/>
        </w:rPr>
        <w:instrText xml:space="preserve"> HYPERLINK \l _Toc16519 </w:instrText>
      </w:r>
      <w:r>
        <w:rPr>
          <w:szCs w:val="32"/>
        </w:rPr>
        <w:fldChar w:fldCharType="separate"/>
      </w:r>
      <w:r>
        <w:rPr>
          <w:rFonts w:hint="default" w:ascii="Times New Roman" w:hAnsi="Times New Roman" w:eastAsia="宋体"/>
        </w:rPr>
        <w:t xml:space="preserve">6.4 </w:t>
      </w:r>
      <w:r>
        <w:rPr>
          <w:rFonts w:hint="eastAsia"/>
        </w:rPr>
        <w:t>监测监控措施</w:t>
      </w:r>
      <w:r>
        <w:tab/>
      </w:r>
      <w:r>
        <w:fldChar w:fldCharType="begin"/>
      </w:r>
      <w:r>
        <w:instrText xml:space="preserve"> PAGEREF _Toc16519 \h </w:instrText>
      </w:r>
      <w:r>
        <w:fldChar w:fldCharType="separate"/>
      </w:r>
      <w:r>
        <w:t>59</w:t>
      </w:r>
      <w:r>
        <w:fldChar w:fldCharType="end"/>
      </w:r>
      <w:r>
        <w:rPr>
          <w:color w:val="000000"/>
          <w:szCs w:val="32"/>
        </w:rPr>
        <w:fldChar w:fldCharType="end"/>
      </w:r>
    </w:p>
    <w:p w14:paraId="1CD498CC">
      <w:pPr>
        <w:pStyle w:val="30"/>
        <w:tabs>
          <w:tab w:val="right" w:leader="dot" w:pos="9070"/>
          <w:tab w:val="clear" w:pos="9060"/>
        </w:tabs>
      </w:pPr>
      <w:r>
        <w:rPr>
          <w:color w:val="000000"/>
          <w:szCs w:val="32"/>
        </w:rPr>
        <w:fldChar w:fldCharType="begin"/>
      </w:r>
      <w:r>
        <w:rPr>
          <w:szCs w:val="32"/>
        </w:rPr>
        <w:instrText xml:space="preserve"> HYPERLINK \l _Toc19668 </w:instrText>
      </w:r>
      <w:r>
        <w:rPr>
          <w:szCs w:val="32"/>
        </w:rPr>
        <w:fldChar w:fldCharType="separate"/>
      </w:r>
      <w:r>
        <w:rPr>
          <w:rFonts w:hint="default" w:ascii="Times New Roman" w:hAnsi="Times New Roman" w:eastAsia="宋体"/>
        </w:rPr>
        <w:t xml:space="preserve">6.5 </w:t>
      </w:r>
      <w:r>
        <w:rPr>
          <w:rFonts w:hint="eastAsia"/>
        </w:rPr>
        <w:t>特殊季节保证措施</w:t>
      </w:r>
      <w:r>
        <w:tab/>
      </w:r>
      <w:r>
        <w:fldChar w:fldCharType="begin"/>
      </w:r>
      <w:r>
        <w:instrText xml:space="preserve"> PAGEREF _Toc19668 \h </w:instrText>
      </w:r>
      <w:r>
        <w:fldChar w:fldCharType="separate"/>
      </w:r>
      <w:r>
        <w:t>61</w:t>
      </w:r>
      <w:r>
        <w:fldChar w:fldCharType="end"/>
      </w:r>
      <w:r>
        <w:rPr>
          <w:color w:val="000000"/>
          <w:szCs w:val="32"/>
        </w:rPr>
        <w:fldChar w:fldCharType="end"/>
      </w:r>
    </w:p>
    <w:p w14:paraId="5227CF32">
      <w:pPr>
        <w:pStyle w:val="26"/>
        <w:tabs>
          <w:tab w:val="right" w:leader="dot" w:pos="9070"/>
          <w:tab w:val="clear" w:pos="9060"/>
        </w:tabs>
      </w:pPr>
      <w:r>
        <w:rPr>
          <w:color w:val="000000"/>
          <w:szCs w:val="32"/>
        </w:rPr>
        <w:fldChar w:fldCharType="begin"/>
      </w:r>
      <w:r>
        <w:rPr>
          <w:szCs w:val="32"/>
        </w:rPr>
        <w:instrText xml:space="preserve"> HYPERLINK \l _Toc25567 </w:instrText>
      </w:r>
      <w:r>
        <w:rPr>
          <w:szCs w:val="32"/>
        </w:rPr>
        <w:fldChar w:fldCharType="separate"/>
      </w:r>
      <w:r>
        <w:rPr>
          <w:rFonts w:hint="default" w:ascii="Times New Roman" w:hAnsi="Times New Roman" w:eastAsia="宋体"/>
        </w:rPr>
        <w:t xml:space="preserve">7 </w:t>
      </w:r>
      <w:r>
        <w:rPr>
          <w:rFonts w:hint="eastAsia"/>
        </w:rPr>
        <w:t>施工管理及作业人员配备和分工</w:t>
      </w:r>
      <w:r>
        <w:tab/>
      </w:r>
      <w:r>
        <w:fldChar w:fldCharType="begin"/>
      </w:r>
      <w:r>
        <w:instrText xml:space="preserve"> PAGEREF _Toc25567 \h </w:instrText>
      </w:r>
      <w:r>
        <w:fldChar w:fldCharType="separate"/>
      </w:r>
      <w:r>
        <w:t>63</w:t>
      </w:r>
      <w:r>
        <w:fldChar w:fldCharType="end"/>
      </w:r>
      <w:r>
        <w:rPr>
          <w:color w:val="000000"/>
          <w:szCs w:val="32"/>
        </w:rPr>
        <w:fldChar w:fldCharType="end"/>
      </w:r>
    </w:p>
    <w:p w14:paraId="1B9964C3">
      <w:pPr>
        <w:pStyle w:val="30"/>
        <w:tabs>
          <w:tab w:val="right" w:leader="dot" w:pos="9070"/>
          <w:tab w:val="clear" w:pos="9060"/>
        </w:tabs>
      </w:pPr>
      <w:r>
        <w:rPr>
          <w:color w:val="000000"/>
          <w:szCs w:val="32"/>
        </w:rPr>
        <w:fldChar w:fldCharType="begin"/>
      </w:r>
      <w:r>
        <w:rPr>
          <w:szCs w:val="32"/>
        </w:rPr>
        <w:instrText xml:space="preserve"> HYPERLINK \l _Toc15062 </w:instrText>
      </w:r>
      <w:r>
        <w:rPr>
          <w:szCs w:val="32"/>
        </w:rPr>
        <w:fldChar w:fldCharType="separate"/>
      </w:r>
      <w:r>
        <w:rPr>
          <w:rFonts w:hint="default" w:ascii="Times New Roman" w:hAnsi="Times New Roman" w:eastAsia="宋体"/>
        </w:rPr>
        <w:t xml:space="preserve">7.1 </w:t>
      </w:r>
      <w:r>
        <w:rPr>
          <w:rFonts w:hint="eastAsia"/>
        </w:rPr>
        <w:t>施工管理人员配备和分工</w:t>
      </w:r>
      <w:r>
        <w:tab/>
      </w:r>
      <w:r>
        <w:fldChar w:fldCharType="begin"/>
      </w:r>
      <w:r>
        <w:instrText xml:space="preserve"> PAGEREF _Toc15062 \h </w:instrText>
      </w:r>
      <w:r>
        <w:fldChar w:fldCharType="separate"/>
      </w:r>
      <w:r>
        <w:t>63</w:t>
      </w:r>
      <w:r>
        <w:fldChar w:fldCharType="end"/>
      </w:r>
      <w:r>
        <w:rPr>
          <w:color w:val="000000"/>
          <w:szCs w:val="32"/>
        </w:rPr>
        <w:fldChar w:fldCharType="end"/>
      </w:r>
    </w:p>
    <w:p w14:paraId="4845AAEC">
      <w:pPr>
        <w:pStyle w:val="30"/>
        <w:tabs>
          <w:tab w:val="right" w:leader="dot" w:pos="9070"/>
          <w:tab w:val="clear" w:pos="9060"/>
        </w:tabs>
      </w:pPr>
      <w:r>
        <w:rPr>
          <w:color w:val="000000"/>
          <w:szCs w:val="32"/>
        </w:rPr>
        <w:fldChar w:fldCharType="begin"/>
      </w:r>
      <w:r>
        <w:rPr>
          <w:szCs w:val="32"/>
        </w:rPr>
        <w:instrText xml:space="preserve"> HYPERLINK \l _Toc12767 </w:instrText>
      </w:r>
      <w:r>
        <w:rPr>
          <w:szCs w:val="32"/>
        </w:rPr>
        <w:fldChar w:fldCharType="separate"/>
      </w:r>
      <w:r>
        <w:rPr>
          <w:rFonts w:hint="default" w:ascii="Times New Roman" w:hAnsi="Times New Roman" w:eastAsia="宋体"/>
        </w:rPr>
        <w:t xml:space="preserve">7.2 </w:t>
      </w:r>
      <w:r>
        <w:rPr>
          <w:rFonts w:hint="eastAsia"/>
        </w:rPr>
        <w:t>施工作业人员配备及分工</w:t>
      </w:r>
      <w:r>
        <w:tab/>
      </w:r>
      <w:r>
        <w:fldChar w:fldCharType="begin"/>
      </w:r>
      <w:r>
        <w:instrText xml:space="preserve"> PAGEREF _Toc12767 \h </w:instrText>
      </w:r>
      <w:r>
        <w:fldChar w:fldCharType="separate"/>
      </w:r>
      <w:r>
        <w:t>63</w:t>
      </w:r>
      <w:r>
        <w:fldChar w:fldCharType="end"/>
      </w:r>
      <w:r>
        <w:rPr>
          <w:color w:val="000000"/>
          <w:szCs w:val="32"/>
        </w:rPr>
        <w:fldChar w:fldCharType="end"/>
      </w:r>
    </w:p>
    <w:p w14:paraId="4744C790">
      <w:pPr>
        <w:pStyle w:val="26"/>
        <w:tabs>
          <w:tab w:val="right" w:leader="dot" w:pos="9070"/>
          <w:tab w:val="clear" w:pos="9060"/>
        </w:tabs>
      </w:pPr>
      <w:r>
        <w:rPr>
          <w:color w:val="000000"/>
          <w:szCs w:val="32"/>
        </w:rPr>
        <w:fldChar w:fldCharType="begin"/>
      </w:r>
      <w:r>
        <w:rPr>
          <w:szCs w:val="32"/>
        </w:rPr>
        <w:instrText xml:space="preserve"> HYPERLINK \l _Toc10347 </w:instrText>
      </w:r>
      <w:r>
        <w:rPr>
          <w:szCs w:val="32"/>
        </w:rPr>
        <w:fldChar w:fldCharType="separate"/>
      </w:r>
      <w:r>
        <w:rPr>
          <w:rFonts w:hint="default" w:ascii="Times New Roman" w:hAnsi="Times New Roman" w:eastAsia="宋体"/>
        </w:rPr>
        <w:t xml:space="preserve">8 </w:t>
      </w:r>
      <w:r>
        <w:rPr>
          <w:rFonts w:hint="eastAsia"/>
        </w:rPr>
        <w:t>验收要求</w:t>
      </w:r>
      <w:r>
        <w:tab/>
      </w:r>
      <w:r>
        <w:fldChar w:fldCharType="begin"/>
      </w:r>
      <w:r>
        <w:instrText xml:space="preserve"> PAGEREF _Toc10347 \h </w:instrText>
      </w:r>
      <w:r>
        <w:fldChar w:fldCharType="separate"/>
      </w:r>
      <w:r>
        <w:t>64</w:t>
      </w:r>
      <w:r>
        <w:fldChar w:fldCharType="end"/>
      </w:r>
      <w:r>
        <w:rPr>
          <w:color w:val="000000"/>
          <w:szCs w:val="32"/>
        </w:rPr>
        <w:fldChar w:fldCharType="end"/>
      </w:r>
    </w:p>
    <w:p w14:paraId="18485725">
      <w:pPr>
        <w:pStyle w:val="30"/>
        <w:tabs>
          <w:tab w:val="right" w:leader="dot" w:pos="9070"/>
          <w:tab w:val="clear" w:pos="9060"/>
        </w:tabs>
      </w:pPr>
      <w:r>
        <w:rPr>
          <w:color w:val="000000"/>
          <w:szCs w:val="32"/>
        </w:rPr>
        <w:fldChar w:fldCharType="begin"/>
      </w:r>
      <w:r>
        <w:rPr>
          <w:szCs w:val="32"/>
        </w:rPr>
        <w:instrText xml:space="preserve"> HYPERLINK \l _Toc893 </w:instrText>
      </w:r>
      <w:r>
        <w:rPr>
          <w:szCs w:val="32"/>
        </w:rPr>
        <w:fldChar w:fldCharType="separate"/>
      </w:r>
      <w:r>
        <w:rPr>
          <w:rFonts w:hint="default" w:ascii="Times New Roman" w:hAnsi="Times New Roman" w:eastAsia="宋体"/>
        </w:rPr>
        <w:t xml:space="preserve">8.1 </w:t>
      </w:r>
      <w:r>
        <w:rPr>
          <w:rFonts w:hint="eastAsia"/>
        </w:rPr>
        <w:t>验收标准</w:t>
      </w:r>
      <w:r>
        <w:tab/>
      </w:r>
      <w:r>
        <w:fldChar w:fldCharType="begin"/>
      </w:r>
      <w:r>
        <w:instrText xml:space="preserve"> PAGEREF _Toc893 \h </w:instrText>
      </w:r>
      <w:r>
        <w:fldChar w:fldCharType="separate"/>
      </w:r>
      <w:r>
        <w:t>64</w:t>
      </w:r>
      <w:r>
        <w:fldChar w:fldCharType="end"/>
      </w:r>
      <w:r>
        <w:rPr>
          <w:color w:val="000000"/>
          <w:szCs w:val="32"/>
        </w:rPr>
        <w:fldChar w:fldCharType="end"/>
      </w:r>
    </w:p>
    <w:p w14:paraId="73EC8585">
      <w:pPr>
        <w:pStyle w:val="30"/>
        <w:tabs>
          <w:tab w:val="right" w:leader="dot" w:pos="9070"/>
          <w:tab w:val="clear" w:pos="9060"/>
        </w:tabs>
      </w:pPr>
      <w:r>
        <w:rPr>
          <w:color w:val="000000"/>
          <w:szCs w:val="32"/>
        </w:rPr>
        <w:fldChar w:fldCharType="begin"/>
      </w:r>
      <w:r>
        <w:rPr>
          <w:szCs w:val="32"/>
        </w:rPr>
        <w:instrText xml:space="preserve"> HYPERLINK \l _Toc276 </w:instrText>
      </w:r>
      <w:r>
        <w:rPr>
          <w:szCs w:val="32"/>
        </w:rPr>
        <w:fldChar w:fldCharType="separate"/>
      </w:r>
      <w:r>
        <w:rPr>
          <w:rFonts w:hint="default" w:ascii="Times New Roman" w:hAnsi="Times New Roman" w:eastAsia="宋体"/>
        </w:rPr>
        <w:t xml:space="preserve">8.2 </w:t>
      </w:r>
      <w:r>
        <w:t>验收程序</w:t>
      </w:r>
      <w:r>
        <w:tab/>
      </w:r>
      <w:r>
        <w:fldChar w:fldCharType="begin"/>
      </w:r>
      <w:r>
        <w:instrText xml:space="preserve"> PAGEREF _Toc276 \h </w:instrText>
      </w:r>
      <w:r>
        <w:fldChar w:fldCharType="separate"/>
      </w:r>
      <w:r>
        <w:t>64</w:t>
      </w:r>
      <w:r>
        <w:fldChar w:fldCharType="end"/>
      </w:r>
      <w:r>
        <w:rPr>
          <w:color w:val="000000"/>
          <w:szCs w:val="32"/>
        </w:rPr>
        <w:fldChar w:fldCharType="end"/>
      </w:r>
    </w:p>
    <w:p w14:paraId="0374FC2A">
      <w:pPr>
        <w:pStyle w:val="30"/>
        <w:tabs>
          <w:tab w:val="right" w:leader="dot" w:pos="9070"/>
          <w:tab w:val="clear" w:pos="9060"/>
        </w:tabs>
      </w:pPr>
      <w:r>
        <w:rPr>
          <w:color w:val="000000"/>
          <w:szCs w:val="32"/>
        </w:rPr>
        <w:fldChar w:fldCharType="begin"/>
      </w:r>
      <w:r>
        <w:rPr>
          <w:szCs w:val="32"/>
        </w:rPr>
        <w:instrText xml:space="preserve"> HYPERLINK \l _Toc15125 </w:instrText>
      </w:r>
      <w:r>
        <w:rPr>
          <w:szCs w:val="32"/>
        </w:rPr>
        <w:fldChar w:fldCharType="separate"/>
      </w:r>
      <w:r>
        <w:rPr>
          <w:rFonts w:hint="default" w:ascii="Times New Roman" w:hAnsi="Times New Roman" w:eastAsia="宋体"/>
        </w:rPr>
        <w:t xml:space="preserve">8.3 </w:t>
      </w:r>
      <w:r>
        <w:rPr>
          <w:rFonts w:hint="eastAsia"/>
        </w:rPr>
        <w:t>验收内容</w:t>
      </w:r>
      <w:r>
        <w:tab/>
      </w:r>
      <w:r>
        <w:fldChar w:fldCharType="begin"/>
      </w:r>
      <w:r>
        <w:instrText xml:space="preserve"> PAGEREF _Toc15125 \h </w:instrText>
      </w:r>
      <w:r>
        <w:fldChar w:fldCharType="separate"/>
      </w:r>
      <w:r>
        <w:t>64</w:t>
      </w:r>
      <w:r>
        <w:fldChar w:fldCharType="end"/>
      </w:r>
      <w:r>
        <w:rPr>
          <w:color w:val="000000"/>
          <w:szCs w:val="32"/>
        </w:rPr>
        <w:fldChar w:fldCharType="end"/>
      </w:r>
    </w:p>
    <w:p w14:paraId="4B680322">
      <w:pPr>
        <w:pStyle w:val="30"/>
        <w:tabs>
          <w:tab w:val="right" w:leader="dot" w:pos="9070"/>
          <w:tab w:val="clear" w:pos="9060"/>
        </w:tabs>
      </w:pPr>
      <w:r>
        <w:rPr>
          <w:color w:val="000000"/>
          <w:szCs w:val="32"/>
        </w:rPr>
        <w:fldChar w:fldCharType="begin"/>
      </w:r>
      <w:r>
        <w:rPr>
          <w:szCs w:val="32"/>
        </w:rPr>
        <w:instrText xml:space="preserve"> HYPERLINK \l _Toc5936 </w:instrText>
      </w:r>
      <w:r>
        <w:rPr>
          <w:szCs w:val="32"/>
        </w:rPr>
        <w:fldChar w:fldCharType="separate"/>
      </w:r>
      <w:r>
        <w:rPr>
          <w:rFonts w:hint="default" w:ascii="Times New Roman" w:hAnsi="Times New Roman" w:eastAsia="宋体"/>
        </w:rPr>
        <w:t xml:space="preserve">8.4 </w:t>
      </w:r>
      <w:r>
        <w:rPr>
          <w:rFonts w:hint="eastAsia"/>
        </w:rPr>
        <w:t>验收人员</w:t>
      </w:r>
      <w:r>
        <w:tab/>
      </w:r>
      <w:r>
        <w:fldChar w:fldCharType="begin"/>
      </w:r>
      <w:r>
        <w:instrText xml:space="preserve"> PAGEREF _Toc5936 \h </w:instrText>
      </w:r>
      <w:r>
        <w:fldChar w:fldCharType="separate"/>
      </w:r>
      <w:r>
        <w:t>65</w:t>
      </w:r>
      <w:r>
        <w:fldChar w:fldCharType="end"/>
      </w:r>
      <w:r>
        <w:rPr>
          <w:color w:val="000000"/>
          <w:szCs w:val="32"/>
        </w:rPr>
        <w:fldChar w:fldCharType="end"/>
      </w:r>
    </w:p>
    <w:p w14:paraId="1B127C2A">
      <w:pPr>
        <w:pStyle w:val="26"/>
        <w:tabs>
          <w:tab w:val="right" w:leader="dot" w:pos="9070"/>
          <w:tab w:val="clear" w:pos="9060"/>
        </w:tabs>
      </w:pPr>
      <w:r>
        <w:rPr>
          <w:color w:val="000000"/>
          <w:szCs w:val="32"/>
        </w:rPr>
        <w:fldChar w:fldCharType="begin"/>
      </w:r>
      <w:r>
        <w:rPr>
          <w:szCs w:val="32"/>
        </w:rPr>
        <w:instrText xml:space="preserve"> HYPERLINK \l _Toc15669 </w:instrText>
      </w:r>
      <w:r>
        <w:rPr>
          <w:szCs w:val="32"/>
        </w:rPr>
        <w:fldChar w:fldCharType="separate"/>
      </w:r>
      <w:r>
        <w:rPr>
          <w:rFonts w:hint="default" w:ascii="Times New Roman" w:hAnsi="Times New Roman" w:eastAsia="宋体"/>
        </w:rPr>
        <w:t xml:space="preserve">9 </w:t>
      </w:r>
      <w:r>
        <w:rPr>
          <w:rFonts w:hint="eastAsia"/>
        </w:rPr>
        <w:t>应急处置措施</w:t>
      </w:r>
      <w:r>
        <w:tab/>
      </w:r>
      <w:r>
        <w:fldChar w:fldCharType="begin"/>
      </w:r>
      <w:r>
        <w:instrText xml:space="preserve"> PAGEREF _Toc15669 \h </w:instrText>
      </w:r>
      <w:r>
        <w:fldChar w:fldCharType="separate"/>
      </w:r>
      <w:r>
        <w:t>66</w:t>
      </w:r>
      <w:r>
        <w:fldChar w:fldCharType="end"/>
      </w:r>
      <w:r>
        <w:rPr>
          <w:color w:val="000000"/>
          <w:szCs w:val="32"/>
        </w:rPr>
        <w:fldChar w:fldCharType="end"/>
      </w:r>
    </w:p>
    <w:p w14:paraId="3E75FA94">
      <w:pPr>
        <w:pStyle w:val="30"/>
        <w:tabs>
          <w:tab w:val="right" w:leader="dot" w:pos="9070"/>
          <w:tab w:val="clear" w:pos="9060"/>
        </w:tabs>
      </w:pPr>
      <w:r>
        <w:rPr>
          <w:color w:val="000000"/>
          <w:szCs w:val="32"/>
        </w:rPr>
        <w:fldChar w:fldCharType="begin"/>
      </w:r>
      <w:r>
        <w:rPr>
          <w:szCs w:val="32"/>
        </w:rPr>
        <w:instrText xml:space="preserve"> HYPERLINK \l _Toc21017 </w:instrText>
      </w:r>
      <w:r>
        <w:rPr>
          <w:szCs w:val="32"/>
        </w:rPr>
        <w:fldChar w:fldCharType="separate"/>
      </w:r>
      <w:r>
        <w:rPr>
          <w:rFonts w:hint="default" w:ascii="Times New Roman" w:hAnsi="Times New Roman" w:eastAsia="宋体"/>
        </w:rPr>
        <w:t xml:space="preserve">9.1 </w:t>
      </w:r>
      <w:r>
        <w:rPr>
          <w:rFonts w:hint="eastAsia"/>
        </w:rPr>
        <w:t>组织机构</w:t>
      </w:r>
      <w:r>
        <w:tab/>
      </w:r>
      <w:r>
        <w:fldChar w:fldCharType="begin"/>
      </w:r>
      <w:r>
        <w:instrText xml:space="preserve"> PAGEREF _Toc21017 \h </w:instrText>
      </w:r>
      <w:r>
        <w:fldChar w:fldCharType="separate"/>
      </w:r>
      <w:r>
        <w:t>66</w:t>
      </w:r>
      <w:r>
        <w:fldChar w:fldCharType="end"/>
      </w:r>
      <w:r>
        <w:rPr>
          <w:color w:val="000000"/>
          <w:szCs w:val="32"/>
        </w:rPr>
        <w:fldChar w:fldCharType="end"/>
      </w:r>
    </w:p>
    <w:p w14:paraId="7564D58B">
      <w:pPr>
        <w:pStyle w:val="30"/>
        <w:tabs>
          <w:tab w:val="right" w:leader="dot" w:pos="9070"/>
          <w:tab w:val="clear" w:pos="9060"/>
        </w:tabs>
      </w:pPr>
      <w:r>
        <w:rPr>
          <w:color w:val="000000"/>
          <w:szCs w:val="32"/>
        </w:rPr>
        <w:fldChar w:fldCharType="begin"/>
      </w:r>
      <w:r>
        <w:rPr>
          <w:szCs w:val="32"/>
        </w:rPr>
        <w:instrText xml:space="preserve"> HYPERLINK \l _Toc7367 </w:instrText>
      </w:r>
      <w:r>
        <w:rPr>
          <w:szCs w:val="32"/>
        </w:rPr>
        <w:fldChar w:fldCharType="separate"/>
      </w:r>
      <w:r>
        <w:rPr>
          <w:rFonts w:hint="default" w:ascii="Times New Roman" w:hAnsi="Times New Roman" w:eastAsia="宋体"/>
        </w:rPr>
        <w:t xml:space="preserve">9.2 </w:t>
      </w:r>
      <w:r>
        <w:rPr>
          <w:rFonts w:hint="eastAsia"/>
        </w:rPr>
        <w:t>处置流程</w:t>
      </w:r>
      <w:r>
        <w:tab/>
      </w:r>
      <w:r>
        <w:fldChar w:fldCharType="begin"/>
      </w:r>
      <w:r>
        <w:instrText xml:space="preserve"> PAGEREF _Toc7367 \h </w:instrText>
      </w:r>
      <w:r>
        <w:fldChar w:fldCharType="separate"/>
      </w:r>
      <w:r>
        <w:t>66</w:t>
      </w:r>
      <w:r>
        <w:fldChar w:fldCharType="end"/>
      </w:r>
      <w:r>
        <w:rPr>
          <w:color w:val="000000"/>
          <w:szCs w:val="32"/>
        </w:rPr>
        <w:fldChar w:fldCharType="end"/>
      </w:r>
    </w:p>
    <w:p w14:paraId="052D1267">
      <w:pPr>
        <w:pStyle w:val="30"/>
        <w:tabs>
          <w:tab w:val="right" w:leader="dot" w:pos="9070"/>
          <w:tab w:val="clear" w:pos="9060"/>
        </w:tabs>
      </w:pPr>
      <w:r>
        <w:rPr>
          <w:color w:val="000000"/>
          <w:szCs w:val="32"/>
        </w:rPr>
        <w:fldChar w:fldCharType="begin"/>
      </w:r>
      <w:r>
        <w:rPr>
          <w:szCs w:val="32"/>
        </w:rPr>
        <w:instrText xml:space="preserve"> HYPERLINK \l _Toc1564 </w:instrText>
      </w:r>
      <w:r>
        <w:rPr>
          <w:szCs w:val="32"/>
        </w:rPr>
        <w:fldChar w:fldCharType="separate"/>
      </w:r>
      <w:r>
        <w:rPr>
          <w:rFonts w:hint="default" w:ascii="Times New Roman" w:hAnsi="Times New Roman" w:eastAsia="宋体"/>
        </w:rPr>
        <w:t xml:space="preserve">9.3 </w:t>
      </w:r>
      <w:r>
        <w:rPr>
          <w:rFonts w:hint="eastAsia"/>
        </w:rPr>
        <w:t>应急处置措施</w:t>
      </w:r>
      <w:r>
        <w:tab/>
      </w:r>
      <w:r>
        <w:fldChar w:fldCharType="begin"/>
      </w:r>
      <w:r>
        <w:instrText xml:space="preserve"> PAGEREF _Toc1564 \h </w:instrText>
      </w:r>
      <w:r>
        <w:fldChar w:fldCharType="separate"/>
      </w:r>
      <w:r>
        <w:t>66</w:t>
      </w:r>
      <w:r>
        <w:fldChar w:fldCharType="end"/>
      </w:r>
      <w:r>
        <w:rPr>
          <w:color w:val="000000"/>
          <w:szCs w:val="32"/>
        </w:rPr>
        <w:fldChar w:fldCharType="end"/>
      </w:r>
    </w:p>
    <w:p w14:paraId="4167B75B">
      <w:pPr>
        <w:pStyle w:val="30"/>
        <w:tabs>
          <w:tab w:val="right" w:leader="dot" w:pos="9070"/>
          <w:tab w:val="clear" w:pos="9060"/>
        </w:tabs>
      </w:pPr>
      <w:r>
        <w:rPr>
          <w:color w:val="000000"/>
          <w:szCs w:val="32"/>
        </w:rPr>
        <w:fldChar w:fldCharType="begin"/>
      </w:r>
      <w:r>
        <w:rPr>
          <w:szCs w:val="32"/>
        </w:rPr>
        <w:instrText xml:space="preserve"> HYPERLINK \l _Toc32174 </w:instrText>
      </w:r>
      <w:r>
        <w:rPr>
          <w:szCs w:val="32"/>
        </w:rPr>
        <w:fldChar w:fldCharType="separate"/>
      </w:r>
      <w:r>
        <w:rPr>
          <w:rFonts w:hint="default" w:ascii="Times New Roman" w:hAnsi="Times New Roman" w:eastAsia="宋体"/>
        </w:rPr>
        <w:t xml:space="preserve">9.4 </w:t>
      </w:r>
      <w:r>
        <w:rPr>
          <w:rFonts w:hint="eastAsia"/>
        </w:rPr>
        <w:t>应急车辆、物资及设备</w:t>
      </w:r>
      <w:r>
        <w:tab/>
      </w:r>
      <w:r>
        <w:fldChar w:fldCharType="begin"/>
      </w:r>
      <w:r>
        <w:instrText xml:space="preserve"> PAGEREF _Toc32174 \h </w:instrText>
      </w:r>
      <w:r>
        <w:fldChar w:fldCharType="separate"/>
      </w:r>
      <w:r>
        <w:t>73</w:t>
      </w:r>
      <w:r>
        <w:fldChar w:fldCharType="end"/>
      </w:r>
      <w:r>
        <w:rPr>
          <w:color w:val="000000"/>
          <w:szCs w:val="32"/>
        </w:rPr>
        <w:fldChar w:fldCharType="end"/>
      </w:r>
    </w:p>
    <w:p w14:paraId="4128BB12">
      <w:pPr>
        <w:pStyle w:val="30"/>
        <w:tabs>
          <w:tab w:val="right" w:leader="dot" w:pos="9070"/>
          <w:tab w:val="clear" w:pos="9060"/>
        </w:tabs>
      </w:pPr>
      <w:r>
        <w:rPr>
          <w:color w:val="000000"/>
          <w:szCs w:val="32"/>
        </w:rPr>
        <w:fldChar w:fldCharType="begin"/>
      </w:r>
      <w:r>
        <w:rPr>
          <w:szCs w:val="32"/>
        </w:rPr>
        <w:instrText xml:space="preserve"> HYPERLINK \l _Toc3384 </w:instrText>
      </w:r>
      <w:r>
        <w:rPr>
          <w:szCs w:val="32"/>
        </w:rPr>
        <w:fldChar w:fldCharType="separate"/>
      </w:r>
      <w:r>
        <w:rPr>
          <w:rFonts w:hint="default" w:ascii="Times New Roman" w:hAnsi="Times New Roman" w:eastAsia="宋体"/>
        </w:rPr>
        <w:t xml:space="preserve">9.5 </w:t>
      </w:r>
      <w:r>
        <w:rPr>
          <w:rFonts w:hint="eastAsia"/>
        </w:rPr>
        <w:t>应急医院及线路图</w:t>
      </w:r>
      <w:r>
        <w:tab/>
      </w:r>
      <w:r>
        <w:fldChar w:fldCharType="begin"/>
      </w:r>
      <w:r>
        <w:instrText xml:space="preserve"> PAGEREF _Toc3384 \h </w:instrText>
      </w:r>
      <w:r>
        <w:fldChar w:fldCharType="separate"/>
      </w:r>
      <w:r>
        <w:t>74</w:t>
      </w:r>
      <w:r>
        <w:fldChar w:fldCharType="end"/>
      </w:r>
      <w:r>
        <w:rPr>
          <w:color w:val="000000"/>
          <w:szCs w:val="32"/>
        </w:rPr>
        <w:fldChar w:fldCharType="end"/>
      </w:r>
    </w:p>
    <w:p w14:paraId="6CA32756">
      <w:pPr>
        <w:pStyle w:val="30"/>
        <w:tabs>
          <w:tab w:val="right" w:leader="dot" w:pos="9070"/>
          <w:tab w:val="clear" w:pos="9060"/>
        </w:tabs>
      </w:pPr>
      <w:r>
        <w:rPr>
          <w:color w:val="000000"/>
          <w:szCs w:val="32"/>
        </w:rPr>
        <w:fldChar w:fldCharType="begin"/>
      </w:r>
      <w:r>
        <w:rPr>
          <w:szCs w:val="32"/>
        </w:rPr>
        <w:instrText xml:space="preserve"> HYPERLINK \l _Toc2311 </w:instrText>
      </w:r>
      <w:r>
        <w:rPr>
          <w:szCs w:val="32"/>
        </w:rPr>
        <w:fldChar w:fldCharType="separate"/>
      </w:r>
      <w:r>
        <w:rPr>
          <w:rFonts w:hint="default" w:ascii="Times New Roman" w:hAnsi="Times New Roman" w:eastAsia="宋体" w:cs="宋体"/>
          <w:szCs w:val="24"/>
        </w:rPr>
        <w:t xml:space="preserve">9.6 </w:t>
      </w:r>
      <w:r>
        <w:rPr>
          <w:rFonts w:hint="eastAsia"/>
        </w:rPr>
        <w:t>事故善后及恢复生产</w:t>
      </w:r>
      <w:r>
        <w:tab/>
      </w:r>
      <w:r>
        <w:fldChar w:fldCharType="begin"/>
      </w:r>
      <w:r>
        <w:instrText xml:space="preserve"> PAGEREF _Toc2311 \h </w:instrText>
      </w:r>
      <w:r>
        <w:fldChar w:fldCharType="separate"/>
      </w:r>
      <w:r>
        <w:t>74</w:t>
      </w:r>
      <w:r>
        <w:fldChar w:fldCharType="end"/>
      </w:r>
      <w:r>
        <w:rPr>
          <w:color w:val="000000"/>
          <w:szCs w:val="32"/>
        </w:rPr>
        <w:fldChar w:fldCharType="end"/>
      </w:r>
    </w:p>
    <w:p w14:paraId="040012DA">
      <w:pPr>
        <w:pStyle w:val="26"/>
        <w:tabs>
          <w:tab w:val="right" w:leader="dot" w:pos="9070"/>
          <w:tab w:val="clear" w:pos="9060"/>
        </w:tabs>
      </w:pPr>
      <w:r>
        <w:rPr>
          <w:color w:val="000000"/>
          <w:szCs w:val="32"/>
        </w:rPr>
        <w:fldChar w:fldCharType="begin"/>
      </w:r>
      <w:r>
        <w:rPr>
          <w:szCs w:val="32"/>
        </w:rPr>
        <w:instrText xml:space="preserve"> HYPERLINK \l _Toc11976 </w:instrText>
      </w:r>
      <w:r>
        <w:rPr>
          <w:szCs w:val="32"/>
        </w:rPr>
        <w:fldChar w:fldCharType="separate"/>
      </w:r>
      <w:r>
        <w:rPr>
          <w:rFonts w:hint="default" w:ascii="Times New Roman" w:hAnsi="Times New Roman" w:eastAsia="宋体"/>
        </w:rPr>
        <w:t xml:space="preserve">10 </w:t>
      </w:r>
      <w:r>
        <w:rPr>
          <w:rFonts w:hint="eastAsia"/>
        </w:rPr>
        <w:t>附件</w:t>
      </w:r>
      <w:r>
        <w:tab/>
      </w:r>
      <w:r>
        <w:fldChar w:fldCharType="begin"/>
      </w:r>
      <w:r>
        <w:instrText xml:space="preserve"> PAGEREF _Toc11976 \h </w:instrText>
      </w:r>
      <w:r>
        <w:fldChar w:fldCharType="separate"/>
      </w:r>
      <w:r>
        <w:t>76</w:t>
      </w:r>
      <w:r>
        <w:fldChar w:fldCharType="end"/>
      </w:r>
      <w:r>
        <w:rPr>
          <w:color w:val="000000"/>
          <w:szCs w:val="32"/>
        </w:rPr>
        <w:fldChar w:fldCharType="end"/>
      </w:r>
    </w:p>
    <w:p w14:paraId="2D296E48">
      <w:pPr>
        <w:pStyle w:val="30"/>
        <w:tabs>
          <w:tab w:val="right" w:leader="dot" w:pos="9070"/>
          <w:tab w:val="clear" w:pos="9060"/>
        </w:tabs>
      </w:pPr>
      <w:r>
        <w:rPr>
          <w:color w:val="000000"/>
          <w:szCs w:val="32"/>
        </w:rPr>
        <w:fldChar w:fldCharType="begin"/>
      </w:r>
      <w:r>
        <w:rPr>
          <w:szCs w:val="32"/>
        </w:rPr>
        <w:instrText xml:space="preserve"> HYPERLINK \l _Toc26793 </w:instrText>
      </w:r>
      <w:r>
        <w:rPr>
          <w:szCs w:val="32"/>
        </w:rPr>
        <w:fldChar w:fldCharType="separate"/>
      </w:r>
      <w:r>
        <w:rPr>
          <w:rFonts w:hint="default" w:ascii="Times New Roman" w:hAnsi="Times New Roman" w:eastAsia="宋体"/>
          <w:i w:val="0"/>
        </w:rPr>
        <w:t xml:space="preserve">附件1： </w:t>
      </w:r>
      <w:r>
        <w:rPr>
          <w:rFonts w:hint="eastAsia"/>
        </w:rPr>
        <w:t>本单位与相关施工人员资质证件</w:t>
      </w:r>
      <w:r>
        <w:tab/>
      </w:r>
      <w:r>
        <w:fldChar w:fldCharType="begin"/>
      </w:r>
      <w:r>
        <w:instrText xml:space="preserve"> PAGEREF _Toc26793 \h </w:instrText>
      </w:r>
      <w:r>
        <w:fldChar w:fldCharType="separate"/>
      </w:r>
      <w:r>
        <w:t>76</w:t>
      </w:r>
      <w:r>
        <w:fldChar w:fldCharType="end"/>
      </w:r>
      <w:r>
        <w:rPr>
          <w:color w:val="000000"/>
          <w:szCs w:val="32"/>
        </w:rPr>
        <w:fldChar w:fldCharType="end"/>
      </w:r>
    </w:p>
    <w:p w14:paraId="57929475">
      <w:pPr>
        <w:pStyle w:val="30"/>
        <w:tabs>
          <w:tab w:val="right" w:leader="dot" w:pos="9070"/>
          <w:tab w:val="clear" w:pos="9060"/>
        </w:tabs>
      </w:pPr>
      <w:r>
        <w:rPr>
          <w:color w:val="000000"/>
          <w:szCs w:val="32"/>
        </w:rPr>
        <w:fldChar w:fldCharType="begin"/>
      </w:r>
      <w:r>
        <w:rPr>
          <w:szCs w:val="32"/>
        </w:rPr>
        <w:instrText xml:space="preserve"> HYPERLINK \l _Toc5508 </w:instrText>
      </w:r>
      <w:r>
        <w:rPr>
          <w:szCs w:val="32"/>
        </w:rPr>
        <w:fldChar w:fldCharType="separate"/>
      </w:r>
      <w:r>
        <w:rPr>
          <w:rFonts w:hint="default" w:ascii="Times New Roman" w:hAnsi="Times New Roman" w:eastAsia="宋体"/>
          <w:i w:val="0"/>
        </w:rPr>
        <w:t xml:space="preserve">附件2： </w:t>
      </w:r>
      <w:r>
        <w:rPr>
          <w:rFonts w:hint="eastAsia"/>
        </w:rPr>
        <w:t>施工升降机说明书</w:t>
      </w:r>
      <w:r>
        <w:tab/>
      </w:r>
      <w:r>
        <w:fldChar w:fldCharType="begin"/>
      </w:r>
      <w:r>
        <w:instrText xml:space="preserve"> PAGEREF _Toc5508 \h </w:instrText>
      </w:r>
      <w:r>
        <w:fldChar w:fldCharType="separate"/>
      </w:r>
      <w:r>
        <w:t>76</w:t>
      </w:r>
      <w:r>
        <w:fldChar w:fldCharType="end"/>
      </w:r>
      <w:r>
        <w:rPr>
          <w:color w:val="000000"/>
          <w:szCs w:val="32"/>
        </w:rPr>
        <w:fldChar w:fldCharType="end"/>
      </w:r>
    </w:p>
    <w:p w14:paraId="550F8CC4">
      <w:pPr>
        <w:pStyle w:val="30"/>
        <w:tabs>
          <w:tab w:val="right" w:leader="dot" w:pos="9070"/>
          <w:tab w:val="clear" w:pos="9060"/>
        </w:tabs>
      </w:pPr>
      <w:r>
        <w:rPr>
          <w:color w:val="000000"/>
          <w:szCs w:val="32"/>
        </w:rPr>
        <w:fldChar w:fldCharType="begin"/>
      </w:r>
      <w:r>
        <w:rPr>
          <w:szCs w:val="32"/>
        </w:rPr>
        <w:instrText xml:space="preserve"> HYPERLINK \l _Toc11181 </w:instrText>
      </w:r>
      <w:r>
        <w:rPr>
          <w:szCs w:val="32"/>
        </w:rPr>
        <w:fldChar w:fldCharType="separate"/>
      </w:r>
      <w:r>
        <w:rPr>
          <w:rFonts w:hint="default" w:ascii="Times New Roman" w:hAnsi="Times New Roman" w:eastAsia="宋体"/>
          <w:i w:val="0"/>
        </w:rPr>
        <w:t xml:space="preserve">附件3： </w:t>
      </w:r>
      <w:r>
        <w:rPr>
          <w:rFonts w:hint="eastAsia"/>
        </w:rPr>
        <w:t>施工升降机附墙设计图</w:t>
      </w:r>
      <w:r>
        <w:tab/>
      </w:r>
      <w:r>
        <w:fldChar w:fldCharType="begin"/>
      </w:r>
      <w:r>
        <w:instrText xml:space="preserve"> PAGEREF _Toc11181 \h </w:instrText>
      </w:r>
      <w:r>
        <w:fldChar w:fldCharType="separate"/>
      </w:r>
      <w:r>
        <w:t>76</w:t>
      </w:r>
      <w:r>
        <w:fldChar w:fldCharType="end"/>
      </w:r>
      <w:r>
        <w:rPr>
          <w:color w:val="000000"/>
          <w:szCs w:val="32"/>
        </w:rPr>
        <w:fldChar w:fldCharType="end"/>
      </w:r>
    </w:p>
    <w:p w14:paraId="6768EA5E">
      <w:pPr>
        <w:pStyle w:val="30"/>
        <w:tabs>
          <w:tab w:val="right" w:leader="dot" w:pos="9070"/>
          <w:tab w:val="clear" w:pos="9060"/>
        </w:tabs>
      </w:pPr>
      <w:r>
        <w:rPr>
          <w:color w:val="000000"/>
          <w:szCs w:val="32"/>
        </w:rPr>
        <w:fldChar w:fldCharType="begin"/>
      </w:r>
      <w:r>
        <w:rPr>
          <w:szCs w:val="32"/>
        </w:rPr>
        <w:instrText xml:space="preserve"> HYPERLINK \l _Toc20088 </w:instrText>
      </w:r>
      <w:r>
        <w:rPr>
          <w:szCs w:val="32"/>
        </w:rPr>
        <w:fldChar w:fldCharType="separate"/>
      </w:r>
      <w:r>
        <w:rPr>
          <w:rFonts w:hint="default" w:ascii="Times New Roman" w:hAnsi="Times New Roman" w:eastAsia="宋体"/>
          <w:i w:val="0"/>
        </w:rPr>
        <w:t xml:space="preserve">附件4： </w:t>
      </w:r>
      <w:r>
        <w:rPr>
          <w:rFonts w:hint="eastAsia"/>
        </w:rPr>
        <w:t>施工升降机附墙计算书</w:t>
      </w:r>
      <w:r>
        <w:tab/>
      </w:r>
      <w:r>
        <w:fldChar w:fldCharType="begin"/>
      </w:r>
      <w:r>
        <w:instrText xml:space="preserve"> PAGEREF _Toc20088 \h </w:instrText>
      </w:r>
      <w:r>
        <w:fldChar w:fldCharType="separate"/>
      </w:r>
      <w:r>
        <w:t>76</w:t>
      </w:r>
      <w:r>
        <w:fldChar w:fldCharType="end"/>
      </w:r>
      <w:r>
        <w:rPr>
          <w:color w:val="000000"/>
          <w:szCs w:val="32"/>
        </w:rPr>
        <w:fldChar w:fldCharType="end"/>
      </w:r>
    </w:p>
    <w:p w14:paraId="6E31BAF8">
      <w:pPr>
        <w:tabs>
          <w:tab w:val="right" w:leader="dot" w:pos="9060"/>
        </w:tabs>
        <w:spacing w:line="480" w:lineRule="exact"/>
        <w:ind w:firstLine="0" w:firstLineChars="0"/>
        <w:jc w:val="center"/>
        <w:rPr>
          <w:color w:val="000000" w:themeColor="text1"/>
          <w:sz w:val="48"/>
          <w:szCs w:val="32"/>
          <w14:textFill>
            <w14:solidFill>
              <w14:schemeClr w14:val="tx1"/>
            </w14:solidFill>
          </w14:textFill>
        </w:rPr>
        <w:sectPr>
          <w:headerReference r:id="rId13" w:type="default"/>
          <w:footerReference r:id="rId14" w:type="default"/>
          <w:pgSz w:w="11906" w:h="16838"/>
          <w:pgMar w:top="1418" w:right="1418" w:bottom="1418" w:left="1418" w:header="851" w:footer="992" w:gutter="0"/>
          <w:pgNumType w:fmt="upperRoman" w:start="1"/>
          <w:cols w:space="425" w:num="1"/>
          <w:docGrid w:linePitch="498" w:charSpace="17788"/>
        </w:sectPr>
      </w:pPr>
      <w:r>
        <w:rPr>
          <w:color w:val="000000"/>
          <w:szCs w:val="32"/>
        </w:rPr>
        <w:fldChar w:fldCharType="end"/>
      </w:r>
    </w:p>
    <w:p w14:paraId="6A28C10C">
      <w:pPr>
        <w:pStyle w:val="2"/>
      </w:pPr>
      <w:bookmarkStart w:id="1" w:name="_Toc40778426"/>
      <w:bookmarkStart w:id="2" w:name="_Toc26437"/>
      <w:bookmarkStart w:id="3" w:name="_Toc29570"/>
      <w:bookmarkStart w:id="4" w:name="_Toc2179"/>
      <w:r>
        <w:rPr>
          <w:rFonts w:hint="eastAsia"/>
        </w:rPr>
        <w:t>编制</w:t>
      </w:r>
      <w:bookmarkEnd w:id="1"/>
      <w:bookmarkEnd w:id="2"/>
      <w:r>
        <w:rPr>
          <w:rFonts w:hint="eastAsia"/>
        </w:rPr>
        <w:t>说明、依据及适用范围</w:t>
      </w:r>
      <w:bookmarkEnd w:id="3"/>
      <w:bookmarkEnd w:id="4"/>
    </w:p>
    <w:p w14:paraId="3882EB83">
      <w:pPr>
        <w:pStyle w:val="3"/>
      </w:pPr>
      <w:bookmarkStart w:id="5" w:name="_Toc21803"/>
      <w:bookmarkStart w:id="6" w:name="_Toc40778430"/>
      <w:bookmarkStart w:id="7" w:name="_Toc15521"/>
      <w:bookmarkStart w:id="8" w:name="_Toc2002"/>
      <w:bookmarkStart w:id="9" w:name="_Toc27457"/>
      <w:bookmarkStart w:id="10" w:name="_Toc10416"/>
      <w:r>
        <w:rPr>
          <w:rFonts w:hint="eastAsia"/>
        </w:rPr>
        <w:t>编制</w:t>
      </w:r>
      <w:bookmarkEnd w:id="5"/>
      <w:bookmarkEnd w:id="6"/>
      <w:bookmarkEnd w:id="7"/>
      <w:bookmarkEnd w:id="8"/>
      <w:r>
        <w:rPr>
          <w:rFonts w:hint="eastAsia"/>
        </w:rPr>
        <w:t>说明</w:t>
      </w:r>
      <w:bookmarkEnd w:id="9"/>
      <w:bookmarkEnd w:id="10"/>
    </w:p>
    <w:p w14:paraId="0B410F70">
      <w:pPr>
        <w:ind w:firstLine="480"/>
      </w:pPr>
      <w:r>
        <w:rPr>
          <w:rFonts w:hint="eastAsia"/>
        </w:rPr>
        <w:t>因</w:t>
      </w:r>
      <w:r>
        <w:fldChar w:fldCharType="begin"/>
      </w:r>
      <w:r>
        <w:instrText xml:space="preserve"> </w:instrText>
      </w:r>
      <w:r>
        <w:rPr>
          <w:rFonts w:hint="eastAsia"/>
        </w:rPr>
        <w:instrText xml:space="preserve">REF 项目名称</w:instrText>
      </w:r>
      <w:r>
        <w:instrText xml:space="preserve">  \* MERGEFORMAT </w:instrText>
      </w:r>
      <w:r>
        <w:fldChar w:fldCharType="separate"/>
      </w:r>
      <w:r>
        <w:rPr>
          <w:rFonts w:hint="eastAsia"/>
          <w:lang w:eastAsia="zh-CN"/>
        </w:rPr>
        <w:t>十堰经镇坪至巫溪高速公路溢水至镇坪段SWYZ-2标</w:t>
      </w:r>
      <w:r>
        <w:fldChar w:fldCharType="end"/>
      </w:r>
      <w:r>
        <w:rPr>
          <w:rFonts w:hint="eastAsia"/>
        </w:rPr>
        <w:t>施工需要，需要采用</w:t>
      </w:r>
      <w:r>
        <w:rPr>
          <w:rFonts w:hint="eastAsia"/>
          <w:lang w:val="en-US" w:eastAsia="zh-CN"/>
        </w:rPr>
        <w:t>2</w:t>
      </w:r>
      <w:r>
        <w:rPr>
          <w:rFonts w:hint="eastAsia"/>
        </w:rPr>
        <w:t>台</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SC160</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用于</w:t>
      </w:r>
      <w:r>
        <w:fldChar w:fldCharType="begin"/>
      </w:r>
      <w:r>
        <w:instrText xml:space="preserve"> REF 设备位置 \h </w:instrText>
      </w:r>
      <w:r>
        <w:fldChar w:fldCharType="separate"/>
      </w:r>
      <w:r>
        <w:rPr>
          <w:rFonts w:hint="eastAsia"/>
          <w:lang w:eastAsia="zh-CN"/>
        </w:rPr>
        <w:t>新洲特大桥索塔</w:t>
      </w:r>
      <w:r>
        <w:fldChar w:fldCharType="end"/>
      </w:r>
      <w:r>
        <w:rPr>
          <w:rFonts w:hint="eastAsia"/>
        </w:rPr>
        <w:t>起重吊装作业施工，为认真、全面、系统地做好</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安装安全和质量等工作，防止环境污染，合理安排施工工期，编制本</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fldChar w:fldCharType="begin"/>
      </w:r>
      <w:r>
        <w:instrText xml:space="preserve"> REF 方案类别 \h </w:instrText>
      </w:r>
      <w:r>
        <w:fldChar w:fldCharType="separate"/>
      </w:r>
      <w:r>
        <w:rPr>
          <w:rFonts w:hint="eastAsia"/>
        </w:rPr>
        <w:t>安装（拆除）方案</w:t>
      </w:r>
      <w:r>
        <w:fldChar w:fldCharType="end"/>
      </w:r>
      <w:r>
        <w:rPr>
          <w:rFonts w:hint="eastAsia"/>
        </w:rPr>
        <w:t>。</w:t>
      </w:r>
    </w:p>
    <w:p w14:paraId="7429C468">
      <w:pPr>
        <w:ind w:firstLine="480"/>
      </w:pPr>
      <w:r>
        <w:rPr>
          <w:rFonts w:hint="eastAsia"/>
        </w:rPr>
        <w:t>本单位负责</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的安装拆除、安全装置调试、附着安装、试验验收等具体实施工作。</w:t>
      </w:r>
    </w:p>
    <w:p w14:paraId="7C56BAE2">
      <w:pPr>
        <w:pStyle w:val="3"/>
      </w:pPr>
      <w:bookmarkStart w:id="11" w:name="_Toc40778428"/>
      <w:bookmarkStart w:id="12" w:name="_Toc17411"/>
      <w:bookmarkStart w:id="13" w:name="_Toc10843"/>
      <w:bookmarkStart w:id="14" w:name="_Toc19638"/>
      <w:bookmarkStart w:id="15" w:name="_Toc18637"/>
      <w:bookmarkStart w:id="16" w:name="_Toc31747"/>
      <w:r>
        <w:rPr>
          <w:rFonts w:hint="eastAsia"/>
        </w:rPr>
        <w:t>编制依据</w:t>
      </w:r>
      <w:bookmarkEnd w:id="11"/>
      <w:bookmarkEnd w:id="12"/>
      <w:bookmarkEnd w:id="13"/>
      <w:bookmarkEnd w:id="14"/>
      <w:bookmarkEnd w:id="15"/>
      <w:bookmarkEnd w:id="16"/>
    </w:p>
    <w:p w14:paraId="40F7759A">
      <w:pPr>
        <w:ind w:left="480" w:firstLine="0" w:firstLineChars="0"/>
      </w:pPr>
      <w:r>
        <w:t>本方案的</w:t>
      </w:r>
      <w:r>
        <w:rPr>
          <w:rFonts w:hint="eastAsia"/>
        </w:rPr>
        <w:t>编制依据详见</w:t>
      </w:r>
      <w:r>
        <w:fldChar w:fldCharType="begin"/>
      </w:r>
      <w:r>
        <w:instrText xml:space="preserve"> </w:instrText>
      </w:r>
      <w:r>
        <w:rPr>
          <w:rFonts w:hint="eastAsia"/>
        </w:rPr>
        <w:instrText xml:space="preserve">REF _Ref89870064 \h</w:instrText>
      </w:r>
      <w:r>
        <w:instrText xml:space="preserve">  \* MERGEFORMAT </w:instrText>
      </w:r>
      <w:r>
        <w:fldChar w:fldCharType="separate"/>
      </w:r>
      <w:r>
        <w:rPr>
          <w:rFonts w:hint="eastAsia"/>
        </w:rPr>
        <w:t>表</w:t>
      </w:r>
      <w:r>
        <w:t>1.2</w:t>
      </w:r>
      <w:r>
        <w:rPr>
          <w:rFonts w:hint="eastAsia"/>
        </w:rPr>
        <w:t>-</w:t>
      </w:r>
      <w:r>
        <w:t>1</w:t>
      </w:r>
      <w:r>
        <w:fldChar w:fldCharType="end"/>
      </w:r>
      <w:r>
        <w:rPr>
          <w:rFonts w:hint="eastAsia"/>
        </w:rPr>
        <w:t>。</w:t>
      </w:r>
    </w:p>
    <w:p w14:paraId="1E58D5E9">
      <w:pPr>
        <w:pStyle w:val="15"/>
      </w:pPr>
      <w:bookmarkStart w:id="17" w:name="_Ref8987006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1.2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7"/>
      <w:r>
        <w:rPr>
          <w:rFonts w:hint="eastAsia"/>
        </w:rPr>
        <w:t xml:space="preserve"> </w:t>
      </w:r>
      <w:bookmarkStart w:id="18" w:name="_Ref117609224"/>
      <w:r>
        <w:rPr>
          <w:rFonts w:hint="eastAsia"/>
        </w:rPr>
        <w:t>编制依据</w:t>
      </w:r>
      <w:bookmarkEnd w:id="18"/>
      <w:r>
        <w:rPr>
          <w:rFonts w:hint="eastAsia"/>
        </w:rPr>
        <w:t>表</w:t>
      </w:r>
    </w:p>
    <w:tbl>
      <w:tblPr>
        <w:tblStyle w:val="1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2190"/>
        <w:gridCol w:w="4526"/>
        <w:gridCol w:w="1093"/>
      </w:tblGrid>
      <w:tr w14:paraId="1D274B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418" w:type="pct"/>
            <w:shd w:val="clear" w:color="auto" w:fill="auto"/>
            <w:vAlign w:val="center"/>
          </w:tcPr>
          <w:p w14:paraId="767745FB">
            <w:pPr>
              <w:pStyle w:val="16"/>
              <w:rPr>
                <w:b/>
              </w:rPr>
            </w:pPr>
            <w:r>
              <w:rPr>
                <w:rFonts w:hint="eastAsia"/>
                <w:b/>
              </w:rPr>
              <w:t>序号</w:t>
            </w:r>
          </w:p>
        </w:tc>
        <w:tc>
          <w:tcPr>
            <w:tcW w:w="1284" w:type="pct"/>
            <w:shd w:val="clear" w:color="auto" w:fill="auto"/>
            <w:vAlign w:val="center"/>
          </w:tcPr>
          <w:p w14:paraId="58C4AE76">
            <w:pPr>
              <w:pStyle w:val="16"/>
              <w:rPr>
                <w:b/>
              </w:rPr>
            </w:pPr>
            <w:r>
              <w:rPr>
                <w:rFonts w:hint="eastAsia"/>
                <w:b/>
              </w:rPr>
              <w:t>标准号（文件日期）</w:t>
            </w:r>
          </w:p>
        </w:tc>
        <w:tc>
          <w:tcPr>
            <w:tcW w:w="2654" w:type="pct"/>
            <w:shd w:val="clear" w:color="auto" w:fill="auto"/>
            <w:vAlign w:val="center"/>
          </w:tcPr>
          <w:p w14:paraId="0C65BD83">
            <w:pPr>
              <w:pStyle w:val="16"/>
              <w:rPr>
                <w:b/>
              </w:rPr>
            </w:pPr>
            <w:r>
              <w:rPr>
                <w:rFonts w:hint="eastAsia"/>
                <w:b/>
              </w:rPr>
              <w:t>标准（文件）名称</w:t>
            </w:r>
          </w:p>
        </w:tc>
        <w:tc>
          <w:tcPr>
            <w:tcW w:w="641" w:type="pct"/>
            <w:shd w:val="clear" w:color="auto" w:fill="auto"/>
            <w:vAlign w:val="center"/>
          </w:tcPr>
          <w:p w14:paraId="3623F97F">
            <w:pPr>
              <w:pStyle w:val="16"/>
              <w:rPr>
                <w:b/>
              </w:rPr>
            </w:pPr>
            <w:r>
              <w:rPr>
                <w:rFonts w:hint="eastAsia"/>
                <w:b/>
              </w:rPr>
              <w:t>备注</w:t>
            </w:r>
          </w:p>
        </w:tc>
      </w:tr>
      <w:tr w14:paraId="6AAD9E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79159E5">
            <w:pPr>
              <w:pStyle w:val="16"/>
              <w:numPr>
                <w:ilvl w:val="0"/>
                <w:numId w:val="7"/>
              </w:numPr>
            </w:pPr>
          </w:p>
        </w:tc>
        <w:tc>
          <w:tcPr>
            <w:tcW w:w="1284" w:type="pct"/>
            <w:shd w:val="clear" w:color="auto" w:fill="auto"/>
            <w:vAlign w:val="center"/>
          </w:tcPr>
          <w:p w14:paraId="6E325D90">
            <w:pPr>
              <w:pStyle w:val="16"/>
            </w:pPr>
          </w:p>
        </w:tc>
        <w:tc>
          <w:tcPr>
            <w:tcW w:w="2654" w:type="pct"/>
            <w:shd w:val="clear" w:color="auto" w:fill="auto"/>
            <w:vAlign w:val="center"/>
          </w:tcPr>
          <w:p w14:paraId="1D3C4012">
            <w:pPr>
              <w:pStyle w:val="16"/>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lang w:eastAsia="zh-CN"/>
              </w:rPr>
              <w:t>十堰经镇坪至巫溪高速公路溢水至镇坪段SWYZ-2标</w:t>
            </w:r>
            <w:r>
              <w:fldChar w:fldCharType="end"/>
            </w:r>
            <w:r>
              <w:rPr>
                <w:rFonts w:hint="eastAsia"/>
              </w:rPr>
              <w:t>地质勘察报告</w:t>
            </w:r>
          </w:p>
        </w:tc>
        <w:tc>
          <w:tcPr>
            <w:tcW w:w="641" w:type="pct"/>
            <w:shd w:val="clear" w:color="auto" w:fill="auto"/>
            <w:vAlign w:val="center"/>
          </w:tcPr>
          <w:p w14:paraId="2B72B59A">
            <w:pPr>
              <w:pStyle w:val="16"/>
            </w:pPr>
            <w:r>
              <w:rPr>
                <w:rFonts w:hint="eastAsia"/>
              </w:rPr>
              <w:t>勘察文件</w:t>
            </w:r>
          </w:p>
        </w:tc>
      </w:tr>
      <w:tr w14:paraId="01DB7E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19BE346">
            <w:pPr>
              <w:pStyle w:val="16"/>
              <w:numPr>
                <w:ilvl w:val="0"/>
                <w:numId w:val="7"/>
              </w:numPr>
            </w:pPr>
          </w:p>
        </w:tc>
        <w:tc>
          <w:tcPr>
            <w:tcW w:w="1284" w:type="pct"/>
            <w:shd w:val="clear" w:color="auto" w:fill="auto"/>
            <w:vAlign w:val="center"/>
          </w:tcPr>
          <w:p w14:paraId="746AC3DA">
            <w:pPr>
              <w:pStyle w:val="16"/>
            </w:pPr>
          </w:p>
        </w:tc>
        <w:tc>
          <w:tcPr>
            <w:tcW w:w="2654" w:type="pct"/>
            <w:shd w:val="clear" w:color="auto" w:fill="auto"/>
            <w:vAlign w:val="center"/>
          </w:tcPr>
          <w:p w14:paraId="3EE870B7">
            <w:pPr>
              <w:pStyle w:val="16"/>
            </w:pPr>
            <w:r>
              <w:fldChar w:fldCharType="begin"/>
            </w:r>
            <w:r>
              <w:instrText xml:space="preserve"> </w:instrText>
            </w:r>
            <w:r>
              <w:rPr>
                <w:rFonts w:hint="eastAsia"/>
              </w:rPr>
              <w:instrText xml:space="preserve">REF 项目名称 \h</w:instrText>
            </w:r>
            <w:r>
              <w:instrText xml:space="preserve">  \* MERGEFORMAT </w:instrText>
            </w:r>
            <w:r>
              <w:fldChar w:fldCharType="separate"/>
            </w:r>
            <w:r>
              <w:rPr>
                <w:rFonts w:hint="eastAsia"/>
                <w:lang w:eastAsia="zh-CN"/>
              </w:rPr>
              <w:t>十堰经镇坪至巫溪高速公路溢水至镇坪段SWYZ-2标</w:t>
            </w:r>
            <w:r>
              <w:fldChar w:fldCharType="end"/>
            </w:r>
            <w:r>
              <w:rPr>
                <w:rFonts w:hint="eastAsia"/>
              </w:rPr>
              <w:t>施工组织设计</w:t>
            </w:r>
          </w:p>
        </w:tc>
        <w:tc>
          <w:tcPr>
            <w:tcW w:w="641" w:type="pct"/>
            <w:shd w:val="clear" w:color="auto" w:fill="auto"/>
            <w:vAlign w:val="center"/>
          </w:tcPr>
          <w:p w14:paraId="7638F352">
            <w:pPr>
              <w:pStyle w:val="16"/>
            </w:pPr>
            <w:r>
              <w:rPr>
                <w:rFonts w:hint="eastAsia"/>
              </w:rPr>
              <w:t>设计文件</w:t>
            </w:r>
          </w:p>
        </w:tc>
      </w:tr>
      <w:tr w14:paraId="60945B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C95F1C7">
            <w:pPr>
              <w:pStyle w:val="16"/>
              <w:numPr>
                <w:ilvl w:val="0"/>
                <w:numId w:val="7"/>
              </w:numPr>
            </w:pPr>
          </w:p>
        </w:tc>
        <w:tc>
          <w:tcPr>
            <w:tcW w:w="1284" w:type="pct"/>
            <w:shd w:val="clear" w:color="auto" w:fill="auto"/>
            <w:vAlign w:val="center"/>
          </w:tcPr>
          <w:p w14:paraId="7F6952D5">
            <w:pPr>
              <w:pStyle w:val="16"/>
            </w:pPr>
            <w:r>
              <w:rPr>
                <w:rFonts w:hint="eastAsia"/>
              </w:rPr>
              <w:t>主席令第4号</w:t>
            </w:r>
          </w:p>
        </w:tc>
        <w:tc>
          <w:tcPr>
            <w:tcW w:w="2654" w:type="pct"/>
            <w:shd w:val="clear" w:color="auto" w:fill="auto"/>
            <w:vAlign w:val="center"/>
          </w:tcPr>
          <w:p w14:paraId="069BA9AC">
            <w:pPr>
              <w:pStyle w:val="16"/>
            </w:pPr>
            <w:r>
              <w:rPr>
                <w:rFonts w:hint="eastAsia"/>
              </w:rPr>
              <w:t>中华人民共和国特种设备安全法</w:t>
            </w:r>
          </w:p>
        </w:tc>
        <w:tc>
          <w:tcPr>
            <w:tcW w:w="641" w:type="pct"/>
            <w:vMerge w:val="restart"/>
            <w:shd w:val="clear" w:color="auto" w:fill="auto"/>
            <w:vAlign w:val="center"/>
          </w:tcPr>
          <w:p w14:paraId="1CC8DB5E">
            <w:pPr>
              <w:pStyle w:val="16"/>
            </w:pPr>
            <w:r>
              <w:rPr>
                <w:rFonts w:hint="eastAsia"/>
              </w:rPr>
              <w:t>法律</w:t>
            </w:r>
          </w:p>
        </w:tc>
      </w:tr>
      <w:tr w14:paraId="7A82BD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367D5F45">
            <w:pPr>
              <w:pStyle w:val="16"/>
              <w:numPr>
                <w:ilvl w:val="0"/>
                <w:numId w:val="7"/>
              </w:numPr>
            </w:pPr>
          </w:p>
        </w:tc>
        <w:tc>
          <w:tcPr>
            <w:tcW w:w="1284" w:type="pct"/>
            <w:shd w:val="clear" w:color="auto" w:fill="auto"/>
            <w:vAlign w:val="center"/>
          </w:tcPr>
          <w:p w14:paraId="02BCBCAD">
            <w:pPr>
              <w:pStyle w:val="16"/>
            </w:pPr>
            <w:r>
              <w:rPr>
                <w:rFonts w:hint="eastAsia"/>
              </w:rPr>
              <w:t>主席令第</w:t>
            </w:r>
            <w:r>
              <w:t>9</w:t>
            </w:r>
            <w:r>
              <w:rPr>
                <w:rFonts w:hint="eastAsia"/>
              </w:rPr>
              <w:t>号</w:t>
            </w:r>
          </w:p>
        </w:tc>
        <w:tc>
          <w:tcPr>
            <w:tcW w:w="2654" w:type="pct"/>
            <w:shd w:val="clear" w:color="auto" w:fill="auto"/>
            <w:vAlign w:val="center"/>
          </w:tcPr>
          <w:p w14:paraId="1D9EEDD3">
            <w:pPr>
              <w:pStyle w:val="16"/>
            </w:pPr>
            <w:r>
              <w:rPr>
                <w:rFonts w:hint="eastAsia"/>
              </w:rPr>
              <w:t>中华人民共和国环境保护法</w:t>
            </w:r>
          </w:p>
        </w:tc>
        <w:tc>
          <w:tcPr>
            <w:tcW w:w="641" w:type="pct"/>
            <w:vMerge w:val="continue"/>
            <w:shd w:val="clear" w:color="auto" w:fill="auto"/>
            <w:vAlign w:val="center"/>
          </w:tcPr>
          <w:p w14:paraId="75167B3D">
            <w:pPr>
              <w:pStyle w:val="16"/>
            </w:pPr>
          </w:p>
        </w:tc>
      </w:tr>
      <w:tr w14:paraId="7A94FB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04BA6D94">
            <w:pPr>
              <w:pStyle w:val="16"/>
              <w:numPr>
                <w:ilvl w:val="0"/>
                <w:numId w:val="7"/>
              </w:numPr>
            </w:pPr>
          </w:p>
        </w:tc>
        <w:tc>
          <w:tcPr>
            <w:tcW w:w="1284" w:type="pct"/>
            <w:shd w:val="clear" w:color="auto" w:fill="auto"/>
            <w:vAlign w:val="center"/>
          </w:tcPr>
          <w:p w14:paraId="7F0A7358">
            <w:pPr>
              <w:pStyle w:val="16"/>
            </w:pPr>
            <w:r>
              <w:rPr>
                <w:rFonts w:hint="eastAsia"/>
              </w:rPr>
              <w:t>主席令第</w:t>
            </w:r>
            <w:r>
              <w:t>29</w:t>
            </w:r>
            <w:r>
              <w:rPr>
                <w:rFonts w:hint="eastAsia"/>
              </w:rPr>
              <w:t>号</w:t>
            </w:r>
          </w:p>
        </w:tc>
        <w:tc>
          <w:tcPr>
            <w:tcW w:w="2654" w:type="pct"/>
            <w:shd w:val="clear" w:color="auto" w:fill="auto"/>
            <w:vAlign w:val="center"/>
          </w:tcPr>
          <w:p w14:paraId="4EF7FA18">
            <w:pPr>
              <w:pStyle w:val="16"/>
            </w:pPr>
            <w:r>
              <w:rPr>
                <w:rFonts w:hint="eastAsia"/>
              </w:rPr>
              <w:t>中华人民共和国建筑法</w:t>
            </w:r>
          </w:p>
        </w:tc>
        <w:tc>
          <w:tcPr>
            <w:tcW w:w="641" w:type="pct"/>
            <w:vMerge w:val="continue"/>
            <w:shd w:val="clear" w:color="auto" w:fill="auto"/>
            <w:vAlign w:val="center"/>
          </w:tcPr>
          <w:p w14:paraId="1A423FC4">
            <w:pPr>
              <w:pStyle w:val="16"/>
            </w:pPr>
          </w:p>
        </w:tc>
      </w:tr>
      <w:tr w14:paraId="646747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0907B26">
            <w:pPr>
              <w:pStyle w:val="16"/>
              <w:numPr>
                <w:ilvl w:val="0"/>
                <w:numId w:val="7"/>
              </w:numPr>
            </w:pPr>
          </w:p>
        </w:tc>
        <w:tc>
          <w:tcPr>
            <w:tcW w:w="1284" w:type="pct"/>
            <w:shd w:val="clear" w:color="auto" w:fill="auto"/>
            <w:vAlign w:val="center"/>
          </w:tcPr>
          <w:p w14:paraId="01D13D7F">
            <w:pPr>
              <w:pStyle w:val="16"/>
            </w:pPr>
            <w:r>
              <w:rPr>
                <w:rFonts w:hint="eastAsia"/>
              </w:rPr>
              <w:t>主席令第</w:t>
            </w:r>
            <w:r>
              <w:t>69</w:t>
            </w:r>
            <w:r>
              <w:rPr>
                <w:rFonts w:hint="eastAsia"/>
              </w:rPr>
              <w:t>号</w:t>
            </w:r>
          </w:p>
        </w:tc>
        <w:tc>
          <w:tcPr>
            <w:tcW w:w="2654" w:type="pct"/>
            <w:shd w:val="clear" w:color="auto" w:fill="auto"/>
            <w:vAlign w:val="center"/>
          </w:tcPr>
          <w:p w14:paraId="5330D8B3">
            <w:pPr>
              <w:pStyle w:val="16"/>
            </w:pPr>
            <w:r>
              <w:rPr>
                <w:rFonts w:hint="eastAsia"/>
              </w:rPr>
              <w:t>中华人民共和国突发事件应对法</w:t>
            </w:r>
          </w:p>
        </w:tc>
        <w:tc>
          <w:tcPr>
            <w:tcW w:w="641" w:type="pct"/>
            <w:vMerge w:val="continue"/>
            <w:shd w:val="clear" w:color="auto" w:fill="auto"/>
            <w:vAlign w:val="center"/>
          </w:tcPr>
          <w:p w14:paraId="13F62146">
            <w:pPr>
              <w:pStyle w:val="16"/>
            </w:pPr>
          </w:p>
        </w:tc>
      </w:tr>
      <w:tr w14:paraId="6AEAF6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93002B9">
            <w:pPr>
              <w:pStyle w:val="16"/>
              <w:numPr>
                <w:ilvl w:val="0"/>
                <w:numId w:val="7"/>
              </w:numPr>
            </w:pPr>
          </w:p>
        </w:tc>
        <w:tc>
          <w:tcPr>
            <w:tcW w:w="1284" w:type="pct"/>
            <w:shd w:val="clear" w:color="auto" w:fill="auto"/>
            <w:vAlign w:val="center"/>
          </w:tcPr>
          <w:p w14:paraId="71E556A2">
            <w:pPr>
              <w:pStyle w:val="16"/>
            </w:pPr>
            <w:r>
              <w:rPr>
                <w:rFonts w:hint="eastAsia"/>
              </w:rPr>
              <w:t>主席令第</w:t>
            </w:r>
            <w:r>
              <w:t>88</w:t>
            </w:r>
            <w:r>
              <w:rPr>
                <w:rFonts w:hint="eastAsia"/>
              </w:rPr>
              <w:t>号</w:t>
            </w:r>
          </w:p>
        </w:tc>
        <w:tc>
          <w:tcPr>
            <w:tcW w:w="2654" w:type="pct"/>
            <w:shd w:val="clear" w:color="auto" w:fill="auto"/>
            <w:vAlign w:val="center"/>
          </w:tcPr>
          <w:p w14:paraId="0639867B">
            <w:pPr>
              <w:pStyle w:val="16"/>
            </w:pPr>
            <w:r>
              <w:t>中华人民共和国安全生产法</w:t>
            </w:r>
          </w:p>
        </w:tc>
        <w:tc>
          <w:tcPr>
            <w:tcW w:w="641" w:type="pct"/>
            <w:vMerge w:val="continue"/>
            <w:shd w:val="clear" w:color="auto" w:fill="auto"/>
            <w:vAlign w:val="center"/>
          </w:tcPr>
          <w:p w14:paraId="67E8D973">
            <w:pPr>
              <w:pStyle w:val="16"/>
            </w:pPr>
          </w:p>
        </w:tc>
      </w:tr>
      <w:tr w14:paraId="6D570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3008C82">
            <w:pPr>
              <w:pStyle w:val="16"/>
              <w:numPr>
                <w:ilvl w:val="0"/>
                <w:numId w:val="7"/>
              </w:numPr>
            </w:pPr>
          </w:p>
        </w:tc>
        <w:tc>
          <w:tcPr>
            <w:tcW w:w="1284" w:type="pct"/>
            <w:shd w:val="clear" w:color="auto" w:fill="auto"/>
            <w:vAlign w:val="center"/>
          </w:tcPr>
          <w:p w14:paraId="571B2D9E">
            <w:pPr>
              <w:pStyle w:val="16"/>
            </w:pPr>
            <w:r>
              <w:rPr>
                <w:rFonts w:hint="eastAsia"/>
              </w:rPr>
              <w:t>国务院令第279号</w:t>
            </w:r>
          </w:p>
        </w:tc>
        <w:tc>
          <w:tcPr>
            <w:tcW w:w="2654" w:type="pct"/>
            <w:shd w:val="clear" w:color="auto" w:fill="auto"/>
            <w:vAlign w:val="center"/>
          </w:tcPr>
          <w:p w14:paraId="48B1F0CC">
            <w:pPr>
              <w:pStyle w:val="16"/>
            </w:pPr>
            <w:r>
              <w:rPr>
                <w:rFonts w:hint="eastAsia"/>
              </w:rPr>
              <w:t>建设工程质量管理条例</w:t>
            </w:r>
          </w:p>
        </w:tc>
        <w:tc>
          <w:tcPr>
            <w:tcW w:w="641" w:type="pct"/>
            <w:vMerge w:val="restart"/>
            <w:shd w:val="clear" w:color="auto" w:fill="auto"/>
            <w:vAlign w:val="center"/>
          </w:tcPr>
          <w:p w14:paraId="6D6F9940">
            <w:pPr>
              <w:pStyle w:val="16"/>
            </w:pPr>
            <w:r>
              <w:rPr>
                <w:rFonts w:hint="eastAsia"/>
              </w:rPr>
              <w:t>法规</w:t>
            </w:r>
          </w:p>
        </w:tc>
      </w:tr>
      <w:tr w14:paraId="7550A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FFE81C1">
            <w:pPr>
              <w:pStyle w:val="16"/>
              <w:numPr>
                <w:ilvl w:val="0"/>
                <w:numId w:val="7"/>
              </w:numPr>
            </w:pPr>
          </w:p>
        </w:tc>
        <w:tc>
          <w:tcPr>
            <w:tcW w:w="1284" w:type="pct"/>
            <w:shd w:val="clear" w:color="auto" w:fill="auto"/>
            <w:vAlign w:val="center"/>
          </w:tcPr>
          <w:p w14:paraId="21C497DD">
            <w:pPr>
              <w:pStyle w:val="16"/>
            </w:pPr>
            <w:r>
              <w:rPr>
                <w:rFonts w:hint="eastAsia"/>
              </w:rPr>
              <w:t>国务院令第393号</w:t>
            </w:r>
          </w:p>
        </w:tc>
        <w:tc>
          <w:tcPr>
            <w:tcW w:w="2654" w:type="pct"/>
            <w:shd w:val="clear" w:color="auto" w:fill="auto"/>
            <w:vAlign w:val="center"/>
          </w:tcPr>
          <w:p w14:paraId="0E02CF75">
            <w:pPr>
              <w:pStyle w:val="16"/>
            </w:pPr>
            <w:r>
              <w:rPr>
                <w:rFonts w:hint="eastAsia"/>
              </w:rPr>
              <w:t>建设工程安全生产管理条例</w:t>
            </w:r>
          </w:p>
        </w:tc>
        <w:tc>
          <w:tcPr>
            <w:tcW w:w="641" w:type="pct"/>
            <w:vMerge w:val="continue"/>
            <w:shd w:val="clear" w:color="auto" w:fill="auto"/>
            <w:vAlign w:val="center"/>
          </w:tcPr>
          <w:p w14:paraId="1CDD6AA3">
            <w:pPr>
              <w:pStyle w:val="16"/>
            </w:pPr>
          </w:p>
        </w:tc>
      </w:tr>
      <w:tr w14:paraId="349E96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2F1014A">
            <w:pPr>
              <w:pStyle w:val="16"/>
              <w:numPr>
                <w:ilvl w:val="0"/>
                <w:numId w:val="7"/>
              </w:numPr>
            </w:pPr>
          </w:p>
        </w:tc>
        <w:tc>
          <w:tcPr>
            <w:tcW w:w="1284" w:type="pct"/>
            <w:shd w:val="clear" w:color="auto" w:fill="auto"/>
            <w:vAlign w:val="center"/>
          </w:tcPr>
          <w:p w14:paraId="62CB52D1">
            <w:pPr>
              <w:pStyle w:val="16"/>
            </w:pPr>
            <w:r>
              <w:t>国务院令第397号</w:t>
            </w:r>
          </w:p>
        </w:tc>
        <w:tc>
          <w:tcPr>
            <w:tcW w:w="2654" w:type="pct"/>
            <w:shd w:val="clear" w:color="auto" w:fill="auto"/>
            <w:vAlign w:val="center"/>
          </w:tcPr>
          <w:p w14:paraId="2D34FB16">
            <w:pPr>
              <w:pStyle w:val="16"/>
            </w:pPr>
            <w:r>
              <w:t>安全生产许可证条例（2014年修订）</w:t>
            </w:r>
          </w:p>
        </w:tc>
        <w:tc>
          <w:tcPr>
            <w:tcW w:w="641" w:type="pct"/>
            <w:vMerge w:val="continue"/>
            <w:shd w:val="clear" w:color="auto" w:fill="auto"/>
            <w:vAlign w:val="center"/>
          </w:tcPr>
          <w:p w14:paraId="649148B1">
            <w:pPr>
              <w:pStyle w:val="16"/>
            </w:pPr>
          </w:p>
        </w:tc>
      </w:tr>
      <w:tr w14:paraId="7E78C8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2ED66D3">
            <w:pPr>
              <w:pStyle w:val="16"/>
              <w:numPr>
                <w:ilvl w:val="0"/>
                <w:numId w:val="7"/>
              </w:numPr>
            </w:pPr>
          </w:p>
        </w:tc>
        <w:tc>
          <w:tcPr>
            <w:tcW w:w="1284" w:type="pct"/>
            <w:shd w:val="clear" w:color="auto" w:fill="auto"/>
            <w:vAlign w:val="center"/>
          </w:tcPr>
          <w:p w14:paraId="288E8AEA">
            <w:pPr>
              <w:pStyle w:val="16"/>
            </w:pPr>
            <w:r>
              <w:rPr>
                <w:rFonts w:hint="eastAsia"/>
              </w:rPr>
              <w:t>国务院令第549号</w:t>
            </w:r>
          </w:p>
        </w:tc>
        <w:tc>
          <w:tcPr>
            <w:tcW w:w="2654" w:type="pct"/>
            <w:shd w:val="clear" w:color="auto" w:fill="auto"/>
            <w:vAlign w:val="center"/>
          </w:tcPr>
          <w:p w14:paraId="7F73F9D0">
            <w:pPr>
              <w:pStyle w:val="16"/>
            </w:pPr>
            <w:r>
              <w:rPr>
                <w:rFonts w:hint="eastAsia"/>
              </w:rPr>
              <w:t>特种设备安全监察条例</w:t>
            </w:r>
          </w:p>
        </w:tc>
        <w:tc>
          <w:tcPr>
            <w:tcW w:w="641" w:type="pct"/>
            <w:vMerge w:val="continue"/>
            <w:shd w:val="clear" w:color="auto" w:fill="auto"/>
            <w:vAlign w:val="center"/>
          </w:tcPr>
          <w:p w14:paraId="1F43935B">
            <w:pPr>
              <w:pStyle w:val="16"/>
            </w:pPr>
          </w:p>
        </w:tc>
      </w:tr>
      <w:tr w14:paraId="473DA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A9E7055">
            <w:pPr>
              <w:pStyle w:val="16"/>
              <w:numPr>
                <w:ilvl w:val="0"/>
                <w:numId w:val="7"/>
              </w:numPr>
            </w:pPr>
          </w:p>
        </w:tc>
        <w:tc>
          <w:tcPr>
            <w:tcW w:w="1284" w:type="pct"/>
            <w:shd w:val="clear" w:color="auto" w:fill="auto"/>
            <w:vAlign w:val="center"/>
          </w:tcPr>
          <w:p w14:paraId="2B486B49">
            <w:pPr>
              <w:pStyle w:val="16"/>
            </w:pPr>
            <w:r>
              <w:rPr>
                <w:rFonts w:hint="eastAsia"/>
              </w:rPr>
              <w:t>安监局令第</w:t>
            </w:r>
            <w:r>
              <w:t>30</w:t>
            </w:r>
            <w:r>
              <w:rPr>
                <w:rFonts w:hint="eastAsia"/>
              </w:rPr>
              <w:t>号</w:t>
            </w:r>
          </w:p>
        </w:tc>
        <w:tc>
          <w:tcPr>
            <w:tcW w:w="2654" w:type="pct"/>
            <w:shd w:val="clear" w:color="auto" w:fill="auto"/>
            <w:vAlign w:val="center"/>
          </w:tcPr>
          <w:p w14:paraId="1448937C">
            <w:pPr>
              <w:pStyle w:val="16"/>
            </w:pPr>
            <w:r>
              <w:rPr>
                <w:rFonts w:hint="eastAsia"/>
              </w:rPr>
              <w:t>特种作业人员安全技术培训考核管理办法</w:t>
            </w:r>
          </w:p>
        </w:tc>
        <w:tc>
          <w:tcPr>
            <w:tcW w:w="641" w:type="pct"/>
            <w:shd w:val="clear" w:color="auto" w:fill="auto"/>
            <w:vAlign w:val="center"/>
          </w:tcPr>
          <w:p w14:paraId="3F4EA5DB">
            <w:pPr>
              <w:pStyle w:val="16"/>
            </w:pPr>
            <w:r>
              <w:rPr>
                <w:rFonts w:hint="eastAsia"/>
              </w:rPr>
              <w:t>应急管理部</w:t>
            </w:r>
          </w:p>
        </w:tc>
      </w:tr>
      <w:tr w14:paraId="3C48386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23B0EF31">
            <w:pPr>
              <w:pStyle w:val="16"/>
              <w:numPr>
                <w:ilvl w:val="0"/>
                <w:numId w:val="7"/>
              </w:numPr>
            </w:pPr>
          </w:p>
        </w:tc>
        <w:tc>
          <w:tcPr>
            <w:tcW w:w="1284" w:type="pct"/>
            <w:shd w:val="clear" w:color="auto" w:fill="auto"/>
            <w:vAlign w:val="center"/>
          </w:tcPr>
          <w:p w14:paraId="55D4EF0F">
            <w:pPr>
              <w:pStyle w:val="16"/>
            </w:pPr>
            <w:r>
              <w:rPr>
                <w:rFonts w:hint="eastAsia"/>
              </w:rPr>
              <w:t>质检总局令第1</w:t>
            </w:r>
            <w:r>
              <w:t>15</w:t>
            </w:r>
            <w:r>
              <w:rPr>
                <w:rFonts w:hint="eastAsia"/>
              </w:rPr>
              <w:t>号</w:t>
            </w:r>
          </w:p>
        </w:tc>
        <w:tc>
          <w:tcPr>
            <w:tcW w:w="2654" w:type="pct"/>
            <w:shd w:val="clear" w:color="auto" w:fill="auto"/>
            <w:vAlign w:val="center"/>
          </w:tcPr>
          <w:p w14:paraId="64E3FE7E">
            <w:pPr>
              <w:pStyle w:val="16"/>
            </w:pPr>
            <w:r>
              <w:rPr>
                <w:rFonts w:hint="eastAsia"/>
              </w:rPr>
              <w:t>特种设备事故报告和调查处理规定</w:t>
            </w:r>
          </w:p>
        </w:tc>
        <w:tc>
          <w:tcPr>
            <w:tcW w:w="641" w:type="pct"/>
            <w:vMerge w:val="restart"/>
            <w:shd w:val="clear" w:color="auto" w:fill="auto"/>
            <w:vAlign w:val="center"/>
          </w:tcPr>
          <w:p w14:paraId="19A72522">
            <w:pPr>
              <w:pStyle w:val="16"/>
            </w:pPr>
            <w:r>
              <w:rPr>
                <w:rFonts w:hint="eastAsia"/>
              </w:rPr>
              <w:t>国家市场监督管理总局特种设备安全监察局</w:t>
            </w:r>
          </w:p>
        </w:tc>
      </w:tr>
      <w:tr w14:paraId="356E89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39A8CA52">
            <w:pPr>
              <w:pStyle w:val="16"/>
              <w:numPr>
                <w:ilvl w:val="0"/>
                <w:numId w:val="7"/>
              </w:numPr>
            </w:pPr>
          </w:p>
        </w:tc>
        <w:tc>
          <w:tcPr>
            <w:tcW w:w="1284" w:type="pct"/>
            <w:shd w:val="clear" w:color="auto" w:fill="auto"/>
            <w:vAlign w:val="center"/>
          </w:tcPr>
          <w:p w14:paraId="1B666BC8">
            <w:pPr>
              <w:pStyle w:val="16"/>
            </w:pPr>
            <w:r>
              <w:rPr>
                <w:rFonts w:hint="eastAsia"/>
              </w:rPr>
              <w:t>质检总局令第140号</w:t>
            </w:r>
          </w:p>
        </w:tc>
        <w:tc>
          <w:tcPr>
            <w:tcW w:w="2654" w:type="pct"/>
            <w:shd w:val="clear" w:color="auto" w:fill="auto"/>
            <w:vAlign w:val="center"/>
          </w:tcPr>
          <w:p w14:paraId="43418FC7">
            <w:pPr>
              <w:pStyle w:val="16"/>
            </w:pPr>
            <w:r>
              <w:rPr>
                <w:rFonts w:hint="eastAsia"/>
              </w:rPr>
              <w:t>特种设备作业人员监督管理办法</w:t>
            </w:r>
          </w:p>
        </w:tc>
        <w:tc>
          <w:tcPr>
            <w:tcW w:w="641" w:type="pct"/>
            <w:vMerge w:val="continue"/>
            <w:shd w:val="clear" w:color="auto" w:fill="auto"/>
            <w:vAlign w:val="center"/>
          </w:tcPr>
          <w:p w14:paraId="4535A101">
            <w:pPr>
              <w:pStyle w:val="16"/>
            </w:pPr>
          </w:p>
        </w:tc>
      </w:tr>
      <w:tr w14:paraId="375260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CA8EFD5">
            <w:pPr>
              <w:pStyle w:val="16"/>
              <w:numPr>
                <w:ilvl w:val="0"/>
                <w:numId w:val="7"/>
              </w:numPr>
            </w:pPr>
          </w:p>
        </w:tc>
        <w:tc>
          <w:tcPr>
            <w:tcW w:w="1284" w:type="pct"/>
            <w:shd w:val="clear" w:color="auto" w:fill="auto"/>
            <w:vAlign w:val="center"/>
          </w:tcPr>
          <w:p w14:paraId="2805BC56">
            <w:pPr>
              <w:pStyle w:val="16"/>
            </w:pPr>
            <w:r>
              <w:rPr>
                <w:rFonts w:hint="eastAsia"/>
              </w:rPr>
              <w:t>2</w:t>
            </w:r>
            <w:r>
              <w:t>015</w:t>
            </w:r>
            <w:r>
              <w:rPr>
                <w:rFonts w:hint="eastAsia"/>
              </w:rPr>
              <w:t>年第5号</w:t>
            </w:r>
          </w:p>
        </w:tc>
        <w:tc>
          <w:tcPr>
            <w:tcW w:w="2654" w:type="pct"/>
            <w:shd w:val="clear" w:color="auto" w:fill="auto"/>
            <w:vAlign w:val="center"/>
          </w:tcPr>
          <w:p w14:paraId="7F16EFC0">
            <w:pPr>
              <w:pStyle w:val="16"/>
            </w:pPr>
            <w:r>
              <w:rPr>
                <w:rFonts w:hint="eastAsia"/>
              </w:rPr>
              <w:t>特种设备现场安全监督检查规则</w:t>
            </w:r>
          </w:p>
        </w:tc>
        <w:tc>
          <w:tcPr>
            <w:tcW w:w="641" w:type="pct"/>
            <w:vMerge w:val="continue"/>
            <w:shd w:val="clear" w:color="auto" w:fill="auto"/>
            <w:vAlign w:val="center"/>
          </w:tcPr>
          <w:p w14:paraId="2DF8A804">
            <w:pPr>
              <w:pStyle w:val="16"/>
            </w:pPr>
          </w:p>
        </w:tc>
      </w:tr>
      <w:tr w14:paraId="1DB581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E45EC79">
            <w:pPr>
              <w:pStyle w:val="16"/>
              <w:numPr>
                <w:ilvl w:val="0"/>
                <w:numId w:val="7"/>
              </w:numPr>
            </w:pPr>
          </w:p>
        </w:tc>
        <w:tc>
          <w:tcPr>
            <w:tcW w:w="1284" w:type="pct"/>
            <w:shd w:val="clear" w:color="auto" w:fill="auto"/>
            <w:vAlign w:val="center"/>
          </w:tcPr>
          <w:p w14:paraId="0B8DD120">
            <w:pPr>
              <w:pStyle w:val="16"/>
            </w:pPr>
            <w:r>
              <w:t>TSG Q7014-2008</w:t>
            </w:r>
          </w:p>
        </w:tc>
        <w:tc>
          <w:tcPr>
            <w:tcW w:w="2654" w:type="pct"/>
            <w:shd w:val="clear" w:color="auto" w:fill="auto"/>
            <w:vAlign w:val="center"/>
          </w:tcPr>
          <w:p w14:paraId="5A9C7325">
            <w:pPr>
              <w:pStyle w:val="16"/>
            </w:pPr>
            <w:r>
              <w:rPr>
                <w:rFonts w:hint="eastAsia"/>
              </w:rPr>
              <w:t>起重机械安全保护装置型式试验细则</w:t>
            </w:r>
          </w:p>
        </w:tc>
        <w:tc>
          <w:tcPr>
            <w:tcW w:w="641" w:type="pct"/>
            <w:vMerge w:val="continue"/>
            <w:shd w:val="clear" w:color="auto" w:fill="auto"/>
            <w:vAlign w:val="center"/>
          </w:tcPr>
          <w:p w14:paraId="3EFA26F6">
            <w:pPr>
              <w:pStyle w:val="16"/>
            </w:pPr>
          </w:p>
        </w:tc>
      </w:tr>
      <w:tr w14:paraId="54E290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7231B2B">
            <w:pPr>
              <w:pStyle w:val="16"/>
              <w:numPr>
                <w:ilvl w:val="0"/>
                <w:numId w:val="7"/>
              </w:numPr>
            </w:pPr>
          </w:p>
        </w:tc>
        <w:tc>
          <w:tcPr>
            <w:tcW w:w="1284" w:type="pct"/>
            <w:shd w:val="clear" w:color="auto" w:fill="auto"/>
            <w:vAlign w:val="center"/>
          </w:tcPr>
          <w:p w14:paraId="78D61A9B">
            <w:pPr>
              <w:pStyle w:val="16"/>
            </w:pPr>
            <w:r>
              <w:rPr>
                <w:rFonts w:hint="eastAsia"/>
              </w:rPr>
              <w:t>TSG</w:t>
            </w:r>
            <w:r>
              <w:t xml:space="preserve"> </w:t>
            </w:r>
            <w:r>
              <w:rPr>
                <w:rFonts w:hint="eastAsia"/>
              </w:rPr>
              <w:t>Q</w:t>
            </w:r>
            <w:r>
              <w:t>7016-2016</w:t>
            </w:r>
          </w:p>
        </w:tc>
        <w:tc>
          <w:tcPr>
            <w:tcW w:w="2654" w:type="pct"/>
            <w:shd w:val="clear" w:color="auto" w:fill="auto"/>
            <w:vAlign w:val="center"/>
          </w:tcPr>
          <w:p w14:paraId="48C7B248">
            <w:pPr>
              <w:pStyle w:val="16"/>
            </w:pPr>
            <w:r>
              <w:rPr>
                <w:rFonts w:hint="eastAsia"/>
              </w:rPr>
              <w:t>起重机械安装改造重大修理监督检验规则</w:t>
            </w:r>
          </w:p>
        </w:tc>
        <w:tc>
          <w:tcPr>
            <w:tcW w:w="641" w:type="pct"/>
            <w:vMerge w:val="continue"/>
            <w:shd w:val="clear" w:color="auto" w:fill="auto"/>
            <w:vAlign w:val="center"/>
          </w:tcPr>
          <w:p w14:paraId="300F454E">
            <w:pPr>
              <w:pStyle w:val="16"/>
            </w:pPr>
          </w:p>
        </w:tc>
      </w:tr>
      <w:tr w14:paraId="40C7A4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2C711C6">
            <w:pPr>
              <w:pStyle w:val="16"/>
              <w:numPr>
                <w:ilvl w:val="0"/>
                <w:numId w:val="7"/>
              </w:numPr>
            </w:pPr>
          </w:p>
        </w:tc>
        <w:tc>
          <w:tcPr>
            <w:tcW w:w="1284" w:type="pct"/>
            <w:shd w:val="clear" w:color="auto" w:fill="auto"/>
            <w:vAlign w:val="center"/>
          </w:tcPr>
          <w:p w14:paraId="7A01A20E">
            <w:pPr>
              <w:pStyle w:val="16"/>
            </w:pPr>
            <w:r>
              <w:rPr>
                <w:rFonts w:hint="eastAsia"/>
              </w:rPr>
              <w:t>TSG 08-2017</w:t>
            </w:r>
          </w:p>
        </w:tc>
        <w:tc>
          <w:tcPr>
            <w:tcW w:w="2654" w:type="pct"/>
            <w:shd w:val="clear" w:color="auto" w:fill="auto"/>
            <w:vAlign w:val="center"/>
          </w:tcPr>
          <w:p w14:paraId="2BB2FE14">
            <w:pPr>
              <w:pStyle w:val="16"/>
            </w:pPr>
            <w:r>
              <w:rPr>
                <w:rFonts w:hint="eastAsia"/>
              </w:rPr>
              <w:t>特种设备使用管理规则</w:t>
            </w:r>
          </w:p>
        </w:tc>
        <w:tc>
          <w:tcPr>
            <w:tcW w:w="641" w:type="pct"/>
            <w:vMerge w:val="continue"/>
            <w:shd w:val="clear" w:color="auto" w:fill="auto"/>
            <w:vAlign w:val="center"/>
          </w:tcPr>
          <w:p w14:paraId="0CCA1D03">
            <w:pPr>
              <w:pStyle w:val="16"/>
            </w:pPr>
          </w:p>
        </w:tc>
      </w:tr>
      <w:tr w14:paraId="5B97FD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45EF5322">
            <w:pPr>
              <w:pStyle w:val="16"/>
              <w:numPr>
                <w:ilvl w:val="0"/>
                <w:numId w:val="7"/>
              </w:numPr>
            </w:pPr>
          </w:p>
        </w:tc>
        <w:tc>
          <w:tcPr>
            <w:tcW w:w="1284" w:type="pct"/>
            <w:shd w:val="clear" w:color="auto" w:fill="auto"/>
            <w:vAlign w:val="center"/>
          </w:tcPr>
          <w:p w14:paraId="09552974">
            <w:pPr>
              <w:pStyle w:val="16"/>
            </w:pPr>
            <w:r>
              <w:rPr>
                <w:rFonts w:hint="eastAsia"/>
              </w:rPr>
              <w:t>TSG 07-2019</w:t>
            </w:r>
          </w:p>
        </w:tc>
        <w:tc>
          <w:tcPr>
            <w:tcW w:w="2654" w:type="pct"/>
            <w:shd w:val="clear" w:color="auto" w:fill="auto"/>
            <w:vAlign w:val="center"/>
          </w:tcPr>
          <w:p w14:paraId="23240269">
            <w:pPr>
              <w:pStyle w:val="16"/>
            </w:pPr>
            <w:r>
              <w:rPr>
                <w:rFonts w:hint="eastAsia"/>
              </w:rPr>
              <w:t>特种设备生产和充装单位许可规则</w:t>
            </w:r>
          </w:p>
        </w:tc>
        <w:tc>
          <w:tcPr>
            <w:tcW w:w="641" w:type="pct"/>
            <w:vMerge w:val="continue"/>
            <w:shd w:val="clear" w:color="auto" w:fill="auto"/>
            <w:vAlign w:val="center"/>
          </w:tcPr>
          <w:p w14:paraId="377D439F">
            <w:pPr>
              <w:pStyle w:val="16"/>
            </w:pPr>
          </w:p>
        </w:tc>
      </w:tr>
      <w:tr w14:paraId="5FE208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0E725C5">
            <w:pPr>
              <w:pStyle w:val="16"/>
              <w:numPr>
                <w:ilvl w:val="0"/>
                <w:numId w:val="7"/>
              </w:numPr>
            </w:pPr>
          </w:p>
        </w:tc>
        <w:tc>
          <w:tcPr>
            <w:tcW w:w="1284" w:type="pct"/>
            <w:shd w:val="clear" w:color="auto" w:fill="auto"/>
            <w:vAlign w:val="center"/>
          </w:tcPr>
          <w:p w14:paraId="6EA0FA10">
            <w:pPr>
              <w:pStyle w:val="16"/>
            </w:pPr>
            <w:r>
              <w:t>JGJ 46-2005</w:t>
            </w:r>
          </w:p>
        </w:tc>
        <w:tc>
          <w:tcPr>
            <w:tcW w:w="2654" w:type="pct"/>
            <w:shd w:val="clear" w:color="auto" w:fill="auto"/>
            <w:vAlign w:val="center"/>
          </w:tcPr>
          <w:p w14:paraId="30A62FA0">
            <w:pPr>
              <w:pStyle w:val="16"/>
            </w:pPr>
            <w:r>
              <w:rPr>
                <w:rFonts w:hint="eastAsia"/>
              </w:rPr>
              <w:t>施工现场临时用电安全技术规范</w:t>
            </w:r>
          </w:p>
        </w:tc>
        <w:tc>
          <w:tcPr>
            <w:tcW w:w="641" w:type="pct"/>
            <w:vMerge w:val="restart"/>
            <w:shd w:val="clear" w:color="auto" w:fill="auto"/>
            <w:vAlign w:val="center"/>
          </w:tcPr>
          <w:p w14:paraId="727DD1AE">
            <w:pPr>
              <w:pStyle w:val="16"/>
            </w:pPr>
            <w:r>
              <w:t>住房和城乡建设部</w:t>
            </w:r>
          </w:p>
        </w:tc>
      </w:tr>
      <w:tr w14:paraId="56E39D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D5EC701">
            <w:pPr>
              <w:pStyle w:val="16"/>
              <w:numPr>
                <w:ilvl w:val="0"/>
                <w:numId w:val="7"/>
              </w:numPr>
            </w:pPr>
          </w:p>
        </w:tc>
        <w:tc>
          <w:tcPr>
            <w:tcW w:w="1284" w:type="pct"/>
            <w:shd w:val="clear" w:color="auto" w:fill="auto"/>
            <w:vAlign w:val="center"/>
          </w:tcPr>
          <w:p w14:paraId="38057C95">
            <w:pPr>
              <w:pStyle w:val="16"/>
            </w:pPr>
            <w:r>
              <w:t>JGJ 276-2012</w:t>
            </w:r>
          </w:p>
        </w:tc>
        <w:tc>
          <w:tcPr>
            <w:tcW w:w="2654" w:type="pct"/>
            <w:shd w:val="clear" w:color="auto" w:fill="auto"/>
            <w:vAlign w:val="center"/>
          </w:tcPr>
          <w:p w14:paraId="4589267D">
            <w:pPr>
              <w:pStyle w:val="16"/>
            </w:pPr>
            <w:r>
              <w:rPr>
                <w:rFonts w:hint="eastAsia"/>
              </w:rPr>
              <w:t>建筑施工起重吊装工程安全技术规范</w:t>
            </w:r>
          </w:p>
        </w:tc>
        <w:tc>
          <w:tcPr>
            <w:tcW w:w="641" w:type="pct"/>
            <w:vMerge w:val="continue"/>
            <w:shd w:val="clear" w:color="auto" w:fill="auto"/>
            <w:vAlign w:val="center"/>
          </w:tcPr>
          <w:p w14:paraId="39965264">
            <w:pPr>
              <w:pStyle w:val="16"/>
            </w:pPr>
          </w:p>
        </w:tc>
      </w:tr>
      <w:tr w14:paraId="4D7040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750BA8B9">
            <w:pPr>
              <w:pStyle w:val="16"/>
              <w:numPr>
                <w:ilvl w:val="0"/>
                <w:numId w:val="7"/>
              </w:numPr>
            </w:pPr>
          </w:p>
        </w:tc>
        <w:tc>
          <w:tcPr>
            <w:tcW w:w="1284" w:type="pct"/>
            <w:shd w:val="clear" w:color="auto" w:fill="auto"/>
            <w:vAlign w:val="center"/>
          </w:tcPr>
          <w:p w14:paraId="5B54AE3A">
            <w:pPr>
              <w:pStyle w:val="16"/>
            </w:pPr>
            <w:r>
              <w:t>JGJ 80-2016</w:t>
            </w:r>
          </w:p>
        </w:tc>
        <w:tc>
          <w:tcPr>
            <w:tcW w:w="2654" w:type="pct"/>
            <w:shd w:val="clear" w:color="auto" w:fill="auto"/>
            <w:vAlign w:val="center"/>
          </w:tcPr>
          <w:p w14:paraId="5AACCBFF">
            <w:pPr>
              <w:pStyle w:val="16"/>
            </w:pPr>
            <w:r>
              <w:rPr>
                <w:rFonts w:hint="eastAsia"/>
              </w:rPr>
              <w:t>建筑施工高处作业安全技术规范</w:t>
            </w:r>
          </w:p>
        </w:tc>
        <w:tc>
          <w:tcPr>
            <w:tcW w:w="641" w:type="pct"/>
            <w:vMerge w:val="continue"/>
            <w:shd w:val="clear" w:color="auto" w:fill="auto"/>
            <w:vAlign w:val="center"/>
          </w:tcPr>
          <w:p w14:paraId="321AE92D">
            <w:pPr>
              <w:pStyle w:val="16"/>
            </w:pPr>
          </w:p>
        </w:tc>
      </w:tr>
      <w:tr w14:paraId="4433E0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666C6629">
            <w:pPr>
              <w:pStyle w:val="16"/>
              <w:numPr>
                <w:ilvl w:val="0"/>
                <w:numId w:val="7"/>
              </w:numPr>
            </w:pPr>
          </w:p>
        </w:tc>
        <w:tc>
          <w:tcPr>
            <w:tcW w:w="1284" w:type="pct"/>
            <w:shd w:val="clear" w:color="auto" w:fill="auto"/>
            <w:vAlign w:val="center"/>
          </w:tcPr>
          <w:p w14:paraId="67980E88">
            <w:pPr>
              <w:pStyle w:val="16"/>
            </w:pPr>
            <w:r>
              <w:rPr>
                <w:rFonts w:hint="eastAsia"/>
              </w:rPr>
              <w:t>JGJ 215-2010</w:t>
            </w:r>
          </w:p>
        </w:tc>
        <w:tc>
          <w:tcPr>
            <w:tcW w:w="2654" w:type="pct"/>
            <w:shd w:val="clear" w:color="auto" w:fill="auto"/>
            <w:vAlign w:val="center"/>
          </w:tcPr>
          <w:p w14:paraId="4F7256DD">
            <w:pPr>
              <w:pStyle w:val="16"/>
            </w:pPr>
            <w:r>
              <w:rPr>
                <w:rFonts w:hint="eastAsia"/>
              </w:rPr>
              <w:t>建筑施工升降机安装、使用、拆卸安全技术规程</w:t>
            </w:r>
          </w:p>
        </w:tc>
        <w:tc>
          <w:tcPr>
            <w:tcW w:w="641" w:type="pct"/>
            <w:vMerge w:val="continue"/>
            <w:shd w:val="clear" w:color="auto" w:fill="auto"/>
            <w:vAlign w:val="center"/>
          </w:tcPr>
          <w:p w14:paraId="707B45DB">
            <w:pPr>
              <w:pStyle w:val="16"/>
            </w:pPr>
          </w:p>
        </w:tc>
      </w:tr>
      <w:tr w14:paraId="597AF1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152A890B">
            <w:pPr>
              <w:pStyle w:val="16"/>
              <w:numPr>
                <w:ilvl w:val="0"/>
                <w:numId w:val="7"/>
              </w:numPr>
            </w:pPr>
          </w:p>
        </w:tc>
        <w:tc>
          <w:tcPr>
            <w:tcW w:w="1284" w:type="pct"/>
            <w:shd w:val="clear" w:color="auto" w:fill="auto"/>
            <w:vAlign w:val="center"/>
          </w:tcPr>
          <w:p w14:paraId="1BD814CF">
            <w:pPr>
              <w:pStyle w:val="16"/>
            </w:pPr>
            <w:r>
              <w:rPr>
                <w:rFonts w:hint="eastAsia"/>
              </w:rPr>
              <w:t>交通运输部〔2017〕25号</w:t>
            </w:r>
          </w:p>
        </w:tc>
        <w:tc>
          <w:tcPr>
            <w:tcW w:w="2654" w:type="pct"/>
            <w:shd w:val="clear" w:color="auto" w:fill="auto"/>
            <w:vAlign w:val="center"/>
          </w:tcPr>
          <w:p w14:paraId="4BA30A50">
            <w:pPr>
              <w:pStyle w:val="16"/>
            </w:pPr>
            <w:r>
              <w:rPr>
                <w:rFonts w:hint="eastAsia"/>
              </w:rPr>
              <w:t>公路水运工程安全生产监督管理办法</w:t>
            </w:r>
          </w:p>
        </w:tc>
        <w:tc>
          <w:tcPr>
            <w:tcW w:w="641" w:type="pct"/>
            <w:vMerge w:val="restart"/>
            <w:shd w:val="clear" w:color="auto" w:fill="auto"/>
            <w:vAlign w:val="center"/>
          </w:tcPr>
          <w:p w14:paraId="48CF72FB">
            <w:pPr>
              <w:pStyle w:val="16"/>
            </w:pPr>
            <w:r>
              <w:rPr>
                <w:rFonts w:hint="eastAsia"/>
              </w:rPr>
              <w:t>交通运输部</w:t>
            </w:r>
          </w:p>
        </w:tc>
      </w:tr>
      <w:tr w14:paraId="42ED3A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8" w:type="pct"/>
            <w:shd w:val="clear" w:color="auto" w:fill="auto"/>
            <w:vAlign w:val="center"/>
          </w:tcPr>
          <w:p w14:paraId="5C9B57E2">
            <w:pPr>
              <w:pStyle w:val="16"/>
              <w:numPr>
                <w:ilvl w:val="0"/>
                <w:numId w:val="7"/>
              </w:numPr>
            </w:pPr>
          </w:p>
        </w:tc>
        <w:tc>
          <w:tcPr>
            <w:tcW w:w="1284" w:type="pct"/>
            <w:shd w:val="clear" w:color="auto" w:fill="auto"/>
            <w:vAlign w:val="center"/>
          </w:tcPr>
          <w:p w14:paraId="4E875018">
            <w:pPr>
              <w:pStyle w:val="16"/>
            </w:pPr>
            <w:r>
              <w:t>JTG F9-2015</w:t>
            </w:r>
          </w:p>
        </w:tc>
        <w:tc>
          <w:tcPr>
            <w:tcW w:w="2654" w:type="pct"/>
            <w:shd w:val="clear" w:color="auto" w:fill="auto"/>
            <w:vAlign w:val="center"/>
          </w:tcPr>
          <w:p w14:paraId="38187E23">
            <w:pPr>
              <w:pStyle w:val="16"/>
            </w:pPr>
            <w:r>
              <w:rPr>
                <w:rFonts w:hint="eastAsia"/>
              </w:rPr>
              <w:t>公路工程施工安全技术规范</w:t>
            </w:r>
          </w:p>
        </w:tc>
        <w:tc>
          <w:tcPr>
            <w:tcW w:w="641" w:type="pct"/>
            <w:vMerge w:val="continue"/>
            <w:shd w:val="clear" w:color="auto" w:fill="auto"/>
            <w:vAlign w:val="center"/>
          </w:tcPr>
          <w:p w14:paraId="1EABE141">
            <w:pPr>
              <w:pStyle w:val="16"/>
            </w:pPr>
          </w:p>
        </w:tc>
      </w:tr>
      <w:tr w14:paraId="662029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21EE046F">
            <w:pPr>
              <w:pStyle w:val="16"/>
              <w:numPr>
                <w:ilvl w:val="0"/>
                <w:numId w:val="7"/>
              </w:numPr>
            </w:pPr>
          </w:p>
        </w:tc>
        <w:tc>
          <w:tcPr>
            <w:tcW w:w="1284" w:type="pct"/>
            <w:shd w:val="clear" w:color="auto" w:fill="auto"/>
            <w:vAlign w:val="center"/>
          </w:tcPr>
          <w:p w14:paraId="432CCBAC">
            <w:pPr>
              <w:pStyle w:val="16"/>
            </w:pPr>
            <w:r>
              <w:rPr>
                <w:rFonts w:hint="eastAsia"/>
              </w:rPr>
              <w:t>GB</w:t>
            </w:r>
            <w:r>
              <w:t xml:space="preserve"> </w:t>
            </w:r>
            <w:r>
              <w:rPr>
                <w:rFonts w:hint="eastAsia"/>
              </w:rPr>
              <w:t>50278-2010</w:t>
            </w:r>
          </w:p>
        </w:tc>
        <w:tc>
          <w:tcPr>
            <w:tcW w:w="2654" w:type="pct"/>
            <w:shd w:val="clear" w:color="auto" w:fill="auto"/>
            <w:vAlign w:val="center"/>
          </w:tcPr>
          <w:p w14:paraId="288E6BEA">
            <w:pPr>
              <w:pStyle w:val="16"/>
            </w:pPr>
            <w:r>
              <w:rPr>
                <w:rFonts w:hint="eastAsia"/>
              </w:rPr>
              <w:t>起重设备安装工程施工及验收规范</w:t>
            </w:r>
          </w:p>
        </w:tc>
        <w:tc>
          <w:tcPr>
            <w:tcW w:w="641" w:type="pct"/>
            <w:vMerge w:val="restart"/>
            <w:shd w:val="clear" w:color="auto" w:fill="auto"/>
            <w:vAlign w:val="center"/>
          </w:tcPr>
          <w:p w14:paraId="7ACEAF18">
            <w:pPr>
              <w:pStyle w:val="16"/>
            </w:pPr>
            <w:r>
              <w:rPr>
                <w:rFonts w:hint="eastAsia"/>
              </w:rPr>
              <w:t>国家标准</w:t>
            </w:r>
          </w:p>
        </w:tc>
      </w:tr>
      <w:tr w14:paraId="5A72E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AEB925C">
            <w:pPr>
              <w:pStyle w:val="16"/>
              <w:numPr>
                <w:ilvl w:val="0"/>
                <w:numId w:val="7"/>
              </w:numPr>
            </w:pPr>
          </w:p>
        </w:tc>
        <w:tc>
          <w:tcPr>
            <w:tcW w:w="1284" w:type="pct"/>
            <w:shd w:val="clear" w:color="auto" w:fill="auto"/>
            <w:vAlign w:val="center"/>
          </w:tcPr>
          <w:p w14:paraId="3A5ABC52">
            <w:pPr>
              <w:pStyle w:val="16"/>
            </w:pPr>
            <w:r>
              <w:rPr>
                <w:rFonts w:hint="eastAsia"/>
              </w:rPr>
              <w:t>GB 50231-2009</w:t>
            </w:r>
          </w:p>
        </w:tc>
        <w:tc>
          <w:tcPr>
            <w:tcW w:w="2654" w:type="pct"/>
            <w:shd w:val="clear" w:color="auto" w:fill="auto"/>
            <w:vAlign w:val="center"/>
          </w:tcPr>
          <w:p w14:paraId="45F77B04">
            <w:pPr>
              <w:pStyle w:val="16"/>
            </w:pPr>
            <w:r>
              <w:rPr>
                <w:rFonts w:hint="eastAsia"/>
              </w:rPr>
              <w:t>机械设备安装工程施工及验收通用规范</w:t>
            </w:r>
          </w:p>
        </w:tc>
        <w:tc>
          <w:tcPr>
            <w:tcW w:w="641" w:type="pct"/>
            <w:vMerge w:val="continue"/>
            <w:shd w:val="clear" w:color="auto" w:fill="auto"/>
            <w:vAlign w:val="center"/>
          </w:tcPr>
          <w:p w14:paraId="42373181">
            <w:pPr>
              <w:pStyle w:val="16"/>
            </w:pPr>
          </w:p>
        </w:tc>
      </w:tr>
      <w:tr w14:paraId="1D7DB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63AD092">
            <w:pPr>
              <w:pStyle w:val="16"/>
              <w:numPr>
                <w:ilvl w:val="0"/>
                <w:numId w:val="7"/>
              </w:numPr>
            </w:pPr>
          </w:p>
        </w:tc>
        <w:tc>
          <w:tcPr>
            <w:tcW w:w="1284" w:type="pct"/>
            <w:shd w:val="clear" w:color="auto" w:fill="auto"/>
            <w:vAlign w:val="center"/>
          </w:tcPr>
          <w:p w14:paraId="1960183B">
            <w:pPr>
              <w:pStyle w:val="16"/>
            </w:pPr>
            <w:r>
              <w:rPr>
                <w:rFonts w:hint="eastAsia"/>
              </w:rPr>
              <w:t>GB 50256-2014</w:t>
            </w:r>
          </w:p>
        </w:tc>
        <w:tc>
          <w:tcPr>
            <w:tcW w:w="2654" w:type="pct"/>
            <w:shd w:val="clear" w:color="auto" w:fill="auto"/>
            <w:vAlign w:val="center"/>
          </w:tcPr>
          <w:p w14:paraId="168E42D6">
            <w:pPr>
              <w:pStyle w:val="16"/>
            </w:pPr>
            <w:r>
              <w:rPr>
                <w:rFonts w:hint="eastAsia"/>
              </w:rPr>
              <w:t>电气装置安装工程起重机电气装置施工及验收规范</w:t>
            </w:r>
          </w:p>
        </w:tc>
        <w:tc>
          <w:tcPr>
            <w:tcW w:w="641" w:type="pct"/>
            <w:vMerge w:val="continue"/>
            <w:shd w:val="clear" w:color="auto" w:fill="auto"/>
            <w:vAlign w:val="center"/>
          </w:tcPr>
          <w:p w14:paraId="6AA6D672">
            <w:pPr>
              <w:pStyle w:val="16"/>
            </w:pPr>
          </w:p>
        </w:tc>
      </w:tr>
      <w:tr w14:paraId="713EB8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79F941F2">
            <w:pPr>
              <w:pStyle w:val="16"/>
              <w:numPr>
                <w:ilvl w:val="0"/>
                <w:numId w:val="7"/>
              </w:numPr>
            </w:pPr>
          </w:p>
        </w:tc>
        <w:tc>
          <w:tcPr>
            <w:tcW w:w="1284" w:type="pct"/>
            <w:shd w:val="clear" w:color="auto" w:fill="auto"/>
            <w:vAlign w:val="center"/>
          </w:tcPr>
          <w:p w14:paraId="6A63D68D">
            <w:pPr>
              <w:pStyle w:val="16"/>
            </w:pPr>
            <w:r>
              <w:rPr>
                <w:rFonts w:hint="eastAsia"/>
              </w:rPr>
              <w:t>GB 50009-2012</w:t>
            </w:r>
          </w:p>
        </w:tc>
        <w:tc>
          <w:tcPr>
            <w:tcW w:w="2654" w:type="pct"/>
            <w:shd w:val="clear" w:color="auto" w:fill="auto"/>
            <w:vAlign w:val="center"/>
          </w:tcPr>
          <w:p w14:paraId="132ABFF5">
            <w:pPr>
              <w:pStyle w:val="16"/>
            </w:pPr>
            <w:r>
              <w:rPr>
                <w:rFonts w:hint="eastAsia"/>
              </w:rPr>
              <w:t>建筑结构荷载规范</w:t>
            </w:r>
          </w:p>
        </w:tc>
        <w:tc>
          <w:tcPr>
            <w:tcW w:w="641" w:type="pct"/>
            <w:vMerge w:val="continue"/>
            <w:shd w:val="clear" w:color="auto" w:fill="auto"/>
            <w:vAlign w:val="center"/>
          </w:tcPr>
          <w:p w14:paraId="6A12E096">
            <w:pPr>
              <w:pStyle w:val="16"/>
            </w:pPr>
          </w:p>
        </w:tc>
      </w:tr>
      <w:tr w14:paraId="2D2F8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E342B92">
            <w:pPr>
              <w:pStyle w:val="16"/>
              <w:numPr>
                <w:ilvl w:val="0"/>
                <w:numId w:val="7"/>
              </w:numPr>
            </w:pPr>
          </w:p>
        </w:tc>
        <w:tc>
          <w:tcPr>
            <w:tcW w:w="1284" w:type="pct"/>
            <w:shd w:val="clear" w:color="auto" w:fill="auto"/>
            <w:vAlign w:val="center"/>
          </w:tcPr>
          <w:p w14:paraId="02783AB6">
            <w:pPr>
              <w:pStyle w:val="16"/>
            </w:pPr>
            <w:r>
              <w:rPr>
                <w:rFonts w:hint="eastAsia"/>
              </w:rPr>
              <w:t>GB 50007-2011</w:t>
            </w:r>
          </w:p>
        </w:tc>
        <w:tc>
          <w:tcPr>
            <w:tcW w:w="2654" w:type="pct"/>
            <w:shd w:val="clear" w:color="auto" w:fill="auto"/>
            <w:vAlign w:val="center"/>
          </w:tcPr>
          <w:p w14:paraId="59711435">
            <w:pPr>
              <w:pStyle w:val="16"/>
            </w:pPr>
            <w:r>
              <w:rPr>
                <w:rFonts w:hint="eastAsia"/>
              </w:rPr>
              <w:t>建筑地基基础设计规范</w:t>
            </w:r>
          </w:p>
        </w:tc>
        <w:tc>
          <w:tcPr>
            <w:tcW w:w="641" w:type="pct"/>
            <w:vMerge w:val="continue"/>
            <w:shd w:val="clear" w:color="auto" w:fill="auto"/>
            <w:vAlign w:val="center"/>
          </w:tcPr>
          <w:p w14:paraId="62212905">
            <w:pPr>
              <w:pStyle w:val="16"/>
            </w:pPr>
          </w:p>
        </w:tc>
      </w:tr>
      <w:tr w14:paraId="4176F3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373B530">
            <w:pPr>
              <w:pStyle w:val="16"/>
              <w:numPr>
                <w:ilvl w:val="0"/>
                <w:numId w:val="7"/>
              </w:numPr>
            </w:pPr>
          </w:p>
        </w:tc>
        <w:tc>
          <w:tcPr>
            <w:tcW w:w="1284" w:type="pct"/>
            <w:shd w:val="clear" w:color="auto" w:fill="auto"/>
            <w:vAlign w:val="center"/>
          </w:tcPr>
          <w:p w14:paraId="58FAA9A9">
            <w:pPr>
              <w:pStyle w:val="16"/>
            </w:pPr>
            <w:r>
              <w:rPr>
                <w:rFonts w:hint="eastAsia"/>
              </w:rPr>
              <w:t>GB 10055-2007</w:t>
            </w:r>
          </w:p>
        </w:tc>
        <w:tc>
          <w:tcPr>
            <w:tcW w:w="2654" w:type="pct"/>
            <w:shd w:val="clear" w:color="auto" w:fill="auto"/>
            <w:vAlign w:val="center"/>
          </w:tcPr>
          <w:p w14:paraId="234B8D37">
            <w:pPr>
              <w:pStyle w:val="16"/>
            </w:pPr>
            <w:r>
              <w:rPr>
                <w:rFonts w:hint="eastAsia"/>
              </w:rPr>
              <w:t>施工升降机安全规程</w:t>
            </w:r>
          </w:p>
        </w:tc>
        <w:tc>
          <w:tcPr>
            <w:tcW w:w="641" w:type="pct"/>
            <w:vMerge w:val="continue"/>
            <w:shd w:val="clear" w:color="auto" w:fill="auto"/>
            <w:vAlign w:val="center"/>
          </w:tcPr>
          <w:p w14:paraId="24754223">
            <w:pPr>
              <w:pStyle w:val="16"/>
            </w:pPr>
          </w:p>
        </w:tc>
      </w:tr>
      <w:tr w14:paraId="26296E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B60F931">
            <w:pPr>
              <w:pStyle w:val="16"/>
              <w:numPr>
                <w:ilvl w:val="0"/>
                <w:numId w:val="7"/>
              </w:numPr>
            </w:pPr>
          </w:p>
        </w:tc>
        <w:tc>
          <w:tcPr>
            <w:tcW w:w="1284" w:type="pct"/>
            <w:shd w:val="clear" w:color="auto" w:fill="auto"/>
            <w:vAlign w:val="center"/>
          </w:tcPr>
          <w:p w14:paraId="224477F6">
            <w:pPr>
              <w:pStyle w:val="16"/>
            </w:pPr>
            <w:r>
              <w:rPr>
                <w:rFonts w:hint="eastAsia"/>
              </w:rPr>
              <w:t>GB</w:t>
            </w:r>
            <w:r>
              <w:t xml:space="preserve"> 8918-2006</w:t>
            </w:r>
          </w:p>
        </w:tc>
        <w:tc>
          <w:tcPr>
            <w:tcW w:w="2654" w:type="pct"/>
            <w:shd w:val="clear" w:color="auto" w:fill="auto"/>
            <w:vAlign w:val="center"/>
          </w:tcPr>
          <w:p w14:paraId="37BAE3D2">
            <w:pPr>
              <w:pStyle w:val="16"/>
            </w:pPr>
            <w:r>
              <w:rPr>
                <w:rFonts w:hint="eastAsia"/>
              </w:rPr>
              <w:t>重要用途钢丝绳</w:t>
            </w:r>
          </w:p>
        </w:tc>
        <w:tc>
          <w:tcPr>
            <w:tcW w:w="641" w:type="pct"/>
            <w:vMerge w:val="continue"/>
            <w:shd w:val="clear" w:color="auto" w:fill="auto"/>
            <w:vAlign w:val="center"/>
          </w:tcPr>
          <w:p w14:paraId="17C2C5C2">
            <w:pPr>
              <w:pStyle w:val="16"/>
            </w:pPr>
          </w:p>
        </w:tc>
      </w:tr>
      <w:tr w14:paraId="68C2B5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E8037B5">
            <w:pPr>
              <w:pStyle w:val="16"/>
              <w:numPr>
                <w:ilvl w:val="0"/>
                <w:numId w:val="7"/>
              </w:numPr>
            </w:pPr>
          </w:p>
        </w:tc>
        <w:tc>
          <w:tcPr>
            <w:tcW w:w="1284" w:type="pct"/>
            <w:shd w:val="clear" w:color="auto" w:fill="auto"/>
            <w:vAlign w:val="center"/>
          </w:tcPr>
          <w:p w14:paraId="37E5D81F">
            <w:pPr>
              <w:pStyle w:val="16"/>
            </w:pPr>
            <w:r>
              <w:rPr>
                <w:rFonts w:hint="eastAsia"/>
              </w:rPr>
              <w:t>GB</w:t>
            </w:r>
            <w:r>
              <w:t>/</w:t>
            </w:r>
            <w:r>
              <w:rPr>
                <w:rFonts w:hint="eastAsia"/>
              </w:rPr>
              <w:t>T 26557-2021</w:t>
            </w:r>
          </w:p>
        </w:tc>
        <w:tc>
          <w:tcPr>
            <w:tcW w:w="2654" w:type="pct"/>
            <w:shd w:val="clear" w:color="auto" w:fill="auto"/>
            <w:vAlign w:val="center"/>
          </w:tcPr>
          <w:p w14:paraId="07A0EE0A">
            <w:pPr>
              <w:pStyle w:val="16"/>
            </w:pPr>
            <w:r>
              <w:rPr>
                <w:rFonts w:hint="eastAsia"/>
              </w:rPr>
              <w:t>吊笼有垂直导向的人货两用施工升降机</w:t>
            </w:r>
          </w:p>
        </w:tc>
        <w:tc>
          <w:tcPr>
            <w:tcW w:w="641" w:type="pct"/>
            <w:vMerge w:val="continue"/>
            <w:shd w:val="clear" w:color="auto" w:fill="auto"/>
            <w:vAlign w:val="center"/>
          </w:tcPr>
          <w:p w14:paraId="43D8A1C4">
            <w:pPr>
              <w:pStyle w:val="16"/>
            </w:pPr>
          </w:p>
        </w:tc>
      </w:tr>
      <w:tr w14:paraId="62FCBC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0BA7694">
            <w:pPr>
              <w:pStyle w:val="16"/>
              <w:numPr>
                <w:ilvl w:val="0"/>
                <w:numId w:val="7"/>
              </w:numPr>
            </w:pPr>
          </w:p>
        </w:tc>
        <w:tc>
          <w:tcPr>
            <w:tcW w:w="1284" w:type="pct"/>
            <w:shd w:val="clear" w:color="auto" w:fill="auto"/>
            <w:vAlign w:val="center"/>
          </w:tcPr>
          <w:p w14:paraId="5C63B546">
            <w:pPr>
              <w:pStyle w:val="16"/>
            </w:pPr>
            <w:r>
              <w:t>GB/</w:t>
            </w:r>
            <w:r>
              <w:rPr>
                <w:rFonts w:hint="eastAsia"/>
              </w:rPr>
              <w:t>T 33640-2017</w:t>
            </w:r>
          </w:p>
        </w:tc>
        <w:tc>
          <w:tcPr>
            <w:tcW w:w="2654" w:type="pct"/>
            <w:shd w:val="clear" w:color="auto" w:fill="auto"/>
            <w:vAlign w:val="center"/>
          </w:tcPr>
          <w:p w14:paraId="782E3064">
            <w:pPr>
              <w:pStyle w:val="16"/>
            </w:pPr>
            <w:r>
              <w:rPr>
                <w:rFonts w:hint="eastAsia"/>
              </w:rPr>
              <w:t>齿轮齿条式人货两用施工升降机安装质量检验规程</w:t>
            </w:r>
          </w:p>
        </w:tc>
        <w:tc>
          <w:tcPr>
            <w:tcW w:w="641" w:type="pct"/>
            <w:vMerge w:val="continue"/>
            <w:shd w:val="clear" w:color="auto" w:fill="auto"/>
            <w:vAlign w:val="center"/>
          </w:tcPr>
          <w:p w14:paraId="1F037719">
            <w:pPr>
              <w:pStyle w:val="16"/>
            </w:pPr>
          </w:p>
        </w:tc>
      </w:tr>
      <w:tr w14:paraId="51DB04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7584AB8">
            <w:pPr>
              <w:pStyle w:val="16"/>
              <w:numPr>
                <w:ilvl w:val="0"/>
                <w:numId w:val="7"/>
              </w:numPr>
            </w:pPr>
          </w:p>
        </w:tc>
        <w:tc>
          <w:tcPr>
            <w:tcW w:w="1284" w:type="pct"/>
            <w:shd w:val="clear" w:color="auto" w:fill="auto"/>
            <w:vAlign w:val="center"/>
          </w:tcPr>
          <w:p w14:paraId="71375772">
            <w:pPr>
              <w:pStyle w:val="16"/>
            </w:pPr>
            <w:r>
              <w:t>GB/T</w:t>
            </w:r>
            <w:r>
              <w:rPr>
                <w:rFonts w:hint="eastAsia"/>
              </w:rPr>
              <w:t xml:space="preserve"> 34023-2017</w:t>
            </w:r>
          </w:p>
        </w:tc>
        <w:tc>
          <w:tcPr>
            <w:tcW w:w="2654" w:type="pct"/>
            <w:shd w:val="clear" w:color="auto" w:fill="auto"/>
            <w:vAlign w:val="center"/>
          </w:tcPr>
          <w:p w14:paraId="7322B21D">
            <w:pPr>
              <w:pStyle w:val="16"/>
            </w:pPr>
            <w:r>
              <w:rPr>
                <w:rFonts w:hint="eastAsia"/>
              </w:rPr>
              <w:t>施工升降机安全使用规程</w:t>
            </w:r>
          </w:p>
        </w:tc>
        <w:tc>
          <w:tcPr>
            <w:tcW w:w="641" w:type="pct"/>
            <w:vMerge w:val="continue"/>
            <w:shd w:val="clear" w:color="auto" w:fill="auto"/>
            <w:vAlign w:val="center"/>
          </w:tcPr>
          <w:p w14:paraId="1517EC90">
            <w:pPr>
              <w:pStyle w:val="16"/>
            </w:pPr>
          </w:p>
        </w:tc>
      </w:tr>
      <w:tr w14:paraId="3DFDF1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A4FAC80">
            <w:pPr>
              <w:pStyle w:val="16"/>
              <w:numPr>
                <w:ilvl w:val="0"/>
                <w:numId w:val="7"/>
              </w:numPr>
            </w:pPr>
          </w:p>
        </w:tc>
        <w:tc>
          <w:tcPr>
            <w:tcW w:w="1284" w:type="pct"/>
            <w:shd w:val="clear" w:color="auto" w:fill="auto"/>
            <w:vAlign w:val="center"/>
          </w:tcPr>
          <w:p w14:paraId="3D999F2A">
            <w:pPr>
              <w:pStyle w:val="16"/>
            </w:pPr>
            <w:r>
              <w:rPr>
                <w:rFonts w:hint="eastAsia"/>
              </w:rPr>
              <w:t>GB/T 16762-2020</w:t>
            </w:r>
          </w:p>
        </w:tc>
        <w:tc>
          <w:tcPr>
            <w:tcW w:w="2654" w:type="pct"/>
            <w:shd w:val="clear" w:color="auto" w:fill="auto"/>
            <w:vAlign w:val="center"/>
          </w:tcPr>
          <w:p w14:paraId="497BE0FA">
            <w:pPr>
              <w:pStyle w:val="16"/>
            </w:pPr>
            <w:r>
              <w:rPr>
                <w:rFonts w:hint="eastAsia"/>
              </w:rPr>
              <w:t>一般用途钢丝绳吊索特性和技术条件</w:t>
            </w:r>
          </w:p>
        </w:tc>
        <w:tc>
          <w:tcPr>
            <w:tcW w:w="641" w:type="pct"/>
            <w:vMerge w:val="continue"/>
            <w:shd w:val="clear" w:color="auto" w:fill="auto"/>
            <w:vAlign w:val="center"/>
          </w:tcPr>
          <w:p w14:paraId="3072C50B">
            <w:pPr>
              <w:pStyle w:val="16"/>
            </w:pPr>
          </w:p>
        </w:tc>
      </w:tr>
      <w:tr w14:paraId="506BA2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523588D3">
            <w:pPr>
              <w:pStyle w:val="16"/>
              <w:numPr>
                <w:ilvl w:val="0"/>
                <w:numId w:val="7"/>
              </w:numPr>
            </w:pPr>
          </w:p>
        </w:tc>
        <w:tc>
          <w:tcPr>
            <w:tcW w:w="1284" w:type="pct"/>
            <w:shd w:val="clear" w:color="auto" w:fill="auto"/>
            <w:vAlign w:val="center"/>
          </w:tcPr>
          <w:p w14:paraId="6ACEEE0D">
            <w:pPr>
              <w:pStyle w:val="16"/>
            </w:pPr>
            <w:r>
              <w:t>GB/T 25854-2010</w:t>
            </w:r>
          </w:p>
        </w:tc>
        <w:tc>
          <w:tcPr>
            <w:tcW w:w="2654" w:type="pct"/>
            <w:shd w:val="clear" w:color="auto" w:fill="auto"/>
            <w:vAlign w:val="center"/>
          </w:tcPr>
          <w:p w14:paraId="1F8F5C0A">
            <w:pPr>
              <w:pStyle w:val="16"/>
            </w:pPr>
            <w:r>
              <w:t>一般起重用D形和弓形锻造卸扣</w:t>
            </w:r>
          </w:p>
        </w:tc>
        <w:tc>
          <w:tcPr>
            <w:tcW w:w="641" w:type="pct"/>
            <w:vMerge w:val="continue"/>
            <w:shd w:val="clear" w:color="auto" w:fill="auto"/>
            <w:vAlign w:val="center"/>
          </w:tcPr>
          <w:p w14:paraId="59CAB416">
            <w:pPr>
              <w:pStyle w:val="16"/>
            </w:pPr>
          </w:p>
        </w:tc>
      </w:tr>
      <w:tr w14:paraId="2A245D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4C4AF73E">
            <w:pPr>
              <w:pStyle w:val="16"/>
              <w:numPr>
                <w:ilvl w:val="0"/>
                <w:numId w:val="7"/>
              </w:numPr>
            </w:pPr>
          </w:p>
        </w:tc>
        <w:tc>
          <w:tcPr>
            <w:tcW w:w="1284" w:type="pct"/>
            <w:shd w:val="clear" w:color="auto" w:fill="auto"/>
            <w:vAlign w:val="center"/>
          </w:tcPr>
          <w:p w14:paraId="72FBEFEB">
            <w:pPr>
              <w:pStyle w:val="16"/>
            </w:pPr>
            <w:r>
              <w:t>GB/T 11345</w:t>
            </w:r>
            <w:r>
              <w:rPr>
                <w:rFonts w:hint="eastAsia"/>
              </w:rPr>
              <w:t>-</w:t>
            </w:r>
            <w:r>
              <w:t>2015</w:t>
            </w:r>
          </w:p>
        </w:tc>
        <w:tc>
          <w:tcPr>
            <w:tcW w:w="2654" w:type="pct"/>
            <w:shd w:val="clear" w:color="auto" w:fill="auto"/>
            <w:vAlign w:val="center"/>
          </w:tcPr>
          <w:p w14:paraId="463007E0">
            <w:pPr>
              <w:pStyle w:val="16"/>
            </w:pPr>
            <w:r>
              <w:t>钢焊缝手工超声波探伤方法和探伤结果分级</w:t>
            </w:r>
          </w:p>
        </w:tc>
        <w:tc>
          <w:tcPr>
            <w:tcW w:w="641" w:type="pct"/>
            <w:vMerge w:val="continue"/>
            <w:shd w:val="clear" w:color="auto" w:fill="auto"/>
            <w:vAlign w:val="center"/>
          </w:tcPr>
          <w:p w14:paraId="3BAAFFCE">
            <w:pPr>
              <w:pStyle w:val="16"/>
            </w:pPr>
          </w:p>
        </w:tc>
      </w:tr>
      <w:tr w14:paraId="22758D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0FB8801C">
            <w:pPr>
              <w:pStyle w:val="16"/>
              <w:numPr>
                <w:ilvl w:val="0"/>
                <w:numId w:val="7"/>
              </w:numPr>
            </w:pPr>
          </w:p>
        </w:tc>
        <w:tc>
          <w:tcPr>
            <w:tcW w:w="1284" w:type="pct"/>
            <w:shd w:val="clear" w:color="auto" w:fill="auto"/>
            <w:vAlign w:val="center"/>
          </w:tcPr>
          <w:p w14:paraId="341779A8">
            <w:pPr>
              <w:pStyle w:val="16"/>
            </w:pPr>
          </w:p>
        </w:tc>
        <w:tc>
          <w:tcPr>
            <w:tcW w:w="2654" w:type="pct"/>
            <w:shd w:val="clear" w:color="auto" w:fill="auto"/>
            <w:vAlign w:val="center"/>
          </w:tcPr>
          <w:p w14:paraId="03A2E073">
            <w:pPr>
              <w:pStyle w:val="16"/>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SC160</w:t>
            </w:r>
            <w:r>
              <w:fldChar w:fldCharType="end"/>
            </w:r>
            <w:r>
              <w:fldChar w:fldCharType="begin"/>
            </w:r>
            <w:r>
              <w:instrText xml:space="preserve"> REF 设备类型 \h  \* MERGEFORMAT </w:instrText>
            </w:r>
            <w:r>
              <w:fldChar w:fldCharType="separate"/>
            </w:r>
            <w:r>
              <w:rPr>
                <w:rFonts w:hint="eastAsia"/>
              </w:rPr>
              <w:t>施工升降机</w:t>
            </w:r>
            <w:r>
              <w:fldChar w:fldCharType="end"/>
            </w:r>
            <w:r>
              <w:rPr>
                <w:rFonts w:hint="eastAsia"/>
              </w:rPr>
              <w:t>说明书</w:t>
            </w:r>
          </w:p>
        </w:tc>
        <w:tc>
          <w:tcPr>
            <w:tcW w:w="641" w:type="pct"/>
            <w:vMerge w:val="restart"/>
            <w:shd w:val="clear" w:color="auto" w:fill="auto"/>
            <w:vAlign w:val="center"/>
          </w:tcPr>
          <w:p w14:paraId="1A895B05">
            <w:pPr>
              <w:pStyle w:val="16"/>
            </w:pPr>
            <w:r>
              <w:rPr>
                <w:rFonts w:hint="eastAsia"/>
              </w:rPr>
              <w:t>技术资料</w:t>
            </w:r>
          </w:p>
        </w:tc>
      </w:tr>
      <w:tr w14:paraId="481F6D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418" w:type="pct"/>
            <w:shd w:val="clear" w:color="auto" w:fill="auto"/>
            <w:vAlign w:val="center"/>
          </w:tcPr>
          <w:p w14:paraId="12D4B4BF">
            <w:pPr>
              <w:pStyle w:val="16"/>
              <w:numPr>
                <w:ilvl w:val="0"/>
                <w:numId w:val="7"/>
              </w:numPr>
            </w:pPr>
          </w:p>
        </w:tc>
        <w:tc>
          <w:tcPr>
            <w:tcW w:w="1284" w:type="pct"/>
            <w:shd w:val="clear" w:color="auto" w:fill="auto"/>
            <w:vAlign w:val="center"/>
          </w:tcPr>
          <w:p w14:paraId="0526BFB5">
            <w:pPr>
              <w:pStyle w:val="16"/>
            </w:pPr>
          </w:p>
        </w:tc>
        <w:tc>
          <w:tcPr>
            <w:tcW w:w="2654" w:type="pct"/>
            <w:shd w:val="clear" w:color="auto" w:fill="auto"/>
            <w:vAlign w:val="center"/>
          </w:tcPr>
          <w:p w14:paraId="3A953EB2">
            <w:pPr>
              <w:pStyle w:val="16"/>
            </w:pPr>
            <w:r>
              <w:fldChar w:fldCharType="begin"/>
            </w:r>
            <w:r>
              <w:instrText xml:space="preserve"> </w:instrText>
            </w:r>
            <w:r>
              <w:rPr>
                <w:rFonts w:hint="eastAsia"/>
              </w:rPr>
              <w:instrText xml:space="preserve">REF 起重设备1型号 \h</w:instrText>
            </w:r>
            <w:r>
              <w:instrText xml:space="preserve"> </w:instrText>
            </w:r>
            <w:r>
              <w:fldChar w:fldCharType="separate"/>
            </w:r>
            <w:r>
              <w:rPr>
                <w:rFonts w:hint="eastAsia"/>
                <w:lang w:eastAsia="zh-CN"/>
              </w:rPr>
              <w:t>XGT8040A-25</w:t>
            </w:r>
            <w:r>
              <w:fldChar w:fldCharType="end"/>
            </w:r>
            <w:r>
              <w:fldChar w:fldCharType="begin"/>
            </w:r>
            <w:r>
              <w:instrText xml:space="preserve"> REF 起重设备1类型 \h </w:instrText>
            </w:r>
            <w:r>
              <w:fldChar w:fldCharType="separate"/>
            </w:r>
            <w:r>
              <w:rPr>
                <w:rFonts w:hint="eastAsia"/>
              </w:rPr>
              <w:t>塔式起重机</w:t>
            </w:r>
            <w:r>
              <w:fldChar w:fldCharType="end"/>
            </w:r>
            <w:r>
              <w:rPr>
                <w:rFonts w:hint="eastAsia"/>
              </w:rPr>
              <w:t>资料</w:t>
            </w:r>
          </w:p>
        </w:tc>
        <w:tc>
          <w:tcPr>
            <w:tcW w:w="641" w:type="pct"/>
            <w:vMerge w:val="continue"/>
            <w:shd w:val="clear" w:color="auto" w:fill="auto"/>
            <w:vAlign w:val="center"/>
          </w:tcPr>
          <w:p w14:paraId="0A93187F">
            <w:pPr>
              <w:pStyle w:val="16"/>
            </w:pPr>
          </w:p>
        </w:tc>
      </w:tr>
    </w:tbl>
    <w:p w14:paraId="3413FFB0">
      <w:pPr>
        <w:pStyle w:val="3"/>
      </w:pPr>
      <w:bookmarkStart w:id="19" w:name="_Toc18665"/>
      <w:bookmarkStart w:id="20" w:name="_Toc15927"/>
      <w:r>
        <w:rPr>
          <w:rFonts w:hint="eastAsia"/>
        </w:rPr>
        <w:t>适用范围</w:t>
      </w:r>
      <w:bookmarkEnd w:id="19"/>
      <w:bookmarkEnd w:id="20"/>
    </w:p>
    <w:p w14:paraId="047F79FE">
      <w:pPr>
        <w:ind w:firstLine="480"/>
      </w:pPr>
      <w:bookmarkStart w:id="21" w:name="_Toc40778431"/>
      <w:bookmarkStart w:id="22" w:name="_Toc17866"/>
      <w:r>
        <w:rPr>
          <w:rFonts w:hint="eastAsia"/>
        </w:rPr>
        <w:t>本方案适用于</w:t>
      </w:r>
      <w:r>
        <w:fldChar w:fldCharType="begin"/>
      </w:r>
      <w:r>
        <w:instrText xml:space="preserve"> </w:instrText>
      </w:r>
      <w:r>
        <w:rPr>
          <w:rFonts w:hint="eastAsia"/>
        </w:rPr>
        <w:instrText xml:space="preserve">REF 项目名称</w:instrText>
      </w:r>
      <w:r>
        <w:instrText xml:space="preserve"> </w:instrText>
      </w:r>
      <w:r>
        <w:fldChar w:fldCharType="separate"/>
      </w:r>
      <w:r>
        <w:rPr>
          <w:rFonts w:hint="eastAsia"/>
          <w:bCs/>
          <w:lang w:eastAsia="zh-CN"/>
        </w:rPr>
        <w:t>十堰经镇坪至巫溪高速公路溢水至镇坪段SWYZ-2标</w:t>
      </w:r>
      <w:r>
        <w:fldChar w:fldCharType="end"/>
      </w:r>
      <w:r>
        <w:fldChar w:fldCharType="begin"/>
      </w:r>
      <w:r>
        <w:instrText xml:space="preserve"> REF 设备位置 \h </w:instrText>
      </w:r>
      <w:r>
        <w:fldChar w:fldCharType="separate"/>
      </w:r>
      <w:r>
        <w:rPr>
          <w:rFonts w:hint="eastAsia"/>
          <w:lang w:eastAsia="zh-CN"/>
        </w:rPr>
        <w:t>新洲特大桥索塔</w:t>
      </w:r>
      <w:r>
        <w:fldChar w:fldCharType="end"/>
      </w:r>
      <w:r>
        <w:rPr>
          <w:rFonts w:hint="eastAsia"/>
          <w:lang w:val="en-US" w:eastAsia="zh-CN"/>
        </w:rPr>
        <w:t>2</w:t>
      </w:r>
      <w:r>
        <w:rPr>
          <w:rFonts w:hint="eastAsia"/>
        </w:rPr>
        <w:t>台</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SC160</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安装（拆除）施工作业</w:t>
      </w:r>
      <w:r>
        <w:t>，主要包括</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的</w:t>
      </w:r>
      <w:r>
        <w:t>安装、</w:t>
      </w:r>
      <w:r>
        <w:rPr>
          <w:rFonts w:hint="eastAsia"/>
        </w:rPr>
        <w:t>导轨架加高</w:t>
      </w:r>
      <w:r>
        <w:t>、扶墙施工、拆除等施工有关的工艺流程、注意事项及验收标准</w:t>
      </w:r>
      <w:r>
        <w:rPr>
          <w:rFonts w:hint="eastAsia"/>
        </w:rPr>
        <w:t>。</w:t>
      </w:r>
    </w:p>
    <w:p w14:paraId="5521AB5C">
      <w:pPr>
        <w:ind w:firstLine="480"/>
      </w:pPr>
      <w:r>
        <w:br w:type="page"/>
      </w:r>
    </w:p>
    <w:p w14:paraId="5727F8EF">
      <w:pPr>
        <w:pStyle w:val="2"/>
      </w:pPr>
      <w:bookmarkStart w:id="23" w:name="_Toc20292"/>
      <w:bookmarkStart w:id="24" w:name="_Toc24395"/>
      <w:bookmarkStart w:id="25" w:name="_Toc3812"/>
      <w:bookmarkStart w:id="26" w:name="_Toc40778420"/>
      <w:r>
        <w:rPr>
          <w:rFonts w:hint="eastAsia"/>
        </w:rPr>
        <w:t>工程概况</w:t>
      </w:r>
      <w:bookmarkEnd w:id="23"/>
      <w:bookmarkEnd w:id="24"/>
      <w:bookmarkEnd w:id="25"/>
      <w:bookmarkEnd w:id="26"/>
    </w:p>
    <w:p w14:paraId="15DEF54D">
      <w:pPr>
        <w:pStyle w:val="3"/>
      </w:pPr>
      <w:bookmarkStart w:id="27" w:name="_Toc13790"/>
      <w:bookmarkStart w:id="28" w:name="_Toc8286"/>
      <w:r>
        <w:rPr>
          <w:rFonts w:hint="eastAsia"/>
        </w:rPr>
        <w:t>工程概况</w:t>
      </w:r>
      <w:bookmarkEnd w:id="27"/>
      <w:bookmarkEnd w:id="28"/>
    </w:p>
    <w:p w14:paraId="04374AA1">
      <w:pPr>
        <w:pStyle w:val="4"/>
        <w:bidi w:val="0"/>
        <w:ind w:left="0" w:leftChars="0" w:firstLine="0" w:firstLineChars="0"/>
        <w:rPr>
          <w:rFonts w:hint="eastAsia"/>
          <w:lang w:val="en-US" w:eastAsia="zh-CN"/>
        </w:rPr>
      </w:pPr>
      <w:r>
        <w:rPr>
          <w:rFonts w:hint="eastAsia"/>
          <w:sz w:val="24"/>
          <w:szCs w:val="24"/>
          <w:lang w:val="en-US" w:eastAsia="zh-CN"/>
        </w:rPr>
        <w:t>项目概况</w:t>
      </w:r>
    </w:p>
    <w:p w14:paraId="03C39E40">
      <w:pPr>
        <w:ind w:firstLine="480"/>
      </w:pPr>
      <w:r>
        <w:rPr>
          <w:rFonts w:hint="eastAsia"/>
        </w:rPr>
        <w:t>十堰经镇坪巫溪高速公路溢水至镇坪段（十巫南段）全长85.07公里（溢水至鄂陕界段78.98公里，陕西镇坪段6.09公里）。十巫高速公路南段横跨两省三县七乡镇。起于竹山县溢水镇，连接十巫高速公路鲍峡至溢水段终点，经竹溪县新洲乡、兵营镇、天宝乡、丰溪镇在竹溪县丰溪镇小界梁附近出湖北境，到达终点陕西省安康市镇坪县，设猫子庙枢纽互通接安来高速公路。十巫南高速公路已纳入湖北省、陕西省“十四五”重点建设项目。</w:t>
      </w:r>
    </w:p>
    <w:p w14:paraId="35B30A05">
      <w:pPr>
        <w:ind w:firstLine="480"/>
        <w:rPr>
          <w:rFonts w:hint="eastAsia"/>
        </w:rPr>
      </w:pPr>
      <w:r>
        <w:rPr>
          <w:rFonts w:hint="eastAsia"/>
        </w:rPr>
        <w:t>十巫南高速公路为山区高速公路项目，全线采用80km/h四车道高速公路标准建设，我部负责SWYZ-2合同段施工。左幅路线起讫桩号ZK8+120-ZK17+120，全长9.00km，右幅路线起讫桩号YK8+100-YK17+092，全长8.99 km，包含路基、桥涵、隧道、房建场坪及绿化工程。全线隧道5502米/2座，桥梁2393米/15座，路基1.1km，互通1处。</w:t>
      </w:r>
    </w:p>
    <w:p w14:paraId="27EB8CD9">
      <w:pPr>
        <w:ind w:firstLine="480"/>
      </w:pPr>
      <w:r>
        <w:rPr>
          <w:rFonts w:hint="eastAsia"/>
        </w:rPr>
        <w:t>项目地理位置如</w:t>
      </w:r>
      <w:r>
        <w:fldChar w:fldCharType="begin"/>
      </w:r>
      <w:r>
        <w:instrText xml:space="preserve"> </w:instrText>
      </w:r>
      <w:r>
        <w:rPr>
          <w:rFonts w:hint="eastAsia"/>
        </w:rPr>
        <w:instrText xml:space="preserve">REF _Ref93301894 \h</w:instrText>
      </w:r>
      <w:r>
        <w:instrText xml:space="preserve"> </w:instrText>
      </w:r>
      <w:r>
        <w:fldChar w:fldCharType="separate"/>
      </w:r>
      <w:r>
        <w:rPr>
          <w:rFonts w:hint="eastAsia"/>
        </w:rPr>
        <w:t>图</w:t>
      </w:r>
      <w:r>
        <w:t>2.1.1</w:t>
      </w:r>
      <w:r>
        <w:rPr>
          <w:rFonts w:hint="eastAsia"/>
        </w:rPr>
        <w:t>-</w:t>
      </w:r>
      <w:r>
        <w:t>1</w:t>
      </w:r>
      <w:r>
        <w:fldChar w:fldCharType="end"/>
      </w:r>
      <w:r>
        <w:rPr>
          <w:rFonts w:hint="eastAsia"/>
        </w:rPr>
        <w:t>所示。</w:t>
      </w:r>
    </w:p>
    <w:p w14:paraId="6DD3D72D">
      <w:pPr>
        <w:pStyle w:val="220"/>
        <w:rPr>
          <w:rFonts w:ascii="Times New Roman" w:hAnsi="Times New Roman" w:cs="Times New Roman"/>
          <w:lang w:val="zh-CN"/>
        </w:rPr>
      </w:pPr>
      <w:r>
        <w:drawing>
          <wp:inline distT="0" distB="0" distL="0" distR="0">
            <wp:extent cx="5274310" cy="3204210"/>
            <wp:effectExtent l="0" t="0" r="2540" b="15240"/>
            <wp:docPr id="20838477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47718" name="图片 3"/>
                    <pic:cNvPicPr>
                      <a:picLocks noChangeAspect="1"/>
                    </pic:cNvPicPr>
                  </pic:nvPicPr>
                  <pic:blipFill>
                    <a:blip r:embed="rId19"/>
                    <a:stretch>
                      <a:fillRect/>
                    </a:stretch>
                  </pic:blipFill>
                  <pic:spPr>
                    <a:xfrm>
                      <a:off x="0" y="0"/>
                      <a:ext cx="5274310" cy="3204210"/>
                    </a:xfrm>
                    <a:prstGeom prst="rect">
                      <a:avLst/>
                    </a:prstGeom>
                  </pic:spPr>
                </pic:pic>
              </a:graphicData>
            </a:graphic>
          </wp:inline>
        </w:drawing>
      </w:r>
    </w:p>
    <w:p w14:paraId="637E1043">
      <w:pPr>
        <w:pStyle w:val="221"/>
        <w:ind w:firstLine="0" w:firstLineChars="0"/>
        <w:rPr>
          <w:rFonts w:hint="default"/>
        </w:rPr>
      </w:pPr>
      <w:r>
        <w:rPr>
          <w:rFonts w:hint="default"/>
        </w:rPr>
        <w:t xml:space="preserve">图 </w:t>
      </w:r>
      <w:r>
        <w:rPr>
          <w:rFonts w:hint="default"/>
        </w:rPr>
        <w:fldChar w:fldCharType="begin"/>
      </w:r>
      <w:r>
        <w:rPr>
          <w:rFonts w:hint="default"/>
        </w:rPr>
        <w:instrText xml:space="preserve"> STYLEREF 2 \s </w:instrText>
      </w:r>
      <w:r>
        <w:rPr>
          <w:rFonts w:hint="default"/>
        </w:rPr>
        <w:fldChar w:fldCharType="separate"/>
      </w:r>
      <w:r>
        <w:rPr>
          <w:rFonts w:hint="default"/>
        </w:rPr>
        <w:t>2.1</w:t>
      </w:r>
      <w:r>
        <w:rPr>
          <w:rFonts w:hint="default"/>
        </w:rPr>
        <w:fldChar w:fldCharType="end"/>
      </w:r>
      <w:r>
        <w:rPr>
          <w:rFonts w:hint="eastAsia"/>
          <w:lang w:val="en-US" w:eastAsia="zh-CN"/>
        </w:rPr>
        <w:t>.1</w:t>
      </w:r>
      <w:r>
        <w:rPr>
          <w:rFonts w:hint="default"/>
        </w:rPr>
        <w:noBreakHyphen/>
      </w:r>
      <w:r>
        <w:rPr>
          <w:rFonts w:hint="default"/>
        </w:rPr>
        <w:t>1双柳长江大桥主桥桥位图</w:t>
      </w:r>
    </w:p>
    <w:p w14:paraId="6A4ABEC9">
      <w:pPr>
        <w:pStyle w:val="4"/>
        <w:bidi w:val="0"/>
        <w:rPr>
          <w:rFonts w:hint="default" w:eastAsia="宋体"/>
          <w:lang w:val="en-US" w:eastAsia="zh-CN"/>
        </w:rPr>
      </w:pPr>
      <w:bookmarkStart w:id="29" w:name="_Hlk114223240"/>
      <w:r>
        <w:rPr>
          <w:rFonts w:hint="eastAsia"/>
          <w:lang w:val="en-US" w:eastAsia="zh-CN"/>
        </w:rPr>
        <w:t>新洲特大桥概况</w:t>
      </w:r>
    </w:p>
    <w:bookmarkEnd w:id="29"/>
    <w:p w14:paraId="04E4AD5F">
      <w:pPr>
        <w:pStyle w:val="5"/>
      </w:pPr>
      <w:r>
        <w:rPr>
          <w:rFonts w:hint="eastAsia"/>
        </w:rPr>
        <w:t>新洲特大桥主桥概况</w:t>
      </w:r>
    </w:p>
    <w:p w14:paraId="523B6E0B">
      <w:pPr>
        <w:ind w:firstLine="480"/>
      </w:pPr>
      <w:r>
        <w:rPr>
          <w:rFonts w:hint="eastAsia"/>
        </w:rPr>
        <w:t>新洲特大桥是全线的控制性工程，桥址位于十堰市竹溪县新洲镇汇湾河与泉河交汇口。桥梁全长569m，桥跨布置为42m（锚台）+（97m+340m）（斜拉桥）+3×30m（预制T梁）。其中边跨为混凝土梁，中跨为钢-混组合梁结构。</w:t>
      </w:r>
    </w:p>
    <w:p w14:paraId="51ED4FBC">
      <w:pPr>
        <w:ind w:firstLine="480"/>
      </w:pPr>
      <w:r>
        <w:rPr>
          <w:rFonts w:hint="eastAsia"/>
        </w:rPr>
        <w:t>主桥为独塔斜拉桥，采用“梁塔分离、梁台固结”的部分地锚式结构体系。主梁与地锚式桥台固结，与索塔分离，在索塔处设0号斜拉索作为竖向支承，索塔内侧面设置抗风支座。</w:t>
      </w:r>
    </w:p>
    <w:p w14:paraId="72F22651">
      <w:pPr>
        <w:ind w:left="0" w:leftChars="0" w:firstLine="0" w:firstLineChars="0"/>
        <w:rPr>
          <w:rFonts w:hint="eastAsia"/>
        </w:rPr>
        <w:sectPr>
          <w:headerReference r:id="rId15" w:type="default"/>
          <w:footerReference r:id="rId16" w:type="default"/>
          <w:pgSz w:w="11906" w:h="16838"/>
          <w:pgMar w:top="1440" w:right="1800" w:bottom="1440" w:left="1800" w:header="851" w:footer="992" w:gutter="0"/>
          <w:cols w:space="425" w:num="1"/>
          <w:docGrid w:type="lines" w:linePitch="312" w:charSpace="0"/>
        </w:sectPr>
      </w:pPr>
      <w:r>
        <w:rPr>
          <w:rFonts w:hint="eastAsia"/>
        </w:rPr>
        <w:t>斜拉桥平面均处于直线段，纵断面位于0.5%上坡段。斜拉索横桥向按两个平行索面布置，锚固在主梁两侧。主跨钢梁顺桥向标准索距为12m，边跨PC 梁顺桥向标准索距为8m，地锚式桥台段顺桥向标准索距为2.3m。</w:t>
      </w:r>
    </w:p>
    <w:p w14:paraId="6596AB07">
      <w:pPr>
        <w:ind w:left="0" w:leftChars="0" w:firstLine="0" w:firstLineChars="0"/>
        <w:rPr>
          <w:rFonts w:hint="eastAsia"/>
        </w:rPr>
      </w:pPr>
    </w:p>
    <w:p w14:paraId="1883E6CD">
      <w:pPr>
        <w:pStyle w:val="109"/>
      </w:pPr>
      <w:r>
        <w:drawing>
          <wp:inline distT="0" distB="0" distL="0" distR="0">
            <wp:extent cx="8406130" cy="4540885"/>
            <wp:effectExtent l="0" t="0" r="1397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20" cstate="print">
                      <a:extLst>
                        <a:ext uri="{28A0092B-C50C-407E-A947-70E740481C1C}">
                          <a14:useLocalDpi xmlns:a14="http://schemas.microsoft.com/office/drawing/2010/main" val="0"/>
                        </a:ext>
                      </a:extLst>
                    </a:blip>
                    <a:srcRect t="5985"/>
                    <a:stretch>
                      <a:fillRect/>
                    </a:stretch>
                  </pic:blipFill>
                  <pic:spPr>
                    <a:xfrm>
                      <a:off x="0" y="0"/>
                      <a:ext cx="8406130" cy="4540924"/>
                    </a:xfrm>
                    <a:prstGeom prst="rect">
                      <a:avLst/>
                    </a:prstGeom>
                    <a:noFill/>
                    <a:ln>
                      <a:noFill/>
                    </a:ln>
                  </pic:spPr>
                </pic:pic>
              </a:graphicData>
            </a:graphic>
          </wp:inline>
        </w:drawing>
      </w:r>
    </w:p>
    <w:p w14:paraId="6EADE819">
      <w:pPr>
        <w:pStyle w:val="108"/>
      </w:pPr>
      <w:r>
        <w:rPr>
          <w:rFonts w:hint="eastAsia"/>
        </w:rPr>
        <w:t>图</w:t>
      </w:r>
      <w:r>
        <w:fldChar w:fldCharType="begin"/>
      </w:r>
      <w:r>
        <w:instrText xml:space="preserve"> STYLEREF 3 \s </w:instrText>
      </w:r>
      <w:r>
        <w:fldChar w:fldCharType="separate"/>
      </w:r>
      <w:r>
        <w:t>2.1.2</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1</w:t>
      </w:r>
      <w:r>
        <w:fldChar w:fldCharType="end"/>
      </w:r>
      <w:r>
        <w:t xml:space="preserve"> </w:t>
      </w:r>
      <w:r>
        <w:rPr>
          <w:rFonts w:hint="eastAsia"/>
        </w:rPr>
        <w:t>新洲特大桥桥位平面图</w:t>
      </w:r>
    </w:p>
    <w:p w14:paraId="5C517A80">
      <w:pPr>
        <w:pStyle w:val="108"/>
        <w:pBdr>
          <w:top w:val="none" w:color="auto" w:sz="0" w:space="0"/>
          <w:left w:val="none" w:color="auto" w:sz="0" w:space="0"/>
          <w:bottom w:val="none" w:color="auto" w:sz="0" w:space="0"/>
          <w:right w:val="none" w:color="auto" w:sz="0" w:space="0"/>
        </w:pBdr>
      </w:pPr>
      <w:r>
        <w:drawing>
          <wp:inline distT="0" distB="0" distL="114300" distR="114300">
            <wp:extent cx="8405495" cy="4639945"/>
            <wp:effectExtent l="0" t="0" r="0" b="8255"/>
            <wp:docPr id="2614721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472192" name="图片 22"/>
                    <pic:cNvPicPr>
                      <a:picLocks noChangeAspect="1"/>
                    </pic:cNvPicPr>
                  </pic:nvPicPr>
                  <pic:blipFill>
                    <a:blip r:embed="rId21"/>
                    <a:stretch>
                      <a:fillRect/>
                    </a:stretch>
                  </pic:blipFill>
                  <pic:spPr>
                    <a:xfrm>
                      <a:off x="0" y="0"/>
                      <a:ext cx="8406000" cy="4640156"/>
                    </a:xfrm>
                    <a:prstGeom prst="rect">
                      <a:avLst/>
                    </a:prstGeom>
                    <a:noFill/>
                    <a:ln>
                      <a:noFill/>
                    </a:ln>
                  </pic:spPr>
                </pic:pic>
              </a:graphicData>
            </a:graphic>
          </wp:inline>
        </w:drawing>
      </w:r>
    </w:p>
    <w:p w14:paraId="207C8300">
      <w:pPr>
        <w:pStyle w:val="108"/>
        <w:pBdr>
          <w:top w:val="none" w:color="auto" w:sz="0" w:space="0"/>
          <w:left w:val="none" w:color="auto" w:sz="0" w:space="0"/>
          <w:bottom w:val="none" w:color="auto" w:sz="0" w:space="0"/>
          <w:right w:val="none" w:color="auto" w:sz="0" w:space="0"/>
        </w:pBdr>
      </w:pPr>
      <w:r>
        <w:rPr>
          <w:rFonts w:hint="eastAsia"/>
        </w:rPr>
        <w:t>图</w:t>
      </w:r>
      <w:r>
        <w:fldChar w:fldCharType="begin"/>
      </w:r>
      <w:r>
        <w:instrText xml:space="preserve"> STYLEREF 3 \s </w:instrText>
      </w:r>
      <w:r>
        <w:fldChar w:fldCharType="separate"/>
      </w:r>
      <w:r>
        <w:t>2.1.2</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2</w:t>
      </w:r>
      <w:r>
        <w:fldChar w:fldCharType="end"/>
      </w:r>
      <w:r>
        <w:t xml:space="preserve"> </w:t>
      </w:r>
      <w:r>
        <w:rPr>
          <w:rFonts w:hint="eastAsia"/>
        </w:rPr>
        <w:t>新洲大桥立面布置图（单位：cm）</w:t>
      </w:r>
    </w:p>
    <w:p w14:paraId="6078A03C">
      <w:pPr>
        <w:ind w:left="0" w:leftChars="0" w:firstLine="0" w:firstLineChars="0"/>
        <w:sectPr>
          <w:pgSz w:w="16838" w:h="11906" w:orient="landscape"/>
          <w:pgMar w:top="1800" w:right="1440" w:bottom="1800" w:left="1440" w:header="851" w:footer="992" w:gutter="0"/>
          <w:cols w:space="425" w:num="1"/>
          <w:docGrid w:type="lines" w:linePitch="312" w:charSpace="0"/>
        </w:sectPr>
      </w:pPr>
    </w:p>
    <w:p w14:paraId="276004F7">
      <w:pPr>
        <w:pStyle w:val="5"/>
      </w:pPr>
      <w:r>
        <w:fldChar w:fldCharType="begin"/>
      </w:r>
      <w:r>
        <w:instrText xml:space="preserve"> REF 设备位置 \h  \* MERGEFORMAT </w:instrText>
      </w:r>
      <w:r>
        <w:fldChar w:fldCharType="separate"/>
      </w:r>
      <w:r>
        <w:rPr>
          <w:rFonts w:hint="eastAsia"/>
        </w:rPr>
        <w:t>新洲特大桥索塔</w:t>
      </w:r>
      <w:r>
        <w:fldChar w:fldCharType="end"/>
      </w:r>
      <w:r>
        <w:rPr>
          <w:rFonts w:hint="eastAsia"/>
        </w:rPr>
        <w:t>概况</w:t>
      </w:r>
    </w:p>
    <w:p w14:paraId="2289504E">
      <w:pPr>
        <w:ind w:firstLine="480"/>
      </w:pPr>
      <w:r>
        <w:rPr>
          <w:rFonts w:hint="eastAsia"/>
        </w:rPr>
        <w:t>新洲特大桥1#索塔顺桥向为“I”型结构，横桥向为H型结构，索塔包括上塔柱、中塔柱、下塔柱、上中塔柱连接段、中下塔柱连接段、上横梁、下横梁、塔冠及塔座。除上中塔柱连接段、中下塔柱连接段及下塔柱起始段为实心段外，塔柱其余断面均为空心，在上中塔柱连接段、人洞、塔底等受力不利的区段设置加厚段。1#索塔总高度201.5m，其中塔座高2.5m、塔柱高191m、塔冠高8m。</w:t>
      </w:r>
    </w:p>
    <w:p w14:paraId="6032F5E0">
      <w:pPr>
        <w:ind w:firstLine="480"/>
      </w:pPr>
      <w:r>
        <w:rPr>
          <w:rFonts w:hint="eastAsia"/>
        </w:rPr>
        <w:t>（</w:t>
      </w:r>
      <w:r>
        <w:t>1</w:t>
      </w:r>
      <w:r>
        <w:rPr>
          <w:rFonts w:hint="eastAsia"/>
        </w:rPr>
        <w:t>）下塔柱为单箱单室矩形截面，尺寸为9.85m（顺桥向）×7.24m（横桥向）渐变至10.46m（顺桥向）×7.95m（横桥向）。横桥向壁厚由1.3m渐变至2.0m，顺桥向壁厚由1.3m渐变至2.0m。</w:t>
      </w:r>
    </w:p>
    <w:p w14:paraId="387C0E06">
      <w:pPr>
        <w:ind w:firstLine="480"/>
      </w:pPr>
      <w:r>
        <w:rPr>
          <w:rFonts w:hint="eastAsia"/>
        </w:rPr>
        <w:t>（</w:t>
      </w:r>
      <w:r>
        <w:t>2</w:t>
      </w:r>
      <w:r>
        <w:rPr>
          <w:rFonts w:hint="eastAsia"/>
        </w:rPr>
        <w:t>）下横梁位于中、下塔柱的转折处，横梁上侧设0.5×0.5m折角与中塔柱过渡，下侧设4×1m折角与下塔柱相接。断面为混凝土箱形构造，横桥向均长30.7m、梁高6m、顺桥向宽8.5m，顶板、底板厚均为0.8m，腹板厚1m。</w:t>
      </w:r>
    </w:p>
    <w:p w14:paraId="01FF2CE7">
      <w:pPr>
        <w:ind w:firstLine="480"/>
      </w:pPr>
      <w:r>
        <w:rPr>
          <w:rFonts w:hint="eastAsia"/>
        </w:rPr>
        <w:t>（</w:t>
      </w:r>
      <w:r>
        <w:t>3</w:t>
      </w:r>
      <w:r>
        <w:rPr>
          <w:rFonts w:hint="eastAsia"/>
        </w:rPr>
        <w:t>）中下塔柱连接部为单箱单室矩形截面实心段，设有人洞便于下横梁与中塔柱之间进行沟通。尺寸为9.42m（顺桥向）×6.8m（横桥向）渐变至9.85m（顺桥向）×7.24m（横桥向）。</w:t>
      </w:r>
    </w:p>
    <w:p w14:paraId="3375C8D9">
      <w:pPr>
        <w:ind w:firstLine="480"/>
      </w:pPr>
      <w:r>
        <w:rPr>
          <w:rFonts w:hint="eastAsia"/>
        </w:rPr>
        <w:t>（</w:t>
      </w:r>
      <w:r>
        <w:t>4</w:t>
      </w:r>
      <w:r>
        <w:rPr>
          <w:rFonts w:hint="eastAsia"/>
        </w:rPr>
        <w:t>）中塔柱为单箱单室矩形截面，横桥向尺寸5.6m渐变至6.8m，顺桥向尺寸由8.16m渐变至9.42m。横桥向侧壁厚1.2m，顺桥向壁厚1.2m。</w:t>
      </w:r>
    </w:p>
    <w:p w14:paraId="660C64E3">
      <w:pPr>
        <w:ind w:firstLine="480"/>
      </w:pPr>
      <w:r>
        <w:rPr>
          <w:rFonts w:hint="eastAsia"/>
        </w:rPr>
        <w:t>（</w:t>
      </w:r>
      <w:r>
        <w:t>5</w:t>
      </w:r>
      <w:r>
        <w:rPr>
          <w:rFonts w:hint="eastAsia"/>
        </w:rPr>
        <w:t>）上横梁位于上、中塔柱的转折处，横梁上侧设4×1m折角与上塔柱过渡，下侧设4×1m折角与中塔柱相接。断面为混凝土箱形构造，横桥向均长21.3m、梁高6m、顺桥向宽7m，顶板、底板厚均为0.9m，腹板厚0.8m。</w:t>
      </w:r>
    </w:p>
    <w:p w14:paraId="376430C7">
      <w:pPr>
        <w:ind w:firstLine="480"/>
      </w:pPr>
      <w:r>
        <w:rPr>
          <w:rFonts w:hint="eastAsia"/>
        </w:rPr>
        <w:t>（</w:t>
      </w:r>
      <w:r>
        <w:t>6</w:t>
      </w:r>
      <w:r>
        <w:rPr>
          <w:rFonts w:hint="eastAsia"/>
        </w:rPr>
        <w:t>）上中塔柱连接部外轮廓与上塔柱相同，设有人洞与上横梁及中塔柱之间进行沟通。</w:t>
      </w:r>
    </w:p>
    <w:p w14:paraId="4B907987">
      <w:pPr>
        <w:ind w:firstLine="480"/>
      </w:pPr>
      <w:r>
        <w:rPr>
          <w:rFonts w:hint="eastAsia"/>
        </w:rPr>
        <w:t>（</w:t>
      </w:r>
      <w:r>
        <w:t>7</w:t>
      </w:r>
      <w:r>
        <w:rPr>
          <w:rFonts w:hint="eastAsia"/>
        </w:rPr>
        <w:t>）上塔柱为单箱单室矩形截面，尺寸为8m（顺桥向）×5.5m（横桥向），横桥向侧壁厚1.0m，顺桥向壁厚1.2m。</w:t>
      </w:r>
    </w:p>
    <w:p w14:paraId="2A82BEAC">
      <w:pPr>
        <w:ind w:firstLine="480"/>
        <w:rPr>
          <w:rFonts w:hint="eastAsia"/>
        </w:rPr>
      </w:pPr>
      <w:r>
        <w:rPr>
          <w:rFonts w:hint="eastAsia"/>
        </w:rPr>
        <w:t>（8）中塔柱、下塔柱、上中塔柱连接段、中下塔柱连接段为普通钢筋混凝土结构；上塔柱索塔锚固区除0～13#斜拉索设置混凝土锚固齿块外，其余斜拉索设置钢锚梁，锚固区内设置预应力钢束；上、下横梁为预应力混凝土结构。索塔一般构造图见</w:t>
      </w:r>
      <w:r>
        <w:rPr>
          <w:rFonts w:hint="eastAsia"/>
        </w:rPr>
        <w:fldChar w:fldCharType="begin"/>
      </w:r>
      <w:r>
        <w:rPr>
          <w:rFonts w:hint="eastAsia"/>
        </w:rPr>
        <w:instrText xml:space="preserve"> REF _Ref175058095 \h  \* MERGEFORMAT </w:instrText>
      </w:r>
      <w:r>
        <w:rPr>
          <w:rFonts w:hint="eastAsia"/>
        </w:rPr>
        <w:fldChar w:fldCharType="separate"/>
      </w:r>
      <w:r>
        <w:rPr>
          <w:rFonts w:hint="eastAsia"/>
        </w:rPr>
        <w:t>图2.1.2-4</w:t>
      </w:r>
      <w:r>
        <w:rPr>
          <w:rFonts w:hint="eastAsia"/>
        </w:rPr>
        <w:fldChar w:fldCharType="end"/>
      </w:r>
      <w:r>
        <w:rPr>
          <w:rFonts w:hint="eastAsia"/>
        </w:rPr>
        <w:t>~</w:t>
      </w:r>
      <w:r>
        <w:rPr>
          <w:rFonts w:hint="eastAsia"/>
        </w:rPr>
        <w:fldChar w:fldCharType="begin"/>
      </w:r>
      <w:r>
        <w:rPr>
          <w:rFonts w:hint="eastAsia"/>
        </w:rPr>
        <w:instrText xml:space="preserve"> REF _Ref175058096 \h  \* MERGEFORMAT </w:instrText>
      </w:r>
      <w:r>
        <w:rPr>
          <w:rFonts w:hint="eastAsia"/>
        </w:rPr>
        <w:fldChar w:fldCharType="separate"/>
      </w:r>
      <w:r>
        <w:rPr>
          <w:rFonts w:hint="eastAsia"/>
        </w:rPr>
        <w:t>图2.1.2-9</w:t>
      </w:r>
      <w:r>
        <w:rPr>
          <w:rFonts w:hint="eastAsia"/>
        </w:rPr>
        <w:fldChar w:fldCharType="end"/>
      </w:r>
      <w:r>
        <w:rPr>
          <w:rFonts w:hint="eastAsia"/>
        </w:rPr>
        <w:t>所示。</w:t>
      </w:r>
    </w:p>
    <w:p w14:paraId="406987C6">
      <w:pPr>
        <w:pStyle w:val="109"/>
      </w:pPr>
    </w:p>
    <w:p w14:paraId="1A521CB9">
      <w:pPr>
        <w:pStyle w:val="108"/>
      </w:pPr>
      <w:bookmarkStart w:id="30" w:name="_Ref168408884"/>
      <w:bookmarkStart w:id="31" w:name="_Ref175058095"/>
      <w:r>
        <w:drawing>
          <wp:inline distT="0" distB="0" distL="0" distR="0">
            <wp:extent cx="4288155" cy="8296275"/>
            <wp:effectExtent l="0" t="0" r="1714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4288155" cy="8296275"/>
                    </a:xfrm>
                    <a:prstGeom prst="rect">
                      <a:avLst/>
                    </a:prstGeom>
                    <a:noFill/>
                    <a:ln>
                      <a:noFill/>
                    </a:ln>
                  </pic:spPr>
                </pic:pic>
              </a:graphicData>
            </a:graphic>
          </wp:inline>
        </w:drawing>
      </w:r>
    </w:p>
    <w:p w14:paraId="7ADE5FA2">
      <w:pPr>
        <w:pStyle w:val="108"/>
      </w:pPr>
      <w:r>
        <w:rPr>
          <w:rFonts w:hint="eastAsia"/>
        </w:rPr>
        <w:t>图</w:t>
      </w:r>
      <w:bookmarkEnd w:id="30"/>
      <w:r>
        <w:fldChar w:fldCharType="begin"/>
      </w:r>
      <w:r>
        <w:instrText xml:space="preserve"> STYLEREF 3 \s </w:instrText>
      </w:r>
      <w:r>
        <w:fldChar w:fldCharType="separate"/>
      </w:r>
      <w:r>
        <w:t>2.1.2</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4</w:t>
      </w:r>
      <w:r>
        <w:fldChar w:fldCharType="end"/>
      </w:r>
      <w:bookmarkEnd w:id="31"/>
      <w:r>
        <w:t xml:space="preserve"> </w:t>
      </w:r>
      <w:r>
        <w:rPr>
          <w:rFonts w:hint="eastAsia"/>
        </w:rPr>
        <w:t>索塔立面及侧面布置图（单位：cm）</w:t>
      </w:r>
    </w:p>
    <w:p w14:paraId="2F22CDCB">
      <w:pPr>
        <w:ind w:left="0" w:leftChars="0" w:firstLine="0" w:firstLineChars="0"/>
        <w:jc w:val="center"/>
      </w:pPr>
      <w:r>
        <w:drawing>
          <wp:inline distT="0" distB="0" distL="0" distR="0">
            <wp:extent cx="5274310" cy="4096385"/>
            <wp:effectExtent l="0" t="0" r="2540" b="18415"/>
            <wp:docPr id="173770014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700144" name="图片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274310" cy="4096385"/>
                    </a:xfrm>
                    <a:prstGeom prst="rect">
                      <a:avLst/>
                    </a:prstGeom>
                    <a:noFill/>
                    <a:ln>
                      <a:noFill/>
                    </a:ln>
                  </pic:spPr>
                </pic:pic>
              </a:graphicData>
            </a:graphic>
          </wp:inline>
        </w:drawing>
      </w:r>
    </w:p>
    <w:p w14:paraId="43B8377C">
      <w:pPr>
        <w:pStyle w:val="108"/>
      </w:pPr>
      <w:r>
        <w:rPr>
          <w:rFonts w:hint="eastAsia"/>
        </w:rPr>
        <w:t>图</w:t>
      </w:r>
      <w:r>
        <w:fldChar w:fldCharType="begin"/>
      </w:r>
      <w:r>
        <w:instrText xml:space="preserve"> STYLEREF 3 \s </w:instrText>
      </w:r>
      <w:r>
        <w:fldChar w:fldCharType="separate"/>
      </w:r>
      <w:r>
        <w:t>2.1.2</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5</w:t>
      </w:r>
      <w:r>
        <w:fldChar w:fldCharType="end"/>
      </w:r>
      <w:r>
        <w:t xml:space="preserve"> </w:t>
      </w:r>
      <w:r>
        <w:rPr>
          <w:rFonts w:hint="eastAsia"/>
        </w:rPr>
        <w:t>下塔柱断面图（单位：mm）</w:t>
      </w:r>
    </w:p>
    <w:p w14:paraId="3F2086AB">
      <w:pPr>
        <w:ind w:left="0" w:leftChars="0" w:firstLine="0" w:firstLineChars="0"/>
        <w:jc w:val="center"/>
      </w:pPr>
      <w:r>
        <w:drawing>
          <wp:inline distT="0" distB="0" distL="0" distR="0">
            <wp:extent cx="4732020" cy="3524250"/>
            <wp:effectExtent l="0" t="0" r="11430" b="0"/>
            <wp:docPr id="87031507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15074" name="图片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742608" cy="3532118"/>
                    </a:xfrm>
                    <a:prstGeom prst="rect">
                      <a:avLst/>
                    </a:prstGeom>
                    <a:noFill/>
                    <a:ln>
                      <a:noFill/>
                    </a:ln>
                  </pic:spPr>
                </pic:pic>
              </a:graphicData>
            </a:graphic>
          </wp:inline>
        </w:drawing>
      </w:r>
    </w:p>
    <w:p w14:paraId="7256F7D4">
      <w:pPr>
        <w:pStyle w:val="108"/>
      </w:pPr>
      <w:bookmarkStart w:id="32" w:name="_Ref168408885"/>
      <w:r>
        <w:rPr>
          <w:rFonts w:hint="eastAsia"/>
        </w:rPr>
        <w:t>图</w:t>
      </w:r>
      <w:bookmarkEnd w:id="32"/>
      <w:r>
        <w:fldChar w:fldCharType="begin"/>
      </w:r>
      <w:r>
        <w:instrText xml:space="preserve"> STYLEREF 3 \s </w:instrText>
      </w:r>
      <w:r>
        <w:fldChar w:fldCharType="separate"/>
      </w:r>
      <w:r>
        <w:t>2.1.2</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6</w:t>
      </w:r>
      <w:r>
        <w:fldChar w:fldCharType="end"/>
      </w:r>
      <w:r>
        <w:t xml:space="preserve"> </w:t>
      </w:r>
      <w:r>
        <w:rPr>
          <w:rFonts w:hint="eastAsia"/>
        </w:rPr>
        <w:t>下横梁标准断面图（单位：mm）</w:t>
      </w:r>
    </w:p>
    <w:p w14:paraId="58C9702D">
      <w:pPr>
        <w:ind w:left="0" w:leftChars="0" w:firstLine="0" w:firstLineChars="0"/>
        <w:jc w:val="center"/>
      </w:pPr>
      <w:r>
        <w:drawing>
          <wp:inline distT="0" distB="0" distL="0" distR="0">
            <wp:extent cx="4562475" cy="3413760"/>
            <wp:effectExtent l="0" t="0" r="9525" b="15240"/>
            <wp:docPr id="1583399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3999" name="图片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579522" cy="3426646"/>
                    </a:xfrm>
                    <a:prstGeom prst="rect">
                      <a:avLst/>
                    </a:prstGeom>
                    <a:noFill/>
                    <a:ln>
                      <a:noFill/>
                    </a:ln>
                  </pic:spPr>
                </pic:pic>
              </a:graphicData>
            </a:graphic>
          </wp:inline>
        </w:drawing>
      </w:r>
    </w:p>
    <w:p w14:paraId="0EA0EEB5">
      <w:pPr>
        <w:pStyle w:val="108"/>
      </w:pPr>
      <w:r>
        <w:rPr>
          <w:rFonts w:hint="eastAsia"/>
        </w:rPr>
        <w:t>图</w:t>
      </w:r>
      <w:r>
        <w:fldChar w:fldCharType="begin"/>
      </w:r>
      <w:r>
        <w:instrText xml:space="preserve"> STYLEREF 3 \s </w:instrText>
      </w:r>
      <w:r>
        <w:fldChar w:fldCharType="separate"/>
      </w:r>
      <w:r>
        <w:t>2.1.2</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7</w:t>
      </w:r>
      <w:r>
        <w:fldChar w:fldCharType="end"/>
      </w:r>
      <w:r>
        <w:t xml:space="preserve"> </w:t>
      </w:r>
      <w:r>
        <w:rPr>
          <w:rFonts w:hint="eastAsia"/>
        </w:rPr>
        <w:t>中塔柱断面图（单位：mm）</w:t>
      </w:r>
    </w:p>
    <w:p w14:paraId="203E176E">
      <w:pPr>
        <w:ind w:left="0" w:leftChars="0" w:firstLine="0" w:firstLineChars="0"/>
        <w:jc w:val="center"/>
        <w:rPr>
          <w:rFonts w:hint="eastAsia"/>
        </w:rPr>
      </w:pPr>
      <w:r>
        <w:rPr>
          <w:rFonts w:hint="eastAsia"/>
        </w:rPr>
        <w:drawing>
          <wp:inline distT="0" distB="0" distL="0" distR="0">
            <wp:extent cx="3959860" cy="3404235"/>
            <wp:effectExtent l="0" t="0" r="2540" b="5715"/>
            <wp:docPr id="187532057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20572" name="图片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60000" cy="3404570"/>
                    </a:xfrm>
                    <a:prstGeom prst="rect">
                      <a:avLst/>
                    </a:prstGeom>
                    <a:noFill/>
                    <a:ln>
                      <a:noFill/>
                    </a:ln>
                  </pic:spPr>
                </pic:pic>
              </a:graphicData>
            </a:graphic>
          </wp:inline>
        </w:drawing>
      </w:r>
    </w:p>
    <w:p w14:paraId="1F206CB9">
      <w:pPr>
        <w:pStyle w:val="108"/>
      </w:pPr>
      <w:r>
        <w:rPr>
          <w:rFonts w:hint="eastAsia"/>
        </w:rPr>
        <w:t>图</w:t>
      </w:r>
      <w:r>
        <w:fldChar w:fldCharType="begin"/>
      </w:r>
      <w:r>
        <w:instrText xml:space="preserve"> STYLEREF 3 \s </w:instrText>
      </w:r>
      <w:r>
        <w:fldChar w:fldCharType="separate"/>
      </w:r>
      <w:r>
        <w:t>2.1.2</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8</w:t>
      </w:r>
      <w:r>
        <w:fldChar w:fldCharType="end"/>
      </w:r>
      <w:r>
        <w:t xml:space="preserve"> </w:t>
      </w:r>
      <w:r>
        <w:rPr>
          <w:rFonts w:hint="eastAsia"/>
        </w:rPr>
        <w:t>上横梁标准断面图（单位：mm）</w:t>
      </w:r>
    </w:p>
    <w:p w14:paraId="7C5595FD">
      <w:pPr>
        <w:ind w:left="0" w:leftChars="0" w:firstLine="0" w:firstLineChars="0"/>
        <w:jc w:val="center"/>
      </w:pPr>
      <w:r>
        <w:drawing>
          <wp:inline distT="0" distB="0" distL="0" distR="0">
            <wp:extent cx="4499610" cy="3308350"/>
            <wp:effectExtent l="0" t="0" r="15240" b="6350"/>
            <wp:docPr id="74146329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463291" name="图片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500000" cy="3308632"/>
                    </a:xfrm>
                    <a:prstGeom prst="rect">
                      <a:avLst/>
                    </a:prstGeom>
                    <a:noFill/>
                    <a:ln>
                      <a:noFill/>
                    </a:ln>
                  </pic:spPr>
                </pic:pic>
              </a:graphicData>
            </a:graphic>
          </wp:inline>
        </w:drawing>
      </w:r>
    </w:p>
    <w:p w14:paraId="15321049">
      <w:pPr>
        <w:pStyle w:val="108"/>
      </w:pPr>
      <w:bookmarkStart w:id="33" w:name="_Ref9584"/>
      <w:bookmarkStart w:id="34" w:name="_Ref175058096"/>
      <w:r>
        <w:rPr>
          <w:rFonts w:hint="eastAsia"/>
        </w:rPr>
        <w:t>图</w:t>
      </w:r>
      <w:bookmarkEnd w:id="33"/>
      <w:r>
        <w:fldChar w:fldCharType="begin"/>
      </w:r>
      <w:r>
        <w:instrText xml:space="preserve"> STYLEREF 3 \s </w:instrText>
      </w:r>
      <w:r>
        <w:fldChar w:fldCharType="separate"/>
      </w:r>
      <w:r>
        <w:t>2.1.2</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9</w:t>
      </w:r>
      <w:r>
        <w:fldChar w:fldCharType="end"/>
      </w:r>
      <w:bookmarkEnd w:id="34"/>
      <w:r>
        <w:t xml:space="preserve"> </w:t>
      </w:r>
      <w:r>
        <w:rPr>
          <w:rFonts w:hint="eastAsia"/>
        </w:rPr>
        <w:t>上塔柱断面图（单位：mm）</w:t>
      </w:r>
    </w:p>
    <w:p w14:paraId="4A1C5C16">
      <w:pPr>
        <w:ind w:left="0" w:leftChars="0" w:firstLine="0" w:firstLineChars="0"/>
        <w:rPr>
          <w:rFonts w:hint="eastAsia"/>
          <w:lang w:val="en-US" w:eastAsia="zh-CN"/>
        </w:rPr>
      </w:pPr>
    </w:p>
    <w:p w14:paraId="3AC2E74F">
      <w:pPr>
        <w:pStyle w:val="4"/>
      </w:pPr>
      <w:r>
        <w:rPr>
          <w:rFonts w:hint="eastAsia"/>
        </w:rPr>
        <w:t>自然条件及使用环境</w:t>
      </w:r>
    </w:p>
    <w:p w14:paraId="623093BE">
      <w:pPr>
        <w:pStyle w:val="5"/>
      </w:pPr>
      <w:r>
        <w:rPr>
          <w:rFonts w:hint="eastAsia"/>
        </w:rPr>
        <w:t>气候条件</w:t>
      </w:r>
    </w:p>
    <w:p w14:paraId="52212943">
      <w:pPr>
        <w:ind w:firstLine="480"/>
      </w:pPr>
      <w:r>
        <w:rPr>
          <w:rFonts w:hint="eastAsia"/>
        </w:rPr>
        <w:t>（1）气候</w:t>
      </w:r>
    </w:p>
    <w:p w14:paraId="5D38C701">
      <w:pPr>
        <w:ind w:firstLine="480"/>
      </w:pPr>
      <w:r>
        <w:rPr>
          <w:rFonts w:hint="eastAsia"/>
        </w:rPr>
        <w:t>域内多年平均气温15.4℃，年极端最高气温为41.9℃（1996年7月19日），年极端最低气温为零下11.9℃（1976年1月16日）。</w:t>
      </w:r>
    </w:p>
    <w:p w14:paraId="66375F22">
      <w:pPr>
        <w:ind w:firstLine="480"/>
      </w:pPr>
      <w:r>
        <w:rPr>
          <w:rFonts w:hint="eastAsia"/>
        </w:rPr>
        <w:t>（2）降雨</w:t>
      </w:r>
    </w:p>
    <w:p w14:paraId="75497929">
      <w:pPr>
        <w:ind w:firstLine="480"/>
      </w:pPr>
      <w:r>
        <w:rPr>
          <w:rFonts w:hint="eastAsia"/>
        </w:rPr>
        <w:t>低山海拔800m以下为温暖风雨区，年平均气温15~17℃，年降水量为1300~1500mm，无霜期270~290天。高山海拔800m~1200m为温凉少光层，年平均气温11~15℃，年降水量1500~1700mm，无霜期220~270天。高山海拔1200m以上为多雨半光层，年平均气温8~11℃，年降水量1700~2400mm，无霜期160~220天。</w:t>
      </w:r>
    </w:p>
    <w:p w14:paraId="1EBA039F">
      <w:pPr>
        <w:ind w:firstLine="480"/>
      </w:pPr>
      <w:r>
        <w:rPr>
          <w:rFonts w:hint="eastAsia"/>
        </w:rPr>
        <w:t>（2）气象灾害</w:t>
      </w:r>
    </w:p>
    <w:p w14:paraId="35226ECC">
      <w:pPr>
        <w:ind w:firstLine="480"/>
      </w:pPr>
      <w:r>
        <w:rPr>
          <w:rFonts w:hint="eastAsia"/>
        </w:rPr>
        <w:t>受海拔高度、山区坡向等地形地貌因素影响，项目区域内山地小气候具多样性，夏季灾害性天气较多，年均至少出现一种或两种极端天气（雷暴、大风、冰雹、高温和低温、春秋季连阴雨等），其中暴雨-强降雨可引发山体滑坡、崩塌、泥石流等地质灾害，区内冬季有寒冻现象发生。</w:t>
      </w:r>
    </w:p>
    <w:p w14:paraId="3B0B9E9D">
      <w:pPr>
        <w:pStyle w:val="5"/>
      </w:pPr>
      <w:r>
        <w:rPr>
          <w:rFonts w:hint="eastAsia"/>
        </w:rPr>
        <w:t>水文条件</w:t>
      </w:r>
    </w:p>
    <w:p w14:paraId="3308C143">
      <w:pPr>
        <w:ind w:firstLine="480"/>
      </w:pPr>
      <w:r>
        <w:rPr>
          <w:rFonts w:hint="eastAsia"/>
        </w:rPr>
        <w:t>（1）河道</w:t>
      </w:r>
    </w:p>
    <w:p w14:paraId="71EAF2B7">
      <w:pPr>
        <w:ind w:firstLine="480"/>
      </w:pPr>
      <w:r>
        <w:rPr>
          <w:rFonts w:hint="eastAsia"/>
        </w:rPr>
        <w:t>桥位位于潘口水库区上游，河道单一，河道内水流几为静水，航道水深较深，潘口水库属于梯级开发水库，目前无通航条件。河道两岸岸壁抗冲性较强，河岸控制程度较好，平面变化不大，河势基本稳定，河床纵向变形以累积性淤积为主。</w:t>
      </w:r>
    </w:p>
    <w:p w14:paraId="5D6E4C57">
      <w:pPr>
        <w:ind w:firstLine="480"/>
      </w:pPr>
      <w:r>
        <w:rPr>
          <w:rFonts w:hint="eastAsia"/>
        </w:rPr>
        <w:t>（2）水文特征</w:t>
      </w:r>
    </w:p>
    <w:p w14:paraId="5E734924">
      <w:pPr>
        <w:ind w:firstLine="480"/>
      </w:pPr>
      <w:r>
        <w:rPr>
          <w:rFonts w:hint="eastAsia"/>
        </w:rPr>
        <w:t>桥梁主要跨越汇湾河，潘口水电站开发任务为发电、防洪，水库正常蓄水位355m，死水位330m，调节库容11.2亿m3，具有年调节能力。水库防洪限制水位347.6m（6月21日~8月20日），设计洪水位357.14m（P=0.1%）。潘口水库汛期（4~10月）在2018年、2019年、2022年平均水位较低，2020年-2021年度平均水位较高，但总体来看除2021年“秋汛”期水位达到355m外，库区水位基本位于防洪限制水位347.6m以下。</w:t>
      </w:r>
    </w:p>
    <w:p w14:paraId="23DD985A">
      <w:pPr>
        <w:ind w:firstLine="480"/>
      </w:pPr>
      <w:r>
        <w:rPr>
          <w:rFonts w:hint="eastAsia"/>
        </w:rPr>
        <w:t>潘口水库近5年水位变化情况见</w:t>
      </w:r>
      <w:r>
        <w:fldChar w:fldCharType="begin"/>
      </w:r>
      <w:r>
        <w:instrText xml:space="preserve"> </w:instrText>
      </w:r>
      <w:r>
        <w:rPr>
          <w:rFonts w:hint="eastAsia"/>
        </w:rPr>
        <w:instrText xml:space="preserve">REF _Ref172619699 \h</w:instrText>
      </w:r>
      <w:r>
        <w:instrText xml:space="preserve"> </w:instrText>
      </w:r>
      <w:r>
        <w:fldChar w:fldCharType="separate"/>
      </w:r>
      <w:r>
        <w:rPr>
          <w:rFonts w:hint="eastAsia"/>
        </w:rPr>
        <w:t>图</w:t>
      </w:r>
      <w:r>
        <w:t>2.1.3-1</w:t>
      </w:r>
      <w:r>
        <w:fldChar w:fldCharType="end"/>
      </w:r>
      <w:r>
        <w:rPr>
          <w:rFonts w:hint="eastAsia"/>
        </w:rPr>
        <w:t>所示。</w:t>
      </w:r>
    </w:p>
    <w:p w14:paraId="6D4CE69C">
      <w:pPr>
        <w:pStyle w:val="109"/>
      </w:pPr>
      <w:r>
        <w:drawing>
          <wp:inline distT="0" distB="0" distL="0" distR="0">
            <wp:extent cx="5274310" cy="1412875"/>
            <wp:effectExtent l="0" t="0" r="2540" b="15875"/>
            <wp:docPr id="104156646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66469" name="图片 6"/>
                    <pic:cNvPicPr>
                      <a:picLocks noChangeAspect="1"/>
                    </pic:cNvPicPr>
                  </pic:nvPicPr>
                  <pic:blipFill>
                    <a:blip r:embed="rId28"/>
                    <a:stretch>
                      <a:fillRect/>
                    </a:stretch>
                  </pic:blipFill>
                  <pic:spPr>
                    <a:xfrm>
                      <a:off x="0" y="0"/>
                      <a:ext cx="5274310" cy="1412875"/>
                    </a:xfrm>
                    <a:prstGeom prst="rect">
                      <a:avLst/>
                    </a:prstGeom>
                  </pic:spPr>
                </pic:pic>
              </a:graphicData>
            </a:graphic>
          </wp:inline>
        </w:drawing>
      </w:r>
    </w:p>
    <w:p w14:paraId="4975318D">
      <w:pPr>
        <w:pStyle w:val="108"/>
      </w:pPr>
      <w:bookmarkStart w:id="35" w:name="_Ref172619699"/>
      <w:r>
        <w:rPr>
          <w:rFonts w:hint="eastAsia"/>
        </w:rPr>
        <w:t>图</w:t>
      </w:r>
      <w:r>
        <w:fldChar w:fldCharType="begin"/>
      </w:r>
      <w:r>
        <w:instrText xml:space="preserve"> STYLEREF 3 \s </w:instrText>
      </w:r>
      <w:r>
        <w:fldChar w:fldCharType="separate"/>
      </w:r>
      <w:r>
        <w:t>2.1.3</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1</w:t>
      </w:r>
      <w:r>
        <w:fldChar w:fldCharType="end"/>
      </w:r>
      <w:bookmarkEnd w:id="35"/>
      <w:r>
        <w:t xml:space="preserve"> </w:t>
      </w:r>
      <w:r>
        <w:rPr>
          <w:rFonts w:hint="eastAsia"/>
        </w:rPr>
        <w:t>潘口水库近5年水位变化图</w:t>
      </w:r>
    </w:p>
    <w:p w14:paraId="1E164D5F">
      <w:pPr>
        <w:ind w:firstLine="480"/>
      </w:pPr>
      <w:r>
        <w:rPr>
          <w:rFonts w:hint="eastAsia"/>
        </w:rPr>
        <w:t>（3）地下水</w:t>
      </w:r>
    </w:p>
    <w:p w14:paraId="58A2EF6E">
      <w:pPr>
        <w:ind w:firstLine="480"/>
      </w:pPr>
      <w:r>
        <w:rPr>
          <w:rFonts w:hint="eastAsia"/>
        </w:rPr>
        <w:t>地下水主要为第四系松散层孔隙水、基岩裂隙水。松散地层孔隙水赋存于覆盖层中，接受地表水及大气降水的下渗补给，水量较丰富；基岩裂隙水主要赋存于基岩风化层及其节理裂隙中，接受上部地表水和第四系松散孔隙水的下渗补给及相同层位间的侧向径流补给，受地形条件、裂隙发育程度及补给源的控制，水量相对较贫乏。</w:t>
      </w:r>
    </w:p>
    <w:p w14:paraId="7DC83875">
      <w:pPr>
        <w:ind w:firstLine="480"/>
      </w:pPr>
      <w:r>
        <w:rPr>
          <w:rFonts w:hint="eastAsia"/>
        </w:rPr>
        <w:t>（4）航道现状、规划及通航尺度</w:t>
      </w:r>
    </w:p>
    <w:p w14:paraId="21933317">
      <w:pPr>
        <w:ind w:firstLine="480"/>
      </w:pPr>
      <w:r>
        <w:rPr>
          <w:rFonts w:hint="eastAsia"/>
        </w:rPr>
        <w:t>潘口水库规划Ⅳ级航道，通航净宽≥40m、通航净高≥6m，目前无码头，不具备通航条件，无法实现大型构件水上运输。</w:t>
      </w:r>
    </w:p>
    <w:p w14:paraId="56539B6E">
      <w:pPr>
        <w:pStyle w:val="5"/>
      </w:pPr>
      <w:r>
        <w:rPr>
          <w:rFonts w:hint="eastAsia"/>
        </w:rPr>
        <w:t>地形地貌</w:t>
      </w:r>
    </w:p>
    <w:p w14:paraId="755AD02C">
      <w:pPr>
        <w:ind w:firstLine="480"/>
      </w:pPr>
      <w:r>
        <w:rPr>
          <w:rFonts w:hint="eastAsia"/>
        </w:rPr>
        <w:t>新洲特大桥</w:t>
      </w:r>
      <w:r>
        <w:t>跨越汇湾河，附近有乡村道路通达，交通较便利。桥址区属构造剥蚀低山地貌区，地势起伏较大，地面标高约340～420</w:t>
      </w:r>
      <w:r>
        <w:rPr>
          <w:rFonts w:eastAsia="Arial"/>
        </w:rPr>
        <w:t>m</w:t>
      </w:r>
      <w:r>
        <w:rPr>
          <w:rFonts w:hint="eastAsia"/>
        </w:rPr>
        <w:t>。桥梁终点岸坡自然坡度为30°</w:t>
      </w:r>
      <w:r>
        <w:rPr>
          <w:rFonts w:hint="eastAsia" w:ascii="宋体" w:hAnsi="宋体"/>
        </w:rPr>
        <w:t>～</w:t>
      </w:r>
      <w:r>
        <w:rPr>
          <w:rFonts w:hint="eastAsia"/>
        </w:rPr>
        <w:t>50°，坡向约85°，覆盖层相对较厚，厚度1.0</w:t>
      </w:r>
      <w:r>
        <w:rPr>
          <w:rFonts w:hint="eastAsia" w:ascii="宋体" w:hAnsi="宋体"/>
        </w:rPr>
        <w:t>～</w:t>
      </w:r>
      <w:r>
        <w:rPr>
          <w:rFonts w:hint="eastAsia"/>
        </w:rPr>
        <w:t>14.2m，下伏基岩为泥质板岩，岩层产状200°∠55°，坡向与岩层产状之间的关系为横向坡，对边坡稳定较为有利，由于岸坡局部较陡峭，基岩节理裂隙发育，强风化层较厚，库水位升降易对坡体造成侵蚀，因此终点桥台处岸坡岩体沿节理裂隙面发生局部滑塌。根据CQZK23、CQZK23-1和XQZK24钻孔揭露，覆盖层物质组成为第四系全新统残坡积碎石，需要对其进行稳定性进行定量分析。</w:t>
      </w:r>
    </w:p>
    <w:p w14:paraId="64E1877C">
      <w:pPr>
        <w:ind w:firstLine="480"/>
      </w:pPr>
      <w:r>
        <w:rPr>
          <w:rFonts w:hint="eastAsia"/>
        </w:rPr>
        <w:t>根据计算结果，自然边坡在天然工况下稳定性系数为1.13，呈基本稳定状态；在暴雨工况下，稳定性系数为1.01，呈欠稳定状态。施工时应设置完善的防排水措施，加强坡面防护，坡脚设置挡墙，必要时设置预应力锚索框架等防护措施。</w:t>
      </w:r>
    </w:p>
    <w:p w14:paraId="4F2EECB5">
      <w:pPr>
        <w:pStyle w:val="5"/>
      </w:pPr>
      <w:r>
        <w:rPr>
          <w:rFonts w:hint="eastAsia"/>
        </w:rPr>
        <w:t>地质条件</w:t>
      </w:r>
    </w:p>
    <w:p w14:paraId="67A8EC0F">
      <w:pPr>
        <w:ind w:firstLine="480"/>
      </w:pPr>
      <w:r>
        <w:t>桥址区揭露地层：覆盖层主要为第四系全新统（Q</w:t>
      </w:r>
      <w:r>
        <w:rPr>
          <w:vertAlign w:val="subscript"/>
        </w:rPr>
        <w:t>4</w:t>
      </w:r>
      <w:r>
        <w:rPr>
          <w:vertAlign w:val="superscript"/>
        </w:rPr>
        <w:t>al+pl</w:t>
      </w:r>
      <w:r>
        <w:t>）冲洪积卵石、（Q</w:t>
      </w:r>
      <w:r>
        <w:rPr>
          <w:vertAlign w:val="superscript"/>
        </w:rPr>
        <w:t>el+dl</w:t>
      </w:r>
      <w:r>
        <w:t>）残坡积碎石、（Q</w:t>
      </w:r>
      <w:r>
        <w:rPr>
          <w:vertAlign w:val="superscript"/>
        </w:rPr>
        <w:t>c+dl</w:t>
      </w:r>
      <w:r>
        <w:t>）崩坡积碎石，基岩为志留系中统竹溪群（S</w:t>
      </w:r>
      <w:r>
        <w:rPr>
          <w:vertAlign w:val="subscript"/>
        </w:rPr>
        <w:t>2</w:t>
      </w:r>
      <w:r>
        <w:t>zh）泥质板岩。现按各岩土层特征分述如下：</w:t>
      </w:r>
    </w:p>
    <w:p w14:paraId="5674D80F">
      <w:pPr>
        <w:ind w:firstLine="480"/>
      </w:pPr>
      <w:r>
        <w:t>4-2b 稍密</w:t>
      </w:r>
      <w:r>
        <w:rPr>
          <w:rFonts w:hint="eastAsia"/>
        </w:rPr>
        <w:t xml:space="preserve"> </w:t>
      </w:r>
      <w:r>
        <w:t>卵石（Q</w:t>
      </w:r>
      <w:r>
        <w:rPr>
          <w:vertAlign w:val="subscript"/>
        </w:rPr>
        <w:t>4</w:t>
      </w:r>
      <w:r>
        <w:rPr>
          <w:vertAlign w:val="superscript"/>
        </w:rPr>
        <w:t>al+pl</w:t>
      </w:r>
      <w:r>
        <w:t>）：灰褐色，卵石成为主要为板岩，粒径一般为20-40mm</w:t>
      </w:r>
      <w:r>
        <w:rPr>
          <w:rFonts w:hint="eastAsia"/>
        </w:rPr>
        <w:t>，</w:t>
      </w:r>
      <w:r>
        <w:t>呈亚圆状，黏性土充填，采取率70%。</w:t>
      </w:r>
    </w:p>
    <w:p w14:paraId="5B91A4C5">
      <w:pPr>
        <w:ind w:firstLine="480"/>
      </w:pPr>
      <w:r>
        <w:t>6-2a 松散</w:t>
      </w:r>
      <w:r>
        <w:rPr>
          <w:rFonts w:hint="eastAsia"/>
        </w:rPr>
        <w:t xml:space="preserve"> </w:t>
      </w:r>
      <w:r>
        <w:t>碎石（Q</w:t>
      </w:r>
      <w:r>
        <w:rPr>
          <w:vertAlign w:val="superscript"/>
        </w:rPr>
        <w:t>el+dl</w:t>
      </w:r>
      <w:r>
        <w:t>）：褐黄色，松散，碎石成分主要为强风化板岩碎块，其间夹有可塑状粉质黏土，表层含植物根系，碎石含量约占25-60%，采取率为70%。</w:t>
      </w:r>
    </w:p>
    <w:p w14:paraId="7D6AF3ED">
      <w:pPr>
        <w:ind w:firstLine="480"/>
      </w:pPr>
      <w:r>
        <w:t>6-2b 松散-稍密</w:t>
      </w:r>
      <w:r>
        <w:rPr>
          <w:rFonts w:hint="eastAsia"/>
        </w:rPr>
        <w:t xml:space="preserve"> </w:t>
      </w:r>
      <w:r>
        <w:t>碎石（Q</w:t>
      </w:r>
      <w:r>
        <w:rPr>
          <w:vertAlign w:val="superscript"/>
        </w:rPr>
        <w:t>c+dl</w:t>
      </w:r>
      <w:r>
        <w:t>）：褐黄色，碎石含量约30-50%，粒径1-3cm，碎石成分主要为强风化板岩，磨圆度差，采取率为75%。</w:t>
      </w:r>
    </w:p>
    <w:p w14:paraId="0B1CCD8D">
      <w:pPr>
        <w:ind w:firstLine="480"/>
      </w:pPr>
      <w:r>
        <w:t>11o-1 强风化泥质板岩（S</w:t>
      </w:r>
      <w:r>
        <w:rPr>
          <w:vertAlign w:val="subscript"/>
        </w:rPr>
        <w:t>2</w:t>
      </w:r>
      <w:r>
        <w:t>zh）：灰褐色，变余泥质结构，板状构造，主要矿物成分为黏土矿物、石英，原岩成分为黏土岩，岩质较软，锤击声哑。岩芯较破碎，多呈块状，块径5-10cm，采取率为70%。</w:t>
      </w:r>
    </w:p>
    <w:p w14:paraId="6B0656D6">
      <w:pPr>
        <w:ind w:firstLine="480"/>
      </w:pPr>
      <w:r>
        <w:t>11o-2 中风化泥质板岩（S</w:t>
      </w:r>
      <w:r>
        <w:rPr>
          <w:vertAlign w:val="subscript"/>
        </w:rPr>
        <w:t>2</w:t>
      </w:r>
      <w:r>
        <w:t>zh）：青灰色，变余泥质结构，板状构造，主要矿物成分为黏土矿物、石英，炭质。原岩成分为黏土岩，岩芯较破碎，多呈碎块石状或短柱状，柱长5～20cm，采取率为70～90%，长度大于10cm岩芯占比小于10%。岩质软硬不均，强度差异变化较大，局部地段单轴饱和抗压强度可能会超过10MPa。</w:t>
      </w:r>
    </w:p>
    <w:p w14:paraId="7C9BE0A3">
      <w:pPr>
        <w:adjustRightInd w:val="0"/>
        <w:ind w:firstLine="480"/>
      </w:pPr>
      <w:r>
        <w:rPr>
          <w:rFonts w:hint="eastAsia"/>
        </w:rPr>
        <w:t>11o（s）-2 中风化砂质板岩（S</w:t>
      </w:r>
      <w:r>
        <w:rPr>
          <w:rFonts w:hint="eastAsia"/>
          <w:vertAlign w:val="subscript"/>
        </w:rPr>
        <w:t>2</w:t>
      </w:r>
      <w:r>
        <w:rPr>
          <w:rFonts w:hint="eastAsia"/>
        </w:rPr>
        <w:t>zh）：灰褐色，变余砂质结构，板状构造，主要矿物成分为黏土矿物、炭质。原岩成分为黏土岩，岩芯较破碎，多呈块状-短柱状，块径约10-15cm，柱长约5-10cm，采取率为73%，长度大于10cm岩芯占比小于10%。</w:t>
      </w:r>
    </w:p>
    <w:p w14:paraId="00A168B6">
      <w:pPr>
        <w:adjustRightInd w:val="0"/>
        <w:ind w:firstLine="480"/>
      </w:pPr>
      <w:r>
        <w:t>桥址区位于秦岭褶皱系一级构造单元，次级构造单元为南秦岭冒地槽褶皱带之北大巴山-随南复背斜之北大巴山褶皱束。桥梁跨越汇湾河，河两岸岩层产状方向相背，北侧地层产状为40°</w:t>
      </w:r>
      <w:r>
        <w:rPr>
          <w:rFonts w:hint="eastAsia"/>
        </w:rPr>
        <w:t>∠</w:t>
      </w:r>
      <w:r>
        <w:t>40°；南侧地层产状为200°</w:t>
      </w:r>
      <w:r>
        <w:rPr>
          <w:rFonts w:hint="eastAsia"/>
        </w:rPr>
        <w:t>∠</w:t>
      </w:r>
      <w:r>
        <w:t>55°，形成以汇湾河为轴线的背斜。</w:t>
      </w:r>
    </w:p>
    <w:p w14:paraId="4F068279">
      <w:pPr>
        <w:ind w:firstLine="480"/>
        <w:sectPr>
          <w:pgSz w:w="11906" w:h="16838"/>
          <w:pgMar w:top="1440" w:right="1800" w:bottom="1440" w:left="1800" w:header="851" w:footer="992" w:gutter="0"/>
          <w:cols w:space="425" w:num="1"/>
          <w:docGrid w:type="lines" w:linePitch="312" w:charSpace="0"/>
        </w:sectPr>
      </w:pPr>
    </w:p>
    <w:p w14:paraId="44575E83">
      <w:pPr>
        <w:pStyle w:val="108"/>
      </w:pPr>
      <w:r>
        <w:drawing>
          <wp:inline distT="0" distB="0" distL="114300" distR="114300">
            <wp:extent cx="8405495" cy="4538980"/>
            <wp:effectExtent l="0" t="0" r="14605" b="13970"/>
            <wp:docPr id="107186538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65384" name="图片 20"/>
                    <pic:cNvPicPr>
                      <a:picLocks noChangeAspect="1"/>
                    </pic:cNvPicPr>
                  </pic:nvPicPr>
                  <pic:blipFill>
                    <a:blip r:embed="rId29"/>
                    <a:stretch>
                      <a:fillRect/>
                    </a:stretch>
                  </pic:blipFill>
                  <pic:spPr>
                    <a:xfrm>
                      <a:off x="0" y="0"/>
                      <a:ext cx="8406000" cy="4539192"/>
                    </a:xfrm>
                    <a:prstGeom prst="rect">
                      <a:avLst/>
                    </a:prstGeom>
                    <a:noFill/>
                    <a:ln>
                      <a:noFill/>
                    </a:ln>
                  </pic:spPr>
                </pic:pic>
              </a:graphicData>
            </a:graphic>
          </wp:inline>
        </w:drawing>
      </w:r>
    </w:p>
    <w:p w14:paraId="739EF6D4">
      <w:pPr>
        <w:pStyle w:val="108"/>
      </w:pPr>
      <w:r>
        <w:rPr>
          <w:rFonts w:hint="eastAsia"/>
        </w:rPr>
        <w:t>图</w:t>
      </w:r>
      <w:r>
        <w:fldChar w:fldCharType="begin"/>
      </w:r>
      <w:r>
        <w:instrText xml:space="preserve"> STYLEREF 3 \s </w:instrText>
      </w:r>
      <w:r>
        <w:fldChar w:fldCharType="separate"/>
      </w:r>
      <w:r>
        <w:t>2.1.3</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2</w:t>
      </w:r>
      <w:r>
        <w:fldChar w:fldCharType="end"/>
      </w:r>
      <w:r>
        <w:t xml:space="preserve"> </w:t>
      </w:r>
      <w:r>
        <w:rPr>
          <w:rFonts w:hint="eastAsia"/>
        </w:rPr>
        <w:t>桥址区地质纵断面图</w:t>
      </w:r>
    </w:p>
    <w:p w14:paraId="16437611">
      <w:pPr>
        <w:ind w:firstLine="480"/>
        <w:sectPr>
          <w:pgSz w:w="16838" w:h="11906" w:orient="landscape"/>
          <w:pgMar w:top="1800" w:right="1440" w:bottom="1800" w:left="1440" w:header="851" w:footer="992" w:gutter="0"/>
          <w:cols w:space="425" w:num="1"/>
          <w:docGrid w:type="lines" w:linePitch="312" w:charSpace="0"/>
        </w:sectPr>
      </w:pPr>
    </w:p>
    <w:p w14:paraId="0CBAE9B8">
      <w:pPr>
        <w:pStyle w:val="4"/>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概况</w:t>
      </w:r>
    </w:p>
    <w:p w14:paraId="5DE7F462">
      <w:pPr>
        <w:pStyle w:val="5"/>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基本概况</w:t>
      </w:r>
    </w:p>
    <w:p w14:paraId="4550C463">
      <w:pPr>
        <w:pStyle w:val="70"/>
        <w:numPr>
          <w:ilvl w:val="0"/>
          <w:numId w:val="8"/>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用途：</w:t>
      </w:r>
      <w:r>
        <w:fldChar w:fldCharType="begin"/>
      </w:r>
      <w:r>
        <w:instrText xml:space="preserve"> </w:instrText>
      </w:r>
      <w:r>
        <w:rPr>
          <w:rFonts w:hint="eastAsia"/>
        </w:rPr>
        <w:instrText xml:space="preserve">REF 设备位置</w:instrText>
      </w:r>
      <w:r>
        <w:instrText xml:space="preserve"> </w:instrText>
      </w:r>
      <w:r>
        <w:fldChar w:fldCharType="separate"/>
      </w:r>
      <w:r>
        <w:rPr>
          <w:rFonts w:hint="eastAsia"/>
          <w:lang w:eastAsia="zh-CN"/>
        </w:rPr>
        <w:t>新洲特大桥索塔</w:t>
      </w:r>
      <w:r>
        <w:fldChar w:fldCharType="end"/>
      </w:r>
      <w:r>
        <w:rPr>
          <w:rFonts w:hint="eastAsia"/>
        </w:rPr>
        <w:t>施工；</w:t>
      </w:r>
    </w:p>
    <w:p w14:paraId="1C57E238">
      <w:pPr>
        <w:pStyle w:val="70"/>
        <w:numPr>
          <w:ilvl w:val="0"/>
          <w:numId w:val="8"/>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t>数量：</w:t>
      </w:r>
      <w:r>
        <w:rPr>
          <w:rFonts w:hint="eastAsia"/>
          <w:lang w:val="en-US" w:eastAsia="zh-CN"/>
        </w:rPr>
        <w:t>2</w:t>
      </w:r>
      <w:r>
        <w:rPr>
          <w:rFonts w:hint="eastAsia"/>
        </w:rPr>
        <w:t>台</w:t>
      </w:r>
      <w:r>
        <w:fldChar w:fldCharType="begin"/>
      </w:r>
      <w:r>
        <w:instrText xml:space="preserve"> </w:instrText>
      </w:r>
      <w:r>
        <w:rPr>
          <w:rFonts w:hint="eastAsia"/>
        </w:rPr>
        <w:instrText xml:space="preserve">REF 设备型号1 \h</w:instrText>
      </w:r>
      <w:r>
        <w:instrText xml:space="preserve"> </w:instrText>
      </w:r>
      <w:r>
        <w:fldChar w:fldCharType="separate"/>
      </w:r>
      <w:r>
        <w:rPr>
          <w:rFonts w:hint="eastAsia"/>
          <w:lang w:eastAsia="zh-CN"/>
        </w:rPr>
        <w:t>SC160</w:t>
      </w:r>
      <w:r>
        <w:fldChar w:fldCharType="end"/>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w:t>
      </w:r>
    </w:p>
    <w:p w14:paraId="7920F0FD">
      <w:pPr>
        <w:pStyle w:val="5"/>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主要技术参数</w:t>
      </w:r>
    </w:p>
    <w:p w14:paraId="3FA8E19B">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整机性能参数如</w:t>
      </w:r>
      <w:r>
        <w:fldChar w:fldCharType="begin"/>
      </w:r>
      <w:r>
        <w:instrText xml:space="preserve"> </w:instrText>
      </w:r>
      <w:r>
        <w:rPr>
          <w:rFonts w:hint="eastAsia"/>
        </w:rPr>
        <w:instrText xml:space="preserve">REF _Ref123718926 \h</w:instrText>
      </w:r>
      <w:r>
        <w:instrText xml:space="preserve"> </w:instrText>
      </w:r>
      <w:r>
        <w:fldChar w:fldCharType="separate"/>
      </w:r>
      <w:r>
        <w:rPr>
          <w:rFonts w:hint="eastAsia"/>
        </w:rPr>
        <w:t>表</w:t>
      </w:r>
      <w:r>
        <w:t>2.1.3</w:t>
      </w:r>
      <w:r>
        <w:rPr>
          <w:rFonts w:hint="eastAsia"/>
        </w:rPr>
        <w:t>-</w:t>
      </w:r>
      <w:r>
        <w:t>1</w:t>
      </w:r>
      <w:r>
        <w:fldChar w:fldCharType="end"/>
      </w:r>
      <w:r>
        <w:rPr>
          <w:rFonts w:hint="eastAsia"/>
        </w:rPr>
        <w:t>所示。</w:t>
      </w:r>
    </w:p>
    <w:p w14:paraId="341EDBD2">
      <w:pPr>
        <w:pStyle w:val="15"/>
      </w:pPr>
      <w:bookmarkStart w:id="36" w:name="_Ref12371892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36"/>
      <w:r>
        <w:rPr>
          <w:rFonts w:hint="eastAsia"/>
        </w:rPr>
        <w:t xml:space="preserve"> </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整机性能参数</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0"/>
        <w:gridCol w:w="2623"/>
        <w:gridCol w:w="1172"/>
        <w:gridCol w:w="1313"/>
        <w:gridCol w:w="663"/>
        <w:gridCol w:w="2091"/>
      </w:tblGrid>
      <w:tr w14:paraId="25252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387" w:type="pct"/>
            <w:shd w:val="clear" w:color="auto" w:fill="auto"/>
            <w:vAlign w:val="center"/>
          </w:tcPr>
          <w:p w14:paraId="426E27BA">
            <w:pPr>
              <w:pStyle w:val="16"/>
              <w:rPr>
                <w:b/>
              </w:rPr>
            </w:pPr>
            <w:r>
              <w:rPr>
                <w:rFonts w:hint="eastAsia"/>
                <w:b/>
              </w:rPr>
              <w:t>序号</w:t>
            </w:r>
          </w:p>
        </w:tc>
        <w:tc>
          <w:tcPr>
            <w:tcW w:w="1538" w:type="pct"/>
            <w:shd w:val="clear" w:color="auto" w:fill="auto"/>
            <w:vAlign w:val="center"/>
          </w:tcPr>
          <w:p w14:paraId="16F6E10A">
            <w:pPr>
              <w:pStyle w:val="16"/>
              <w:rPr>
                <w:b/>
              </w:rPr>
            </w:pPr>
            <w:r>
              <w:rPr>
                <w:rFonts w:hint="eastAsia"/>
                <w:b/>
              </w:rPr>
              <w:t>项目</w:t>
            </w:r>
          </w:p>
        </w:tc>
        <w:tc>
          <w:tcPr>
            <w:tcW w:w="687" w:type="pct"/>
            <w:shd w:val="clear" w:color="auto" w:fill="auto"/>
            <w:vAlign w:val="center"/>
          </w:tcPr>
          <w:p w14:paraId="182407A4">
            <w:pPr>
              <w:pStyle w:val="16"/>
              <w:rPr>
                <w:b/>
              </w:rPr>
            </w:pPr>
            <w:r>
              <w:rPr>
                <w:rFonts w:hint="eastAsia"/>
                <w:b/>
              </w:rPr>
              <w:t>单位</w:t>
            </w:r>
          </w:p>
        </w:tc>
        <w:tc>
          <w:tcPr>
            <w:tcW w:w="1159" w:type="pct"/>
            <w:gridSpan w:val="2"/>
            <w:shd w:val="clear" w:color="auto" w:fill="auto"/>
            <w:vAlign w:val="center"/>
          </w:tcPr>
          <w:p w14:paraId="3945CB3C">
            <w:pPr>
              <w:pStyle w:val="16"/>
              <w:rPr>
                <w:b/>
              </w:rPr>
            </w:pPr>
            <w:r>
              <w:rPr>
                <w:rFonts w:hint="eastAsia"/>
                <w:b/>
              </w:rPr>
              <w:t>参数</w:t>
            </w:r>
          </w:p>
        </w:tc>
        <w:tc>
          <w:tcPr>
            <w:tcW w:w="1226" w:type="pct"/>
            <w:shd w:val="clear" w:color="auto" w:fill="auto"/>
            <w:vAlign w:val="center"/>
          </w:tcPr>
          <w:p w14:paraId="4592A087">
            <w:pPr>
              <w:pStyle w:val="16"/>
              <w:rPr>
                <w:b/>
              </w:rPr>
            </w:pPr>
            <w:r>
              <w:rPr>
                <w:rFonts w:hint="eastAsia"/>
                <w:b/>
              </w:rPr>
              <w:t>备注</w:t>
            </w:r>
          </w:p>
        </w:tc>
      </w:tr>
      <w:tr w14:paraId="6C07FF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387" w:type="pct"/>
            <w:shd w:val="clear" w:color="auto" w:fill="auto"/>
            <w:vAlign w:val="center"/>
          </w:tcPr>
          <w:p w14:paraId="1E0EC36D">
            <w:pPr>
              <w:pStyle w:val="16"/>
              <w:numPr>
                <w:ilvl w:val="0"/>
                <w:numId w:val="9"/>
              </w:numPr>
            </w:pPr>
          </w:p>
        </w:tc>
        <w:tc>
          <w:tcPr>
            <w:tcW w:w="1538" w:type="pct"/>
            <w:shd w:val="clear" w:color="auto" w:fill="auto"/>
            <w:vAlign w:val="center"/>
          </w:tcPr>
          <w:p w14:paraId="376BDF8D">
            <w:pPr>
              <w:pStyle w:val="16"/>
            </w:pPr>
            <w:r>
              <w:rPr>
                <w:rFonts w:hint="eastAsia"/>
              </w:rPr>
              <w:t>额定载重量</w:t>
            </w:r>
          </w:p>
        </w:tc>
        <w:tc>
          <w:tcPr>
            <w:tcW w:w="687" w:type="pct"/>
            <w:shd w:val="clear" w:color="auto" w:fill="auto"/>
            <w:vAlign w:val="center"/>
          </w:tcPr>
          <w:p w14:paraId="406BEB7B">
            <w:pPr>
              <w:pStyle w:val="16"/>
            </w:pPr>
            <w:r>
              <w:rPr>
                <w:rFonts w:hint="eastAsia"/>
              </w:rPr>
              <w:t>kg</w:t>
            </w:r>
          </w:p>
        </w:tc>
        <w:tc>
          <w:tcPr>
            <w:tcW w:w="1159" w:type="pct"/>
            <w:gridSpan w:val="2"/>
            <w:shd w:val="clear" w:color="auto" w:fill="auto"/>
            <w:vAlign w:val="center"/>
          </w:tcPr>
          <w:p w14:paraId="07359D90">
            <w:pPr>
              <w:pStyle w:val="16"/>
              <w:rPr>
                <w:rFonts w:hint="default" w:eastAsia="宋体"/>
                <w:lang w:val="en-US" w:eastAsia="zh-CN"/>
              </w:rPr>
            </w:pPr>
            <w:r>
              <w:rPr>
                <w:rFonts w:hint="eastAsia"/>
                <w:lang w:val="en-US" w:eastAsia="zh-CN"/>
              </w:rPr>
              <w:t>1500</w:t>
            </w:r>
          </w:p>
        </w:tc>
        <w:tc>
          <w:tcPr>
            <w:tcW w:w="1226" w:type="pct"/>
            <w:shd w:val="clear" w:color="auto" w:fill="auto"/>
            <w:vAlign w:val="center"/>
          </w:tcPr>
          <w:p w14:paraId="2EEA428E">
            <w:pPr>
              <w:pStyle w:val="16"/>
            </w:pPr>
          </w:p>
        </w:tc>
      </w:tr>
      <w:tr w14:paraId="1B69D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7" w:type="pct"/>
            <w:shd w:val="clear" w:color="auto" w:fill="auto"/>
            <w:vAlign w:val="center"/>
          </w:tcPr>
          <w:p w14:paraId="69D85930">
            <w:pPr>
              <w:pStyle w:val="16"/>
              <w:numPr>
                <w:ilvl w:val="0"/>
                <w:numId w:val="9"/>
              </w:numPr>
            </w:pPr>
          </w:p>
        </w:tc>
        <w:tc>
          <w:tcPr>
            <w:tcW w:w="1538" w:type="pct"/>
            <w:shd w:val="clear" w:color="auto" w:fill="auto"/>
            <w:vAlign w:val="center"/>
          </w:tcPr>
          <w:p w14:paraId="2BE263E0">
            <w:pPr>
              <w:pStyle w:val="16"/>
            </w:pPr>
            <w:r>
              <w:rPr>
                <w:rFonts w:hint="eastAsia"/>
              </w:rPr>
              <w:t>额定速度</w:t>
            </w:r>
          </w:p>
        </w:tc>
        <w:tc>
          <w:tcPr>
            <w:tcW w:w="687" w:type="pct"/>
            <w:shd w:val="clear" w:color="auto" w:fill="auto"/>
            <w:vAlign w:val="center"/>
          </w:tcPr>
          <w:p w14:paraId="271E4F42">
            <w:pPr>
              <w:pStyle w:val="16"/>
            </w:pPr>
            <w:r>
              <w:rPr>
                <w:rFonts w:hint="eastAsia"/>
              </w:rPr>
              <w:t>m</w:t>
            </w:r>
            <w:r>
              <w:t>/min</w:t>
            </w:r>
          </w:p>
        </w:tc>
        <w:tc>
          <w:tcPr>
            <w:tcW w:w="1159" w:type="pct"/>
            <w:gridSpan w:val="2"/>
            <w:shd w:val="clear" w:color="auto" w:fill="auto"/>
            <w:vAlign w:val="center"/>
          </w:tcPr>
          <w:p w14:paraId="50D36A5F">
            <w:pPr>
              <w:pStyle w:val="16"/>
              <w:rPr>
                <w:rFonts w:hint="eastAsia" w:eastAsia="宋体"/>
                <w:lang w:val="en-US" w:eastAsia="zh-CN"/>
              </w:rPr>
            </w:pPr>
            <w:r>
              <w:rPr>
                <w:rFonts w:hint="eastAsia"/>
              </w:rPr>
              <w:t>0</w:t>
            </w:r>
            <w:r>
              <w:t>~5</w:t>
            </w:r>
            <w:r>
              <w:rPr>
                <w:rFonts w:hint="eastAsia"/>
                <w:lang w:val="en-US" w:eastAsia="zh-CN"/>
              </w:rPr>
              <w:t>4</w:t>
            </w:r>
          </w:p>
        </w:tc>
        <w:tc>
          <w:tcPr>
            <w:tcW w:w="1226" w:type="pct"/>
            <w:shd w:val="clear" w:color="auto" w:fill="auto"/>
            <w:vAlign w:val="center"/>
          </w:tcPr>
          <w:p w14:paraId="59A49EB8">
            <w:pPr>
              <w:pStyle w:val="16"/>
            </w:pPr>
          </w:p>
        </w:tc>
      </w:tr>
      <w:tr w14:paraId="714A91C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7" w:type="pct"/>
            <w:shd w:val="clear" w:color="auto" w:fill="auto"/>
            <w:vAlign w:val="center"/>
          </w:tcPr>
          <w:p w14:paraId="233CD1D8">
            <w:pPr>
              <w:pStyle w:val="16"/>
              <w:numPr>
                <w:ilvl w:val="0"/>
                <w:numId w:val="9"/>
              </w:numPr>
            </w:pPr>
          </w:p>
        </w:tc>
        <w:tc>
          <w:tcPr>
            <w:tcW w:w="1538" w:type="pct"/>
            <w:shd w:val="clear" w:color="auto" w:fill="auto"/>
            <w:vAlign w:val="center"/>
          </w:tcPr>
          <w:p w14:paraId="6F4B0D08">
            <w:pPr>
              <w:pStyle w:val="16"/>
            </w:pPr>
            <w:r>
              <w:rPr>
                <w:rFonts w:hint="eastAsia"/>
              </w:rPr>
              <w:t>吊笼空间（长×宽×高）</w:t>
            </w:r>
          </w:p>
        </w:tc>
        <w:tc>
          <w:tcPr>
            <w:tcW w:w="687" w:type="pct"/>
            <w:shd w:val="clear" w:color="auto" w:fill="auto"/>
            <w:vAlign w:val="center"/>
          </w:tcPr>
          <w:p w14:paraId="2D3FDA47">
            <w:pPr>
              <w:pStyle w:val="16"/>
            </w:pPr>
            <w:r>
              <w:rPr>
                <w:rFonts w:hint="eastAsia"/>
              </w:rPr>
              <w:t>m×</w:t>
            </w:r>
            <w:r>
              <w:t>m</w:t>
            </w:r>
            <w:r>
              <w:rPr>
                <w:rFonts w:hint="eastAsia"/>
              </w:rPr>
              <w:t>×</w:t>
            </w:r>
            <w:r>
              <w:t>m</w:t>
            </w:r>
          </w:p>
        </w:tc>
        <w:tc>
          <w:tcPr>
            <w:tcW w:w="1159" w:type="pct"/>
            <w:gridSpan w:val="2"/>
            <w:shd w:val="clear" w:color="auto" w:fill="auto"/>
            <w:vAlign w:val="center"/>
          </w:tcPr>
          <w:p w14:paraId="05A59EB4">
            <w:pPr>
              <w:pStyle w:val="16"/>
              <w:rPr>
                <w:rFonts w:hint="eastAsia" w:eastAsia="宋体"/>
                <w:lang w:val="en-US" w:eastAsia="zh-CN"/>
              </w:rPr>
            </w:pPr>
            <w:r>
              <w:rPr>
                <w:rFonts w:hint="eastAsia"/>
                <w:lang w:val="en-US" w:eastAsia="zh-CN"/>
              </w:rPr>
              <w:t>2.6</w:t>
            </w:r>
            <w:r>
              <w:rPr>
                <w:rFonts w:hint="eastAsia"/>
              </w:rPr>
              <w:t>×</w:t>
            </w:r>
            <w:r>
              <w:t>1.</w:t>
            </w:r>
            <w:r>
              <w:rPr>
                <w:rFonts w:hint="eastAsia"/>
                <w:lang w:val="en-US" w:eastAsia="zh-CN"/>
              </w:rPr>
              <w:t>2</w:t>
            </w:r>
            <w:r>
              <w:rPr>
                <w:rFonts w:hint="eastAsia"/>
              </w:rPr>
              <w:t>×</w:t>
            </w:r>
            <w:r>
              <w:t>2.</w:t>
            </w:r>
            <w:r>
              <w:rPr>
                <w:rFonts w:hint="eastAsia"/>
                <w:lang w:val="en-US" w:eastAsia="zh-CN"/>
              </w:rPr>
              <w:t>2</w:t>
            </w:r>
          </w:p>
        </w:tc>
        <w:tc>
          <w:tcPr>
            <w:tcW w:w="1226" w:type="pct"/>
            <w:shd w:val="clear" w:color="auto" w:fill="auto"/>
            <w:vAlign w:val="center"/>
          </w:tcPr>
          <w:p w14:paraId="3DC608C0">
            <w:pPr>
              <w:pStyle w:val="16"/>
            </w:pPr>
          </w:p>
        </w:tc>
      </w:tr>
      <w:tr w14:paraId="4BCD1F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7" w:type="pct"/>
            <w:shd w:val="clear" w:color="auto" w:fill="auto"/>
            <w:vAlign w:val="center"/>
          </w:tcPr>
          <w:p w14:paraId="789A926A">
            <w:pPr>
              <w:pStyle w:val="16"/>
              <w:numPr>
                <w:ilvl w:val="0"/>
                <w:numId w:val="9"/>
              </w:numPr>
            </w:pPr>
          </w:p>
        </w:tc>
        <w:tc>
          <w:tcPr>
            <w:tcW w:w="1538" w:type="pct"/>
            <w:shd w:val="clear" w:color="auto" w:fill="auto"/>
            <w:vAlign w:val="center"/>
          </w:tcPr>
          <w:p w14:paraId="5CEFF63A">
            <w:pPr>
              <w:pStyle w:val="16"/>
            </w:pPr>
            <w:r>
              <w:rPr>
                <w:rFonts w:hint="eastAsia"/>
              </w:rPr>
              <w:t>电机功率</w:t>
            </w:r>
          </w:p>
        </w:tc>
        <w:tc>
          <w:tcPr>
            <w:tcW w:w="687" w:type="pct"/>
            <w:shd w:val="clear" w:color="auto" w:fill="auto"/>
            <w:vAlign w:val="center"/>
          </w:tcPr>
          <w:p w14:paraId="7CC5FA70">
            <w:pPr>
              <w:pStyle w:val="16"/>
            </w:pPr>
            <w:r>
              <w:rPr>
                <w:rFonts w:hint="eastAsia"/>
              </w:rPr>
              <w:t>kW</w:t>
            </w:r>
          </w:p>
        </w:tc>
        <w:tc>
          <w:tcPr>
            <w:tcW w:w="1159" w:type="pct"/>
            <w:gridSpan w:val="2"/>
            <w:shd w:val="clear" w:color="auto" w:fill="auto"/>
            <w:vAlign w:val="center"/>
          </w:tcPr>
          <w:p w14:paraId="5225A60E">
            <w:pPr>
              <w:pStyle w:val="16"/>
              <w:rPr>
                <w:rFonts w:hint="default" w:eastAsia="宋体"/>
                <w:lang w:val="en-US" w:eastAsia="zh-CN"/>
              </w:rPr>
            </w:pPr>
            <w:r>
              <w:rPr>
                <w:rFonts w:hint="eastAsia"/>
              </w:rPr>
              <w:t>2×</w:t>
            </w:r>
            <w:r>
              <w:rPr>
                <w:rFonts w:hint="eastAsia"/>
                <w:lang w:val="en-US" w:eastAsia="zh-CN"/>
              </w:rPr>
              <w:t>13</w:t>
            </w:r>
          </w:p>
        </w:tc>
        <w:tc>
          <w:tcPr>
            <w:tcW w:w="1226" w:type="pct"/>
            <w:shd w:val="clear" w:color="auto" w:fill="auto"/>
            <w:vAlign w:val="center"/>
          </w:tcPr>
          <w:p w14:paraId="09603B3C">
            <w:pPr>
              <w:pStyle w:val="16"/>
            </w:pPr>
          </w:p>
        </w:tc>
      </w:tr>
      <w:tr w14:paraId="75B74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7" w:type="pct"/>
            <w:shd w:val="clear" w:color="auto" w:fill="auto"/>
            <w:vAlign w:val="center"/>
          </w:tcPr>
          <w:p w14:paraId="17421045">
            <w:pPr>
              <w:pStyle w:val="16"/>
              <w:numPr>
                <w:ilvl w:val="0"/>
                <w:numId w:val="9"/>
              </w:numPr>
            </w:pPr>
          </w:p>
        </w:tc>
        <w:tc>
          <w:tcPr>
            <w:tcW w:w="1538" w:type="pct"/>
            <w:shd w:val="clear" w:color="auto" w:fill="auto"/>
            <w:vAlign w:val="center"/>
          </w:tcPr>
          <w:p w14:paraId="5C76D8D1">
            <w:pPr>
              <w:pStyle w:val="16"/>
            </w:pPr>
            <w:r>
              <w:rPr>
                <w:rFonts w:hint="eastAsia"/>
              </w:rPr>
              <w:t>额定工作电流</w:t>
            </w:r>
          </w:p>
        </w:tc>
        <w:tc>
          <w:tcPr>
            <w:tcW w:w="687" w:type="pct"/>
            <w:shd w:val="clear" w:color="auto" w:fill="auto"/>
            <w:vAlign w:val="center"/>
          </w:tcPr>
          <w:p w14:paraId="5668BB24">
            <w:pPr>
              <w:pStyle w:val="16"/>
            </w:pPr>
            <w:r>
              <w:rPr>
                <w:rFonts w:hint="eastAsia"/>
              </w:rPr>
              <w:t>A</w:t>
            </w:r>
          </w:p>
        </w:tc>
        <w:tc>
          <w:tcPr>
            <w:tcW w:w="1159" w:type="pct"/>
            <w:gridSpan w:val="2"/>
            <w:shd w:val="clear" w:color="auto" w:fill="auto"/>
            <w:vAlign w:val="center"/>
          </w:tcPr>
          <w:p w14:paraId="0AE03F87">
            <w:pPr>
              <w:pStyle w:val="16"/>
            </w:pPr>
            <w:r>
              <w:rPr>
                <w:rFonts w:hint="eastAsia"/>
              </w:rPr>
              <w:t>2×2×3</w:t>
            </w:r>
            <w:r>
              <w:t>9.5</w:t>
            </w:r>
          </w:p>
        </w:tc>
        <w:tc>
          <w:tcPr>
            <w:tcW w:w="1226" w:type="pct"/>
            <w:shd w:val="clear" w:color="auto" w:fill="auto"/>
            <w:vAlign w:val="center"/>
          </w:tcPr>
          <w:p w14:paraId="57F1E3A6">
            <w:pPr>
              <w:pStyle w:val="16"/>
            </w:pPr>
          </w:p>
        </w:tc>
      </w:tr>
      <w:tr w14:paraId="085C3F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387" w:type="pct"/>
            <w:vMerge w:val="restart"/>
            <w:shd w:val="clear" w:color="auto" w:fill="auto"/>
            <w:vAlign w:val="center"/>
          </w:tcPr>
          <w:p w14:paraId="142C58D8">
            <w:pPr>
              <w:pStyle w:val="16"/>
              <w:numPr>
                <w:ilvl w:val="0"/>
                <w:numId w:val="9"/>
              </w:numPr>
            </w:pPr>
          </w:p>
        </w:tc>
        <w:tc>
          <w:tcPr>
            <w:tcW w:w="1538" w:type="pct"/>
            <w:vMerge w:val="restart"/>
            <w:shd w:val="clear" w:color="auto" w:fill="auto"/>
            <w:vAlign w:val="center"/>
          </w:tcPr>
          <w:p w14:paraId="04590C59">
            <w:pPr>
              <w:pStyle w:val="16"/>
            </w:pPr>
            <w:r>
              <w:rPr>
                <w:rFonts w:hint="eastAsia"/>
              </w:rPr>
              <w:t>标准节重量</w:t>
            </w:r>
          </w:p>
        </w:tc>
        <w:tc>
          <w:tcPr>
            <w:tcW w:w="687" w:type="pct"/>
            <w:vMerge w:val="restart"/>
            <w:shd w:val="clear" w:color="auto" w:fill="auto"/>
            <w:vAlign w:val="center"/>
          </w:tcPr>
          <w:p w14:paraId="673B5672">
            <w:pPr>
              <w:pStyle w:val="16"/>
            </w:pPr>
            <w:r>
              <w:rPr>
                <w:rFonts w:hint="eastAsia"/>
              </w:rPr>
              <w:t>kg</w:t>
            </w:r>
          </w:p>
        </w:tc>
        <w:tc>
          <w:tcPr>
            <w:tcW w:w="770" w:type="pct"/>
            <w:shd w:val="clear" w:color="auto" w:fill="auto"/>
            <w:vAlign w:val="center"/>
          </w:tcPr>
          <w:p w14:paraId="6A704261">
            <w:pPr>
              <w:pStyle w:val="16"/>
            </w:pPr>
            <w:r>
              <w:rPr>
                <w:rFonts w:hint="eastAsia"/>
              </w:rPr>
              <w:t>主弦管壁厚</w:t>
            </w:r>
          </w:p>
        </w:tc>
        <w:tc>
          <w:tcPr>
            <w:tcW w:w="388" w:type="pct"/>
            <w:shd w:val="clear" w:color="auto" w:fill="auto"/>
            <w:vAlign w:val="center"/>
          </w:tcPr>
          <w:p w14:paraId="6FAF83D0">
            <w:pPr>
              <w:pStyle w:val="16"/>
            </w:pPr>
            <w:r>
              <w:rPr>
                <w:rFonts w:hint="eastAsia"/>
              </w:rPr>
              <w:t>重量</w:t>
            </w:r>
          </w:p>
        </w:tc>
        <w:tc>
          <w:tcPr>
            <w:tcW w:w="1226" w:type="pct"/>
            <w:vMerge w:val="restart"/>
            <w:shd w:val="clear" w:color="auto" w:fill="auto"/>
            <w:vAlign w:val="center"/>
          </w:tcPr>
          <w:p w14:paraId="3B60B714">
            <w:pPr>
              <w:pStyle w:val="16"/>
            </w:pPr>
            <w:r>
              <w:rPr>
                <w:rFonts w:hint="eastAsia"/>
              </w:rPr>
              <w:t>6</w:t>
            </w:r>
            <w:r>
              <w:t>50</w:t>
            </w:r>
            <w:r>
              <w:rPr>
                <w:rFonts w:hint="eastAsia"/>
              </w:rPr>
              <w:t>×</w:t>
            </w:r>
            <w:r>
              <w:rPr>
                <w:rFonts w:hint="eastAsia"/>
                <w:lang w:val="en-US" w:eastAsia="zh-CN"/>
              </w:rPr>
              <w:t>4</w:t>
            </w:r>
            <w:r>
              <w:t>50</w:t>
            </w:r>
            <w:r>
              <w:rPr>
                <w:rFonts w:hint="eastAsia"/>
              </w:rPr>
              <w:t>×</w:t>
            </w:r>
            <w:r>
              <w:t>1508</w:t>
            </w:r>
            <w:r>
              <w:rPr>
                <w:rFonts w:hint="eastAsia"/>
              </w:rPr>
              <w:t>mm</w:t>
            </w:r>
          </w:p>
        </w:tc>
      </w:tr>
      <w:tr w14:paraId="4ED805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7" w:type="pct"/>
            <w:vMerge w:val="continue"/>
            <w:shd w:val="clear" w:color="auto" w:fill="auto"/>
            <w:vAlign w:val="center"/>
          </w:tcPr>
          <w:p w14:paraId="55EE85B1">
            <w:pPr>
              <w:pStyle w:val="16"/>
              <w:numPr>
                <w:ilvl w:val="0"/>
                <w:numId w:val="9"/>
              </w:numPr>
            </w:pPr>
          </w:p>
        </w:tc>
        <w:tc>
          <w:tcPr>
            <w:tcW w:w="1538" w:type="pct"/>
            <w:vMerge w:val="continue"/>
            <w:shd w:val="clear" w:color="auto" w:fill="auto"/>
            <w:vAlign w:val="center"/>
          </w:tcPr>
          <w:p w14:paraId="3A8BB3B0">
            <w:pPr>
              <w:pStyle w:val="16"/>
            </w:pPr>
          </w:p>
        </w:tc>
        <w:tc>
          <w:tcPr>
            <w:tcW w:w="687" w:type="pct"/>
            <w:vMerge w:val="continue"/>
            <w:shd w:val="clear" w:color="auto" w:fill="auto"/>
            <w:vAlign w:val="center"/>
          </w:tcPr>
          <w:p w14:paraId="1C793F5B">
            <w:pPr>
              <w:pStyle w:val="16"/>
            </w:pPr>
          </w:p>
        </w:tc>
        <w:tc>
          <w:tcPr>
            <w:tcW w:w="770" w:type="pct"/>
            <w:shd w:val="clear" w:color="auto" w:fill="auto"/>
            <w:vAlign w:val="center"/>
          </w:tcPr>
          <w:p w14:paraId="7280466B">
            <w:pPr>
              <w:pStyle w:val="16"/>
              <w:rPr>
                <w:rFonts w:hint="eastAsia" w:eastAsia="宋体"/>
                <w:lang w:val="en-US" w:eastAsia="zh-CN"/>
              </w:rPr>
            </w:pPr>
            <w:r>
              <w:rPr>
                <w:rFonts w:hint="eastAsia"/>
              </w:rPr>
              <w:t>4</w:t>
            </w:r>
            <w:r>
              <w:t>.</w:t>
            </w:r>
            <w:r>
              <w:rPr>
                <w:rFonts w:hint="eastAsia"/>
                <w:lang w:val="en-US" w:eastAsia="zh-CN"/>
              </w:rPr>
              <w:t>0</w:t>
            </w:r>
          </w:p>
        </w:tc>
        <w:tc>
          <w:tcPr>
            <w:tcW w:w="388" w:type="pct"/>
            <w:shd w:val="clear" w:color="auto" w:fill="auto"/>
            <w:vAlign w:val="center"/>
          </w:tcPr>
          <w:p w14:paraId="3E1A7833">
            <w:pPr>
              <w:pStyle w:val="16"/>
              <w:rPr>
                <w:rFonts w:hint="default" w:eastAsia="宋体"/>
                <w:lang w:val="en-US" w:eastAsia="zh-CN"/>
              </w:rPr>
            </w:pPr>
            <w:r>
              <w:rPr>
                <w:rFonts w:hint="eastAsia"/>
              </w:rPr>
              <w:t>1</w:t>
            </w:r>
            <w:r>
              <w:rPr>
                <w:rFonts w:hint="eastAsia"/>
                <w:lang w:val="en-US" w:eastAsia="zh-CN"/>
              </w:rPr>
              <w:t>15</w:t>
            </w:r>
          </w:p>
        </w:tc>
        <w:tc>
          <w:tcPr>
            <w:tcW w:w="1226" w:type="pct"/>
            <w:vMerge w:val="continue"/>
            <w:shd w:val="clear" w:color="auto" w:fill="auto"/>
            <w:vAlign w:val="center"/>
          </w:tcPr>
          <w:p w14:paraId="188203C9">
            <w:pPr>
              <w:pStyle w:val="16"/>
            </w:pPr>
          </w:p>
        </w:tc>
      </w:tr>
      <w:tr w14:paraId="296987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7" w:type="pct"/>
            <w:vMerge w:val="continue"/>
            <w:shd w:val="clear" w:color="auto" w:fill="auto"/>
            <w:vAlign w:val="center"/>
          </w:tcPr>
          <w:p w14:paraId="5066EDCB">
            <w:pPr>
              <w:pStyle w:val="16"/>
              <w:numPr>
                <w:ilvl w:val="0"/>
                <w:numId w:val="9"/>
              </w:numPr>
            </w:pPr>
          </w:p>
        </w:tc>
        <w:tc>
          <w:tcPr>
            <w:tcW w:w="1538" w:type="pct"/>
            <w:vMerge w:val="continue"/>
            <w:shd w:val="clear" w:color="auto" w:fill="auto"/>
            <w:vAlign w:val="center"/>
          </w:tcPr>
          <w:p w14:paraId="17BD6927">
            <w:pPr>
              <w:pStyle w:val="16"/>
            </w:pPr>
          </w:p>
        </w:tc>
        <w:tc>
          <w:tcPr>
            <w:tcW w:w="687" w:type="pct"/>
            <w:vMerge w:val="continue"/>
            <w:shd w:val="clear" w:color="auto" w:fill="auto"/>
            <w:vAlign w:val="center"/>
          </w:tcPr>
          <w:p w14:paraId="5877BFEE">
            <w:pPr>
              <w:pStyle w:val="16"/>
            </w:pPr>
          </w:p>
        </w:tc>
        <w:tc>
          <w:tcPr>
            <w:tcW w:w="770" w:type="pct"/>
            <w:shd w:val="clear" w:color="auto" w:fill="auto"/>
            <w:vAlign w:val="center"/>
          </w:tcPr>
          <w:p w14:paraId="050AE13C">
            <w:pPr>
              <w:pStyle w:val="16"/>
            </w:pPr>
            <w:r>
              <w:rPr>
                <w:rFonts w:hint="eastAsia"/>
              </w:rPr>
              <w:t>6</w:t>
            </w:r>
            <w:r>
              <w:t>.0</w:t>
            </w:r>
          </w:p>
        </w:tc>
        <w:tc>
          <w:tcPr>
            <w:tcW w:w="388" w:type="pct"/>
            <w:shd w:val="clear" w:color="auto" w:fill="auto"/>
            <w:vAlign w:val="center"/>
          </w:tcPr>
          <w:p w14:paraId="0D6F7120">
            <w:pPr>
              <w:pStyle w:val="16"/>
              <w:rPr>
                <w:rFonts w:hint="default" w:eastAsia="宋体"/>
                <w:lang w:val="en-US" w:eastAsia="zh-CN"/>
              </w:rPr>
            </w:pPr>
            <w:r>
              <w:rPr>
                <w:rFonts w:hint="eastAsia"/>
              </w:rPr>
              <w:t>1</w:t>
            </w:r>
            <w:r>
              <w:rPr>
                <w:rFonts w:hint="eastAsia"/>
                <w:lang w:val="en-US" w:eastAsia="zh-CN"/>
              </w:rPr>
              <w:t>40</w:t>
            </w:r>
          </w:p>
        </w:tc>
        <w:tc>
          <w:tcPr>
            <w:tcW w:w="1226" w:type="pct"/>
            <w:vMerge w:val="continue"/>
            <w:shd w:val="clear" w:color="auto" w:fill="auto"/>
            <w:vAlign w:val="center"/>
          </w:tcPr>
          <w:p w14:paraId="07538031">
            <w:pPr>
              <w:pStyle w:val="16"/>
            </w:pPr>
          </w:p>
        </w:tc>
      </w:tr>
      <w:tr w14:paraId="544A4A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7" w:type="pct"/>
            <w:shd w:val="clear" w:color="auto" w:fill="auto"/>
            <w:vAlign w:val="center"/>
          </w:tcPr>
          <w:p w14:paraId="5086FAAC">
            <w:pPr>
              <w:pStyle w:val="16"/>
              <w:numPr>
                <w:ilvl w:val="0"/>
                <w:numId w:val="9"/>
              </w:numPr>
            </w:pPr>
          </w:p>
        </w:tc>
        <w:tc>
          <w:tcPr>
            <w:tcW w:w="1538" w:type="pct"/>
            <w:shd w:val="clear" w:color="auto" w:fill="auto"/>
            <w:vAlign w:val="center"/>
          </w:tcPr>
          <w:p w14:paraId="654B77DE">
            <w:pPr>
              <w:pStyle w:val="16"/>
            </w:pPr>
            <w:r>
              <w:rPr>
                <w:rFonts w:hint="eastAsia"/>
              </w:rPr>
              <w:t>吊笼自重（含电控系统）</w:t>
            </w:r>
          </w:p>
        </w:tc>
        <w:tc>
          <w:tcPr>
            <w:tcW w:w="687" w:type="pct"/>
            <w:shd w:val="clear" w:color="auto" w:fill="auto"/>
            <w:vAlign w:val="center"/>
          </w:tcPr>
          <w:p w14:paraId="1B426242">
            <w:pPr>
              <w:pStyle w:val="16"/>
            </w:pPr>
            <w:r>
              <w:rPr>
                <w:rFonts w:hint="eastAsia"/>
              </w:rPr>
              <w:t>kg</w:t>
            </w:r>
          </w:p>
        </w:tc>
        <w:tc>
          <w:tcPr>
            <w:tcW w:w="1159" w:type="pct"/>
            <w:gridSpan w:val="2"/>
            <w:shd w:val="clear" w:color="auto" w:fill="auto"/>
            <w:vAlign w:val="center"/>
          </w:tcPr>
          <w:p w14:paraId="5CC032F3">
            <w:pPr>
              <w:pStyle w:val="16"/>
            </w:pPr>
            <w:r>
              <w:rPr>
                <w:rFonts w:hint="eastAsia"/>
              </w:rPr>
              <w:t>1</w:t>
            </w:r>
            <w:r>
              <w:t>400</w:t>
            </w:r>
          </w:p>
        </w:tc>
        <w:tc>
          <w:tcPr>
            <w:tcW w:w="1226" w:type="pct"/>
            <w:shd w:val="clear" w:color="auto" w:fill="auto"/>
            <w:vAlign w:val="center"/>
          </w:tcPr>
          <w:p w14:paraId="546F7E3A">
            <w:pPr>
              <w:pStyle w:val="16"/>
            </w:pPr>
          </w:p>
        </w:tc>
      </w:tr>
      <w:tr w14:paraId="74879F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87" w:type="pct"/>
            <w:shd w:val="clear" w:color="auto" w:fill="auto"/>
            <w:vAlign w:val="center"/>
          </w:tcPr>
          <w:p w14:paraId="7413F44D">
            <w:pPr>
              <w:pStyle w:val="16"/>
              <w:numPr>
                <w:ilvl w:val="0"/>
                <w:numId w:val="9"/>
              </w:numPr>
            </w:pPr>
          </w:p>
        </w:tc>
        <w:tc>
          <w:tcPr>
            <w:tcW w:w="1538" w:type="pct"/>
            <w:shd w:val="clear" w:color="auto" w:fill="auto"/>
            <w:vAlign w:val="center"/>
          </w:tcPr>
          <w:p w14:paraId="3C903239">
            <w:pPr>
              <w:pStyle w:val="16"/>
            </w:pPr>
            <w:r>
              <w:rPr>
                <w:rFonts w:hint="eastAsia"/>
              </w:rPr>
              <w:t>安全器型号</w:t>
            </w:r>
          </w:p>
        </w:tc>
        <w:tc>
          <w:tcPr>
            <w:tcW w:w="1846" w:type="pct"/>
            <w:gridSpan w:val="3"/>
            <w:shd w:val="clear" w:color="auto" w:fill="auto"/>
            <w:vAlign w:val="center"/>
          </w:tcPr>
          <w:p w14:paraId="02E37F1D">
            <w:pPr>
              <w:pStyle w:val="16"/>
              <w:rPr>
                <w:rFonts w:hint="eastAsia" w:eastAsia="宋体"/>
                <w:lang w:val="en-US" w:eastAsia="zh-CN"/>
              </w:rPr>
            </w:pPr>
            <w:r>
              <w:rPr>
                <w:rFonts w:hint="eastAsia"/>
              </w:rPr>
              <w:t>SAJ</w:t>
            </w:r>
            <w:r>
              <w:t>40-1.</w:t>
            </w:r>
            <w:r>
              <w:rPr>
                <w:rFonts w:hint="eastAsia"/>
                <w:lang w:val="en-US" w:eastAsia="zh-CN"/>
              </w:rPr>
              <w:t>4</w:t>
            </w:r>
          </w:p>
        </w:tc>
        <w:tc>
          <w:tcPr>
            <w:tcW w:w="1226" w:type="pct"/>
            <w:shd w:val="clear" w:color="auto" w:fill="auto"/>
            <w:vAlign w:val="center"/>
          </w:tcPr>
          <w:p w14:paraId="6C903D2C">
            <w:pPr>
              <w:pStyle w:val="16"/>
            </w:pPr>
          </w:p>
        </w:tc>
      </w:tr>
    </w:tbl>
    <w:p w14:paraId="33F1D962">
      <w:pPr>
        <w:pStyle w:val="5"/>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结构图</w:t>
      </w:r>
    </w:p>
    <w:p w14:paraId="1BC75724">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t>结构图</w:t>
      </w:r>
      <w:r>
        <w:rPr>
          <w:rFonts w:hint="eastAsia"/>
        </w:rPr>
        <w:t>如</w:t>
      </w:r>
      <w:r>
        <w:fldChar w:fldCharType="begin"/>
      </w:r>
      <w:r>
        <w:instrText xml:space="preserve"> REF _Ref123718718 \h </w:instrText>
      </w:r>
      <w:r>
        <w:fldChar w:fldCharType="separate"/>
      </w:r>
      <w:r>
        <w:rPr>
          <w:rFonts w:hint="eastAsia"/>
        </w:rPr>
        <w:t>图</w:t>
      </w:r>
      <w:r>
        <w:t>2.1.3</w:t>
      </w:r>
      <w:r>
        <w:rPr>
          <w:rFonts w:hint="eastAsia"/>
        </w:rPr>
        <w:t>-</w:t>
      </w:r>
      <w:r>
        <w:t>1</w:t>
      </w:r>
      <w:r>
        <w:fldChar w:fldCharType="end"/>
      </w:r>
      <w:r>
        <w:rPr>
          <w:rFonts w:hint="eastAsia"/>
        </w:rPr>
        <w:t>所示。</w:t>
      </w:r>
    </w:p>
    <w:p w14:paraId="004C2BBE">
      <w:pPr>
        <w:pStyle w:val="109"/>
      </w:pPr>
      <w:r>
        <w:drawing>
          <wp:inline distT="0" distB="0" distL="114300" distR="114300">
            <wp:extent cx="5271135" cy="7316470"/>
            <wp:effectExtent l="0" t="0" r="5715" b="1778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30"/>
                    <a:stretch>
                      <a:fillRect/>
                    </a:stretch>
                  </pic:blipFill>
                  <pic:spPr>
                    <a:xfrm>
                      <a:off x="0" y="0"/>
                      <a:ext cx="5271135" cy="7316470"/>
                    </a:xfrm>
                    <a:prstGeom prst="rect">
                      <a:avLst/>
                    </a:prstGeom>
                    <a:noFill/>
                    <a:ln>
                      <a:noFill/>
                    </a:ln>
                  </pic:spPr>
                </pic:pic>
              </a:graphicData>
            </a:graphic>
          </wp:inline>
        </w:drawing>
      </w:r>
    </w:p>
    <w:p w14:paraId="42F0EDDD">
      <w:pPr>
        <w:pStyle w:val="108"/>
      </w:pPr>
      <w:bookmarkStart w:id="37" w:name="_Ref123718718"/>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2.1.3</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37"/>
      <w:r>
        <w:t xml:space="preserve"> </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t>结构图</w:t>
      </w:r>
    </w:p>
    <w:p w14:paraId="4EE56D09">
      <w:pPr>
        <w:pStyle w:val="4"/>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布置情况</w:t>
      </w:r>
    </w:p>
    <w:p w14:paraId="19B9EBA6">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安装及使用信息如</w:t>
      </w:r>
      <w:r>
        <w:fldChar w:fldCharType="begin"/>
      </w:r>
      <w:r>
        <w:instrText xml:space="preserve"> </w:instrText>
      </w:r>
      <w:r>
        <w:rPr>
          <w:rFonts w:hint="eastAsia"/>
        </w:rPr>
        <w:instrText xml:space="preserve">REF _Ref129266846 \h</w:instrText>
      </w:r>
      <w:r>
        <w:instrText xml:space="preserve"> </w:instrText>
      </w:r>
      <w:r>
        <w:fldChar w:fldCharType="separate"/>
      </w:r>
      <w:r>
        <w:rPr>
          <w:rFonts w:hint="eastAsia"/>
        </w:rPr>
        <w:t>表</w:t>
      </w:r>
      <w:r>
        <w:t>2.1.4</w:t>
      </w:r>
      <w:r>
        <w:rPr>
          <w:rFonts w:hint="eastAsia"/>
        </w:rPr>
        <w:t>-</w:t>
      </w:r>
      <w:r>
        <w:t>1</w:t>
      </w:r>
      <w:r>
        <w:fldChar w:fldCharType="end"/>
      </w:r>
      <w:r>
        <w:rPr>
          <w:rFonts w:hint="eastAsia"/>
        </w:rPr>
        <w:t>所示。</w:t>
      </w:r>
    </w:p>
    <w:p w14:paraId="0C920C42">
      <w:pPr>
        <w:pStyle w:val="15"/>
      </w:pPr>
      <w:bookmarkStart w:id="38" w:name="_Ref129266846"/>
      <w:r>
        <w:rPr>
          <w:rFonts w:hint="eastAsia"/>
        </w:rPr>
        <w:t>表</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2.1.4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38"/>
      <w:r>
        <w:rPr>
          <w:rFonts w:hint="eastAsia"/>
        </w:rPr>
        <w:t xml:space="preserve"> </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安装及使用信息表</w:t>
      </w:r>
    </w:p>
    <w:tbl>
      <w:tblPr>
        <w:tblStyle w:val="21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878"/>
        <w:gridCol w:w="1406"/>
        <w:gridCol w:w="1000"/>
        <w:gridCol w:w="1176"/>
        <w:gridCol w:w="1179"/>
        <w:gridCol w:w="1176"/>
      </w:tblGrid>
      <w:tr w14:paraId="5F2985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415" w:type="pct"/>
            <w:shd w:val="clear" w:color="auto" w:fill="auto"/>
            <w:vAlign w:val="center"/>
          </w:tcPr>
          <w:p w14:paraId="454571AF">
            <w:pPr>
              <w:spacing w:line="240" w:lineRule="auto"/>
              <w:ind w:firstLine="0" w:firstLineChars="0"/>
              <w:jc w:val="center"/>
              <w:rPr>
                <w:b/>
                <w:sz w:val="21"/>
                <w:highlight w:val="lightGray"/>
              </w:rPr>
            </w:pPr>
            <w:r>
              <w:rPr>
                <w:rFonts w:hint="eastAsia"/>
                <w:b/>
                <w:sz w:val="21"/>
                <w:highlight w:val="lightGray"/>
              </w:rPr>
              <w:t>编号</w:t>
            </w:r>
          </w:p>
        </w:tc>
        <w:tc>
          <w:tcPr>
            <w:tcW w:w="1101" w:type="pct"/>
            <w:shd w:val="clear" w:color="auto" w:fill="auto"/>
            <w:vAlign w:val="center"/>
          </w:tcPr>
          <w:p w14:paraId="14271A0C">
            <w:pPr>
              <w:spacing w:line="240" w:lineRule="auto"/>
              <w:ind w:firstLine="0" w:firstLineChars="0"/>
              <w:jc w:val="center"/>
              <w:rPr>
                <w:b/>
                <w:sz w:val="21"/>
                <w:highlight w:val="lightGray"/>
              </w:rPr>
            </w:pPr>
            <w:r>
              <w:rPr>
                <w:b/>
                <w:sz w:val="21"/>
                <w:highlight w:val="lightGray"/>
              </w:rPr>
              <w:fldChar w:fldCharType="begin"/>
            </w:r>
            <w:r>
              <w:rPr>
                <w:b/>
                <w:sz w:val="21"/>
                <w:highlight w:val="lightGray"/>
              </w:rPr>
              <w:instrText xml:space="preserve"> </w:instrText>
            </w:r>
            <w:r>
              <w:rPr>
                <w:rFonts w:hint="eastAsia"/>
                <w:b/>
                <w:sz w:val="21"/>
                <w:highlight w:val="lightGray"/>
              </w:rPr>
              <w:instrText xml:space="preserve">REF 设备类型 \h</w:instrText>
            </w:r>
            <w:r>
              <w:rPr>
                <w:b/>
                <w:sz w:val="21"/>
                <w:highlight w:val="lightGray"/>
              </w:rPr>
              <w:instrText xml:space="preserve">  \* MERGEFORMAT </w:instrText>
            </w:r>
            <w:r>
              <w:rPr>
                <w:b/>
                <w:sz w:val="21"/>
                <w:highlight w:val="lightGray"/>
              </w:rPr>
              <w:fldChar w:fldCharType="separate"/>
            </w:r>
            <w:r>
              <w:rPr>
                <w:rFonts w:hint="eastAsia"/>
                <w:b/>
                <w:sz w:val="21"/>
                <w:highlight w:val="lightGray"/>
              </w:rPr>
              <w:t>施工升降机</w:t>
            </w:r>
            <w:r>
              <w:rPr>
                <w:b/>
                <w:sz w:val="21"/>
                <w:highlight w:val="lightGray"/>
              </w:rPr>
              <w:fldChar w:fldCharType="end"/>
            </w:r>
            <w:r>
              <w:rPr>
                <w:rFonts w:hint="eastAsia"/>
                <w:b/>
                <w:sz w:val="21"/>
                <w:highlight w:val="lightGray"/>
              </w:rPr>
              <w:t>型号</w:t>
            </w:r>
          </w:p>
        </w:tc>
        <w:tc>
          <w:tcPr>
            <w:tcW w:w="824" w:type="pct"/>
            <w:shd w:val="clear" w:color="auto" w:fill="auto"/>
            <w:vAlign w:val="center"/>
          </w:tcPr>
          <w:p w14:paraId="3B1EFF2C">
            <w:pPr>
              <w:spacing w:line="240" w:lineRule="auto"/>
              <w:ind w:firstLine="0" w:firstLineChars="0"/>
              <w:jc w:val="center"/>
              <w:rPr>
                <w:b/>
                <w:sz w:val="21"/>
                <w:highlight w:val="lightGray"/>
              </w:rPr>
            </w:pPr>
            <w:r>
              <w:rPr>
                <w:rFonts w:hint="eastAsia"/>
                <w:b/>
                <w:sz w:val="21"/>
                <w:highlight w:val="lightGray"/>
              </w:rPr>
              <w:t>基础方式</w:t>
            </w:r>
          </w:p>
        </w:tc>
        <w:tc>
          <w:tcPr>
            <w:tcW w:w="586" w:type="pct"/>
            <w:shd w:val="clear" w:color="auto" w:fill="auto"/>
            <w:vAlign w:val="center"/>
          </w:tcPr>
          <w:p w14:paraId="2F301965">
            <w:pPr>
              <w:spacing w:line="240" w:lineRule="auto"/>
              <w:ind w:firstLine="0" w:firstLineChars="0"/>
              <w:jc w:val="center"/>
              <w:rPr>
                <w:b/>
                <w:sz w:val="21"/>
                <w:highlight w:val="lightGray"/>
              </w:rPr>
            </w:pPr>
            <w:r>
              <w:rPr>
                <w:rFonts w:hint="eastAsia"/>
                <w:b/>
                <w:sz w:val="21"/>
                <w:highlight w:val="lightGray"/>
              </w:rPr>
              <w:t>倾斜角</w:t>
            </w:r>
          </w:p>
        </w:tc>
        <w:tc>
          <w:tcPr>
            <w:tcW w:w="689" w:type="pct"/>
            <w:shd w:val="clear" w:color="auto" w:fill="auto"/>
            <w:vAlign w:val="center"/>
          </w:tcPr>
          <w:p w14:paraId="634B0C6F">
            <w:pPr>
              <w:spacing w:line="240" w:lineRule="auto"/>
              <w:ind w:firstLine="0" w:firstLineChars="0"/>
              <w:jc w:val="center"/>
              <w:rPr>
                <w:b/>
                <w:sz w:val="21"/>
                <w:highlight w:val="lightGray"/>
              </w:rPr>
            </w:pPr>
            <w:r>
              <w:rPr>
                <w:rFonts w:hint="eastAsia"/>
                <w:b/>
                <w:sz w:val="21"/>
                <w:highlight w:val="lightGray"/>
              </w:rPr>
              <w:t>初装高度</w:t>
            </w:r>
          </w:p>
        </w:tc>
        <w:tc>
          <w:tcPr>
            <w:tcW w:w="691" w:type="pct"/>
            <w:shd w:val="clear" w:color="auto" w:fill="auto"/>
            <w:vAlign w:val="center"/>
          </w:tcPr>
          <w:p w14:paraId="5128E8DF">
            <w:pPr>
              <w:spacing w:line="240" w:lineRule="auto"/>
              <w:ind w:firstLine="0" w:firstLineChars="0"/>
              <w:jc w:val="center"/>
              <w:rPr>
                <w:b/>
                <w:sz w:val="21"/>
                <w:highlight w:val="lightGray"/>
              </w:rPr>
            </w:pPr>
            <w:r>
              <w:rPr>
                <w:rFonts w:hint="eastAsia"/>
                <w:b/>
                <w:sz w:val="21"/>
                <w:highlight w:val="lightGray"/>
              </w:rPr>
              <w:t>总高度</w:t>
            </w:r>
          </w:p>
        </w:tc>
        <w:tc>
          <w:tcPr>
            <w:tcW w:w="689" w:type="pct"/>
            <w:shd w:val="clear" w:color="auto" w:fill="auto"/>
            <w:vAlign w:val="center"/>
          </w:tcPr>
          <w:p w14:paraId="297A9817">
            <w:pPr>
              <w:spacing w:line="240" w:lineRule="auto"/>
              <w:ind w:firstLine="0" w:firstLineChars="0"/>
              <w:jc w:val="center"/>
              <w:rPr>
                <w:b/>
                <w:sz w:val="21"/>
                <w:highlight w:val="lightGray"/>
              </w:rPr>
            </w:pPr>
            <w:r>
              <w:rPr>
                <w:rFonts w:hint="eastAsia"/>
                <w:b/>
                <w:sz w:val="21"/>
                <w:highlight w:val="lightGray"/>
              </w:rPr>
              <w:t>附墙道数</w:t>
            </w:r>
          </w:p>
        </w:tc>
      </w:tr>
      <w:tr w14:paraId="703E5A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5" w:type="pct"/>
            <w:shd w:val="clear" w:color="auto" w:fill="auto"/>
            <w:vAlign w:val="center"/>
          </w:tcPr>
          <w:p w14:paraId="56F221A3">
            <w:pPr>
              <w:spacing w:line="240" w:lineRule="auto"/>
              <w:ind w:firstLine="0" w:firstLineChars="0"/>
              <w:jc w:val="center"/>
              <w:rPr>
                <w:sz w:val="21"/>
                <w:highlight w:val="lightGray"/>
              </w:rPr>
            </w:pPr>
            <w:r>
              <w:rPr>
                <w:sz w:val="21"/>
                <w:highlight w:val="lightGray"/>
              </w:rPr>
              <w:t>1</w:t>
            </w:r>
            <w:r>
              <w:rPr>
                <w:rFonts w:hint="eastAsia"/>
                <w:sz w:val="21"/>
                <w:highlight w:val="lightGray"/>
              </w:rPr>
              <w:t>#</w:t>
            </w:r>
          </w:p>
        </w:tc>
        <w:tc>
          <w:tcPr>
            <w:tcW w:w="1101" w:type="pct"/>
            <w:shd w:val="clear" w:color="auto" w:fill="auto"/>
            <w:vAlign w:val="center"/>
          </w:tcPr>
          <w:p w14:paraId="22014A46">
            <w:pPr>
              <w:pStyle w:val="16"/>
              <w:rPr>
                <w:highlight w:val="lightGray"/>
              </w:rPr>
            </w:pPr>
            <w:r>
              <w:rPr>
                <w:highlight w:val="lightGray"/>
              </w:rPr>
              <w:fldChar w:fldCharType="begin"/>
            </w:r>
            <w:r>
              <w:rPr>
                <w:highlight w:val="lightGray"/>
              </w:rPr>
              <w:instrText xml:space="preserve"> REF 设备型号1 \h  \* MERGEFORMAT </w:instrText>
            </w:r>
            <w:r>
              <w:rPr>
                <w:highlight w:val="lightGray"/>
              </w:rPr>
              <w:fldChar w:fldCharType="separate"/>
            </w:r>
            <w:r>
              <w:rPr>
                <w:rFonts w:hint="eastAsia"/>
                <w:highlight w:val="lightGray"/>
                <w:lang w:eastAsia="zh-CN"/>
              </w:rPr>
              <w:t>SC160</w:t>
            </w:r>
            <w:r>
              <w:rPr>
                <w:highlight w:val="lightGray"/>
              </w:rPr>
              <w:fldChar w:fldCharType="end"/>
            </w:r>
          </w:p>
        </w:tc>
        <w:tc>
          <w:tcPr>
            <w:tcW w:w="824" w:type="pct"/>
            <w:shd w:val="clear" w:color="auto" w:fill="auto"/>
            <w:vAlign w:val="center"/>
          </w:tcPr>
          <w:p w14:paraId="268B3407">
            <w:pPr>
              <w:spacing w:line="240" w:lineRule="auto"/>
              <w:ind w:firstLine="0" w:firstLineChars="0"/>
              <w:jc w:val="center"/>
              <w:rPr>
                <w:sz w:val="21"/>
                <w:highlight w:val="lightGray"/>
              </w:rPr>
            </w:pPr>
            <w:r>
              <w:rPr>
                <w:rFonts w:hint="eastAsia"/>
                <w:sz w:val="21"/>
                <w:highlight w:val="lightGray"/>
              </w:rPr>
              <w:t>混凝土承台</w:t>
            </w:r>
          </w:p>
        </w:tc>
        <w:tc>
          <w:tcPr>
            <w:tcW w:w="586" w:type="pct"/>
            <w:shd w:val="clear" w:color="auto" w:fill="auto"/>
            <w:vAlign w:val="center"/>
          </w:tcPr>
          <w:p w14:paraId="4557A6CB">
            <w:pPr>
              <w:spacing w:line="240" w:lineRule="auto"/>
              <w:ind w:firstLine="0" w:firstLineChars="0"/>
              <w:jc w:val="center"/>
              <w:rPr>
                <w:sz w:val="21"/>
                <w:highlight w:val="lightGray"/>
              </w:rPr>
            </w:pPr>
            <w:r>
              <w:rPr>
                <w:sz w:val="21"/>
                <w:highlight w:val="lightGray"/>
              </w:rPr>
              <w:t>89.15</w:t>
            </w:r>
            <w:r>
              <w:rPr>
                <w:rFonts w:hint="eastAsia"/>
                <w:sz w:val="21"/>
                <w:highlight w:val="lightGray"/>
              </w:rPr>
              <w:t>°</w:t>
            </w:r>
          </w:p>
        </w:tc>
        <w:tc>
          <w:tcPr>
            <w:tcW w:w="689" w:type="pct"/>
            <w:shd w:val="clear" w:color="auto" w:fill="auto"/>
            <w:vAlign w:val="center"/>
          </w:tcPr>
          <w:p w14:paraId="4EA680B4">
            <w:pPr>
              <w:spacing w:line="240" w:lineRule="auto"/>
              <w:ind w:firstLine="0" w:firstLineChars="0"/>
              <w:jc w:val="center"/>
              <w:rPr>
                <w:sz w:val="21"/>
                <w:highlight w:val="lightGray"/>
              </w:rPr>
            </w:pPr>
            <w:r>
              <w:rPr>
                <w:sz w:val="21"/>
                <w:highlight w:val="lightGray"/>
              </w:rPr>
              <w:t>15m</w:t>
            </w:r>
          </w:p>
        </w:tc>
        <w:tc>
          <w:tcPr>
            <w:tcW w:w="691" w:type="pct"/>
            <w:shd w:val="clear" w:color="auto" w:fill="auto"/>
            <w:vAlign w:val="center"/>
          </w:tcPr>
          <w:p w14:paraId="64A453C1">
            <w:pPr>
              <w:pStyle w:val="16"/>
              <w:rPr>
                <w:highlight w:val="lightGray"/>
              </w:rPr>
            </w:pPr>
            <w:r>
              <w:rPr>
                <w:highlight w:val="lightGray"/>
              </w:rPr>
              <w:t>129.7</w:t>
            </w:r>
          </w:p>
        </w:tc>
        <w:tc>
          <w:tcPr>
            <w:tcW w:w="689" w:type="pct"/>
            <w:shd w:val="clear" w:color="auto" w:fill="auto"/>
            <w:vAlign w:val="center"/>
          </w:tcPr>
          <w:p w14:paraId="0F2DEF34">
            <w:pPr>
              <w:pStyle w:val="16"/>
              <w:rPr>
                <w:highlight w:val="lightGray"/>
              </w:rPr>
            </w:pPr>
            <w:r>
              <w:rPr>
                <w:highlight w:val="lightGray"/>
              </w:rPr>
              <w:t>22</w:t>
            </w:r>
          </w:p>
        </w:tc>
      </w:tr>
      <w:tr w14:paraId="44917E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415" w:type="pct"/>
            <w:shd w:val="clear" w:color="auto" w:fill="auto"/>
            <w:vAlign w:val="center"/>
          </w:tcPr>
          <w:p w14:paraId="2320252D">
            <w:pPr>
              <w:spacing w:line="240" w:lineRule="auto"/>
              <w:ind w:firstLine="0" w:firstLineChars="0"/>
              <w:jc w:val="center"/>
              <w:rPr>
                <w:sz w:val="21"/>
                <w:highlight w:val="lightGray"/>
              </w:rPr>
            </w:pPr>
            <w:r>
              <w:rPr>
                <w:sz w:val="21"/>
                <w:highlight w:val="lightGray"/>
              </w:rPr>
              <w:t>2</w:t>
            </w:r>
            <w:r>
              <w:rPr>
                <w:rFonts w:hint="eastAsia"/>
                <w:sz w:val="21"/>
                <w:highlight w:val="lightGray"/>
              </w:rPr>
              <w:t>#</w:t>
            </w:r>
          </w:p>
        </w:tc>
        <w:tc>
          <w:tcPr>
            <w:tcW w:w="1101" w:type="pct"/>
            <w:shd w:val="clear" w:color="auto" w:fill="auto"/>
            <w:vAlign w:val="center"/>
          </w:tcPr>
          <w:p w14:paraId="233EE287">
            <w:pPr>
              <w:pStyle w:val="16"/>
              <w:rPr>
                <w:highlight w:val="lightGray"/>
              </w:rPr>
            </w:pPr>
            <w:r>
              <w:rPr>
                <w:highlight w:val="lightGray"/>
              </w:rPr>
              <w:fldChar w:fldCharType="begin"/>
            </w:r>
            <w:r>
              <w:rPr>
                <w:highlight w:val="lightGray"/>
              </w:rPr>
              <w:instrText xml:space="preserve"> REF 设备型号1 \h  \* MERGEFORMAT </w:instrText>
            </w:r>
            <w:r>
              <w:rPr>
                <w:highlight w:val="lightGray"/>
              </w:rPr>
              <w:fldChar w:fldCharType="separate"/>
            </w:r>
            <w:r>
              <w:rPr>
                <w:rFonts w:hint="eastAsia"/>
                <w:highlight w:val="lightGray"/>
                <w:lang w:eastAsia="zh-CN"/>
              </w:rPr>
              <w:t>SC160</w:t>
            </w:r>
            <w:r>
              <w:rPr>
                <w:highlight w:val="lightGray"/>
              </w:rPr>
              <w:fldChar w:fldCharType="end"/>
            </w:r>
          </w:p>
        </w:tc>
        <w:tc>
          <w:tcPr>
            <w:tcW w:w="824" w:type="pct"/>
            <w:shd w:val="clear" w:color="auto" w:fill="auto"/>
            <w:vAlign w:val="center"/>
          </w:tcPr>
          <w:p w14:paraId="3E850AD8">
            <w:pPr>
              <w:spacing w:line="240" w:lineRule="auto"/>
              <w:ind w:firstLine="0" w:firstLineChars="0"/>
              <w:jc w:val="center"/>
              <w:rPr>
                <w:sz w:val="21"/>
                <w:highlight w:val="lightGray"/>
              </w:rPr>
            </w:pPr>
            <w:r>
              <w:rPr>
                <w:rFonts w:hint="eastAsia"/>
                <w:sz w:val="21"/>
                <w:highlight w:val="lightGray"/>
              </w:rPr>
              <w:t>混凝土承台</w:t>
            </w:r>
          </w:p>
        </w:tc>
        <w:tc>
          <w:tcPr>
            <w:tcW w:w="586" w:type="pct"/>
            <w:shd w:val="clear" w:color="auto" w:fill="auto"/>
            <w:vAlign w:val="center"/>
          </w:tcPr>
          <w:p w14:paraId="10FDC3FB">
            <w:pPr>
              <w:spacing w:line="240" w:lineRule="auto"/>
              <w:ind w:firstLine="0" w:firstLineChars="0"/>
              <w:jc w:val="center"/>
              <w:rPr>
                <w:sz w:val="21"/>
                <w:highlight w:val="lightGray"/>
              </w:rPr>
            </w:pPr>
            <w:r>
              <w:rPr>
                <w:sz w:val="21"/>
                <w:highlight w:val="lightGray"/>
              </w:rPr>
              <w:t>89.15</w:t>
            </w:r>
            <w:r>
              <w:rPr>
                <w:rFonts w:hint="eastAsia"/>
                <w:sz w:val="21"/>
                <w:highlight w:val="lightGray"/>
              </w:rPr>
              <w:t>°</w:t>
            </w:r>
          </w:p>
        </w:tc>
        <w:tc>
          <w:tcPr>
            <w:tcW w:w="689" w:type="pct"/>
            <w:shd w:val="clear" w:color="auto" w:fill="auto"/>
            <w:vAlign w:val="center"/>
          </w:tcPr>
          <w:p w14:paraId="725440E8">
            <w:pPr>
              <w:spacing w:line="240" w:lineRule="auto"/>
              <w:ind w:firstLine="0" w:firstLineChars="0"/>
              <w:jc w:val="center"/>
              <w:rPr>
                <w:sz w:val="21"/>
                <w:highlight w:val="lightGray"/>
              </w:rPr>
            </w:pPr>
            <w:r>
              <w:rPr>
                <w:sz w:val="21"/>
                <w:highlight w:val="lightGray"/>
              </w:rPr>
              <w:t>15m</w:t>
            </w:r>
          </w:p>
        </w:tc>
        <w:tc>
          <w:tcPr>
            <w:tcW w:w="691" w:type="pct"/>
            <w:shd w:val="clear" w:color="auto" w:fill="auto"/>
            <w:vAlign w:val="top"/>
          </w:tcPr>
          <w:p w14:paraId="254B047C">
            <w:pPr>
              <w:spacing w:line="240" w:lineRule="auto"/>
              <w:ind w:firstLine="0" w:firstLineChars="0"/>
              <w:jc w:val="center"/>
              <w:rPr>
                <w:sz w:val="21"/>
                <w:highlight w:val="lightGray"/>
              </w:rPr>
            </w:pPr>
            <w:r>
              <w:rPr>
                <w:sz w:val="21"/>
                <w:highlight w:val="lightGray"/>
              </w:rPr>
              <w:t>116.115m</w:t>
            </w:r>
          </w:p>
        </w:tc>
        <w:tc>
          <w:tcPr>
            <w:tcW w:w="689" w:type="pct"/>
            <w:shd w:val="clear" w:color="auto" w:fill="auto"/>
            <w:vAlign w:val="top"/>
          </w:tcPr>
          <w:p w14:paraId="49F7DACB">
            <w:pPr>
              <w:spacing w:line="240" w:lineRule="auto"/>
              <w:ind w:firstLine="0" w:firstLineChars="0"/>
              <w:jc w:val="center"/>
              <w:rPr>
                <w:sz w:val="21"/>
                <w:highlight w:val="lightGray"/>
              </w:rPr>
            </w:pPr>
            <w:r>
              <w:rPr>
                <w:sz w:val="21"/>
                <w:highlight w:val="lightGray"/>
              </w:rPr>
              <w:t>19</w:t>
            </w:r>
          </w:p>
        </w:tc>
      </w:tr>
    </w:tbl>
    <w:p w14:paraId="7E986B30">
      <w:pPr>
        <w:ind w:firstLine="480"/>
        <w:rPr>
          <w:bCs/>
        </w:rPr>
      </w:pPr>
      <w:r>
        <w:rPr>
          <w:bCs/>
        </w:rPr>
        <w:fldChar w:fldCharType="begin"/>
      </w:r>
      <w:r>
        <w:rPr>
          <w:bCs/>
        </w:rPr>
        <w:instrText xml:space="preserve"> </w:instrText>
      </w:r>
      <w:r>
        <w:rPr>
          <w:rFonts w:hint="eastAsia"/>
          <w:bCs/>
        </w:rPr>
        <w:instrText xml:space="preserve">REF 设备类型 \h</w:instrText>
      </w:r>
      <w:r>
        <w:rPr>
          <w:bCs/>
        </w:rPr>
        <w:instrText xml:space="preserve"> </w:instrText>
      </w:r>
      <w:r>
        <w:rPr>
          <w:bCs/>
        </w:rPr>
        <w:fldChar w:fldCharType="separate"/>
      </w:r>
      <w:r>
        <w:rPr>
          <w:rFonts w:hint="eastAsia"/>
        </w:rPr>
        <w:t>施工升降机</w:t>
      </w:r>
      <w:r>
        <w:rPr>
          <w:bCs/>
        </w:rPr>
        <w:fldChar w:fldCharType="end"/>
      </w:r>
      <w:r>
        <w:rPr>
          <w:rFonts w:hint="eastAsia"/>
          <w:bCs/>
        </w:rPr>
        <w:t>在安装部位平面布置图与终布置图如</w:t>
      </w:r>
      <w:r>
        <w:fldChar w:fldCharType="begin"/>
      </w:r>
      <w:r>
        <w:instrText xml:space="preserve"> </w:instrText>
      </w:r>
      <w:r>
        <w:rPr>
          <w:rFonts w:hint="eastAsia"/>
        </w:rPr>
        <w:instrText xml:space="preserve">REF _Ref123718991 \h</w:instrText>
      </w:r>
      <w:r>
        <w:instrText xml:space="preserve">  \* MERGEFORMAT </w:instrText>
      </w:r>
      <w:r>
        <w:fldChar w:fldCharType="separate"/>
      </w:r>
      <w:r>
        <w:rPr>
          <w:rFonts w:hint="eastAsia"/>
        </w:rPr>
        <w:t>图</w:t>
      </w:r>
      <w:r>
        <w:t>2.1.4</w:t>
      </w:r>
      <w:r>
        <w:rPr>
          <w:rFonts w:hint="eastAsia"/>
        </w:rPr>
        <w:t>-</w:t>
      </w:r>
      <w:r>
        <w:t>1</w:t>
      </w:r>
      <w:r>
        <w:fldChar w:fldCharType="end"/>
      </w:r>
      <w:r>
        <w:rPr>
          <w:rFonts w:hint="eastAsia"/>
          <w:lang w:val="en-US" w:eastAsia="zh-CN"/>
        </w:rPr>
        <w:t>和</w:t>
      </w:r>
      <w:r>
        <w:fldChar w:fldCharType="begin"/>
      </w:r>
      <w:r>
        <w:instrText xml:space="preserve"> </w:instrText>
      </w:r>
      <w:r>
        <w:rPr>
          <w:rFonts w:hint="eastAsia"/>
        </w:rPr>
        <w:instrText xml:space="preserve">REF _Ref130219351 \h</w:instrText>
      </w:r>
      <w:r>
        <w:instrText xml:space="preserve">  \* MERGEFORMAT </w:instrText>
      </w:r>
      <w:r>
        <w:fldChar w:fldCharType="separate"/>
      </w:r>
      <w:r>
        <w:rPr>
          <w:rFonts w:hint="eastAsia"/>
        </w:rPr>
        <w:t>图</w:t>
      </w:r>
      <w:r>
        <w:t>2.1.4</w:t>
      </w:r>
      <w:r>
        <w:rPr>
          <w:rFonts w:hint="eastAsia"/>
        </w:rPr>
        <w:t>-</w:t>
      </w:r>
      <w:r>
        <w:rPr>
          <w:rFonts w:hint="eastAsia"/>
          <w:lang w:val="en-US" w:eastAsia="zh-CN"/>
        </w:rPr>
        <w:t>2</w:t>
      </w:r>
      <w:r>
        <w:fldChar w:fldCharType="end"/>
      </w:r>
      <w:r>
        <w:rPr>
          <w:rFonts w:hint="eastAsia"/>
          <w:bCs/>
        </w:rPr>
        <w:t>所示。</w:t>
      </w:r>
    </w:p>
    <w:p w14:paraId="30C57CD4">
      <w:pPr>
        <w:keepNext/>
        <w:ind w:firstLine="0" w:firstLineChars="0"/>
        <w:jc w:val="center"/>
        <w:rPr>
          <w:b/>
          <w:sz w:val="21"/>
        </w:rPr>
      </w:pPr>
      <w:r>
        <w:drawing>
          <wp:inline distT="0" distB="0" distL="114300" distR="114300">
            <wp:extent cx="5271135" cy="2307590"/>
            <wp:effectExtent l="0" t="0" r="5715" b="1651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1"/>
                    <a:stretch>
                      <a:fillRect/>
                    </a:stretch>
                  </pic:blipFill>
                  <pic:spPr>
                    <a:xfrm>
                      <a:off x="0" y="0"/>
                      <a:ext cx="5271135" cy="2307590"/>
                    </a:xfrm>
                    <a:prstGeom prst="rect">
                      <a:avLst/>
                    </a:prstGeom>
                    <a:noFill/>
                    <a:ln>
                      <a:noFill/>
                    </a:ln>
                  </pic:spPr>
                </pic:pic>
              </a:graphicData>
            </a:graphic>
          </wp:inline>
        </w:drawing>
      </w:r>
    </w:p>
    <w:p w14:paraId="7638964E">
      <w:pPr>
        <w:ind w:firstLine="0" w:firstLineChars="0"/>
        <w:jc w:val="center"/>
        <w:rPr>
          <w:b/>
          <w:bCs/>
          <w:sz w:val="21"/>
        </w:rPr>
      </w:pPr>
      <w:bookmarkStart w:id="39" w:name="_Ref123718991"/>
      <w:r>
        <w:rPr>
          <w:rFonts w:hint="eastAsia"/>
          <w:b/>
          <w:sz w:val="21"/>
        </w:rPr>
        <w:t>图</w:t>
      </w:r>
      <w:r>
        <w:rPr>
          <w:b/>
          <w:sz w:val="21"/>
        </w:rPr>
        <w:fldChar w:fldCharType="begin"/>
      </w:r>
      <w:r>
        <w:rPr>
          <w:b/>
          <w:sz w:val="21"/>
        </w:rPr>
        <w:instrText xml:space="preserve"> </w:instrText>
      </w:r>
      <w:r>
        <w:rPr>
          <w:rFonts w:hint="eastAsia"/>
          <w:b/>
          <w:sz w:val="21"/>
        </w:rPr>
        <w:instrText xml:space="preserve">STYLEREF </w:instrText>
      </w:r>
      <w:r>
        <w:rPr>
          <w:b/>
          <w:sz w:val="21"/>
        </w:rPr>
        <w:instrText xml:space="preserve">3</w:instrText>
      </w:r>
      <w:r>
        <w:rPr>
          <w:rFonts w:hint="eastAsia"/>
          <w:b/>
          <w:sz w:val="21"/>
        </w:rPr>
        <w:instrText xml:space="preserve"> \s</w:instrText>
      </w:r>
      <w:r>
        <w:rPr>
          <w:b/>
          <w:sz w:val="21"/>
        </w:rPr>
        <w:instrText xml:space="preserve"> </w:instrText>
      </w:r>
      <w:r>
        <w:rPr>
          <w:b/>
          <w:sz w:val="21"/>
        </w:rPr>
        <w:fldChar w:fldCharType="separate"/>
      </w:r>
      <w:r>
        <w:rPr>
          <w:b/>
          <w:sz w:val="21"/>
        </w:rPr>
        <w:t>2.1.4</w:t>
      </w:r>
      <w:r>
        <w:rPr>
          <w:b/>
          <w:sz w:val="21"/>
        </w:rPr>
        <w:fldChar w:fldCharType="end"/>
      </w:r>
      <w:r>
        <w:rPr>
          <w:rFonts w:hint="eastAsia"/>
          <w:b/>
          <w:sz w:val="21"/>
        </w:rPr>
        <w:t>-</w:t>
      </w:r>
      <w:r>
        <w:rPr>
          <w:b/>
          <w:sz w:val="21"/>
        </w:rPr>
        <w:fldChar w:fldCharType="begin"/>
      </w:r>
      <w:r>
        <w:rPr>
          <w:b/>
          <w:sz w:val="21"/>
        </w:rPr>
        <w:instrText xml:space="preserve"> </w:instrText>
      </w:r>
      <w:r>
        <w:rPr>
          <w:rFonts w:hint="eastAsia"/>
          <w:b/>
          <w:sz w:val="21"/>
        </w:rPr>
        <w:instrText xml:space="preserve">SEQ 图 \* ARABIC \s </w:instrText>
      </w:r>
      <w:r>
        <w:rPr>
          <w:b/>
          <w:sz w:val="21"/>
        </w:rPr>
        <w:instrText xml:space="preserve">3 </w:instrText>
      </w:r>
      <w:r>
        <w:rPr>
          <w:b/>
          <w:sz w:val="21"/>
        </w:rPr>
        <w:fldChar w:fldCharType="separate"/>
      </w:r>
      <w:r>
        <w:rPr>
          <w:b/>
          <w:sz w:val="21"/>
        </w:rPr>
        <w:t>1</w:t>
      </w:r>
      <w:r>
        <w:rPr>
          <w:b/>
          <w:sz w:val="21"/>
        </w:rPr>
        <w:fldChar w:fldCharType="end"/>
      </w:r>
      <w:bookmarkEnd w:id="39"/>
      <w:r>
        <w:rPr>
          <w:b/>
          <w:sz w:val="21"/>
        </w:rPr>
        <w:t xml:space="preserve"> </w:t>
      </w:r>
      <w:r>
        <w:rPr>
          <w:rStyle w:val="110"/>
        </w:rPr>
        <w:fldChar w:fldCharType="begin"/>
      </w:r>
      <w:r>
        <w:rPr>
          <w:rStyle w:val="110"/>
        </w:rPr>
        <w:instrText xml:space="preserve"> </w:instrText>
      </w:r>
      <w:r>
        <w:rPr>
          <w:rStyle w:val="110"/>
          <w:rFonts w:hint="eastAsia"/>
        </w:rPr>
        <w:instrText xml:space="preserve">REF 设备类型 \h</w:instrText>
      </w:r>
      <w:r>
        <w:rPr>
          <w:rStyle w:val="110"/>
        </w:rPr>
        <w:instrText xml:space="preserve">  \* MERGEFORMAT </w:instrText>
      </w:r>
      <w:r>
        <w:rPr>
          <w:rStyle w:val="110"/>
        </w:rPr>
        <w:fldChar w:fldCharType="separate"/>
      </w:r>
      <w:r>
        <w:rPr>
          <w:rStyle w:val="110"/>
          <w:rFonts w:hint="eastAsia"/>
        </w:rPr>
        <w:t>施工升降机</w:t>
      </w:r>
      <w:r>
        <w:rPr>
          <w:rStyle w:val="110"/>
        </w:rPr>
        <w:fldChar w:fldCharType="end"/>
      </w:r>
      <w:r>
        <w:rPr>
          <w:rFonts w:hint="eastAsia"/>
          <w:b/>
          <w:bCs/>
          <w:sz w:val="21"/>
        </w:rPr>
        <w:t>在安装部位平面布置图（mm）</w:t>
      </w:r>
    </w:p>
    <w:p w14:paraId="31A8B0D0">
      <w:pPr>
        <w:keepNext/>
        <w:ind w:firstLine="0" w:firstLineChars="0"/>
        <w:jc w:val="center"/>
        <w:rPr>
          <w:b/>
          <w:sz w:val="21"/>
        </w:rPr>
      </w:pPr>
      <w:r>
        <w:drawing>
          <wp:inline distT="0" distB="0" distL="114300" distR="114300">
            <wp:extent cx="3486150" cy="7724775"/>
            <wp:effectExtent l="0" t="0" r="0" b="952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32"/>
                    <a:stretch>
                      <a:fillRect/>
                    </a:stretch>
                  </pic:blipFill>
                  <pic:spPr>
                    <a:xfrm>
                      <a:off x="0" y="0"/>
                      <a:ext cx="3486150" cy="7724775"/>
                    </a:xfrm>
                    <a:prstGeom prst="rect">
                      <a:avLst/>
                    </a:prstGeom>
                    <a:noFill/>
                    <a:ln>
                      <a:noFill/>
                    </a:ln>
                  </pic:spPr>
                </pic:pic>
              </a:graphicData>
            </a:graphic>
          </wp:inline>
        </w:drawing>
      </w:r>
    </w:p>
    <w:p w14:paraId="2F93FCAC">
      <w:pPr>
        <w:ind w:firstLine="0" w:firstLineChars="0"/>
        <w:jc w:val="center"/>
        <w:rPr>
          <w:b/>
          <w:bCs/>
          <w:sz w:val="21"/>
        </w:rPr>
      </w:pPr>
      <w:bookmarkStart w:id="40" w:name="_Ref123718992"/>
      <w:r>
        <w:rPr>
          <w:rFonts w:hint="eastAsia"/>
          <w:b/>
          <w:sz w:val="21"/>
        </w:rPr>
        <w:t>图</w:t>
      </w:r>
      <w:r>
        <w:rPr>
          <w:b/>
          <w:sz w:val="21"/>
        </w:rPr>
        <w:fldChar w:fldCharType="begin"/>
      </w:r>
      <w:r>
        <w:rPr>
          <w:b/>
          <w:sz w:val="21"/>
        </w:rPr>
        <w:instrText xml:space="preserve"> </w:instrText>
      </w:r>
      <w:r>
        <w:rPr>
          <w:rFonts w:hint="eastAsia"/>
          <w:b/>
          <w:sz w:val="21"/>
        </w:rPr>
        <w:instrText xml:space="preserve">STYLEREF </w:instrText>
      </w:r>
      <w:r>
        <w:rPr>
          <w:b/>
          <w:sz w:val="21"/>
        </w:rPr>
        <w:instrText xml:space="preserve">3</w:instrText>
      </w:r>
      <w:r>
        <w:rPr>
          <w:rFonts w:hint="eastAsia"/>
          <w:b/>
          <w:sz w:val="21"/>
        </w:rPr>
        <w:instrText xml:space="preserve"> \s</w:instrText>
      </w:r>
      <w:r>
        <w:rPr>
          <w:b/>
          <w:sz w:val="21"/>
        </w:rPr>
        <w:instrText xml:space="preserve"> </w:instrText>
      </w:r>
      <w:r>
        <w:rPr>
          <w:b/>
          <w:sz w:val="21"/>
        </w:rPr>
        <w:fldChar w:fldCharType="separate"/>
      </w:r>
      <w:r>
        <w:rPr>
          <w:b/>
          <w:sz w:val="21"/>
        </w:rPr>
        <w:t>2.1.4</w:t>
      </w:r>
      <w:r>
        <w:rPr>
          <w:b/>
          <w:sz w:val="21"/>
        </w:rPr>
        <w:fldChar w:fldCharType="end"/>
      </w:r>
      <w:r>
        <w:rPr>
          <w:rFonts w:hint="eastAsia"/>
          <w:b/>
          <w:sz w:val="21"/>
        </w:rPr>
        <w:t>-</w:t>
      </w:r>
      <w:r>
        <w:rPr>
          <w:b/>
          <w:sz w:val="21"/>
        </w:rPr>
        <w:fldChar w:fldCharType="begin"/>
      </w:r>
      <w:r>
        <w:rPr>
          <w:b/>
          <w:sz w:val="21"/>
        </w:rPr>
        <w:instrText xml:space="preserve"> </w:instrText>
      </w:r>
      <w:r>
        <w:rPr>
          <w:rFonts w:hint="eastAsia"/>
          <w:b/>
          <w:sz w:val="21"/>
        </w:rPr>
        <w:instrText xml:space="preserve">SEQ 图 \* ARABIC \s </w:instrText>
      </w:r>
      <w:r>
        <w:rPr>
          <w:b/>
          <w:sz w:val="21"/>
        </w:rPr>
        <w:instrText xml:space="preserve">3 </w:instrText>
      </w:r>
      <w:r>
        <w:rPr>
          <w:b/>
          <w:sz w:val="21"/>
        </w:rPr>
        <w:fldChar w:fldCharType="separate"/>
      </w:r>
      <w:r>
        <w:rPr>
          <w:b/>
          <w:sz w:val="21"/>
        </w:rPr>
        <w:t>2</w:t>
      </w:r>
      <w:r>
        <w:rPr>
          <w:b/>
          <w:sz w:val="21"/>
        </w:rPr>
        <w:fldChar w:fldCharType="end"/>
      </w:r>
      <w:bookmarkEnd w:id="40"/>
      <w:r>
        <w:rPr>
          <w:b/>
          <w:sz w:val="21"/>
        </w:rPr>
        <w:t xml:space="preserve"> </w:t>
      </w:r>
      <w:r>
        <w:rPr>
          <w:rStyle w:val="110"/>
        </w:rPr>
        <w:fldChar w:fldCharType="begin"/>
      </w:r>
      <w:r>
        <w:rPr>
          <w:rStyle w:val="110"/>
        </w:rPr>
        <w:instrText xml:space="preserve"> </w:instrText>
      </w:r>
      <w:r>
        <w:rPr>
          <w:rStyle w:val="110"/>
          <w:rFonts w:hint="eastAsia"/>
        </w:rPr>
        <w:instrText xml:space="preserve">REF 设备类型 \h</w:instrText>
      </w:r>
      <w:r>
        <w:rPr>
          <w:rStyle w:val="110"/>
        </w:rPr>
        <w:instrText xml:space="preserve">  \* MERGEFORMAT </w:instrText>
      </w:r>
      <w:r>
        <w:rPr>
          <w:rStyle w:val="110"/>
        </w:rPr>
        <w:fldChar w:fldCharType="separate"/>
      </w:r>
      <w:r>
        <w:rPr>
          <w:rStyle w:val="110"/>
          <w:rFonts w:hint="eastAsia"/>
        </w:rPr>
        <w:t>施工升降机</w:t>
      </w:r>
      <w:r>
        <w:rPr>
          <w:rStyle w:val="110"/>
        </w:rPr>
        <w:fldChar w:fldCharType="end"/>
      </w:r>
      <w:r>
        <w:rPr>
          <w:rFonts w:hint="eastAsia"/>
          <w:b/>
          <w:bCs/>
          <w:sz w:val="21"/>
        </w:rPr>
        <w:t>在安装部位立面布置图（mm）</w:t>
      </w:r>
    </w:p>
    <w:p w14:paraId="2D5D2FC9">
      <w:pPr>
        <w:pStyle w:val="3"/>
      </w:pPr>
      <w:bookmarkStart w:id="41" w:name="_Toc5502"/>
      <w:r>
        <w:rPr>
          <w:rFonts w:hint="eastAsia"/>
        </w:rPr>
        <w:t>工程特点</w:t>
      </w:r>
      <w:bookmarkEnd w:id="41"/>
    </w:p>
    <w:p w14:paraId="574DE2F0">
      <w:pPr>
        <w:pStyle w:val="70"/>
        <w:numPr>
          <w:ilvl w:val="0"/>
          <w:numId w:val="10"/>
        </w:numPr>
        <w:ind w:firstLineChars="0"/>
      </w:pPr>
      <w:r>
        <w:t>现场</w:t>
      </w:r>
      <w:r>
        <w:rPr>
          <w:rFonts w:hint="eastAsia"/>
        </w:rPr>
        <w:t>安拆</w:t>
      </w:r>
      <w:r>
        <w:t>场地受限，大型设备吊装难度大；</w:t>
      </w:r>
    </w:p>
    <w:p w14:paraId="62080852">
      <w:pPr>
        <w:pStyle w:val="70"/>
        <w:numPr>
          <w:ilvl w:val="0"/>
          <w:numId w:val="10"/>
        </w:numPr>
        <w:ind w:firstLineChars="0"/>
      </w:pPr>
      <w:r>
        <w:t>构建数量多，现场无法堆放，需多次进行转运；</w:t>
      </w:r>
    </w:p>
    <w:p w14:paraId="69342AA5">
      <w:pPr>
        <w:pStyle w:val="70"/>
        <w:numPr>
          <w:ilvl w:val="0"/>
          <w:numId w:val="10"/>
        </w:numPr>
        <w:ind w:firstLineChars="0"/>
      </w:pPr>
      <w:r>
        <w:rPr>
          <w:rFonts w:hint="eastAsia"/>
        </w:rPr>
        <w:t>本施工过程包含高空作业，安全风险较大。</w:t>
      </w:r>
    </w:p>
    <w:p w14:paraId="17D4312E">
      <w:pPr>
        <w:pStyle w:val="3"/>
      </w:pPr>
      <w:bookmarkStart w:id="42" w:name="_Toc93050658"/>
      <w:bookmarkStart w:id="43" w:name="_Toc23106"/>
      <w:r>
        <w:rPr>
          <w:rFonts w:hint="eastAsia"/>
        </w:rPr>
        <w:t>施工平面布置</w:t>
      </w:r>
      <w:bookmarkEnd w:id="42"/>
      <w:bookmarkEnd w:id="43"/>
    </w:p>
    <w:p w14:paraId="2D6998B1">
      <w:pPr>
        <w:ind w:firstLine="480"/>
      </w:pPr>
      <w:r>
        <w:rPr>
          <w:rFonts w:hint="eastAsia"/>
        </w:rPr>
        <w:t>施工平面布置如</w:t>
      </w:r>
      <w:r>
        <w:fldChar w:fldCharType="begin"/>
      </w:r>
      <w:r>
        <w:instrText xml:space="preserve"> </w:instrText>
      </w:r>
      <w:r>
        <w:rPr>
          <w:rFonts w:hint="eastAsia"/>
        </w:rPr>
        <w:instrText xml:space="preserve">REF _Ref121247929 \h</w:instrText>
      </w:r>
      <w:r>
        <w:instrText xml:space="preserve"> </w:instrText>
      </w:r>
      <w:r>
        <w:fldChar w:fldCharType="separate"/>
      </w:r>
      <w:r>
        <w:rPr>
          <w:rFonts w:hint="eastAsia"/>
        </w:rPr>
        <w:t>图</w:t>
      </w:r>
      <w:r>
        <w:t>2.3</w:t>
      </w:r>
      <w:r>
        <w:rPr>
          <w:rFonts w:hint="eastAsia"/>
        </w:rPr>
        <w:t>-</w:t>
      </w:r>
      <w:r>
        <w:t>1</w:t>
      </w:r>
      <w:r>
        <w:fldChar w:fldCharType="end"/>
      </w:r>
      <w:r>
        <w:rPr>
          <w:rFonts w:hint="eastAsia"/>
        </w:rPr>
        <w:t>所示。</w:t>
      </w:r>
    </w:p>
    <w:p w14:paraId="62F1EEAB">
      <w:pPr>
        <w:pStyle w:val="109"/>
      </w:pPr>
      <w:r>
        <w:drawing>
          <wp:inline distT="0" distB="0" distL="114300" distR="114300">
            <wp:extent cx="5271135" cy="2307590"/>
            <wp:effectExtent l="0" t="0" r="5715" b="16510"/>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31"/>
                    <a:stretch>
                      <a:fillRect/>
                    </a:stretch>
                  </pic:blipFill>
                  <pic:spPr>
                    <a:xfrm>
                      <a:off x="0" y="0"/>
                      <a:ext cx="5271135" cy="2307590"/>
                    </a:xfrm>
                    <a:prstGeom prst="rect">
                      <a:avLst/>
                    </a:prstGeom>
                    <a:noFill/>
                    <a:ln>
                      <a:noFill/>
                    </a:ln>
                  </pic:spPr>
                </pic:pic>
              </a:graphicData>
            </a:graphic>
          </wp:inline>
        </w:drawing>
      </w:r>
    </w:p>
    <w:p w14:paraId="21F173A3">
      <w:pPr>
        <w:pStyle w:val="108"/>
        <w:rPr>
          <w:bCs/>
        </w:rPr>
      </w:pPr>
      <w:bookmarkStart w:id="44" w:name="_Ref121247929"/>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2.3</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44"/>
      <w:r>
        <w:t xml:space="preserve"> </w:t>
      </w:r>
      <w:r>
        <w:rPr>
          <w:rFonts w:hint="eastAsia"/>
          <w:bCs/>
        </w:rPr>
        <w:t>施工平面布置图（mm）</w:t>
      </w:r>
    </w:p>
    <w:p w14:paraId="40FD2661">
      <w:pPr>
        <w:pStyle w:val="3"/>
      </w:pPr>
      <w:bookmarkStart w:id="45" w:name="_Toc18236"/>
      <w:r>
        <w:rPr>
          <w:rFonts w:hint="eastAsia"/>
        </w:rPr>
        <w:t>施工要求</w:t>
      </w:r>
      <w:bookmarkEnd w:id="45"/>
    </w:p>
    <w:p w14:paraId="419CFCB2">
      <w:pPr>
        <w:pStyle w:val="4"/>
      </w:pPr>
      <w:r>
        <w:rPr>
          <w:rFonts w:hint="eastAsia"/>
        </w:rPr>
        <w:t>工期要求</w:t>
      </w:r>
    </w:p>
    <w:p w14:paraId="028F7BD9">
      <w:pPr>
        <w:ind w:firstLine="480"/>
        <w:rPr>
          <w:highlight w:val="lightGray"/>
        </w:rPr>
      </w:pPr>
      <w:r>
        <w:rPr>
          <w:rFonts w:hint="eastAsia"/>
          <w:highlight w:val="lightGray"/>
        </w:rPr>
        <w:t>根据总体施工进度安排，1</w:t>
      </w:r>
      <w:r>
        <w:rPr>
          <w:highlight w:val="lightGray"/>
        </w:rPr>
        <w:t>#</w:t>
      </w:r>
      <w:r>
        <w:rPr>
          <w:highlight w:val="lightGray"/>
        </w:rPr>
        <w:fldChar w:fldCharType="begin"/>
      </w:r>
      <w:r>
        <w:rPr>
          <w:highlight w:val="lightGray"/>
        </w:rPr>
        <w:instrText xml:space="preserve"> REF 设备类型 \h  \* MERGEFORMAT </w:instrText>
      </w:r>
      <w:r>
        <w:rPr>
          <w:highlight w:val="lightGray"/>
        </w:rPr>
        <w:fldChar w:fldCharType="separate"/>
      </w:r>
      <w:r>
        <w:rPr>
          <w:rFonts w:hint="eastAsia"/>
          <w:highlight w:val="lightGray"/>
        </w:rPr>
        <w:t>施工升降机</w:t>
      </w:r>
      <w:r>
        <w:rPr>
          <w:highlight w:val="lightGray"/>
        </w:rPr>
        <w:fldChar w:fldCharType="end"/>
      </w:r>
      <w:r>
        <w:rPr>
          <w:highlight w:val="lightGray"/>
        </w:rPr>
        <w:t>安装</w:t>
      </w:r>
      <w:r>
        <w:rPr>
          <w:rFonts w:hint="eastAsia"/>
          <w:highlight w:val="lightGray"/>
        </w:rPr>
        <w:t>施工工期为</w:t>
      </w:r>
      <w:r>
        <w:rPr>
          <w:highlight w:val="lightGray"/>
        </w:rPr>
        <w:t>5</w:t>
      </w:r>
      <w:r>
        <w:rPr>
          <w:rFonts w:hint="eastAsia"/>
          <w:highlight w:val="lightGray"/>
        </w:rPr>
        <w:t>天，施工计划开始时间为</w:t>
      </w:r>
      <w:r>
        <w:rPr>
          <w:highlight w:val="lightGray"/>
        </w:rPr>
        <w:t>2024</w:t>
      </w:r>
      <w:r>
        <w:rPr>
          <w:rFonts w:hint="eastAsia"/>
          <w:highlight w:val="lightGray"/>
        </w:rPr>
        <w:t>年</w:t>
      </w:r>
      <w:r>
        <w:rPr>
          <w:highlight w:val="lightGray"/>
        </w:rPr>
        <w:t>3</w:t>
      </w:r>
      <w:r>
        <w:rPr>
          <w:rFonts w:hint="eastAsia"/>
          <w:highlight w:val="lightGray"/>
        </w:rPr>
        <w:t>月</w:t>
      </w:r>
      <w:r>
        <w:rPr>
          <w:highlight w:val="lightGray"/>
        </w:rPr>
        <w:t>1</w:t>
      </w:r>
      <w:r>
        <w:rPr>
          <w:rFonts w:hint="eastAsia"/>
          <w:highlight w:val="lightGray"/>
        </w:rPr>
        <w:t>日，完成时间为</w:t>
      </w:r>
      <w:r>
        <w:rPr>
          <w:highlight w:val="lightGray"/>
        </w:rPr>
        <w:t>2024</w:t>
      </w:r>
      <w:r>
        <w:rPr>
          <w:rFonts w:hint="eastAsia"/>
          <w:highlight w:val="lightGray"/>
        </w:rPr>
        <w:t>年</w:t>
      </w:r>
      <w:r>
        <w:rPr>
          <w:highlight w:val="lightGray"/>
        </w:rPr>
        <w:t>3</w:t>
      </w:r>
      <w:r>
        <w:rPr>
          <w:rFonts w:hint="eastAsia"/>
          <w:highlight w:val="lightGray"/>
        </w:rPr>
        <w:t>月</w:t>
      </w:r>
      <w:r>
        <w:rPr>
          <w:highlight w:val="lightGray"/>
        </w:rPr>
        <w:t>5</w:t>
      </w:r>
      <w:r>
        <w:rPr>
          <w:rFonts w:hint="eastAsia"/>
          <w:highlight w:val="lightGray"/>
        </w:rPr>
        <w:t>日；拆除施工工期为</w:t>
      </w:r>
      <w:r>
        <w:rPr>
          <w:highlight w:val="lightGray"/>
        </w:rPr>
        <w:t>30</w:t>
      </w:r>
      <w:r>
        <w:rPr>
          <w:rFonts w:hint="eastAsia"/>
          <w:highlight w:val="lightGray"/>
        </w:rPr>
        <w:t>天，施工计划开始时间为</w:t>
      </w:r>
      <w:r>
        <w:rPr>
          <w:highlight w:val="lightGray"/>
        </w:rPr>
        <w:t>2024</w:t>
      </w:r>
      <w:r>
        <w:rPr>
          <w:rFonts w:hint="eastAsia"/>
          <w:highlight w:val="lightGray"/>
        </w:rPr>
        <w:t>年</w:t>
      </w:r>
      <w:r>
        <w:rPr>
          <w:highlight w:val="lightGray"/>
        </w:rPr>
        <w:t>7</w:t>
      </w:r>
      <w:r>
        <w:rPr>
          <w:rFonts w:hint="eastAsia"/>
          <w:highlight w:val="lightGray"/>
        </w:rPr>
        <w:t>月</w:t>
      </w:r>
      <w:r>
        <w:rPr>
          <w:highlight w:val="lightGray"/>
        </w:rPr>
        <w:t>15</w:t>
      </w:r>
      <w:r>
        <w:rPr>
          <w:rFonts w:hint="eastAsia"/>
          <w:highlight w:val="lightGray"/>
        </w:rPr>
        <w:t>日，完成时间为2</w:t>
      </w:r>
      <w:r>
        <w:rPr>
          <w:highlight w:val="lightGray"/>
        </w:rPr>
        <w:t>024</w:t>
      </w:r>
      <w:r>
        <w:rPr>
          <w:rFonts w:hint="eastAsia"/>
          <w:highlight w:val="lightGray"/>
        </w:rPr>
        <w:t>年</w:t>
      </w:r>
      <w:r>
        <w:rPr>
          <w:highlight w:val="lightGray"/>
        </w:rPr>
        <w:t>8</w:t>
      </w:r>
      <w:r>
        <w:rPr>
          <w:rFonts w:hint="eastAsia"/>
          <w:highlight w:val="lightGray"/>
        </w:rPr>
        <w:t>月</w:t>
      </w:r>
      <w:r>
        <w:rPr>
          <w:highlight w:val="lightGray"/>
        </w:rPr>
        <w:t>13</w:t>
      </w:r>
      <w:r>
        <w:rPr>
          <w:rFonts w:hint="eastAsia"/>
          <w:highlight w:val="lightGray"/>
        </w:rPr>
        <w:t>日。</w:t>
      </w:r>
    </w:p>
    <w:p w14:paraId="558ED686">
      <w:pPr>
        <w:ind w:firstLine="480"/>
        <w:rPr>
          <w:highlight w:val="lightGray"/>
        </w:rPr>
      </w:pPr>
      <w:r>
        <w:rPr>
          <w:highlight w:val="lightGray"/>
        </w:rPr>
        <w:t>2#</w:t>
      </w:r>
      <w:r>
        <w:rPr>
          <w:highlight w:val="lightGray"/>
        </w:rPr>
        <w:fldChar w:fldCharType="begin"/>
      </w:r>
      <w:r>
        <w:rPr>
          <w:highlight w:val="lightGray"/>
        </w:rPr>
        <w:instrText xml:space="preserve"> REF 设备类型 \h  \* MERGEFORMAT </w:instrText>
      </w:r>
      <w:r>
        <w:rPr>
          <w:highlight w:val="lightGray"/>
        </w:rPr>
        <w:fldChar w:fldCharType="separate"/>
      </w:r>
      <w:r>
        <w:rPr>
          <w:rFonts w:hint="eastAsia"/>
          <w:highlight w:val="lightGray"/>
        </w:rPr>
        <w:t>施工升降机</w:t>
      </w:r>
      <w:r>
        <w:rPr>
          <w:highlight w:val="lightGray"/>
        </w:rPr>
        <w:fldChar w:fldCharType="end"/>
      </w:r>
      <w:r>
        <w:rPr>
          <w:highlight w:val="lightGray"/>
        </w:rPr>
        <w:t>安装</w:t>
      </w:r>
      <w:r>
        <w:rPr>
          <w:rFonts w:hint="eastAsia"/>
          <w:highlight w:val="lightGray"/>
        </w:rPr>
        <w:t>施工工期为</w:t>
      </w:r>
      <w:r>
        <w:rPr>
          <w:highlight w:val="lightGray"/>
        </w:rPr>
        <w:t>5</w:t>
      </w:r>
      <w:r>
        <w:rPr>
          <w:rFonts w:hint="eastAsia"/>
          <w:highlight w:val="lightGray"/>
        </w:rPr>
        <w:t>天，施工计划开始时间为</w:t>
      </w:r>
      <w:r>
        <w:rPr>
          <w:highlight w:val="lightGray"/>
        </w:rPr>
        <w:t>2024</w:t>
      </w:r>
      <w:r>
        <w:rPr>
          <w:rFonts w:hint="eastAsia"/>
          <w:highlight w:val="lightGray"/>
        </w:rPr>
        <w:t>年</w:t>
      </w:r>
      <w:r>
        <w:rPr>
          <w:highlight w:val="lightGray"/>
        </w:rPr>
        <w:t>1</w:t>
      </w:r>
      <w:r>
        <w:rPr>
          <w:rFonts w:hint="eastAsia"/>
          <w:highlight w:val="lightGray"/>
        </w:rPr>
        <w:t>月</w:t>
      </w:r>
      <w:r>
        <w:rPr>
          <w:highlight w:val="lightGray"/>
        </w:rPr>
        <w:t>27</w:t>
      </w:r>
      <w:r>
        <w:rPr>
          <w:rFonts w:hint="eastAsia"/>
          <w:highlight w:val="lightGray"/>
        </w:rPr>
        <w:t>日，完成时间为</w:t>
      </w:r>
      <w:r>
        <w:rPr>
          <w:highlight w:val="lightGray"/>
        </w:rPr>
        <w:t>2024</w:t>
      </w:r>
      <w:r>
        <w:rPr>
          <w:rFonts w:hint="eastAsia"/>
          <w:highlight w:val="lightGray"/>
        </w:rPr>
        <w:t>年</w:t>
      </w:r>
      <w:r>
        <w:rPr>
          <w:highlight w:val="lightGray"/>
        </w:rPr>
        <w:t>1</w:t>
      </w:r>
      <w:r>
        <w:rPr>
          <w:rFonts w:hint="eastAsia"/>
          <w:highlight w:val="lightGray"/>
        </w:rPr>
        <w:t>月3</w:t>
      </w:r>
      <w:r>
        <w:rPr>
          <w:highlight w:val="lightGray"/>
        </w:rPr>
        <w:t>1</w:t>
      </w:r>
      <w:r>
        <w:rPr>
          <w:rFonts w:hint="eastAsia"/>
          <w:highlight w:val="lightGray"/>
        </w:rPr>
        <w:t>日；拆除施工工期为</w:t>
      </w:r>
      <w:r>
        <w:rPr>
          <w:highlight w:val="lightGray"/>
        </w:rPr>
        <w:t>30</w:t>
      </w:r>
      <w:r>
        <w:rPr>
          <w:rFonts w:hint="eastAsia"/>
          <w:highlight w:val="lightGray"/>
        </w:rPr>
        <w:t>天，施工计划开始时间为</w:t>
      </w:r>
      <w:r>
        <w:rPr>
          <w:highlight w:val="lightGray"/>
        </w:rPr>
        <w:t>2026</w:t>
      </w:r>
      <w:r>
        <w:rPr>
          <w:rFonts w:hint="eastAsia"/>
          <w:highlight w:val="lightGray"/>
        </w:rPr>
        <w:t>年</w:t>
      </w:r>
      <w:r>
        <w:rPr>
          <w:highlight w:val="lightGray"/>
        </w:rPr>
        <w:t>9</w:t>
      </w:r>
      <w:r>
        <w:rPr>
          <w:rFonts w:hint="eastAsia"/>
          <w:highlight w:val="lightGray"/>
        </w:rPr>
        <w:t>月</w:t>
      </w:r>
      <w:r>
        <w:rPr>
          <w:highlight w:val="lightGray"/>
        </w:rPr>
        <w:t>1</w:t>
      </w:r>
      <w:r>
        <w:rPr>
          <w:rFonts w:hint="eastAsia"/>
          <w:highlight w:val="lightGray"/>
        </w:rPr>
        <w:t>日，完成时间为</w:t>
      </w:r>
      <w:r>
        <w:rPr>
          <w:highlight w:val="lightGray"/>
        </w:rPr>
        <w:t>2026</w:t>
      </w:r>
      <w:r>
        <w:rPr>
          <w:rFonts w:hint="eastAsia"/>
          <w:highlight w:val="lightGray"/>
        </w:rPr>
        <w:t>年</w:t>
      </w:r>
      <w:r>
        <w:rPr>
          <w:highlight w:val="lightGray"/>
        </w:rPr>
        <w:t>9</w:t>
      </w:r>
      <w:r>
        <w:rPr>
          <w:rFonts w:hint="eastAsia"/>
          <w:highlight w:val="lightGray"/>
        </w:rPr>
        <w:t>月</w:t>
      </w:r>
      <w:r>
        <w:rPr>
          <w:highlight w:val="lightGray"/>
        </w:rPr>
        <w:t>30</w:t>
      </w:r>
      <w:r>
        <w:rPr>
          <w:rFonts w:hint="eastAsia"/>
          <w:highlight w:val="lightGray"/>
        </w:rPr>
        <w:t>日。</w:t>
      </w:r>
    </w:p>
    <w:p w14:paraId="4EDF9473">
      <w:pPr>
        <w:pStyle w:val="4"/>
      </w:pPr>
      <w:r>
        <w:rPr>
          <w:rFonts w:hint="eastAsia"/>
        </w:rPr>
        <w:t>质量要求</w:t>
      </w:r>
    </w:p>
    <w:p w14:paraId="724ED9EA">
      <w:pPr>
        <w:numPr>
          <w:ilvl w:val="0"/>
          <w:numId w:val="11"/>
        </w:numPr>
      </w:pPr>
      <w:r>
        <w:t>不发生质量事故，不发生造成社会恶劣影响的其他事件</w:t>
      </w:r>
      <w:r>
        <w:rPr>
          <w:rFonts w:hint="eastAsia"/>
        </w:rPr>
        <w:t>；</w:t>
      </w:r>
    </w:p>
    <w:p w14:paraId="560AD38D">
      <w:pPr>
        <w:numPr>
          <w:ilvl w:val="0"/>
          <w:numId w:val="11"/>
        </w:numPr>
      </w:pPr>
      <w:r>
        <w:rPr>
          <w:rFonts w:hint="eastAsia"/>
        </w:rPr>
        <w:t>工程质量符合合同、图纸及规范要求。</w:t>
      </w:r>
    </w:p>
    <w:p w14:paraId="0CF32DF2">
      <w:pPr>
        <w:pStyle w:val="4"/>
      </w:pPr>
      <w:r>
        <w:rPr>
          <w:rFonts w:hint="eastAsia"/>
        </w:rPr>
        <w:t>安全文明施工要求</w:t>
      </w:r>
    </w:p>
    <w:p w14:paraId="35E17D24">
      <w:pPr>
        <w:numPr>
          <w:ilvl w:val="0"/>
          <w:numId w:val="12"/>
        </w:numPr>
      </w:pPr>
      <w:r>
        <w:rPr>
          <w:rFonts w:hint="eastAsia"/>
        </w:rPr>
        <w:t>一般及较大安全事故发生率为0；</w:t>
      </w:r>
    </w:p>
    <w:p w14:paraId="268A9663">
      <w:pPr>
        <w:numPr>
          <w:ilvl w:val="0"/>
          <w:numId w:val="12"/>
        </w:numPr>
      </w:pPr>
      <w:r>
        <w:rPr>
          <w:rFonts w:hint="eastAsia"/>
        </w:rPr>
        <w:t>人员受伤事故发生率为0；</w:t>
      </w:r>
    </w:p>
    <w:p w14:paraId="7E2BEC3C">
      <w:pPr>
        <w:numPr>
          <w:ilvl w:val="0"/>
          <w:numId w:val="12"/>
        </w:numPr>
      </w:pPr>
      <w:r>
        <w:rPr>
          <w:rFonts w:hint="eastAsia"/>
        </w:rPr>
        <w:t>所有进场施工人员安全教育考核率达100%，特殊岗位操作人员持证上岗率达100%；</w:t>
      </w:r>
    </w:p>
    <w:p w14:paraId="7612BC18">
      <w:pPr>
        <w:numPr>
          <w:ilvl w:val="0"/>
          <w:numId w:val="12"/>
        </w:numPr>
      </w:pPr>
      <w:r>
        <w:rPr>
          <w:rFonts w:hint="eastAsia"/>
        </w:rPr>
        <w:t>各种防护用品、设施合格率达100%，施工安全技术交底率达100%。</w:t>
      </w:r>
    </w:p>
    <w:p w14:paraId="0353B8B6">
      <w:pPr>
        <w:pStyle w:val="4"/>
      </w:pPr>
      <w:r>
        <w:rPr>
          <w:rFonts w:hint="eastAsia"/>
        </w:rPr>
        <w:t>安装场地</w:t>
      </w:r>
      <w:r>
        <w:t>要求</w:t>
      </w:r>
    </w:p>
    <w:p w14:paraId="1231FEFB">
      <w:pPr>
        <w:numPr>
          <w:ilvl w:val="0"/>
          <w:numId w:val="13"/>
        </w:numPr>
        <w:ind w:firstLineChars="0"/>
      </w:pPr>
      <w:r>
        <w:rPr>
          <w:rFonts w:hint="eastAsia"/>
        </w:rPr>
        <w:t>安装场地大小应满足</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各部件顺利装卸车、拼装拆解以及试验；</w:t>
      </w:r>
    </w:p>
    <w:p w14:paraId="36444AFD">
      <w:pPr>
        <w:numPr>
          <w:ilvl w:val="0"/>
          <w:numId w:val="13"/>
        </w:numPr>
        <w:ind w:firstLineChars="0"/>
      </w:pPr>
      <w:r>
        <w:rPr>
          <w:rFonts w:hint="eastAsia"/>
        </w:rPr>
        <w:t>安装场地承载力应大于极限起重吊装工况下起重设备对安装场地的压力。</w:t>
      </w:r>
    </w:p>
    <w:p w14:paraId="287A6FB1">
      <w:pPr>
        <w:pStyle w:val="4"/>
      </w:pPr>
      <w:r>
        <w:rPr>
          <w:rFonts w:hint="eastAsia"/>
        </w:rPr>
        <w:t>运输及进场</w:t>
      </w:r>
      <w:r>
        <w:t>要求</w:t>
      </w:r>
    </w:p>
    <w:p w14:paraId="70B6BCED">
      <w:pPr>
        <w:numPr>
          <w:ilvl w:val="0"/>
          <w:numId w:val="14"/>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机械部件运输时应在运输车上做好支撑，并绑扎牢固，避免行驶过程中由于晃动等情况致使部件结构损坏；</w:t>
      </w:r>
    </w:p>
    <w:p w14:paraId="09470AC6">
      <w:pPr>
        <w:numPr>
          <w:ilvl w:val="0"/>
          <w:numId w:val="14"/>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各电气部件应在运输车上遮盖防雨布，保持电气设备干燥；</w:t>
      </w:r>
    </w:p>
    <w:p w14:paraId="2D7AC9B5">
      <w:pPr>
        <w:numPr>
          <w:ilvl w:val="0"/>
          <w:numId w:val="14"/>
        </w:numPr>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各部件进场时项目设备部应进行预验收，检查部件数量是否与运输清单一致，检查各部件结构的完整性。</w:t>
      </w:r>
    </w:p>
    <w:p w14:paraId="4E669FF5">
      <w:pPr>
        <w:pStyle w:val="3"/>
      </w:pPr>
      <w:bookmarkStart w:id="46" w:name="_Toc93050660"/>
      <w:bookmarkStart w:id="47" w:name="_Toc23535"/>
      <w:r>
        <w:rPr>
          <w:rFonts w:hint="eastAsia"/>
        </w:rPr>
        <w:t>技术保证条件</w:t>
      </w:r>
      <w:bookmarkEnd w:id="46"/>
      <w:bookmarkEnd w:id="47"/>
    </w:p>
    <w:p w14:paraId="5B6C4894">
      <w:pPr>
        <w:numPr>
          <w:ilvl w:val="0"/>
          <w:numId w:val="15"/>
        </w:numPr>
        <w:ind w:firstLineChars="0"/>
      </w:pPr>
      <w:r>
        <w:rPr>
          <w:rFonts w:hint="eastAsia"/>
        </w:rPr>
        <w:t>对安装的起吊构件的重量、幅度进行详细的核算；</w:t>
      </w:r>
    </w:p>
    <w:p w14:paraId="642937D8">
      <w:pPr>
        <w:numPr>
          <w:ilvl w:val="0"/>
          <w:numId w:val="15"/>
        </w:numPr>
      </w:pPr>
      <w:r>
        <w:rPr>
          <w:rFonts w:hint="eastAsia"/>
        </w:rPr>
        <w:t>对进场设备进行进场检验，对基础进行验收，确保设备性能及施工条件可靠；</w:t>
      </w:r>
    </w:p>
    <w:p w14:paraId="1C5050C2">
      <w:pPr>
        <w:numPr>
          <w:ilvl w:val="0"/>
          <w:numId w:val="15"/>
        </w:numPr>
      </w:pPr>
      <w:r>
        <w:rPr>
          <w:rFonts w:hint="eastAsia"/>
        </w:rPr>
        <w:t>方案模拟现场的实际作业情况，保证安装场地空间足够，避免吊装过程中的干涉；</w:t>
      </w:r>
    </w:p>
    <w:p w14:paraId="5036DC8C">
      <w:pPr>
        <w:numPr>
          <w:ilvl w:val="0"/>
          <w:numId w:val="15"/>
        </w:numPr>
      </w:pPr>
      <w:r>
        <w:rPr>
          <w:rFonts w:hint="eastAsia"/>
        </w:rPr>
        <w:t>合理安排安拆工序，协调好场地堆放及构件倒运顺序；</w:t>
      </w:r>
    </w:p>
    <w:p w14:paraId="372A8D36">
      <w:pPr>
        <w:numPr>
          <w:ilvl w:val="0"/>
          <w:numId w:val="15"/>
        </w:numPr>
      </w:pPr>
      <w:r>
        <w:rPr>
          <w:rFonts w:hint="eastAsia"/>
        </w:rPr>
        <w:t>加强技术交底，确保作业过程安全。</w:t>
      </w:r>
    </w:p>
    <w:p w14:paraId="563CF575">
      <w:pPr>
        <w:numPr>
          <w:ilvl w:val="0"/>
          <w:numId w:val="15"/>
        </w:numPr>
      </w:pPr>
      <w:r>
        <w:rPr>
          <w:color w:val="000000" w:themeColor="text1"/>
          <w14:textFill>
            <w14:solidFill>
              <w14:schemeClr w14:val="tx1"/>
            </w14:solidFill>
          </w14:textFill>
        </w:rPr>
        <w:br w:type="page"/>
      </w:r>
    </w:p>
    <w:p w14:paraId="7BA16763">
      <w:pPr>
        <w:pStyle w:val="2"/>
      </w:pPr>
      <w:bookmarkStart w:id="48" w:name="_Toc21990"/>
      <w:bookmarkStart w:id="49" w:name="_Toc8863"/>
      <w:r>
        <w:rPr>
          <w:rFonts w:hint="eastAsia"/>
        </w:rPr>
        <w:t>施工计划</w:t>
      </w:r>
      <w:bookmarkEnd w:id="21"/>
      <w:bookmarkEnd w:id="22"/>
      <w:bookmarkEnd w:id="48"/>
      <w:bookmarkEnd w:id="49"/>
    </w:p>
    <w:p w14:paraId="7A0831A7">
      <w:pPr>
        <w:pStyle w:val="3"/>
      </w:pPr>
      <w:bookmarkStart w:id="50" w:name="_Toc14628"/>
      <w:bookmarkStart w:id="51" w:name="_Toc58527527"/>
      <w:bookmarkStart w:id="52" w:name="_Toc10409781"/>
      <w:r>
        <w:rPr>
          <w:rFonts w:hint="eastAsia"/>
        </w:rPr>
        <w:t>施工进度计划</w:t>
      </w:r>
      <w:bookmarkEnd w:id="50"/>
      <w:bookmarkEnd w:id="51"/>
      <w:bookmarkEnd w:id="52"/>
    </w:p>
    <w:p w14:paraId="76927B0B">
      <w:pPr>
        <w:ind w:firstLine="480"/>
      </w:pPr>
      <w:r>
        <w:t>1#</w:t>
      </w:r>
      <w:r>
        <w:fldChar w:fldCharType="begin"/>
      </w:r>
      <w:r>
        <w:instrText xml:space="preserve"> REF 设备类型 \h  \* MERGEFORMAT </w:instrText>
      </w:r>
      <w:r>
        <w:fldChar w:fldCharType="separate"/>
      </w:r>
      <w:r>
        <w:rPr>
          <w:rFonts w:hint="eastAsia"/>
        </w:rPr>
        <w:t>施工升降机</w:t>
      </w:r>
      <w:r>
        <w:fldChar w:fldCharType="end"/>
      </w:r>
      <w:r>
        <w:t>安装</w:t>
      </w:r>
      <w:r>
        <w:rPr>
          <w:rFonts w:hint="eastAsia"/>
        </w:rPr>
        <w:t>施工进度计划见</w:t>
      </w:r>
      <w:r>
        <w:fldChar w:fldCharType="begin"/>
      </w:r>
      <w:r>
        <w:instrText xml:space="preserve"> </w:instrText>
      </w:r>
      <w:r>
        <w:rPr>
          <w:rFonts w:hint="eastAsia"/>
        </w:rPr>
        <w:instrText xml:space="preserve">REF _Ref124167010 \h</w:instrText>
      </w:r>
      <w:r>
        <w:instrText xml:space="preserve"> </w:instrText>
      </w:r>
      <w:r>
        <w:fldChar w:fldCharType="separate"/>
      </w:r>
      <w:r>
        <w:rPr>
          <w:rFonts w:hint="eastAsia"/>
        </w:rPr>
        <w:t>表</w:t>
      </w:r>
      <w:r>
        <w:t>3.1</w:t>
      </w:r>
      <w:r>
        <w:rPr>
          <w:rFonts w:hint="eastAsia"/>
        </w:rPr>
        <w:t>-</w:t>
      </w:r>
      <w:r>
        <w:t>1</w:t>
      </w:r>
      <w:r>
        <w:fldChar w:fldCharType="end"/>
      </w:r>
      <w:r>
        <w:rPr>
          <w:rFonts w:hint="eastAsia"/>
        </w:rPr>
        <w:t>所示。</w:t>
      </w:r>
    </w:p>
    <w:p w14:paraId="6C8753FF">
      <w:pPr>
        <w:pStyle w:val="15"/>
      </w:pPr>
      <w:bookmarkStart w:id="53" w:name="_Ref124167010"/>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3.1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53"/>
      <w:r>
        <w:rPr>
          <w:rFonts w:hint="eastAsia"/>
        </w:rPr>
        <w:t xml:space="preserve"> </w:t>
      </w:r>
      <w:r>
        <w:t>1#</w:t>
      </w:r>
      <w:r>
        <w:fldChar w:fldCharType="begin"/>
      </w:r>
      <w:r>
        <w:instrText xml:space="preserve"> REF 设备类型 \h  \* MERGEFORMAT </w:instrText>
      </w:r>
      <w:r>
        <w:fldChar w:fldCharType="separate"/>
      </w:r>
      <w:r>
        <w:rPr>
          <w:rFonts w:hint="eastAsia"/>
        </w:rPr>
        <w:t>施工升降机</w:t>
      </w:r>
      <w:r>
        <w:fldChar w:fldCharType="end"/>
      </w:r>
      <w:r>
        <w:t>安装</w:t>
      </w:r>
      <w:r>
        <w:rPr>
          <w:rFonts w:hint="eastAsia"/>
        </w:rPr>
        <w:t>施工进度计划表</w:t>
      </w:r>
    </w:p>
    <w:p w14:paraId="1EAE5958">
      <w:pPr>
        <w:pStyle w:val="16"/>
      </w:pPr>
      <w:r>
        <w:drawing>
          <wp:inline distT="0" distB="0" distL="0" distR="0">
            <wp:extent cx="5124450" cy="17145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124450" cy="1714500"/>
                    </a:xfrm>
                    <a:prstGeom prst="rect">
                      <a:avLst/>
                    </a:prstGeom>
                    <a:noFill/>
                    <a:ln>
                      <a:noFill/>
                    </a:ln>
                  </pic:spPr>
                </pic:pic>
              </a:graphicData>
            </a:graphic>
          </wp:inline>
        </w:drawing>
      </w:r>
    </w:p>
    <w:p w14:paraId="1466408D">
      <w:pPr>
        <w:ind w:firstLine="480"/>
        <w:rPr>
          <w:highlight w:val="yellow"/>
        </w:rPr>
      </w:pPr>
      <w:r>
        <w:t>1#</w:t>
      </w:r>
      <w:r>
        <w:fldChar w:fldCharType="begin"/>
      </w:r>
      <w:r>
        <w:instrText xml:space="preserve"> REF 设备类型 \h  \* MERGEFORMAT </w:instrText>
      </w:r>
      <w:r>
        <w:fldChar w:fldCharType="separate"/>
      </w:r>
      <w:r>
        <w:rPr>
          <w:rFonts w:hint="eastAsia"/>
        </w:rPr>
        <w:t>施工升降机</w:t>
      </w:r>
      <w:r>
        <w:fldChar w:fldCharType="end"/>
      </w:r>
      <w:r>
        <w:t>拆除</w:t>
      </w:r>
      <w:r>
        <w:rPr>
          <w:rFonts w:hint="eastAsia"/>
        </w:rPr>
        <w:t>施工进度计划见</w:t>
      </w:r>
      <w:r>
        <w:fldChar w:fldCharType="begin"/>
      </w:r>
      <w:r>
        <w:instrText xml:space="preserve"> </w:instrText>
      </w:r>
      <w:r>
        <w:rPr>
          <w:rFonts w:hint="eastAsia"/>
        </w:rPr>
        <w:instrText xml:space="preserve">REF _Ref117758431 \h</w:instrText>
      </w:r>
      <w:r>
        <w:instrText xml:space="preserve"> </w:instrText>
      </w:r>
      <w:r>
        <w:fldChar w:fldCharType="separate"/>
      </w:r>
      <w:r>
        <w:rPr>
          <w:rFonts w:hint="eastAsia"/>
        </w:rPr>
        <w:t>表</w:t>
      </w:r>
      <w:r>
        <w:t>3.1</w:t>
      </w:r>
      <w:r>
        <w:rPr>
          <w:rFonts w:hint="eastAsia"/>
        </w:rPr>
        <w:t>-</w:t>
      </w:r>
      <w:r>
        <w:t>2</w:t>
      </w:r>
      <w:r>
        <w:fldChar w:fldCharType="end"/>
      </w:r>
      <w:r>
        <w:rPr>
          <w:rFonts w:hint="eastAsia"/>
        </w:rPr>
        <w:t>所示。</w:t>
      </w:r>
    </w:p>
    <w:p w14:paraId="5A5AC0F1">
      <w:pPr>
        <w:pStyle w:val="15"/>
      </w:pPr>
      <w:bookmarkStart w:id="54" w:name="_Ref117758431"/>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3.1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bookmarkEnd w:id="54"/>
      <w:r>
        <w:rPr>
          <w:rFonts w:hint="eastAsia"/>
        </w:rPr>
        <w:t xml:space="preserve"> </w:t>
      </w:r>
      <w:r>
        <w:t>1#</w:t>
      </w:r>
      <w:r>
        <w:fldChar w:fldCharType="begin"/>
      </w:r>
      <w:r>
        <w:instrText xml:space="preserve"> REF 设备类型 \h  \* MERGEFORMAT </w:instrText>
      </w:r>
      <w:r>
        <w:fldChar w:fldCharType="separate"/>
      </w:r>
      <w:r>
        <w:rPr>
          <w:rFonts w:hint="eastAsia"/>
        </w:rPr>
        <w:t>施工升降机</w:t>
      </w:r>
      <w:r>
        <w:fldChar w:fldCharType="end"/>
      </w:r>
      <w:r>
        <w:rPr>
          <w:rFonts w:hint="eastAsia"/>
        </w:rPr>
        <w:t>拆除施工进度计划表</w:t>
      </w:r>
    </w:p>
    <w:p w14:paraId="35D68B48">
      <w:pPr>
        <w:pStyle w:val="16"/>
      </w:pPr>
      <w:r>
        <w:drawing>
          <wp:inline distT="0" distB="0" distL="0" distR="0">
            <wp:extent cx="5274310" cy="1601470"/>
            <wp:effectExtent l="0" t="0" r="254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1601470"/>
                    </a:xfrm>
                    <a:prstGeom prst="rect">
                      <a:avLst/>
                    </a:prstGeom>
                    <a:noFill/>
                    <a:ln>
                      <a:noFill/>
                    </a:ln>
                  </pic:spPr>
                </pic:pic>
              </a:graphicData>
            </a:graphic>
          </wp:inline>
        </w:drawing>
      </w:r>
    </w:p>
    <w:p w14:paraId="38B98DBA">
      <w:pPr>
        <w:ind w:firstLine="480"/>
      </w:pPr>
      <w:r>
        <w:t>2#</w:t>
      </w:r>
      <w:r>
        <w:fldChar w:fldCharType="begin"/>
      </w:r>
      <w:r>
        <w:instrText xml:space="preserve"> REF 设备类型 \h  \* MERGEFORMAT </w:instrText>
      </w:r>
      <w:r>
        <w:fldChar w:fldCharType="separate"/>
      </w:r>
      <w:r>
        <w:rPr>
          <w:rFonts w:hint="eastAsia"/>
        </w:rPr>
        <w:t>施工升降机</w:t>
      </w:r>
      <w:r>
        <w:fldChar w:fldCharType="end"/>
      </w:r>
      <w:r>
        <w:t>安装</w:t>
      </w:r>
      <w:r>
        <w:rPr>
          <w:rFonts w:hint="eastAsia"/>
        </w:rPr>
        <w:t>施工进度计划见</w:t>
      </w:r>
      <w:r>
        <w:fldChar w:fldCharType="begin"/>
      </w:r>
      <w:r>
        <w:instrText xml:space="preserve"> </w:instrText>
      </w:r>
      <w:r>
        <w:rPr>
          <w:rFonts w:hint="eastAsia"/>
        </w:rPr>
        <w:instrText xml:space="preserve">REF _Ref130563497 \h</w:instrText>
      </w:r>
      <w:r>
        <w:instrText xml:space="preserve"> </w:instrText>
      </w:r>
      <w:r>
        <w:fldChar w:fldCharType="separate"/>
      </w:r>
      <w:r>
        <w:rPr>
          <w:rFonts w:hint="eastAsia"/>
        </w:rPr>
        <w:t>表</w:t>
      </w:r>
      <w:r>
        <w:t>3.1</w:t>
      </w:r>
      <w:r>
        <w:rPr>
          <w:rFonts w:hint="eastAsia"/>
        </w:rPr>
        <w:t>-</w:t>
      </w:r>
      <w:r>
        <w:t>3</w:t>
      </w:r>
      <w:r>
        <w:fldChar w:fldCharType="end"/>
      </w:r>
      <w:r>
        <w:rPr>
          <w:rFonts w:hint="eastAsia"/>
        </w:rPr>
        <w:t>所示。</w:t>
      </w:r>
    </w:p>
    <w:p w14:paraId="417EF389">
      <w:pPr>
        <w:pStyle w:val="15"/>
      </w:pPr>
      <w:bookmarkStart w:id="55" w:name="_Ref130563497"/>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3.1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3</w:t>
      </w:r>
      <w:r>
        <w:fldChar w:fldCharType="end"/>
      </w:r>
      <w:bookmarkEnd w:id="55"/>
      <w:r>
        <w:rPr>
          <w:rFonts w:hint="eastAsia"/>
        </w:rPr>
        <w:t xml:space="preserve"> </w:t>
      </w:r>
      <w:r>
        <w:t>2#</w:t>
      </w:r>
      <w:r>
        <w:fldChar w:fldCharType="begin"/>
      </w:r>
      <w:r>
        <w:instrText xml:space="preserve"> REF 设备类型 \h  \* MERGEFORMAT </w:instrText>
      </w:r>
      <w:r>
        <w:fldChar w:fldCharType="separate"/>
      </w:r>
      <w:r>
        <w:rPr>
          <w:rFonts w:hint="eastAsia"/>
        </w:rPr>
        <w:t>施工升降机</w:t>
      </w:r>
      <w:r>
        <w:fldChar w:fldCharType="end"/>
      </w:r>
      <w:r>
        <w:t>安装</w:t>
      </w:r>
      <w:r>
        <w:rPr>
          <w:rFonts w:hint="eastAsia"/>
        </w:rPr>
        <w:t>施工进度计划表</w:t>
      </w:r>
    </w:p>
    <w:p w14:paraId="3E5195E0">
      <w:pPr>
        <w:pStyle w:val="16"/>
      </w:pPr>
      <w:r>
        <w:drawing>
          <wp:inline distT="0" distB="0" distL="0" distR="0">
            <wp:extent cx="5120640" cy="1714500"/>
            <wp:effectExtent l="0" t="0" r="381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120640" cy="1714500"/>
                    </a:xfrm>
                    <a:prstGeom prst="rect">
                      <a:avLst/>
                    </a:prstGeom>
                    <a:noFill/>
                    <a:ln>
                      <a:noFill/>
                    </a:ln>
                  </pic:spPr>
                </pic:pic>
              </a:graphicData>
            </a:graphic>
          </wp:inline>
        </w:drawing>
      </w:r>
    </w:p>
    <w:p w14:paraId="5AEF9AAD">
      <w:pPr>
        <w:ind w:firstLine="480"/>
        <w:rPr>
          <w:highlight w:val="yellow"/>
        </w:rPr>
      </w:pPr>
      <w:r>
        <w:t>2#</w:t>
      </w:r>
      <w:r>
        <w:fldChar w:fldCharType="begin"/>
      </w:r>
      <w:r>
        <w:instrText xml:space="preserve"> REF 设备类型 \h  \* MERGEFORMAT </w:instrText>
      </w:r>
      <w:r>
        <w:fldChar w:fldCharType="separate"/>
      </w:r>
      <w:r>
        <w:rPr>
          <w:rFonts w:hint="eastAsia"/>
        </w:rPr>
        <w:t>施工升降机</w:t>
      </w:r>
      <w:r>
        <w:fldChar w:fldCharType="end"/>
      </w:r>
      <w:r>
        <w:t>拆除</w:t>
      </w:r>
      <w:r>
        <w:rPr>
          <w:rFonts w:hint="eastAsia"/>
        </w:rPr>
        <w:t>施工进度计划见</w:t>
      </w:r>
      <w:r>
        <w:fldChar w:fldCharType="begin"/>
      </w:r>
      <w:r>
        <w:instrText xml:space="preserve"> </w:instrText>
      </w:r>
      <w:r>
        <w:rPr>
          <w:rFonts w:hint="eastAsia"/>
        </w:rPr>
        <w:instrText xml:space="preserve">REF _Ref130563504 \h</w:instrText>
      </w:r>
      <w:r>
        <w:instrText xml:space="preserve"> </w:instrText>
      </w:r>
      <w:r>
        <w:fldChar w:fldCharType="separate"/>
      </w:r>
      <w:r>
        <w:rPr>
          <w:rFonts w:hint="eastAsia"/>
        </w:rPr>
        <w:t>表</w:t>
      </w:r>
      <w:r>
        <w:t>3.1</w:t>
      </w:r>
      <w:r>
        <w:rPr>
          <w:rFonts w:hint="eastAsia"/>
        </w:rPr>
        <w:t>-</w:t>
      </w:r>
      <w:r>
        <w:t>4</w:t>
      </w:r>
      <w:r>
        <w:fldChar w:fldCharType="end"/>
      </w:r>
      <w:r>
        <w:rPr>
          <w:rFonts w:hint="eastAsia"/>
        </w:rPr>
        <w:t>所示。</w:t>
      </w:r>
    </w:p>
    <w:p w14:paraId="350DB2B2">
      <w:pPr>
        <w:pStyle w:val="15"/>
      </w:pPr>
      <w:bookmarkStart w:id="56" w:name="_Ref13056350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3.1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4</w:t>
      </w:r>
      <w:r>
        <w:fldChar w:fldCharType="end"/>
      </w:r>
      <w:bookmarkEnd w:id="56"/>
      <w:r>
        <w:rPr>
          <w:rFonts w:hint="eastAsia"/>
        </w:rPr>
        <w:t xml:space="preserve"> </w:t>
      </w:r>
      <w:r>
        <w:t>2#</w:t>
      </w:r>
      <w:r>
        <w:fldChar w:fldCharType="begin"/>
      </w:r>
      <w:r>
        <w:instrText xml:space="preserve"> REF 设备类型 \h  \* MERGEFORMAT </w:instrText>
      </w:r>
      <w:r>
        <w:fldChar w:fldCharType="separate"/>
      </w:r>
      <w:r>
        <w:rPr>
          <w:rFonts w:hint="eastAsia"/>
        </w:rPr>
        <w:t>施工升降机</w:t>
      </w:r>
      <w:r>
        <w:fldChar w:fldCharType="end"/>
      </w:r>
      <w:r>
        <w:rPr>
          <w:rFonts w:hint="eastAsia"/>
        </w:rPr>
        <w:t>拆除施工进度计划表</w:t>
      </w:r>
    </w:p>
    <w:p w14:paraId="698D13F4">
      <w:pPr>
        <w:pStyle w:val="16"/>
      </w:pPr>
      <w:r>
        <w:drawing>
          <wp:inline distT="0" distB="0" distL="0" distR="0">
            <wp:extent cx="5274310" cy="1601470"/>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5274310" cy="1601470"/>
                    </a:xfrm>
                    <a:prstGeom prst="rect">
                      <a:avLst/>
                    </a:prstGeom>
                    <a:noFill/>
                    <a:ln>
                      <a:noFill/>
                    </a:ln>
                  </pic:spPr>
                </pic:pic>
              </a:graphicData>
            </a:graphic>
          </wp:inline>
        </w:drawing>
      </w:r>
    </w:p>
    <w:p w14:paraId="746053D8">
      <w:pPr>
        <w:pStyle w:val="16"/>
      </w:pPr>
    </w:p>
    <w:p w14:paraId="50B809AC">
      <w:pPr>
        <w:pStyle w:val="3"/>
      </w:pPr>
      <w:bookmarkStart w:id="57" w:name="_Toc2827"/>
      <w:r>
        <w:rPr>
          <w:rFonts w:hint="eastAsia"/>
        </w:rPr>
        <w:t>材料计划</w:t>
      </w:r>
      <w:bookmarkEnd w:id="57"/>
    </w:p>
    <w:p w14:paraId="37FE961A">
      <w:pPr>
        <w:pStyle w:val="4"/>
      </w:pPr>
      <w:r>
        <w:rPr>
          <w:rFonts w:hint="eastAsia"/>
        </w:rPr>
        <w:t>施工材料计划</w:t>
      </w:r>
    </w:p>
    <w:p w14:paraId="670BEFDC">
      <w:pPr>
        <w:ind w:firstLine="480"/>
      </w:pPr>
      <w:bookmarkStart w:id="58" w:name="_Ref117665357"/>
      <w:r>
        <w:t>1#</w:t>
      </w:r>
      <w:r>
        <w:fldChar w:fldCharType="begin"/>
      </w:r>
      <w:r>
        <w:instrText xml:space="preserve"> REF 设备类型 \h  \* MERGEFORMAT </w:instrText>
      </w:r>
      <w:r>
        <w:fldChar w:fldCharType="separate"/>
      </w:r>
      <w:r>
        <w:rPr>
          <w:rFonts w:hint="eastAsia"/>
        </w:rPr>
        <w:t>施工升降机</w:t>
      </w:r>
      <w:r>
        <w:fldChar w:fldCharType="end"/>
      </w:r>
      <w:r>
        <w:rPr>
          <w:rFonts w:hint="eastAsia"/>
        </w:rPr>
        <w:t>安拆实施所需施工材料计划详见</w:t>
      </w:r>
      <w:r>
        <w:fldChar w:fldCharType="begin"/>
      </w:r>
      <w:r>
        <w:instrText xml:space="preserve"> </w:instrText>
      </w:r>
      <w:r>
        <w:rPr>
          <w:rFonts w:hint="eastAsia"/>
        </w:rPr>
        <w:instrText xml:space="preserve">REF _Ref117665352 \h</w:instrText>
      </w:r>
      <w:r>
        <w:instrText xml:space="preserve"> </w:instrText>
      </w:r>
      <w:r>
        <w:fldChar w:fldCharType="separate"/>
      </w:r>
      <w:r>
        <w:rPr>
          <w:rFonts w:hint="eastAsia"/>
        </w:rPr>
        <w:t>表</w:t>
      </w:r>
      <w:r>
        <w:t>3.2.1-1</w:t>
      </w:r>
      <w:r>
        <w:fldChar w:fldCharType="end"/>
      </w:r>
      <w:r>
        <w:rPr>
          <w:rFonts w:hint="eastAsia"/>
        </w:rPr>
        <w:t>所示。</w:t>
      </w:r>
    </w:p>
    <w:p w14:paraId="638FE60A">
      <w:pPr>
        <w:pStyle w:val="15"/>
      </w:pPr>
      <w:bookmarkStart w:id="59" w:name="_Ref117665352"/>
      <w:r>
        <w:rPr>
          <w:rFonts w:hint="eastAsia"/>
        </w:rPr>
        <w:t>表</w:t>
      </w:r>
      <w:r>
        <w:fldChar w:fldCharType="begin"/>
      </w:r>
      <w:r>
        <w:instrText xml:space="preserve"> STYLEREF 3 \s </w:instrText>
      </w:r>
      <w:r>
        <w:fldChar w:fldCharType="separate"/>
      </w:r>
      <w:r>
        <w:t>3.2.1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59"/>
      <w:r>
        <w:t xml:space="preserve"> 1#</w:t>
      </w:r>
      <w:r>
        <w:fldChar w:fldCharType="begin"/>
      </w:r>
      <w:r>
        <w:instrText xml:space="preserve"> REF 设备类型 \h  \* MERGEFORMAT </w:instrText>
      </w:r>
      <w:r>
        <w:fldChar w:fldCharType="separate"/>
      </w:r>
      <w:r>
        <w:rPr>
          <w:rFonts w:hint="eastAsia"/>
        </w:rPr>
        <w:t>施工升降机</w:t>
      </w:r>
      <w:r>
        <w:fldChar w:fldCharType="end"/>
      </w:r>
      <w:r>
        <w:rPr>
          <w:rFonts w:hint="eastAsia"/>
        </w:rPr>
        <w:t>施工材料计划</w:t>
      </w:r>
    </w:p>
    <w:tbl>
      <w:tblPr>
        <w:tblStyle w:val="1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169"/>
        <w:gridCol w:w="1168"/>
        <w:gridCol w:w="729"/>
        <w:gridCol w:w="1168"/>
        <w:gridCol w:w="2485"/>
        <w:gridCol w:w="1089"/>
      </w:tblGrid>
      <w:tr w14:paraId="31258C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9" w:type="pct"/>
            <w:shd w:val="clear" w:color="auto" w:fill="auto"/>
            <w:vAlign w:val="center"/>
          </w:tcPr>
          <w:p w14:paraId="6222A229">
            <w:pPr>
              <w:pStyle w:val="16"/>
              <w:rPr>
                <w:b/>
              </w:rPr>
            </w:pPr>
            <w:r>
              <w:rPr>
                <w:rFonts w:hint="eastAsia"/>
                <w:b/>
              </w:rPr>
              <w:t>序号</w:t>
            </w:r>
          </w:p>
        </w:tc>
        <w:tc>
          <w:tcPr>
            <w:tcW w:w="686" w:type="pct"/>
            <w:shd w:val="clear" w:color="auto" w:fill="auto"/>
            <w:vAlign w:val="center"/>
          </w:tcPr>
          <w:p w14:paraId="65B3FC3F">
            <w:pPr>
              <w:pStyle w:val="16"/>
              <w:rPr>
                <w:b/>
              </w:rPr>
            </w:pPr>
            <w:r>
              <w:rPr>
                <w:rFonts w:hint="eastAsia"/>
                <w:b/>
              </w:rPr>
              <w:t>名称</w:t>
            </w:r>
          </w:p>
        </w:tc>
        <w:tc>
          <w:tcPr>
            <w:tcW w:w="685" w:type="pct"/>
            <w:shd w:val="clear" w:color="auto" w:fill="auto"/>
            <w:vAlign w:val="center"/>
          </w:tcPr>
          <w:p w14:paraId="1E090B8D">
            <w:pPr>
              <w:pStyle w:val="16"/>
              <w:rPr>
                <w:b/>
              </w:rPr>
            </w:pPr>
            <w:r>
              <w:rPr>
                <w:rFonts w:hint="eastAsia"/>
                <w:b/>
              </w:rPr>
              <w:t>单重（t）</w:t>
            </w:r>
          </w:p>
        </w:tc>
        <w:tc>
          <w:tcPr>
            <w:tcW w:w="428" w:type="pct"/>
            <w:shd w:val="clear" w:color="auto" w:fill="auto"/>
            <w:vAlign w:val="center"/>
          </w:tcPr>
          <w:p w14:paraId="0D3516A4">
            <w:pPr>
              <w:pStyle w:val="16"/>
              <w:rPr>
                <w:b/>
              </w:rPr>
            </w:pPr>
            <w:r>
              <w:rPr>
                <w:rFonts w:hint="eastAsia"/>
                <w:b/>
              </w:rPr>
              <w:t>数量</w:t>
            </w:r>
          </w:p>
        </w:tc>
        <w:tc>
          <w:tcPr>
            <w:tcW w:w="685" w:type="pct"/>
            <w:shd w:val="clear" w:color="auto" w:fill="auto"/>
            <w:vAlign w:val="center"/>
          </w:tcPr>
          <w:p w14:paraId="49BFD4C7">
            <w:pPr>
              <w:pStyle w:val="16"/>
              <w:rPr>
                <w:b/>
              </w:rPr>
            </w:pPr>
            <w:r>
              <w:rPr>
                <w:rFonts w:hint="eastAsia"/>
                <w:b/>
              </w:rPr>
              <w:t>总重（t）</w:t>
            </w:r>
          </w:p>
        </w:tc>
        <w:tc>
          <w:tcPr>
            <w:tcW w:w="1458" w:type="pct"/>
            <w:shd w:val="clear" w:color="auto" w:fill="auto"/>
            <w:vAlign w:val="center"/>
          </w:tcPr>
          <w:p w14:paraId="609A2F44">
            <w:pPr>
              <w:pStyle w:val="16"/>
              <w:rPr>
                <w:b/>
              </w:rPr>
            </w:pPr>
            <w:r>
              <w:rPr>
                <w:rFonts w:hint="eastAsia"/>
                <w:b/>
              </w:rPr>
              <w:t>规格（m）</w:t>
            </w:r>
          </w:p>
          <w:p w14:paraId="44E0F8AB">
            <w:pPr>
              <w:pStyle w:val="16"/>
              <w:rPr>
                <w:b/>
              </w:rPr>
            </w:pPr>
            <w:r>
              <w:rPr>
                <w:rFonts w:hint="eastAsia"/>
                <w:b/>
              </w:rPr>
              <w:t>（长×宽×高）</w:t>
            </w:r>
          </w:p>
        </w:tc>
        <w:tc>
          <w:tcPr>
            <w:tcW w:w="639" w:type="pct"/>
            <w:shd w:val="clear" w:color="auto" w:fill="auto"/>
            <w:vAlign w:val="center"/>
          </w:tcPr>
          <w:p w14:paraId="5FAAA916">
            <w:pPr>
              <w:pStyle w:val="16"/>
              <w:rPr>
                <w:b/>
              </w:rPr>
            </w:pPr>
            <w:r>
              <w:rPr>
                <w:rFonts w:hint="eastAsia"/>
                <w:b/>
              </w:rPr>
              <w:t>备注</w:t>
            </w:r>
          </w:p>
        </w:tc>
      </w:tr>
      <w:tr w14:paraId="53E42F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0893BBD2">
            <w:pPr>
              <w:pStyle w:val="16"/>
              <w:numPr>
                <w:ilvl w:val="0"/>
                <w:numId w:val="16"/>
              </w:numPr>
            </w:pPr>
          </w:p>
        </w:tc>
        <w:tc>
          <w:tcPr>
            <w:tcW w:w="686" w:type="pct"/>
            <w:shd w:val="clear" w:color="auto" w:fill="auto"/>
            <w:vAlign w:val="center"/>
          </w:tcPr>
          <w:p w14:paraId="26992661">
            <w:pPr>
              <w:pStyle w:val="16"/>
            </w:pPr>
            <w:r>
              <w:rPr>
                <w:rFonts w:hint="eastAsia"/>
              </w:rPr>
              <w:t>底架</w:t>
            </w:r>
          </w:p>
        </w:tc>
        <w:tc>
          <w:tcPr>
            <w:tcW w:w="685" w:type="pct"/>
            <w:shd w:val="clear" w:color="auto" w:fill="auto"/>
            <w:vAlign w:val="center"/>
          </w:tcPr>
          <w:p w14:paraId="73EB82A5">
            <w:pPr>
              <w:pStyle w:val="16"/>
            </w:pPr>
          </w:p>
        </w:tc>
        <w:tc>
          <w:tcPr>
            <w:tcW w:w="428" w:type="pct"/>
            <w:shd w:val="clear" w:color="auto" w:fill="auto"/>
            <w:vAlign w:val="center"/>
          </w:tcPr>
          <w:p w14:paraId="7B158FFC">
            <w:pPr>
              <w:pStyle w:val="16"/>
            </w:pPr>
          </w:p>
        </w:tc>
        <w:tc>
          <w:tcPr>
            <w:tcW w:w="685" w:type="pct"/>
            <w:shd w:val="clear" w:color="auto" w:fill="auto"/>
            <w:vAlign w:val="center"/>
          </w:tcPr>
          <w:p w14:paraId="0058EFC1">
            <w:pPr>
              <w:pStyle w:val="16"/>
            </w:pPr>
          </w:p>
        </w:tc>
        <w:tc>
          <w:tcPr>
            <w:tcW w:w="1458" w:type="pct"/>
            <w:shd w:val="clear" w:color="auto" w:fill="auto"/>
            <w:vAlign w:val="center"/>
          </w:tcPr>
          <w:p w14:paraId="5C622ED4">
            <w:pPr>
              <w:pStyle w:val="16"/>
            </w:pPr>
          </w:p>
        </w:tc>
        <w:tc>
          <w:tcPr>
            <w:tcW w:w="639" w:type="pct"/>
            <w:shd w:val="clear" w:color="auto" w:fill="auto"/>
            <w:vAlign w:val="center"/>
          </w:tcPr>
          <w:p w14:paraId="5AFA6AE8">
            <w:pPr>
              <w:pStyle w:val="16"/>
            </w:pPr>
          </w:p>
        </w:tc>
      </w:tr>
      <w:tr w14:paraId="52F050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73EFFD11">
            <w:pPr>
              <w:pStyle w:val="16"/>
              <w:numPr>
                <w:ilvl w:val="0"/>
                <w:numId w:val="16"/>
              </w:numPr>
            </w:pPr>
          </w:p>
        </w:tc>
        <w:tc>
          <w:tcPr>
            <w:tcW w:w="686" w:type="pct"/>
            <w:shd w:val="clear" w:color="auto" w:fill="auto"/>
            <w:vAlign w:val="center"/>
          </w:tcPr>
          <w:p w14:paraId="58CC6258">
            <w:pPr>
              <w:pStyle w:val="16"/>
            </w:pPr>
            <w:r>
              <w:rPr>
                <w:rFonts w:hint="eastAsia"/>
              </w:rPr>
              <w:t>标准节</w:t>
            </w:r>
          </w:p>
        </w:tc>
        <w:tc>
          <w:tcPr>
            <w:tcW w:w="685" w:type="pct"/>
            <w:shd w:val="clear" w:color="auto" w:fill="auto"/>
            <w:vAlign w:val="center"/>
          </w:tcPr>
          <w:p w14:paraId="6F38245D">
            <w:pPr>
              <w:pStyle w:val="16"/>
              <w:rPr>
                <w:rFonts w:hint="default" w:eastAsia="宋体"/>
                <w:lang w:val="en-US" w:eastAsia="zh-CN"/>
              </w:rPr>
            </w:pPr>
            <w:r>
              <w:rPr>
                <w:rFonts w:hint="eastAsia"/>
              </w:rPr>
              <w:t>0</w:t>
            </w:r>
            <w:r>
              <w:t>.1</w:t>
            </w:r>
            <w:r>
              <w:rPr>
                <w:rFonts w:hint="eastAsia"/>
                <w:lang w:val="en-US" w:eastAsia="zh-CN"/>
              </w:rPr>
              <w:t>15</w:t>
            </w:r>
          </w:p>
        </w:tc>
        <w:tc>
          <w:tcPr>
            <w:tcW w:w="428" w:type="pct"/>
            <w:shd w:val="clear" w:color="auto" w:fill="auto"/>
            <w:vAlign w:val="center"/>
          </w:tcPr>
          <w:p w14:paraId="46460753">
            <w:pPr>
              <w:pStyle w:val="16"/>
              <w:rPr>
                <w:rFonts w:hint="default" w:eastAsia="宋体"/>
                <w:lang w:val="en-US" w:eastAsia="zh-CN"/>
              </w:rPr>
            </w:pPr>
            <w:r>
              <w:rPr>
                <w:rFonts w:hint="eastAsia"/>
                <w:lang w:val="en-US" w:eastAsia="zh-CN"/>
              </w:rPr>
              <w:t>90</w:t>
            </w:r>
          </w:p>
        </w:tc>
        <w:tc>
          <w:tcPr>
            <w:tcW w:w="685" w:type="pct"/>
            <w:shd w:val="clear" w:color="auto" w:fill="auto"/>
            <w:vAlign w:val="center"/>
          </w:tcPr>
          <w:p w14:paraId="66569A33">
            <w:pPr>
              <w:pStyle w:val="16"/>
              <w:rPr>
                <w:rFonts w:hint="default" w:eastAsia="宋体"/>
                <w:lang w:val="en-US" w:eastAsia="zh-CN"/>
              </w:rPr>
            </w:pPr>
            <w:r>
              <w:rPr>
                <w:rFonts w:hint="eastAsia"/>
                <w:lang w:val="en-US" w:eastAsia="zh-CN"/>
              </w:rPr>
              <w:t>10.35</w:t>
            </w:r>
          </w:p>
        </w:tc>
        <w:tc>
          <w:tcPr>
            <w:tcW w:w="1458" w:type="pct"/>
            <w:shd w:val="clear" w:color="auto" w:fill="auto"/>
            <w:vAlign w:val="center"/>
          </w:tcPr>
          <w:p w14:paraId="33E5BCD6">
            <w:pPr>
              <w:pStyle w:val="16"/>
              <w:rPr>
                <w:rFonts w:hint="default" w:eastAsia="宋体"/>
                <w:lang w:val="en-US" w:eastAsia="zh-CN"/>
              </w:rPr>
            </w:pPr>
            <w:r>
              <w:rPr>
                <w:rFonts w:hint="eastAsia"/>
                <w:lang w:val="en-US" w:eastAsia="zh-CN"/>
              </w:rPr>
              <w:t>0.65</w:t>
            </w:r>
            <w:r>
              <w:rPr>
                <w:rFonts w:hint="eastAsia"/>
              </w:rPr>
              <w:t>×</w:t>
            </w:r>
            <w:r>
              <w:t>0.</w:t>
            </w:r>
            <w:r>
              <w:rPr>
                <w:rFonts w:hint="eastAsia"/>
                <w:lang w:val="en-US" w:eastAsia="zh-CN"/>
              </w:rPr>
              <w:t>45</w:t>
            </w:r>
            <w:r>
              <w:rPr>
                <w:rFonts w:hint="eastAsia"/>
              </w:rPr>
              <w:t>×</w:t>
            </w:r>
            <w:r>
              <w:rPr>
                <w:rFonts w:hint="eastAsia"/>
                <w:lang w:val="en-US" w:eastAsia="zh-CN"/>
              </w:rPr>
              <w:t>1.508</w:t>
            </w:r>
          </w:p>
        </w:tc>
        <w:tc>
          <w:tcPr>
            <w:tcW w:w="639" w:type="pct"/>
            <w:shd w:val="clear" w:color="auto" w:fill="auto"/>
            <w:vAlign w:val="center"/>
          </w:tcPr>
          <w:p w14:paraId="46D0CA5E">
            <w:pPr>
              <w:pStyle w:val="16"/>
            </w:pPr>
          </w:p>
        </w:tc>
      </w:tr>
      <w:tr w14:paraId="2E778F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685DEA64">
            <w:pPr>
              <w:pStyle w:val="16"/>
              <w:numPr>
                <w:ilvl w:val="0"/>
                <w:numId w:val="16"/>
              </w:numPr>
            </w:pPr>
          </w:p>
        </w:tc>
        <w:tc>
          <w:tcPr>
            <w:tcW w:w="686" w:type="pct"/>
            <w:shd w:val="clear" w:color="auto" w:fill="auto"/>
            <w:vAlign w:val="center"/>
          </w:tcPr>
          <w:p w14:paraId="75F5EB0C">
            <w:pPr>
              <w:pStyle w:val="16"/>
            </w:pPr>
            <w:r>
              <w:rPr>
                <w:rFonts w:hint="eastAsia"/>
              </w:rPr>
              <w:t>底架护栏</w:t>
            </w:r>
          </w:p>
        </w:tc>
        <w:tc>
          <w:tcPr>
            <w:tcW w:w="685" w:type="pct"/>
            <w:shd w:val="clear" w:color="auto" w:fill="auto"/>
            <w:vAlign w:val="center"/>
          </w:tcPr>
          <w:p w14:paraId="119A1B37">
            <w:pPr>
              <w:pStyle w:val="16"/>
            </w:pPr>
          </w:p>
        </w:tc>
        <w:tc>
          <w:tcPr>
            <w:tcW w:w="428" w:type="pct"/>
            <w:shd w:val="clear" w:color="auto" w:fill="auto"/>
            <w:vAlign w:val="center"/>
          </w:tcPr>
          <w:p w14:paraId="4EF9F373">
            <w:pPr>
              <w:pStyle w:val="16"/>
            </w:pPr>
          </w:p>
        </w:tc>
        <w:tc>
          <w:tcPr>
            <w:tcW w:w="685" w:type="pct"/>
            <w:shd w:val="clear" w:color="auto" w:fill="auto"/>
            <w:vAlign w:val="center"/>
          </w:tcPr>
          <w:p w14:paraId="2E69FB5F">
            <w:pPr>
              <w:pStyle w:val="16"/>
            </w:pPr>
          </w:p>
        </w:tc>
        <w:tc>
          <w:tcPr>
            <w:tcW w:w="1458" w:type="pct"/>
            <w:shd w:val="clear" w:color="auto" w:fill="auto"/>
            <w:vAlign w:val="center"/>
          </w:tcPr>
          <w:p w14:paraId="76471AB3">
            <w:pPr>
              <w:pStyle w:val="16"/>
            </w:pPr>
          </w:p>
        </w:tc>
        <w:tc>
          <w:tcPr>
            <w:tcW w:w="639" w:type="pct"/>
            <w:shd w:val="clear" w:color="auto" w:fill="auto"/>
            <w:vAlign w:val="center"/>
          </w:tcPr>
          <w:p w14:paraId="5DC6CB71">
            <w:pPr>
              <w:pStyle w:val="16"/>
            </w:pPr>
          </w:p>
        </w:tc>
      </w:tr>
      <w:tr w14:paraId="6AEC95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3BCA3A4F">
            <w:pPr>
              <w:pStyle w:val="16"/>
              <w:numPr>
                <w:ilvl w:val="0"/>
                <w:numId w:val="16"/>
              </w:numPr>
            </w:pPr>
          </w:p>
        </w:tc>
        <w:tc>
          <w:tcPr>
            <w:tcW w:w="686" w:type="pct"/>
            <w:shd w:val="clear" w:color="auto" w:fill="auto"/>
            <w:vAlign w:val="center"/>
          </w:tcPr>
          <w:p w14:paraId="582BC3BC">
            <w:pPr>
              <w:pStyle w:val="16"/>
            </w:pPr>
            <w:r>
              <w:rPr>
                <w:rFonts w:hint="eastAsia"/>
              </w:rPr>
              <w:t>吊笼</w:t>
            </w:r>
          </w:p>
        </w:tc>
        <w:tc>
          <w:tcPr>
            <w:tcW w:w="685" w:type="pct"/>
            <w:shd w:val="clear" w:color="auto" w:fill="auto"/>
            <w:vAlign w:val="center"/>
          </w:tcPr>
          <w:p w14:paraId="4A48BBDB">
            <w:pPr>
              <w:pStyle w:val="16"/>
              <w:rPr>
                <w:rFonts w:hint="eastAsia" w:eastAsia="宋体"/>
                <w:lang w:eastAsia="zh-CN"/>
              </w:rPr>
            </w:pPr>
            <w:r>
              <w:t>1.</w:t>
            </w:r>
            <w:r>
              <w:rPr>
                <w:rFonts w:hint="eastAsia"/>
                <w:lang w:val="en-US" w:eastAsia="zh-CN"/>
              </w:rPr>
              <w:t>4</w:t>
            </w:r>
          </w:p>
        </w:tc>
        <w:tc>
          <w:tcPr>
            <w:tcW w:w="428" w:type="pct"/>
            <w:shd w:val="clear" w:color="auto" w:fill="auto"/>
            <w:vAlign w:val="center"/>
          </w:tcPr>
          <w:p w14:paraId="4771A18E">
            <w:pPr>
              <w:pStyle w:val="16"/>
              <w:rPr>
                <w:rFonts w:hint="eastAsia" w:eastAsia="宋体"/>
                <w:lang w:eastAsia="zh-CN"/>
              </w:rPr>
            </w:pPr>
            <w:r>
              <w:rPr>
                <w:rFonts w:hint="eastAsia"/>
                <w:lang w:val="en-US" w:eastAsia="zh-CN"/>
              </w:rPr>
              <w:t>1</w:t>
            </w:r>
          </w:p>
        </w:tc>
        <w:tc>
          <w:tcPr>
            <w:tcW w:w="685" w:type="pct"/>
            <w:shd w:val="clear" w:color="auto" w:fill="auto"/>
            <w:vAlign w:val="center"/>
          </w:tcPr>
          <w:p w14:paraId="6A05CA0B">
            <w:pPr>
              <w:pStyle w:val="16"/>
              <w:rPr>
                <w:rFonts w:hint="default" w:eastAsia="宋体"/>
                <w:lang w:val="en-US" w:eastAsia="zh-CN"/>
              </w:rPr>
            </w:pPr>
            <w:r>
              <w:rPr>
                <w:rFonts w:hint="eastAsia"/>
                <w:lang w:val="en-US" w:eastAsia="zh-CN"/>
              </w:rPr>
              <w:t>1.4</w:t>
            </w:r>
          </w:p>
        </w:tc>
        <w:tc>
          <w:tcPr>
            <w:tcW w:w="1458" w:type="pct"/>
            <w:shd w:val="clear" w:color="auto" w:fill="auto"/>
            <w:vAlign w:val="center"/>
          </w:tcPr>
          <w:p w14:paraId="2200F7BD">
            <w:pPr>
              <w:pStyle w:val="16"/>
              <w:rPr>
                <w:rFonts w:hint="default" w:eastAsia="宋体"/>
                <w:lang w:val="en-US" w:eastAsia="zh-CN"/>
              </w:rPr>
            </w:pPr>
            <w:r>
              <w:rPr>
                <w:rFonts w:hint="eastAsia"/>
                <w:lang w:val="en-US" w:eastAsia="zh-CN"/>
              </w:rPr>
              <w:t>2.6</w:t>
            </w:r>
            <w:r>
              <w:rPr>
                <w:rFonts w:hint="eastAsia"/>
              </w:rPr>
              <w:t>×</w:t>
            </w:r>
            <w:r>
              <w:rPr>
                <w:rFonts w:hint="eastAsia"/>
                <w:lang w:val="en-US" w:eastAsia="zh-CN"/>
              </w:rPr>
              <w:t>1.2</w:t>
            </w:r>
            <w:r>
              <w:rPr>
                <w:rFonts w:hint="eastAsia"/>
              </w:rPr>
              <w:t>×</w:t>
            </w:r>
            <w:r>
              <w:rPr>
                <w:rFonts w:hint="eastAsia"/>
                <w:lang w:val="en-US" w:eastAsia="zh-CN"/>
              </w:rPr>
              <w:t>2.345</w:t>
            </w:r>
          </w:p>
        </w:tc>
        <w:tc>
          <w:tcPr>
            <w:tcW w:w="639" w:type="pct"/>
            <w:shd w:val="clear" w:color="auto" w:fill="auto"/>
            <w:vAlign w:val="center"/>
          </w:tcPr>
          <w:p w14:paraId="27A11D45">
            <w:pPr>
              <w:pStyle w:val="16"/>
            </w:pPr>
            <w:r>
              <w:rPr>
                <w:rFonts w:hint="eastAsia"/>
              </w:rPr>
              <w:t>带司机室</w:t>
            </w:r>
          </w:p>
        </w:tc>
      </w:tr>
      <w:tr w14:paraId="7426D7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267559F2">
            <w:pPr>
              <w:pStyle w:val="16"/>
              <w:numPr>
                <w:ilvl w:val="0"/>
                <w:numId w:val="16"/>
              </w:numPr>
            </w:pPr>
          </w:p>
        </w:tc>
        <w:tc>
          <w:tcPr>
            <w:tcW w:w="686" w:type="pct"/>
            <w:shd w:val="clear" w:color="auto" w:fill="auto"/>
            <w:vAlign w:val="center"/>
          </w:tcPr>
          <w:p w14:paraId="7F085946">
            <w:pPr>
              <w:pStyle w:val="16"/>
            </w:pPr>
            <w:r>
              <w:rPr>
                <w:rFonts w:hint="eastAsia"/>
              </w:rPr>
              <w:t>吊杆</w:t>
            </w:r>
          </w:p>
        </w:tc>
        <w:tc>
          <w:tcPr>
            <w:tcW w:w="685" w:type="pct"/>
            <w:shd w:val="clear" w:color="auto" w:fill="auto"/>
            <w:vAlign w:val="center"/>
          </w:tcPr>
          <w:p w14:paraId="7E55D3C1">
            <w:pPr>
              <w:pStyle w:val="16"/>
            </w:pPr>
          </w:p>
        </w:tc>
        <w:tc>
          <w:tcPr>
            <w:tcW w:w="428" w:type="pct"/>
            <w:shd w:val="clear" w:color="auto" w:fill="auto"/>
            <w:vAlign w:val="center"/>
          </w:tcPr>
          <w:p w14:paraId="3DA980BC">
            <w:pPr>
              <w:pStyle w:val="16"/>
            </w:pPr>
          </w:p>
        </w:tc>
        <w:tc>
          <w:tcPr>
            <w:tcW w:w="685" w:type="pct"/>
            <w:shd w:val="clear" w:color="auto" w:fill="auto"/>
            <w:vAlign w:val="center"/>
          </w:tcPr>
          <w:p w14:paraId="2ABC7C3F">
            <w:pPr>
              <w:pStyle w:val="16"/>
            </w:pPr>
          </w:p>
        </w:tc>
        <w:tc>
          <w:tcPr>
            <w:tcW w:w="1458" w:type="pct"/>
            <w:shd w:val="clear" w:color="auto" w:fill="auto"/>
            <w:vAlign w:val="center"/>
          </w:tcPr>
          <w:p w14:paraId="1BF74F76">
            <w:pPr>
              <w:pStyle w:val="16"/>
            </w:pPr>
          </w:p>
        </w:tc>
        <w:tc>
          <w:tcPr>
            <w:tcW w:w="639" w:type="pct"/>
            <w:shd w:val="clear" w:color="auto" w:fill="auto"/>
            <w:vAlign w:val="center"/>
          </w:tcPr>
          <w:p w14:paraId="79B01BC9">
            <w:pPr>
              <w:pStyle w:val="16"/>
            </w:pPr>
          </w:p>
        </w:tc>
      </w:tr>
      <w:tr w14:paraId="17D27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6AE5AE68">
            <w:pPr>
              <w:pStyle w:val="16"/>
              <w:numPr>
                <w:ilvl w:val="0"/>
                <w:numId w:val="16"/>
              </w:numPr>
            </w:pPr>
          </w:p>
        </w:tc>
        <w:tc>
          <w:tcPr>
            <w:tcW w:w="686" w:type="pct"/>
            <w:shd w:val="clear" w:color="auto" w:fill="auto"/>
            <w:vAlign w:val="center"/>
          </w:tcPr>
          <w:p w14:paraId="0860CC70">
            <w:pPr>
              <w:pStyle w:val="16"/>
            </w:pPr>
            <w:r>
              <w:rPr>
                <w:rFonts w:hint="eastAsia"/>
              </w:rPr>
              <w:t>附墙架</w:t>
            </w:r>
          </w:p>
        </w:tc>
        <w:tc>
          <w:tcPr>
            <w:tcW w:w="685" w:type="pct"/>
            <w:shd w:val="clear" w:color="auto" w:fill="auto"/>
            <w:vAlign w:val="center"/>
          </w:tcPr>
          <w:p w14:paraId="048F9386">
            <w:pPr>
              <w:pStyle w:val="16"/>
            </w:pPr>
          </w:p>
        </w:tc>
        <w:tc>
          <w:tcPr>
            <w:tcW w:w="428" w:type="pct"/>
            <w:shd w:val="clear" w:color="auto" w:fill="auto"/>
            <w:vAlign w:val="center"/>
          </w:tcPr>
          <w:p w14:paraId="131B1CF3">
            <w:pPr>
              <w:pStyle w:val="16"/>
            </w:pPr>
          </w:p>
        </w:tc>
        <w:tc>
          <w:tcPr>
            <w:tcW w:w="685" w:type="pct"/>
            <w:shd w:val="clear" w:color="auto" w:fill="auto"/>
            <w:vAlign w:val="center"/>
          </w:tcPr>
          <w:p w14:paraId="123262A2">
            <w:pPr>
              <w:pStyle w:val="16"/>
            </w:pPr>
          </w:p>
        </w:tc>
        <w:tc>
          <w:tcPr>
            <w:tcW w:w="1458" w:type="pct"/>
            <w:shd w:val="clear" w:color="auto" w:fill="auto"/>
            <w:vAlign w:val="center"/>
          </w:tcPr>
          <w:p w14:paraId="31FE97DA">
            <w:pPr>
              <w:pStyle w:val="16"/>
            </w:pPr>
          </w:p>
        </w:tc>
        <w:tc>
          <w:tcPr>
            <w:tcW w:w="639" w:type="pct"/>
            <w:shd w:val="clear" w:color="auto" w:fill="auto"/>
            <w:vAlign w:val="center"/>
          </w:tcPr>
          <w:p w14:paraId="0F14461D">
            <w:pPr>
              <w:pStyle w:val="16"/>
            </w:pPr>
          </w:p>
        </w:tc>
      </w:tr>
      <w:tr w14:paraId="34C77E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56F8377E">
            <w:pPr>
              <w:pStyle w:val="16"/>
              <w:numPr>
                <w:ilvl w:val="0"/>
                <w:numId w:val="16"/>
              </w:numPr>
            </w:pPr>
          </w:p>
        </w:tc>
        <w:tc>
          <w:tcPr>
            <w:tcW w:w="1799" w:type="pct"/>
            <w:gridSpan w:val="3"/>
            <w:shd w:val="clear" w:color="auto" w:fill="auto"/>
            <w:vAlign w:val="center"/>
          </w:tcPr>
          <w:p w14:paraId="481E0556">
            <w:pPr>
              <w:pStyle w:val="16"/>
            </w:pPr>
            <w:r>
              <w:rPr>
                <w:rFonts w:hint="eastAsia"/>
              </w:rPr>
              <w:t>总计</w:t>
            </w:r>
          </w:p>
        </w:tc>
        <w:tc>
          <w:tcPr>
            <w:tcW w:w="685" w:type="pct"/>
            <w:shd w:val="clear" w:color="auto" w:fill="auto"/>
            <w:vAlign w:val="center"/>
          </w:tcPr>
          <w:p w14:paraId="4BC432F4">
            <w:pPr>
              <w:pStyle w:val="16"/>
              <w:rPr>
                <w:rFonts w:hint="default" w:eastAsia="宋体"/>
                <w:lang w:val="en-US" w:eastAsia="zh-CN"/>
              </w:rPr>
            </w:pPr>
            <w:r>
              <w:rPr>
                <w:rFonts w:hint="eastAsia"/>
                <w:lang w:val="en-US" w:eastAsia="zh-CN"/>
              </w:rPr>
              <w:t>11.75</w:t>
            </w:r>
          </w:p>
        </w:tc>
        <w:tc>
          <w:tcPr>
            <w:tcW w:w="1458" w:type="pct"/>
            <w:shd w:val="clear" w:color="auto" w:fill="auto"/>
            <w:vAlign w:val="center"/>
          </w:tcPr>
          <w:p w14:paraId="3DDA377C">
            <w:pPr>
              <w:pStyle w:val="16"/>
            </w:pPr>
          </w:p>
        </w:tc>
        <w:tc>
          <w:tcPr>
            <w:tcW w:w="639" w:type="pct"/>
            <w:shd w:val="clear" w:color="auto" w:fill="auto"/>
            <w:vAlign w:val="center"/>
          </w:tcPr>
          <w:p w14:paraId="0A4283D0">
            <w:pPr>
              <w:pStyle w:val="16"/>
            </w:pPr>
          </w:p>
        </w:tc>
      </w:tr>
    </w:tbl>
    <w:p w14:paraId="1DEF2DAB">
      <w:pPr>
        <w:ind w:firstLine="480"/>
      </w:pPr>
      <w:r>
        <w:t>2#</w:t>
      </w:r>
      <w:r>
        <w:fldChar w:fldCharType="begin"/>
      </w:r>
      <w:r>
        <w:instrText xml:space="preserve"> REF 设备类型 \h  \* MERGEFORMAT </w:instrText>
      </w:r>
      <w:r>
        <w:fldChar w:fldCharType="separate"/>
      </w:r>
      <w:r>
        <w:rPr>
          <w:rFonts w:hint="eastAsia"/>
        </w:rPr>
        <w:t>施工升降机</w:t>
      </w:r>
      <w:r>
        <w:fldChar w:fldCharType="end"/>
      </w:r>
      <w:r>
        <w:rPr>
          <w:rFonts w:hint="eastAsia"/>
        </w:rPr>
        <w:t>安拆实施所需施工材料计划详见</w:t>
      </w:r>
      <w:r>
        <w:fldChar w:fldCharType="begin"/>
      </w:r>
      <w:r>
        <w:instrText xml:space="preserve"> </w:instrText>
      </w:r>
      <w:r>
        <w:rPr>
          <w:rFonts w:hint="eastAsia"/>
        </w:rPr>
        <w:instrText xml:space="preserve">REF _Ref130820311 \h</w:instrText>
      </w:r>
      <w:r>
        <w:instrText xml:space="preserve"> </w:instrText>
      </w:r>
      <w:r>
        <w:fldChar w:fldCharType="separate"/>
      </w:r>
      <w:r>
        <w:rPr>
          <w:rFonts w:hint="eastAsia"/>
        </w:rPr>
        <w:t>表</w:t>
      </w:r>
      <w:r>
        <w:t>3.2.1-2</w:t>
      </w:r>
      <w:r>
        <w:fldChar w:fldCharType="end"/>
      </w:r>
      <w:r>
        <w:rPr>
          <w:rFonts w:hint="eastAsia"/>
        </w:rPr>
        <w:t>所示。</w:t>
      </w:r>
    </w:p>
    <w:p w14:paraId="468121B9">
      <w:pPr>
        <w:pStyle w:val="15"/>
      </w:pPr>
      <w:bookmarkStart w:id="60" w:name="_Ref130820311"/>
      <w:r>
        <w:rPr>
          <w:rFonts w:hint="eastAsia"/>
        </w:rPr>
        <w:t>表</w:t>
      </w:r>
      <w:r>
        <w:fldChar w:fldCharType="begin"/>
      </w:r>
      <w:r>
        <w:instrText xml:space="preserve"> STYLEREF 3 \s </w:instrText>
      </w:r>
      <w:r>
        <w:fldChar w:fldCharType="separate"/>
      </w:r>
      <w:r>
        <w:t>3.2.1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2</w:t>
      </w:r>
      <w:r>
        <w:fldChar w:fldCharType="end"/>
      </w:r>
      <w:bookmarkEnd w:id="60"/>
      <w:r>
        <w:t xml:space="preserve"> 2#</w:t>
      </w:r>
      <w:r>
        <w:fldChar w:fldCharType="begin"/>
      </w:r>
      <w:r>
        <w:instrText xml:space="preserve"> REF 设备类型 \h  \* MERGEFORMAT </w:instrText>
      </w:r>
      <w:r>
        <w:fldChar w:fldCharType="separate"/>
      </w:r>
      <w:r>
        <w:rPr>
          <w:rFonts w:hint="eastAsia"/>
        </w:rPr>
        <w:t>施工升降机</w:t>
      </w:r>
      <w:r>
        <w:fldChar w:fldCharType="end"/>
      </w:r>
      <w:r>
        <w:rPr>
          <w:rFonts w:hint="eastAsia"/>
        </w:rPr>
        <w:t>施工材料计划</w:t>
      </w:r>
    </w:p>
    <w:tbl>
      <w:tblPr>
        <w:tblStyle w:val="1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169"/>
        <w:gridCol w:w="1168"/>
        <w:gridCol w:w="729"/>
        <w:gridCol w:w="1168"/>
        <w:gridCol w:w="2485"/>
        <w:gridCol w:w="1089"/>
      </w:tblGrid>
      <w:tr w14:paraId="0F82AE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9" w:type="pct"/>
            <w:shd w:val="clear" w:color="auto" w:fill="auto"/>
            <w:vAlign w:val="center"/>
          </w:tcPr>
          <w:p w14:paraId="09264DCF">
            <w:pPr>
              <w:pStyle w:val="16"/>
              <w:rPr>
                <w:b/>
              </w:rPr>
            </w:pPr>
            <w:r>
              <w:rPr>
                <w:rFonts w:hint="eastAsia"/>
                <w:b/>
              </w:rPr>
              <w:t>序号</w:t>
            </w:r>
          </w:p>
        </w:tc>
        <w:tc>
          <w:tcPr>
            <w:tcW w:w="686" w:type="pct"/>
            <w:shd w:val="clear" w:color="auto" w:fill="auto"/>
            <w:vAlign w:val="center"/>
          </w:tcPr>
          <w:p w14:paraId="1D83BE1E">
            <w:pPr>
              <w:pStyle w:val="16"/>
              <w:rPr>
                <w:b/>
              </w:rPr>
            </w:pPr>
            <w:r>
              <w:rPr>
                <w:rFonts w:hint="eastAsia"/>
                <w:b/>
              </w:rPr>
              <w:t>名称</w:t>
            </w:r>
          </w:p>
        </w:tc>
        <w:tc>
          <w:tcPr>
            <w:tcW w:w="685" w:type="pct"/>
            <w:shd w:val="clear" w:color="auto" w:fill="auto"/>
            <w:vAlign w:val="center"/>
          </w:tcPr>
          <w:p w14:paraId="6221360D">
            <w:pPr>
              <w:pStyle w:val="16"/>
              <w:rPr>
                <w:b/>
              </w:rPr>
            </w:pPr>
            <w:r>
              <w:rPr>
                <w:rFonts w:hint="eastAsia"/>
                <w:b/>
              </w:rPr>
              <w:t>单重（t）</w:t>
            </w:r>
          </w:p>
        </w:tc>
        <w:tc>
          <w:tcPr>
            <w:tcW w:w="428" w:type="pct"/>
            <w:shd w:val="clear" w:color="auto" w:fill="auto"/>
            <w:vAlign w:val="center"/>
          </w:tcPr>
          <w:p w14:paraId="2F23708F">
            <w:pPr>
              <w:pStyle w:val="16"/>
              <w:rPr>
                <w:b/>
              </w:rPr>
            </w:pPr>
            <w:r>
              <w:rPr>
                <w:rFonts w:hint="eastAsia"/>
                <w:b/>
              </w:rPr>
              <w:t>数量</w:t>
            </w:r>
          </w:p>
        </w:tc>
        <w:tc>
          <w:tcPr>
            <w:tcW w:w="685" w:type="pct"/>
            <w:shd w:val="clear" w:color="auto" w:fill="auto"/>
            <w:vAlign w:val="center"/>
          </w:tcPr>
          <w:p w14:paraId="7DA1DDA3">
            <w:pPr>
              <w:pStyle w:val="16"/>
              <w:rPr>
                <w:b/>
              </w:rPr>
            </w:pPr>
            <w:r>
              <w:rPr>
                <w:rFonts w:hint="eastAsia"/>
                <w:b/>
              </w:rPr>
              <w:t>总重（t）</w:t>
            </w:r>
          </w:p>
        </w:tc>
        <w:tc>
          <w:tcPr>
            <w:tcW w:w="1458" w:type="pct"/>
            <w:shd w:val="clear" w:color="auto" w:fill="auto"/>
            <w:vAlign w:val="center"/>
          </w:tcPr>
          <w:p w14:paraId="45C09F30">
            <w:pPr>
              <w:pStyle w:val="16"/>
              <w:rPr>
                <w:b/>
              </w:rPr>
            </w:pPr>
            <w:r>
              <w:rPr>
                <w:rFonts w:hint="eastAsia"/>
                <w:b/>
              </w:rPr>
              <w:t>规格（m）</w:t>
            </w:r>
          </w:p>
          <w:p w14:paraId="09A7E0B6">
            <w:pPr>
              <w:pStyle w:val="16"/>
              <w:rPr>
                <w:b/>
              </w:rPr>
            </w:pPr>
            <w:r>
              <w:rPr>
                <w:rFonts w:hint="eastAsia"/>
                <w:b/>
              </w:rPr>
              <w:t>（长×宽×高）</w:t>
            </w:r>
          </w:p>
        </w:tc>
        <w:tc>
          <w:tcPr>
            <w:tcW w:w="639" w:type="pct"/>
            <w:shd w:val="clear" w:color="auto" w:fill="auto"/>
            <w:vAlign w:val="center"/>
          </w:tcPr>
          <w:p w14:paraId="08646BA8">
            <w:pPr>
              <w:pStyle w:val="16"/>
              <w:rPr>
                <w:b/>
              </w:rPr>
            </w:pPr>
            <w:r>
              <w:rPr>
                <w:rFonts w:hint="eastAsia"/>
                <w:b/>
              </w:rPr>
              <w:t>备注</w:t>
            </w:r>
          </w:p>
        </w:tc>
      </w:tr>
      <w:tr w14:paraId="5E50A6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2375CCDF">
            <w:pPr>
              <w:pStyle w:val="16"/>
              <w:numPr>
                <w:ilvl w:val="0"/>
                <w:numId w:val="17"/>
              </w:numPr>
            </w:pPr>
          </w:p>
        </w:tc>
        <w:tc>
          <w:tcPr>
            <w:tcW w:w="686" w:type="pct"/>
            <w:shd w:val="clear" w:color="auto" w:fill="auto"/>
            <w:vAlign w:val="center"/>
          </w:tcPr>
          <w:p w14:paraId="79413C6F">
            <w:pPr>
              <w:pStyle w:val="16"/>
            </w:pPr>
            <w:r>
              <w:rPr>
                <w:rFonts w:hint="eastAsia"/>
              </w:rPr>
              <w:t>底架</w:t>
            </w:r>
          </w:p>
        </w:tc>
        <w:tc>
          <w:tcPr>
            <w:tcW w:w="685" w:type="pct"/>
            <w:shd w:val="clear" w:color="auto" w:fill="auto"/>
            <w:vAlign w:val="center"/>
          </w:tcPr>
          <w:p w14:paraId="56B85BB8">
            <w:pPr>
              <w:pStyle w:val="16"/>
            </w:pPr>
          </w:p>
        </w:tc>
        <w:tc>
          <w:tcPr>
            <w:tcW w:w="428" w:type="pct"/>
            <w:shd w:val="clear" w:color="auto" w:fill="auto"/>
            <w:vAlign w:val="center"/>
          </w:tcPr>
          <w:p w14:paraId="79A3832C">
            <w:pPr>
              <w:pStyle w:val="16"/>
            </w:pPr>
          </w:p>
        </w:tc>
        <w:tc>
          <w:tcPr>
            <w:tcW w:w="685" w:type="pct"/>
            <w:shd w:val="clear" w:color="auto" w:fill="auto"/>
            <w:vAlign w:val="center"/>
          </w:tcPr>
          <w:p w14:paraId="10EC2D51">
            <w:pPr>
              <w:pStyle w:val="16"/>
            </w:pPr>
          </w:p>
        </w:tc>
        <w:tc>
          <w:tcPr>
            <w:tcW w:w="1458" w:type="pct"/>
            <w:shd w:val="clear" w:color="auto" w:fill="auto"/>
            <w:vAlign w:val="center"/>
          </w:tcPr>
          <w:p w14:paraId="4F93397E">
            <w:pPr>
              <w:pStyle w:val="16"/>
            </w:pPr>
          </w:p>
        </w:tc>
        <w:tc>
          <w:tcPr>
            <w:tcW w:w="639" w:type="pct"/>
            <w:shd w:val="clear" w:color="auto" w:fill="auto"/>
            <w:vAlign w:val="center"/>
          </w:tcPr>
          <w:p w14:paraId="5E117209">
            <w:pPr>
              <w:pStyle w:val="16"/>
            </w:pPr>
          </w:p>
        </w:tc>
      </w:tr>
      <w:tr w14:paraId="624EB6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5706BD11">
            <w:pPr>
              <w:pStyle w:val="16"/>
              <w:numPr>
                <w:ilvl w:val="0"/>
                <w:numId w:val="17"/>
              </w:numPr>
            </w:pPr>
          </w:p>
        </w:tc>
        <w:tc>
          <w:tcPr>
            <w:tcW w:w="686" w:type="pct"/>
            <w:shd w:val="clear" w:color="auto" w:fill="auto"/>
            <w:vAlign w:val="center"/>
          </w:tcPr>
          <w:p w14:paraId="38900A85">
            <w:pPr>
              <w:pStyle w:val="16"/>
            </w:pPr>
            <w:r>
              <w:rPr>
                <w:rFonts w:hint="eastAsia"/>
              </w:rPr>
              <w:t>标准节</w:t>
            </w:r>
          </w:p>
        </w:tc>
        <w:tc>
          <w:tcPr>
            <w:tcW w:w="685" w:type="pct"/>
            <w:shd w:val="clear" w:color="auto" w:fill="auto"/>
            <w:vAlign w:val="center"/>
          </w:tcPr>
          <w:p w14:paraId="08F065E3">
            <w:pPr>
              <w:pStyle w:val="16"/>
              <w:rPr>
                <w:rFonts w:hint="default" w:eastAsia="宋体"/>
                <w:lang w:val="en-US" w:eastAsia="zh-CN"/>
              </w:rPr>
            </w:pPr>
            <w:r>
              <w:rPr>
                <w:rFonts w:hint="eastAsia"/>
                <w:lang w:val="en-US" w:eastAsia="zh-CN"/>
              </w:rPr>
              <w:t>0.115</w:t>
            </w:r>
          </w:p>
        </w:tc>
        <w:tc>
          <w:tcPr>
            <w:tcW w:w="428" w:type="pct"/>
            <w:shd w:val="clear" w:color="auto" w:fill="auto"/>
            <w:vAlign w:val="center"/>
          </w:tcPr>
          <w:p w14:paraId="09817994">
            <w:pPr>
              <w:pStyle w:val="16"/>
              <w:rPr>
                <w:rFonts w:hint="default" w:eastAsia="宋体"/>
                <w:lang w:val="en-US" w:eastAsia="zh-CN"/>
              </w:rPr>
            </w:pPr>
            <w:r>
              <w:rPr>
                <w:rFonts w:hint="eastAsia"/>
                <w:lang w:val="en-US" w:eastAsia="zh-CN"/>
              </w:rPr>
              <w:t>90</w:t>
            </w:r>
          </w:p>
        </w:tc>
        <w:tc>
          <w:tcPr>
            <w:tcW w:w="685" w:type="pct"/>
            <w:shd w:val="clear" w:color="auto" w:fill="auto"/>
            <w:vAlign w:val="center"/>
          </w:tcPr>
          <w:p w14:paraId="4721DA83">
            <w:pPr>
              <w:pStyle w:val="16"/>
              <w:rPr>
                <w:rFonts w:hint="default" w:eastAsia="宋体"/>
                <w:lang w:val="en-US" w:eastAsia="zh-CN"/>
              </w:rPr>
            </w:pPr>
            <w:r>
              <w:fldChar w:fldCharType="begin"/>
            </w:r>
            <w:r>
              <w:instrText xml:space="preserve"> =PRODUCT(LEFT) </w:instrText>
            </w:r>
            <w:r>
              <w:fldChar w:fldCharType="separate"/>
            </w:r>
            <w:r>
              <w:t>1</w:t>
            </w:r>
            <w:r>
              <w:rPr>
                <w:rFonts w:hint="eastAsia"/>
                <w:lang w:val="en-US" w:eastAsia="zh-CN"/>
              </w:rPr>
              <w:t>0</w:t>
            </w:r>
            <w:r>
              <w:fldChar w:fldCharType="end"/>
            </w:r>
            <w:r>
              <w:rPr>
                <w:rFonts w:hint="eastAsia"/>
                <w:lang w:val="en-US" w:eastAsia="zh-CN"/>
              </w:rPr>
              <w:t>.35</w:t>
            </w:r>
          </w:p>
        </w:tc>
        <w:tc>
          <w:tcPr>
            <w:tcW w:w="1458" w:type="pct"/>
            <w:shd w:val="clear" w:color="auto" w:fill="auto"/>
            <w:vAlign w:val="center"/>
          </w:tcPr>
          <w:p w14:paraId="78C8B2D2">
            <w:pPr>
              <w:pStyle w:val="16"/>
            </w:pPr>
            <w:r>
              <w:rPr>
                <w:rFonts w:hint="eastAsia"/>
              </w:rPr>
              <w:t>1</w:t>
            </w:r>
            <w:r>
              <w:t>.55</w:t>
            </w:r>
            <w:r>
              <w:rPr>
                <w:rFonts w:hint="eastAsia"/>
              </w:rPr>
              <w:t>×</w:t>
            </w:r>
            <w:r>
              <w:t>0.85</w:t>
            </w:r>
            <w:r>
              <w:rPr>
                <w:rFonts w:hint="eastAsia"/>
              </w:rPr>
              <w:t>×</w:t>
            </w:r>
            <w:r>
              <w:t>0.75</w:t>
            </w:r>
          </w:p>
        </w:tc>
        <w:tc>
          <w:tcPr>
            <w:tcW w:w="639" w:type="pct"/>
            <w:shd w:val="clear" w:color="auto" w:fill="auto"/>
            <w:vAlign w:val="center"/>
          </w:tcPr>
          <w:p w14:paraId="46811D52">
            <w:pPr>
              <w:pStyle w:val="16"/>
            </w:pPr>
          </w:p>
        </w:tc>
      </w:tr>
      <w:tr w14:paraId="1A73C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00BCDD18">
            <w:pPr>
              <w:pStyle w:val="16"/>
              <w:numPr>
                <w:ilvl w:val="0"/>
                <w:numId w:val="17"/>
              </w:numPr>
            </w:pPr>
          </w:p>
        </w:tc>
        <w:tc>
          <w:tcPr>
            <w:tcW w:w="686" w:type="pct"/>
            <w:shd w:val="clear" w:color="auto" w:fill="auto"/>
            <w:vAlign w:val="center"/>
          </w:tcPr>
          <w:p w14:paraId="687A8DD9">
            <w:pPr>
              <w:pStyle w:val="16"/>
            </w:pPr>
            <w:r>
              <w:rPr>
                <w:rFonts w:hint="eastAsia"/>
              </w:rPr>
              <w:t>底架护栏</w:t>
            </w:r>
          </w:p>
        </w:tc>
        <w:tc>
          <w:tcPr>
            <w:tcW w:w="685" w:type="pct"/>
            <w:shd w:val="clear" w:color="auto" w:fill="auto"/>
            <w:vAlign w:val="center"/>
          </w:tcPr>
          <w:p w14:paraId="40A0BD83">
            <w:pPr>
              <w:pStyle w:val="16"/>
            </w:pPr>
          </w:p>
        </w:tc>
        <w:tc>
          <w:tcPr>
            <w:tcW w:w="428" w:type="pct"/>
            <w:shd w:val="clear" w:color="auto" w:fill="auto"/>
            <w:vAlign w:val="center"/>
          </w:tcPr>
          <w:p w14:paraId="71931D4F">
            <w:pPr>
              <w:pStyle w:val="16"/>
            </w:pPr>
          </w:p>
        </w:tc>
        <w:tc>
          <w:tcPr>
            <w:tcW w:w="685" w:type="pct"/>
            <w:shd w:val="clear" w:color="auto" w:fill="auto"/>
            <w:vAlign w:val="center"/>
          </w:tcPr>
          <w:p w14:paraId="33D84DEB">
            <w:pPr>
              <w:pStyle w:val="16"/>
            </w:pPr>
          </w:p>
        </w:tc>
        <w:tc>
          <w:tcPr>
            <w:tcW w:w="1458" w:type="pct"/>
            <w:shd w:val="clear" w:color="auto" w:fill="auto"/>
            <w:vAlign w:val="center"/>
          </w:tcPr>
          <w:p w14:paraId="0C3211B5">
            <w:pPr>
              <w:pStyle w:val="16"/>
            </w:pPr>
          </w:p>
        </w:tc>
        <w:tc>
          <w:tcPr>
            <w:tcW w:w="639" w:type="pct"/>
            <w:shd w:val="clear" w:color="auto" w:fill="auto"/>
            <w:vAlign w:val="center"/>
          </w:tcPr>
          <w:p w14:paraId="77DDFE5A">
            <w:pPr>
              <w:pStyle w:val="16"/>
            </w:pPr>
          </w:p>
        </w:tc>
      </w:tr>
      <w:tr w14:paraId="104F986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6772F301">
            <w:pPr>
              <w:pStyle w:val="16"/>
              <w:numPr>
                <w:ilvl w:val="0"/>
                <w:numId w:val="17"/>
              </w:numPr>
            </w:pPr>
          </w:p>
        </w:tc>
        <w:tc>
          <w:tcPr>
            <w:tcW w:w="686" w:type="pct"/>
            <w:shd w:val="clear" w:color="auto" w:fill="auto"/>
            <w:vAlign w:val="center"/>
          </w:tcPr>
          <w:p w14:paraId="3FE15F8E">
            <w:pPr>
              <w:pStyle w:val="16"/>
            </w:pPr>
            <w:r>
              <w:rPr>
                <w:rFonts w:hint="eastAsia"/>
              </w:rPr>
              <w:t>吊笼</w:t>
            </w:r>
          </w:p>
        </w:tc>
        <w:tc>
          <w:tcPr>
            <w:tcW w:w="685" w:type="pct"/>
            <w:shd w:val="clear" w:color="auto" w:fill="auto"/>
            <w:vAlign w:val="center"/>
          </w:tcPr>
          <w:p w14:paraId="441B9D88">
            <w:pPr>
              <w:pStyle w:val="16"/>
              <w:rPr>
                <w:rFonts w:hint="eastAsia" w:eastAsia="宋体"/>
                <w:lang w:eastAsia="zh-CN"/>
              </w:rPr>
            </w:pPr>
            <w:r>
              <w:t>1.</w:t>
            </w:r>
            <w:r>
              <w:rPr>
                <w:rFonts w:hint="eastAsia"/>
                <w:lang w:val="en-US" w:eastAsia="zh-CN"/>
              </w:rPr>
              <w:t>4</w:t>
            </w:r>
          </w:p>
        </w:tc>
        <w:tc>
          <w:tcPr>
            <w:tcW w:w="428" w:type="pct"/>
            <w:shd w:val="clear" w:color="auto" w:fill="auto"/>
            <w:vAlign w:val="center"/>
          </w:tcPr>
          <w:p w14:paraId="7277472A">
            <w:pPr>
              <w:pStyle w:val="16"/>
              <w:rPr>
                <w:rFonts w:hint="eastAsia" w:eastAsia="宋体"/>
                <w:lang w:eastAsia="zh-CN"/>
              </w:rPr>
            </w:pPr>
            <w:r>
              <w:rPr>
                <w:rFonts w:hint="eastAsia"/>
                <w:lang w:val="en-US" w:eastAsia="zh-CN"/>
              </w:rPr>
              <w:t>1</w:t>
            </w:r>
          </w:p>
        </w:tc>
        <w:tc>
          <w:tcPr>
            <w:tcW w:w="685" w:type="pct"/>
            <w:shd w:val="clear" w:color="auto" w:fill="auto"/>
            <w:vAlign w:val="center"/>
          </w:tcPr>
          <w:p w14:paraId="64F21183">
            <w:pPr>
              <w:pStyle w:val="16"/>
              <w:rPr>
                <w:rFonts w:hint="default" w:eastAsia="宋体"/>
                <w:lang w:val="en-US" w:eastAsia="zh-CN"/>
              </w:rPr>
            </w:pPr>
            <w:r>
              <w:rPr>
                <w:rFonts w:hint="eastAsia"/>
                <w:lang w:val="en-US" w:eastAsia="zh-CN"/>
              </w:rPr>
              <w:t>1.4</w:t>
            </w:r>
          </w:p>
        </w:tc>
        <w:tc>
          <w:tcPr>
            <w:tcW w:w="1458" w:type="pct"/>
            <w:shd w:val="clear" w:color="auto" w:fill="auto"/>
            <w:vAlign w:val="center"/>
          </w:tcPr>
          <w:p w14:paraId="3596C727">
            <w:pPr>
              <w:pStyle w:val="16"/>
            </w:pPr>
            <w:r>
              <w:rPr>
                <w:rFonts w:hint="eastAsia"/>
                <w:lang w:val="en-US" w:eastAsia="zh-CN"/>
              </w:rPr>
              <w:t>2.6</w:t>
            </w:r>
            <w:r>
              <w:rPr>
                <w:rFonts w:hint="eastAsia"/>
              </w:rPr>
              <w:t>×</w:t>
            </w:r>
            <w:r>
              <w:rPr>
                <w:rFonts w:hint="eastAsia"/>
                <w:lang w:val="en-US" w:eastAsia="zh-CN"/>
              </w:rPr>
              <w:t>1.2</w:t>
            </w:r>
            <w:r>
              <w:rPr>
                <w:rFonts w:hint="eastAsia"/>
              </w:rPr>
              <w:t>×</w:t>
            </w:r>
            <w:r>
              <w:rPr>
                <w:rFonts w:hint="eastAsia"/>
                <w:lang w:val="en-US" w:eastAsia="zh-CN"/>
              </w:rPr>
              <w:t>2.345</w:t>
            </w:r>
          </w:p>
        </w:tc>
        <w:tc>
          <w:tcPr>
            <w:tcW w:w="639" w:type="pct"/>
            <w:shd w:val="clear" w:color="auto" w:fill="auto"/>
            <w:vAlign w:val="center"/>
          </w:tcPr>
          <w:p w14:paraId="7462E09B">
            <w:pPr>
              <w:pStyle w:val="16"/>
            </w:pPr>
            <w:r>
              <w:rPr>
                <w:rFonts w:hint="eastAsia"/>
              </w:rPr>
              <w:t>带司机室</w:t>
            </w:r>
          </w:p>
        </w:tc>
      </w:tr>
      <w:tr w14:paraId="0FEB03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5896E8F5">
            <w:pPr>
              <w:pStyle w:val="16"/>
              <w:numPr>
                <w:ilvl w:val="0"/>
                <w:numId w:val="17"/>
              </w:numPr>
            </w:pPr>
          </w:p>
        </w:tc>
        <w:tc>
          <w:tcPr>
            <w:tcW w:w="686" w:type="pct"/>
            <w:shd w:val="clear" w:color="auto" w:fill="auto"/>
            <w:vAlign w:val="center"/>
          </w:tcPr>
          <w:p w14:paraId="3073DFAA">
            <w:pPr>
              <w:pStyle w:val="16"/>
            </w:pPr>
            <w:r>
              <w:rPr>
                <w:rFonts w:hint="eastAsia"/>
              </w:rPr>
              <w:t>吊杆</w:t>
            </w:r>
          </w:p>
        </w:tc>
        <w:tc>
          <w:tcPr>
            <w:tcW w:w="685" w:type="pct"/>
            <w:shd w:val="clear" w:color="auto" w:fill="auto"/>
            <w:vAlign w:val="center"/>
          </w:tcPr>
          <w:p w14:paraId="68583C5F">
            <w:pPr>
              <w:pStyle w:val="16"/>
            </w:pPr>
          </w:p>
        </w:tc>
        <w:tc>
          <w:tcPr>
            <w:tcW w:w="428" w:type="pct"/>
            <w:shd w:val="clear" w:color="auto" w:fill="auto"/>
            <w:vAlign w:val="center"/>
          </w:tcPr>
          <w:p w14:paraId="1C10EA85">
            <w:pPr>
              <w:pStyle w:val="16"/>
            </w:pPr>
          </w:p>
        </w:tc>
        <w:tc>
          <w:tcPr>
            <w:tcW w:w="685" w:type="pct"/>
            <w:shd w:val="clear" w:color="auto" w:fill="auto"/>
            <w:vAlign w:val="center"/>
          </w:tcPr>
          <w:p w14:paraId="5001BA45">
            <w:pPr>
              <w:pStyle w:val="16"/>
            </w:pPr>
          </w:p>
        </w:tc>
        <w:tc>
          <w:tcPr>
            <w:tcW w:w="1458" w:type="pct"/>
            <w:shd w:val="clear" w:color="auto" w:fill="auto"/>
            <w:vAlign w:val="center"/>
          </w:tcPr>
          <w:p w14:paraId="6D53CD9E">
            <w:pPr>
              <w:pStyle w:val="16"/>
            </w:pPr>
          </w:p>
        </w:tc>
        <w:tc>
          <w:tcPr>
            <w:tcW w:w="639" w:type="pct"/>
            <w:shd w:val="clear" w:color="auto" w:fill="auto"/>
            <w:vAlign w:val="center"/>
          </w:tcPr>
          <w:p w14:paraId="43041D76">
            <w:pPr>
              <w:pStyle w:val="16"/>
            </w:pPr>
          </w:p>
        </w:tc>
      </w:tr>
      <w:tr w14:paraId="491861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45F0F6FF">
            <w:pPr>
              <w:pStyle w:val="16"/>
              <w:numPr>
                <w:ilvl w:val="0"/>
                <w:numId w:val="17"/>
              </w:numPr>
            </w:pPr>
          </w:p>
        </w:tc>
        <w:tc>
          <w:tcPr>
            <w:tcW w:w="686" w:type="pct"/>
            <w:shd w:val="clear" w:color="auto" w:fill="auto"/>
            <w:vAlign w:val="center"/>
          </w:tcPr>
          <w:p w14:paraId="48407DC3">
            <w:pPr>
              <w:pStyle w:val="16"/>
            </w:pPr>
            <w:r>
              <w:rPr>
                <w:rFonts w:hint="eastAsia"/>
              </w:rPr>
              <w:t>附墙架</w:t>
            </w:r>
          </w:p>
        </w:tc>
        <w:tc>
          <w:tcPr>
            <w:tcW w:w="685" w:type="pct"/>
            <w:shd w:val="clear" w:color="auto" w:fill="auto"/>
            <w:vAlign w:val="center"/>
          </w:tcPr>
          <w:p w14:paraId="6D25759B">
            <w:pPr>
              <w:pStyle w:val="16"/>
            </w:pPr>
          </w:p>
        </w:tc>
        <w:tc>
          <w:tcPr>
            <w:tcW w:w="428" w:type="pct"/>
            <w:shd w:val="clear" w:color="auto" w:fill="auto"/>
            <w:vAlign w:val="center"/>
          </w:tcPr>
          <w:p w14:paraId="511DBE5C">
            <w:pPr>
              <w:pStyle w:val="16"/>
            </w:pPr>
          </w:p>
        </w:tc>
        <w:tc>
          <w:tcPr>
            <w:tcW w:w="685" w:type="pct"/>
            <w:shd w:val="clear" w:color="auto" w:fill="auto"/>
            <w:vAlign w:val="center"/>
          </w:tcPr>
          <w:p w14:paraId="7D1C9D6B">
            <w:pPr>
              <w:pStyle w:val="16"/>
            </w:pPr>
          </w:p>
        </w:tc>
        <w:tc>
          <w:tcPr>
            <w:tcW w:w="1458" w:type="pct"/>
            <w:shd w:val="clear" w:color="auto" w:fill="auto"/>
            <w:vAlign w:val="center"/>
          </w:tcPr>
          <w:p w14:paraId="4DD01572">
            <w:pPr>
              <w:pStyle w:val="16"/>
            </w:pPr>
          </w:p>
        </w:tc>
        <w:tc>
          <w:tcPr>
            <w:tcW w:w="639" w:type="pct"/>
            <w:shd w:val="clear" w:color="auto" w:fill="auto"/>
            <w:vAlign w:val="center"/>
          </w:tcPr>
          <w:p w14:paraId="42D38EC1">
            <w:pPr>
              <w:pStyle w:val="16"/>
            </w:pPr>
          </w:p>
        </w:tc>
      </w:tr>
      <w:tr w14:paraId="4B158F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476F8718">
            <w:pPr>
              <w:pStyle w:val="16"/>
              <w:numPr>
                <w:ilvl w:val="0"/>
                <w:numId w:val="17"/>
              </w:numPr>
            </w:pPr>
          </w:p>
        </w:tc>
        <w:tc>
          <w:tcPr>
            <w:tcW w:w="1799" w:type="pct"/>
            <w:gridSpan w:val="3"/>
            <w:shd w:val="clear" w:color="auto" w:fill="auto"/>
            <w:vAlign w:val="center"/>
          </w:tcPr>
          <w:p w14:paraId="1C9E90D1">
            <w:pPr>
              <w:pStyle w:val="16"/>
            </w:pPr>
            <w:r>
              <w:rPr>
                <w:rFonts w:hint="eastAsia"/>
              </w:rPr>
              <w:t>总计</w:t>
            </w:r>
          </w:p>
        </w:tc>
        <w:tc>
          <w:tcPr>
            <w:tcW w:w="685" w:type="pct"/>
            <w:shd w:val="clear" w:color="auto" w:fill="auto"/>
            <w:vAlign w:val="center"/>
          </w:tcPr>
          <w:p w14:paraId="0A266763">
            <w:pPr>
              <w:pStyle w:val="16"/>
              <w:rPr>
                <w:rFonts w:hint="default" w:eastAsia="宋体"/>
                <w:lang w:val="en-US" w:eastAsia="zh-CN"/>
              </w:rPr>
            </w:pPr>
            <w:r>
              <w:rPr>
                <w:rFonts w:hint="eastAsia"/>
                <w:lang w:val="en-US" w:eastAsia="zh-CN"/>
              </w:rPr>
              <w:t>11.75</w:t>
            </w:r>
          </w:p>
        </w:tc>
        <w:tc>
          <w:tcPr>
            <w:tcW w:w="1458" w:type="pct"/>
            <w:shd w:val="clear" w:color="auto" w:fill="auto"/>
            <w:vAlign w:val="top"/>
          </w:tcPr>
          <w:p w14:paraId="7E59030C">
            <w:pPr>
              <w:pStyle w:val="16"/>
            </w:pPr>
          </w:p>
        </w:tc>
        <w:tc>
          <w:tcPr>
            <w:tcW w:w="639" w:type="pct"/>
            <w:shd w:val="clear" w:color="auto" w:fill="auto"/>
            <w:vAlign w:val="center"/>
          </w:tcPr>
          <w:p w14:paraId="37D6EB81">
            <w:pPr>
              <w:pStyle w:val="16"/>
            </w:pPr>
          </w:p>
        </w:tc>
      </w:tr>
    </w:tbl>
    <w:p w14:paraId="4FFDA6DC">
      <w:pPr>
        <w:pStyle w:val="4"/>
      </w:pPr>
      <w:r>
        <w:rPr>
          <w:rFonts w:hint="eastAsia"/>
        </w:rPr>
        <w:t>施工措施材料计划</w:t>
      </w:r>
    </w:p>
    <w:p w14:paraId="6976389C">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安拆实施所需施工措施材料计划详见</w:t>
      </w:r>
      <w:r>
        <w:fldChar w:fldCharType="begin"/>
      </w:r>
      <w:r>
        <w:instrText xml:space="preserve"> </w:instrText>
      </w:r>
      <w:r>
        <w:rPr>
          <w:rFonts w:hint="eastAsia"/>
        </w:rPr>
        <w:instrText xml:space="preserve">REF _Ref124174824 \h</w:instrText>
      </w:r>
      <w:r>
        <w:instrText xml:space="preserve"> </w:instrText>
      </w:r>
      <w:r>
        <w:fldChar w:fldCharType="separate"/>
      </w:r>
      <w:r>
        <w:rPr>
          <w:rFonts w:hint="eastAsia"/>
        </w:rPr>
        <w:t>表</w:t>
      </w:r>
      <w:r>
        <w:t>3.2.2-1</w:t>
      </w:r>
      <w:r>
        <w:fldChar w:fldCharType="end"/>
      </w:r>
      <w:r>
        <w:rPr>
          <w:rFonts w:hint="eastAsia"/>
        </w:rPr>
        <w:t>所示。</w:t>
      </w:r>
    </w:p>
    <w:p w14:paraId="42FE46D8">
      <w:pPr>
        <w:pStyle w:val="15"/>
      </w:pPr>
      <w:bookmarkStart w:id="61" w:name="_Ref124174824"/>
      <w:r>
        <w:rPr>
          <w:rFonts w:hint="eastAsia"/>
        </w:rPr>
        <w:t>表</w:t>
      </w:r>
      <w:r>
        <w:fldChar w:fldCharType="begin"/>
      </w:r>
      <w:r>
        <w:instrText xml:space="preserve"> STYLEREF 3 \s </w:instrText>
      </w:r>
      <w:r>
        <w:fldChar w:fldCharType="separate"/>
      </w:r>
      <w:r>
        <w:t>3.2.2</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61"/>
      <w:r>
        <w:t xml:space="preserve"> </w:t>
      </w:r>
      <w:r>
        <w:rPr>
          <w:rFonts w:hint="eastAsia"/>
        </w:rPr>
        <w:t>施工措施材料计划</w:t>
      </w:r>
    </w:p>
    <w:tbl>
      <w:tblPr>
        <w:tblStyle w:val="1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89"/>
        <w:gridCol w:w="1047"/>
        <w:gridCol w:w="3283"/>
        <w:gridCol w:w="789"/>
        <w:gridCol w:w="789"/>
        <w:gridCol w:w="1825"/>
      </w:tblGrid>
      <w:tr w14:paraId="05D847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tblHeader/>
          <w:jc w:val="center"/>
        </w:trPr>
        <w:tc>
          <w:tcPr>
            <w:tcW w:w="463" w:type="pct"/>
            <w:shd w:val="clear" w:color="auto" w:fill="auto"/>
            <w:vAlign w:val="center"/>
          </w:tcPr>
          <w:p w14:paraId="26944084">
            <w:pPr>
              <w:pStyle w:val="16"/>
              <w:rPr>
                <w:b/>
              </w:rPr>
            </w:pPr>
            <w:r>
              <w:rPr>
                <w:rFonts w:hint="eastAsia"/>
                <w:b/>
              </w:rPr>
              <w:t>序号</w:t>
            </w:r>
          </w:p>
        </w:tc>
        <w:tc>
          <w:tcPr>
            <w:tcW w:w="614" w:type="pct"/>
            <w:shd w:val="clear" w:color="auto" w:fill="auto"/>
            <w:vAlign w:val="center"/>
          </w:tcPr>
          <w:p w14:paraId="207BC579">
            <w:pPr>
              <w:pStyle w:val="16"/>
              <w:rPr>
                <w:b/>
              </w:rPr>
            </w:pPr>
            <w:r>
              <w:rPr>
                <w:rFonts w:hint="eastAsia"/>
                <w:b/>
              </w:rPr>
              <w:t>名称</w:t>
            </w:r>
          </w:p>
        </w:tc>
        <w:tc>
          <w:tcPr>
            <w:tcW w:w="1926" w:type="pct"/>
            <w:shd w:val="clear" w:color="auto" w:fill="auto"/>
            <w:vAlign w:val="center"/>
          </w:tcPr>
          <w:p w14:paraId="47536B4E">
            <w:pPr>
              <w:pStyle w:val="16"/>
              <w:rPr>
                <w:b/>
              </w:rPr>
            </w:pPr>
            <w:r>
              <w:rPr>
                <w:rFonts w:hint="eastAsia"/>
                <w:b/>
              </w:rPr>
              <w:t>规格型号</w:t>
            </w:r>
          </w:p>
        </w:tc>
        <w:tc>
          <w:tcPr>
            <w:tcW w:w="463" w:type="pct"/>
            <w:shd w:val="clear" w:color="auto" w:fill="auto"/>
            <w:vAlign w:val="center"/>
          </w:tcPr>
          <w:p w14:paraId="66485996">
            <w:pPr>
              <w:pStyle w:val="16"/>
              <w:rPr>
                <w:b/>
              </w:rPr>
            </w:pPr>
            <w:r>
              <w:rPr>
                <w:rFonts w:hint="eastAsia"/>
                <w:b/>
              </w:rPr>
              <w:t>数量</w:t>
            </w:r>
          </w:p>
        </w:tc>
        <w:tc>
          <w:tcPr>
            <w:tcW w:w="463" w:type="pct"/>
            <w:shd w:val="clear" w:color="auto" w:fill="auto"/>
            <w:vAlign w:val="center"/>
          </w:tcPr>
          <w:p w14:paraId="00A1CFEC">
            <w:pPr>
              <w:pStyle w:val="16"/>
              <w:rPr>
                <w:b/>
              </w:rPr>
            </w:pPr>
            <w:r>
              <w:rPr>
                <w:rFonts w:hint="eastAsia"/>
                <w:b/>
              </w:rPr>
              <w:t>单位</w:t>
            </w:r>
          </w:p>
        </w:tc>
        <w:tc>
          <w:tcPr>
            <w:tcW w:w="1071" w:type="pct"/>
            <w:shd w:val="clear" w:color="auto" w:fill="auto"/>
            <w:vAlign w:val="center"/>
          </w:tcPr>
          <w:p w14:paraId="5AB250F2">
            <w:pPr>
              <w:pStyle w:val="16"/>
              <w:rPr>
                <w:b/>
              </w:rPr>
            </w:pPr>
            <w:r>
              <w:rPr>
                <w:rFonts w:hint="eastAsia"/>
                <w:b/>
              </w:rPr>
              <w:t>备注</w:t>
            </w:r>
          </w:p>
        </w:tc>
      </w:tr>
      <w:tr w14:paraId="5F92AB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63" w:type="pct"/>
            <w:shd w:val="clear" w:color="auto" w:fill="auto"/>
            <w:vAlign w:val="center"/>
          </w:tcPr>
          <w:p w14:paraId="55345626">
            <w:pPr>
              <w:pStyle w:val="16"/>
              <w:numPr>
                <w:ilvl w:val="0"/>
                <w:numId w:val="18"/>
              </w:numPr>
            </w:pPr>
          </w:p>
        </w:tc>
        <w:tc>
          <w:tcPr>
            <w:tcW w:w="614" w:type="pct"/>
            <w:shd w:val="clear" w:color="auto" w:fill="auto"/>
            <w:vAlign w:val="center"/>
          </w:tcPr>
          <w:p w14:paraId="53D9CF56">
            <w:pPr>
              <w:pStyle w:val="16"/>
            </w:pPr>
            <w:r>
              <w:rPr>
                <w:rFonts w:hint="eastAsia"/>
              </w:rPr>
              <w:t>铅丝</w:t>
            </w:r>
          </w:p>
        </w:tc>
        <w:tc>
          <w:tcPr>
            <w:tcW w:w="1926" w:type="pct"/>
            <w:shd w:val="clear" w:color="auto" w:fill="auto"/>
            <w:vAlign w:val="center"/>
          </w:tcPr>
          <w:p w14:paraId="65F406C8">
            <w:pPr>
              <w:pStyle w:val="16"/>
            </w:pPr>
            <w:r>
              <w:rPr>
                <w:rFonts w:hint="eastAsia"/>
              </w:rPr>
              <w:t>8#、10#</w:t>
            </w:r>
          </w:p>
        </w:tc>
        <w:tc>
          <w:tcPr>
            <w:tcW w:w="463" w:type="pct"/>
            <w:shd w:val="clear" w:color="auto" w:fill="auto"/>
            <w:vAlign w:val="center"/>
          </w:tcPr>
          <w:p w14:paraId="5DB5201D">
            <w:pPr>
              <w:pStyle w:val="16"/>
            </w:pPr>
            <w:r>
              <w:rPr>
                <w:rFonts w:hint="eastAsia"/>
              </w:rPr>
              <w:t>按需</w:t>
            </w:r>
          </w:p>
        </w:tc>
        <w:tc>
          <w:tcPr>
            <w:tcW w:w="463" w:type="pct"/>
            <w:shd w:val="clear" w:color="auto" w:fill="auto"/>
            <w:vAlign w:val="center"/>
          </w:tcPr>
          <w:p w14:paraId="089DE33D">
            <w:pPr>
              <w:pStyle w:val="16"/>
            </w:pPr>
            <w:r>
              <w:rPr>
                <w:rFonts w:hint="eastAsia"/>
              </w:rPr>
              <w:t>根</w:t>
            </w:r>
          </w:p>
        </w:tc>
        <w:tc>
          <w:tcPr>
            <w:tcW w:w="1071" w:type="pct"/>
            <w:shd w:val="clear" w:color="auto" w:fill="auto"/>
            <w:vAlign w:val="center"/>
          </w:tcPr>
          <w:p w14:paraId="2C234173">
            <w:pPr>
              <w:pStyle w:val="16"/>
            </w:pPr>
          </w:p>
        </w:tc>
      </w:tr>
      <w:tr w14:paraId="778E1E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63" w:type="pct"/>
            <w:shd w:val="clear" w:color="auto" w:fill="auto"/>
            <w:vAlign w:val="center"/>
          </w:tcPr>
          <w:p w14:paraId="18F0C6D8">
            <w:pPr>
              <w:pStyle w:val="16"/>
              <w:numPr>
                <w:ilvl w:val="0"/>
                <w:numId w:val="18"/>
              </w:numPr>
            </w:pPr>
          </w:p>
        </w:tc>
        <w:tc>
          <w:tcPr>
            <w:tcW w:w="614" w:type="pct"/>
            <w:shd w:val="clear" w:color="auto" w:fill="auto"/>
            <w:vAlign w:val="center"/>
          </w:tcPr>
          <w:p w14:paraId="68091BF7">
            <w:pPr>
              <w:pStyle w:val="16"/>
            </w:pPr>
            <w:r>
              <w:rPr>
                <w:rFonts w:hint="eastAsia"/>
              </w:rPr>
              <w:t>方木</w:t>
            </w:r>
          </w:p>
        </w:tc>
        <w:tc>
          <w:tcPr>
            <w:tcW w:w="1926" w:type="pct"/>
            <w:shd w:val="clear" w:color="auto" w:fill="auto"/>
            <w:vAlign w:val="center"/>
          </w:tcPr>
          <w:p w14:paraId="4082C838">
            <w:pPr>
              <w:pStyle w:val="16"/>
            </w:pPr>
            <w:r>
              <w:rPr>
                <w:rFonts w:hint="eastAsia"/>
              </w:rPr>
              <w:t>50×100</w:t>
            </w:r>
          </w:p>
        </w:tc>
        <w:tc>
          <w:tcPr>
            <w:tcW w:w="463" w:type="pct"/>
            <w:shd w:val="clear" w:color="auto" w:fill="auto"/>
            <w:vAlign w:val="center"/>
          </w:tcPr>
          <w:p w14:paraId="7447DEFD">
            <w:pPr>
              <w:pStyle w:val="16"/>
            </w:pPr>
            <w:r>
              <w:rPr>
                <w:rFonts w:hint="eastAsia"/>
              </w:rPr>
              <w:t>按需</w:t>
            </w:r>
          </w:p>
        </w:tc>
        <w:tc>
          <w:tcPr>
            <w:tcW w:w="463" w:type="pct"/>
            <w:shd w:val="clear" w:color="auto" w:fill="auto"/>
            <w:vAlign w:val="center"/>
          </w:tcPr>
          <w:p w14:paraId="0442772A">
            <w:pPr>
              <w:pStyle w:val="16"/>
            </w:pPr>
            <w:r>
              <w:rPr>
                <w:rFonts w:hint="eastAsia"/>
              </w:rPr>
              <w:t>根</w:t>
            </w:r>
          </w:p>
        </w:tc>
        <w:tc>
          <w:tcPr>
            <w:tcW w:w="1071" w:type="pct"/>
            <w:shd w:val="clear" w:color="auto" w:fill="auto"/>
            <w:vAlign w:val="center"/>
          </w:tcPr>
          <w:p w14:paraId="04E2456D">
            <w:pPr>
              <w:pStyle w:val="16"/>
            </w:pPr>
          </w:p>
        </w:tc>
      </w:tr>
      <w:tr w14:paraId="1974F75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 w:hRule="atLeast"/>
          <w:jc w:val="center"/>
        </w:trPr>
        <w:tc>
          <w:tcPr>
            <w:tcW w:w="463" w:type="pct"/>
            <w:shd w:val="clear" w:color="auto" w:fill="auto"/>
            <w:vAlign w:val="center"/>
          </w:tcPr>
          <w:p w14:paraId="56AD3AC0">
            <w:pPr>
              <w:pStyle w:val="16"/>
              <w:numPr>
                <w:ilvl w:val="0"/>
                <w:numId w:val="18"/>
              </w:numPr>
            </w:pPr>
          </w:p>
        </w:tc>
        <w:tc>
          <w:tcPr>
            <w:tcW w:w="614" w:type="pct"/>
            <w:shd w:val="clear" w:color="auto" w:fill="auto"/>
            <w:vAlign w:val="center"/>
          </w:tcPr>
          <w:p w14:paraId="4EB3B107">
            <w:pPr>
              <w:pStyle w:val="16"/>
            </w:pPr>
            <w:r>
              <w:rPr>
                <w:rFonts w:hint="eastAsia"/>
              </w:rPr>
              <w:t>钢垫片</w:t>
            </w:r>
          </w:p>
        </w:tc>
        <w:tc>
          <w:tcPr>
            <w:tcW w:w="1926" w:type="pct"/>
            <w:shd w:val="clear" w:color="auto" w:fill="auto"/>
            <w:vAlign w:val="center"/>
          </w:tcPr>
          <w:p w14:paraId="5E9B3075">
            <w:pPr>
              <w:pStyle w:val="16"/>
            </w:pPr>
            <w:r>
              <w:rPr>
                <w:rFonts w:hint="eastAsia"/>
              </w:rPr>
              <w:t>2~12mm</w:t>
            </w:r>
          </w:p>
        </w:tc>
        <w:tc>
          <w:tcPr>
            <w:tcW w:w="463" w:type="pct"/>
            <w:shd w:val="clear" w:color="auto" w:fill="auto"/>
            <w:vAlign w:val="center"/>
          </w:tcPr>
          <w:p w14:paraId="029EED52">
            <w:pPr>
              <w:pStyle w:val="16"/>
            </w:pPr>
            <w:r>
              <w:rPr>
                <w:rFonts w:hint="eastAsia"/>
              </w:rPr>
              <w:t>按需</w:t>
            </w:r>
          </w:p>
        </w:tc>
        <w:tc>
          <w:tcPr>
            <w:tcW w:w="463" w:type="pct"/>
            <w:shd w:val="clear" w:color="auto" w:fill="auto"/>
            <w:vAlign w:val="center"/>
          </w:tcPr>
          <w:p w14:paraId="26031D16">
            <w:pPr>
              <w:pStyle w:val="16"/>
            </w:pPr>
            <w:r>
              <w:rPr>
                <w:rFonts w:hint="eastAsia"/>
              </w:rPr>
              <w:t>件</w:t>
            </w:r>
          </w:p>
        </w:tc>
        <w:tc>
          <w:tcPr>
            <w:tcW w:w="1071" w:type="pct"/>
            <w:shd w:val="clear" w:color="auto" w:fill="auto"/>
            <w:vAlign w:val="center"/>
          </w:tcPr>
          <w:p w14:paraId="607F949B">
            <w:pPr>
              <w:pStyle w:val="16"/>
            </w:pPr>
          </w:p>
        </w:tc>
      </w:tr>
    </w:tbl>
    <w:p w14:paraId="77669761">
      <w:pPr>
        <w:pStyle w:val="4"/>
      </w:pPr>
      <w:r>
        <w:rPr>
          <w:rFonts w:hint="eastAsia"/>
        </w:rPr>
        <w:t>安全防护措施材料计划</w:t>
      </w:r>
    </w:p>
    <w:bookmarkEnd w:id="58"/>
    <w:p w14:paraId="64662013">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安拆实施所需安全防护措施材料计划详见</w:t>
      </w:r>
      <w:r>
        <w:fldChar w:fldCharType="begin"/>
      </w:r>
      <w:r>
        <w:instrText xml:space="preserve"> </w:instrText>
      </w:r>
      <w:r>
        <w:rPr>
          <w:rFonts w:hint="eastAsia"/>
        </w:rPr>
        <w:instrText xml:space="preserve">REF _Ref124174613 \h</w:instrText>
      </w:r>
      <w:r>
        <w:instrText xml:space="preserve"> </w:instrText>
      </w:r>
      <w:r>
        <w:fldChar w:fldCharType="separate"/>
      </w:r>
      <w:r>
        <w:rPr>
          <w:rFonts w:hint="eastAsia"/>
        </w:rPr>
        <w:t>表</w:t>
      </w:r>
      <w:r>
        <w:t>3.2.3-1</w:t>
      </w:r>
      <w:r>
        <w:fldChar w:fldCharType="end"/>
      </w:r>
      <w:r>
        <w:rPr>
          <w:rFonts w:hint="eastAsia"/>
        </w:rPr>
        <w:t>所示。</w:t>
      </w:r>
    </w:p>
    <w:p w14:paraId="478FEC8A">
      <w:pPr>
        <w:pStyle w:val="15"/>
      </w:pPr>
      <w:bookmarkStart w:id="62" w:name="_Ref124174613"/>
      <w:r>
        <w:rPr>
          <w:rFonts w:hint="eastAsia"/>
        </w:rPr>
        <w:t>表</w:t>
      </w:r>
      <w:r>
        <w:fldChar w:fldCharType="begin"/>
      </w:r>
      <w:r>
        <w:instrText xml:space="preserve"> STYLEREF 3 \s </w:instrText>
      </w:r>
      <w:r>
        <w:fldChar w:fldCharType="separate"/>
      </w:r>
      <w:r>
        <w:t>3.2.3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62"/>
      <w:r>
        <w:t xml:space="preserve"> </w:t>
      </w:r>
      <w:r>
        <w:rPr>
          <w:rFonts w:hint="eastAsia"/>
        </w:rPr>
        <w:t>安全防护措施材料计划</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748"/>
        <w:gridCol w:w="1796"/>
        <w:gridCol w:w="1446"/>
        <w:gridCol w:w="727"/>
        <w:gridCol w:w="727"/>
        <w:gridCol w:w="2892"/>
      </w:tblGrid>
      <w:tr w14:paraId="4BA6C5C4">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tblHeader/>
          <w:jc w:val="center"/>
        </w:trPr>
        <w:tc>
          <w:tcPr>
            <w:tcW w:w="449" w:type="pct"/>
            <w:tcBorders>
              <w:top w:val="single" w:color="auto" w:sz="12" w:space="0"/>
              <w:left w:val="single" w:color="auto" w:sz="12" w:space="0"/>
              <w:bottom w:val="single" w:color="000000" w:sz="2" w:space="0"/>
              <w:right w:val="single" w:color="000000" w:sz="2" w:space="0"/>
            </w:tcBorders>
            <w:vAlign w:val="center"/>
          </w:tcPr>
          <w:p w14:paraId="26E5F881">
            <w:pPr>
              <w:pStyle w:val="16"/>
              <w:rPr>
                <w:b/>
              </w:rPr>
            </w:pPr>
            <w:r>
              <w:rPr>
                <w:rFonts w:hint="eastAsia"/>
                <w:b/>
              </w:rPr>
              <w:t>序号</w:t>
            </w:r>
          </w:p>
        </w:tc>
        <w:tc>
          <w:tcPr>
            <w:tcW w:w="1077" w:type="pct"/>
            <w:tcBorders>
              <w:top w:val="single" w:color="auto" w:sz="12" w:space="0"/>
              <w:left w:val="single" w:color="000000" w:sz="2" w:space="0"/>
              <w:bottom w:val="single" w:color="000000" w:sz="2" w:space="0"/>
              <w:right w:val="single" w:color="000000" w:sz="2" w:space="0"/>
            </w:tcBorders>
            <w:vAlign w:val="center"/>
          </w:tcPr>
          <w:p w14:paraId="5F7B38FD">
            <w:pPr>
              <w:pStyle w:val="16"/>
              <w:rPr>
                <w:b/>
              </w:rPr>
            </w:pPr>
            <w:r>
              <w:rPr>
                <w:rFonts w:hint="eastAsia"/>
                <w:b/>
              </w:rPr>
              <w:t>名称</w:t>
            </w:r>
          </w:p>
        </w:tc>
        <w:tc>
          <w:tcPr>
            <w:tcW w:w="867" w:type="pct"/>
            <w:tcBorders>
              <w:top w:val="single" w:color="auto" w:sz="12" w:space="0"/>
              <w:left w:val="single" w:color="000000" w:sz="2" w:space="0"/>
              <w:bottom w:val="single" w:color="000000" w:sz="2" w:space="0"/>
              <w:right w:val="single" w:color="000000" w:sz="2" w:space="0"/>
            </w:tcBorders>
            <w:vAlign w:val="center"/>
          </w:tcPr>
          <w:p w14:paraId="154630BB">
            <w:pPr>
              <w:pStyle w:val="16"/>
              <w:rPr>
                <w:b/>
              </w:rPr>
            </w:pPr>
            <w:r>
              <w:rPr>
                <w:rFonts w:hint="eastAsia"/>
                <w:b/>
              </w:rPr>
              <w:t>规格型号</w:t>
            </w:r>
          </w:p>
        </w:tc>
        <w:tc>
          <w:tcPr>
            <w:tcW w:w="436" w:type="pct"/>
            <w:tcBorders>
              <w:top w:val="single" w:color="auto" w:sz="12" w:space="0"/>
              <w:left w:val="single" w:color="000000" w:sz="2" w:space="0"/>
              <w:bottom w:val="single" w:color="000000" w:sz="2" w:space="0"/>
              <w:right w:val="single" w:color="000000" w:sz="2" w:space="0"/>
            </w:tcBorders>
            <w:vAlign w:val="center"/>
          </w:tcPr>
          <w:p w14:paraId="1DF5B503">
            <w:pPr>
              <w:pStyle w:val="16"/>
              <w:rPr>
                <w:b/>
              </w:rPr>
            </w:pPr>
            <w:r>
              <w:rPr>
                <w:rFonts w:hint="eastAsia"/>
                <w:b/>
              </w:rPr>
              <w:t>数量</w:t>
            </w:r>
          </w:p>
        </w:tc>
        <w:tc>
          <w:tcPr>
            <w:tcW w:w="436" w:type="pct"/>
            <w:tcBorders>
              <w:top w:val="single" w:color="auto" w:sz="12" w:space="0"/>
              <w:left w:val="single" w:color="000000" w:sz="2" w:space="0"/>
              <w:bottom w:val="single" w:color="000000" w:sz="2" w:space="0"/>
              <w:right w:val="single" w:color="000000" w:sz="2" w:space="0"/>
            </w:tcBorders>
            <w:vAlign w:val="center"/>
          </w:tcPr>
          <w:p w14:paraId="40C84236">
            <w:pPr>
              <w:pStyle w:val="16"/>
              <w:rPr>
                <w:b/>
              </w:rPr>
            </w:pPr>
            <w:r>
              <w:rPr>
                <w:rFonts w:hint="eastAsia"/>
                <w:b/>
              </w:rPr>
              <w:t>单位</w:t>
            </w:r>
          </w:p>
        </w:tc>
        <w:tc>
          <w:tcPr>
            <w:tcW w:w="1734" w:type="pct"/>
            <w:tcBorders>
              <w:top w:val="single" w:color="auto" w:sz="12" w:space="0"/>
              <w:left w:val="single" w:color="000000" w:sz="2" w:space="0"/>
              <w:bottom w:val="single" w:color="000000" w:sz="2" w:space="0"/>
              <w:right w:val="single" w:color="auto" w:sz="12" w:space="0"/>
            </w:tcBorders>
            <w:vAlign w:val="center"/>
          </w:tcPr>
          <w:p w14:paraId="00F17F21">
            <w:pPr>
              <w:pStyle w:val="16"/>
              <w:rPr>
                <w:b/>
              </w:rPr>
            </w:pPr>
            <w:r>
              <w:rPr>
                <w:rFonts w:hint="eastAsia"/>
                <w:b/>
              </w:rPr>
              <w:t>备注</w:t>
            </w:r>
          </w:p>
        </w:tc>
      </w:tr>
      <w:tr w14:paraId="07E503A0">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449" w:type="pct"/>
            <w:tcBorders>
              <w:top w:val="single" w:color="000000" w:sz="2" w:space="0"/>
              <w:left w:val="single" w:color="auto" w:sz="12" w:space="0"/>
              <w:bottom w:val="single" w:color="000000" w:sz="2" w:space="0"/>
              <w:right w:val="single" w:color="000000" w:sz="2" w:space="0"/>
            </w:tcBorders>
            <w:vAlign w:val="center"/>
          </w:tcPr>
          <w:p w14:paraId="57FDD38F">
            <w:pPr>
              <w:pStyle w:val="16"/>
              <w:numPr>
                <w:ilvl w:val="0"/>
                <w:numId w:val="19"/>
              </w:numPr>
            </w:pPr>
          </w:p>
        </w:tc>
        <w:tc>
          <w:tcPr>
            <w:tcW w:w="1077" w:type="pct"/>
            <w:tcBorders>
              <w:top w:val="single" w:color="000000" w:sz="2" w:space="0"/>
              <w:left w:val="single" w:color="000000" w:sz="2" w:space="0"/>
              <w:bottom w:val="single" w:color="000000" w:sz="2" w:space="0"/>
              <w:right w:val="single" w:color="000000" w:sz="2" w:space="0"/>
            </w:tcBorders>
            <w:vAlign w:val="center"/>
          </w:tcPr>
          <w:p w14:paraId="3FA9F4B5">
            <w:pPr>
              <w:pStyle w:val="16"/>
            </w:pPr>
            <w:r>
              <w:rPr>
                <w:rFonts w:hint="eastAsia"/>
              </w:rPr>
              <w:t>安全帽</w:t>
            </w:r>
          </w:p>
        </w:tc>
        <w:tc>
          <w:tcPr>
            <w:tcW w:w="867" w:type="pct"/>
            <w:tcBorders>
              <w:top w:val="single" w:color="000000" w:sz="2" w:space="0"/>
              <w:left w:val="single" w:color="000000" w:sz="2" w:space="0"/>
              <w:bottom w:val="single" w:color="000000" w:sz="2" w:space="0"/>
              <w:right w:val="single" w:color="000000" w:sz="2" w:space="0"/>
            </w:tcBorders>
            <w:vAlign w:val="center"/>
          </w:tcPr>
          <w:p w14:paraId="761DA2D6">
            <w:pPr>
              <w:pStyle w:val="16"/>
            </w:pPr>
            <w:r>
              <w:rPr>
                <w:rFonts w:hint="eastAsia"/>
              </w:rPr>
              <w:t>玻璃钢</w:t>
            </w:r>
          </w:p>
        </w:tc>
        <w:tc>
          <w:tcPr>
            <w:tcW w:w="436" w:type="pct"/>
            <w:tcBorders>
              <w:top w:val="single" w:color="000000" w:sz="2" w:space="0"/>
              <w:left w:val="single" w:color="000000" w:sz="2" w:space="0"/>
              <w:bottom w:val="single" w:color="000000" w:sz="2" w:space="0"/>
              <w:right w:val="single" w:color="000000" w:sz="2" w:space="0"/>
            </w:tcBorders>
            <w:vAlign w:val="center"/>
          </w:tcPr>
          <w:p w14:paraId="5A52F4C3">
            <w:pPr>
              <w:pStyle w:val="16"/>
            </w:pPr>
            <w:r>
              <w:t>10</w:t>
            </w:r>
          </w:p>
        </w:tc>
        <w:tc>
          <w:tcPr>
            <w:tcW w:w="436" w:type="pct"/>
            <w:tcBorders>
              <w:top w:val="single" w:color="000000" w:sz="2" w:space="0"/>
              <w:left w:val="single" w:color="000000" w:sz="2" w:space="0"/>
              <w:bottom w:val="single" w:color="000000" w:sz="2" w:space="0"/>
              <w:right w:val="single" w:color="000000" w:sz="2" w:space="0"/>
            </w:tcBorders>
            <w:vAlign w:val="center"/>
          </w:tcPr>
          <w:p w14:paraId="69FCD8D6">
            <w:pPr>
              <w:pStyle w:val="16"/>
            </w:pPr>
            <w:r>
              <w:rPr>
                <w:rFonts w:hint="eastAsia"/>
              </w:rPr>
              <w:t>个</w:t>
            </w:r>
          </w:p>
        </w:tc>
        <w:tc>
          <w:tcPr>
            <w:tcW w:w="1734" w:type="pct"/>
            <w:vMerge w:val="restart"/>
            <w:tcBorders>
              <w:top w:val="single" w:color="000000" w:sz="2" w:space="0"/>
              <w:left w:val="single" w:color="000000" w:sz="2" w:space="0"/>
              <w:right w:val="single" w:color="auto" w:sz="12" w:space="0"/>
            </w:tcBorders>
            <w:vAlign w:val="center"/>
          </w:tcPr>
          <w:p w14:paraId="3305FDC3">
            <w:pPr>
              <w:pStyle w:val="16"/>
            </w:pPr>
            <w:r>
              <w:rPr>
                <w:rFonts w:hint="eastAsia"/>
              </w:rPr>
              <w:t>劳保用品</w:t>
            </w:r>
          </w:p>
        </w:tc>
      </w:tr>
      <w:tr w14:paraId="7CCE462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449" w:type="pct"/>
            <w:tcBorders>
              <w:top w:val="single" w:color="000000" w:sz="2" w:space="0"/>
              <w:left w:val="single" w:color="auto" w:sz="12" w:space="0"/>
              <w:bottom w:val="single" w:color="000000" w:sz="2" w:space="0"/>
              <w:right w:val="single" w:color="000000" w:sz="2" w:space="0"/>
            </w:tcBorders>
            <w:vAlign w:val="center"/>
          </w:tcPr>
          <w:p w14:paraId="77C8C62C">
            <w:pPr>
              <w:pStyle w:val="16"/>
              <w:numPr>
                <w:ilvl w:val="0"/>
                <w:numId w:val="19"/>
              </w:numPr>
            </w:pPr>
          </w:p>
        </w:tc>
        <w:tc>
          <w:tcPr>
            <w:tcW w:w="1077" w:type="pct"/>
            <w:tcBorders>
              <w:top w:val="single" w:color="000000" w:sz="2" w:space="0"/>
              <w:left w:val="single" w:color="000000" w:sz="2" w:space="0"/>
              <w:bottom w:val="single" w:color="000000" w:sz="2" w:space="0"/>
              <w:right w:val="single" w:color="000000" w:sz="2" w:space="0"/>
            </w:tcBorders>
            <w:vAlign w:val="center"/>
          </w:tcPr>
          <w:p w14:paraId="6C6776E6">
            <w:pPr>
              <w:pStyle w:val="16"/>
            </w:pPr>
            <w:r>
              <w:rPr>
                <w:rFonts w:hint="eastAsia"/>
              </w:rPr>
              <w:t>安全带</w:t>
            </w:r>
          </w:p>
        </w:tc>
        <w:tc>
          <w:tcPr>
            <w:tcW w:w="867" w:type="pct"/>
            <w:tcBorders>
              <w:top w:val="single" w:color="000000" w:sz="2" w:space="0"/>
              <w:left w:val="single" w:color="000000" w:sz="2" w:space="0"/>
              <w:bottom w:val="single" w:color="000000" w:sz="2" w:space="0"/>
              <w:right w:val="single" w:color="000000" w:sz="2" w:space="0"/>
            </w:tcBorders>
            <w:vAlign w:val="center"/>
          </w:tcPr>
          <w:p w14:paraId="58494B91">
            <w:pPr>
              <w:pStyle w:val="16"/>
            </w:pPr>
          </w:p>
        </w:tc>
        <w:tc>
          <w:tcPr>
            <w:tcW w:w="436" w:type="pct"/>
            <w:tcBorders>
              <w:top w:val="single" w:color="000000" w:sz="2" w:space="0"/>
              <w:left w:val="single" w:color="000000" w:sz="2" w:space="0"/>
              <w:bottom w:val="single" w:color="000000" w:sz="2" w:space="0"/>
              <w:right w:val="single" w:color="000000" w:sz="2" w:space="0"/>
            </w:tcBorders>
            <w:vAlign w:val="center"/>
          </w:tcPr>
          <w:p w14:paraId="6C7B0D3A">
            <w:pPr>
              <w:pStyle w:val="16"/>
            </w:pPr>
            <w:r>
              <w:t>10</w:t>
            </w:r>
          </w:p>
        </w:tc>
        <w:tc>
          <w:tcPr>
            <w:tcW w:w="436" w:type="pct"/>
            <w:tcBorders>
              <w:top w:val="single" w:color="000000" w:sz="2" w:space="0"/>
              <w:left w:val="single" w:color="000000" w:sz="2" w:space="0"/>
              <w:bottom w:val="single" w:color="000000" w:sz="2" w:space="0"/>
              <w:right w:val="single" w:color="000000" w:sz="2" w:space="0"/>
            </w:tcBorders>
            <w:vAlign w:val="center"/>
          </w:tcPr>
          <w:p w14:paraId="0EE4D6D1">
            <w:pPr>
              <w:pStyle w:val="16"/>
            </w:pPr>
            <w:r>
              <w:rPr>
                <w:rFonts w:hint="eastAsia"/>
              </w:rPr>
              <w:t>条</w:t>
            </w:r>
          </w:p>
        </w:tc>
        <w:tc>
          <w:tcPr>
            <w:tcW w:w="1734" w:type="pct"/>
            <w:vMerge w:val="continue"/>
            <w:tcBorders>
              <w:left w:val="single" w:color="000000" w:sz="2" w:space="0"/>
              <w:right w:val="single" w:color="auto" w:sz="12" w:space="0"/>
            </w:tcBorders>
            <w:vAlign w:val="center"/>
          </w:tcPr>
          <w:p w14:paraId="4F3D46B4">
            <w:pPr>
              <w:pStyle w:val="16"/>
            </w:pPr>
          </w:p>
        </w:tc>
      </w:tr>
      <w:tr w14:paraId="2787682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449" w:type="pct"/>
            <w:tcBorders>
              <w:top w:val="single" w:color="000000" w:sz="2" w:space="0"/>
              <w:left w:val="single" w:color="auto" w:sz="12" w:space="0"/>
              <w:bottom w:val="single" w:color="000000" w:sz="2" w:space="0"/>
              <w:right w:val="single" w:color="000000" w:sz="2" w:space="0"/>
            </w:tcBorders>
            <w:vAlign w:val="center"/>
          </w:tcPr>
          <w:p w14:paraId="1066FD93">
            <w:pPr>
              <w:pStyle w:val="16"/>
              <w:numPr>
                <w:ilvl w:val="0"/>
                <w:numId w:val="19"/>
              </w:numPr>
            </w:pPr>
          </w:p>
        </w:tc>
        <w:tc>
          <w:tcPr>
            <w:tcW w:w="1077" w:type="pct"/>
            <w:tcBorders>
              <w:top w:val="single" w:color="000000" w:sz="2" w:space="0"/>
              <w:left w:val="single" w:color="000000" w:sz="2" w:space="0"/>
              <w:bottom w:val="single" w:color="000000" w:sz="2" w:space="0"/>
              <w:right w:val="single" w:color="000000" w:sz="2" w:space="0"/>
            </w:tcBorders>
            <w:vAlign w:val="center"/>
          </w:tcPr>
          <w:p w14:paraId="5A1A9FFB">
            <w:pPr>
              <w:pStyle w:val="16"/>
            </w:pPr>
            <w:r>
              <w:rPr>
                <w:rFonts w:hint="eastAsia"/>
              </w:rPr>
              <w:t>防滑鞋</w:t>
            </w:r>
          </w:p>
        </w:tc>
        <w:tc>
          <w:tcPr>
            <w:tcW w:w="867" w:type="pct"/>
            <w:tcBorders>
              <w:top w:val="single" w:color="000000" w:sz="2" w:space="0"/>
              <w:left w:val="single" w:color="000000" w:sz="2" w:space="0"/>
              <w:bottom w:val="single" w:color="000000" w:sz="2" w:space="0"/>
              <w:right w:val="single" w:color="000000" w:sz="2" w:space="0"/>
            </w:tcBorders>
            <w:vAlign w:val="center"/>
          </w:tcPr>
          <w:p w14:paraId="4A784722">
            <w:pPr>
              <w:pStyle w:val="16"/>
            </w:pPr>
          </w:p>
        </w:tc>
        <w:tc>
          <w:tcPr>
            <w:tcW w:w="436" w:type="pct"/>
            <w:tcBorders>
              <w:top w:val="single" w:color="000000" w:sz="2" w:space="0"/>
              <w:left w:val="single" w:color="000000" w:sz="2" w:space="0"/>
              <w:bottom w:val="single" w:color="000000" w:sz="2" w:space="0"/>
              <w:right w:val="single" w:color="000000" w:sz="2" w:space="0"/>
            </w:tcBorders>
            <w:vAlign w:val="center"/>
          </w:tcPr>
          <w:p w14:paraId="600DACDA">
            <w:pPr>
              <w:pStyle w:val="16"/>
            </w:pPr>
            <w:r>
              <w:t>10</w:t>
            </w:r>
          </w:p>
        </w:tc>
        <w:tc>
          <w:tcPr>
            <w:tcW w:w="436" w:type="pct"/>
            <w:tcBorders>
              <w:top w:val="single" w:color="000000" w:sz="2" w:space="0"/>
              <w:left w:val="single" w:color="000000" w:sz="2" w:space="0"/>
              <w:bottom w:val="single" w:color="000000" w:sz="2" w:space="0"/>
              <w:right w:val="single" w:color="000000" w:sz="2" w:space="0"/>
            </w:tcBorders>
            <w:vAlign w:val="center"/>
          </w:tcPr>
          <w:p w14:paraId="034DD339">
            <w:pPr>
              <w:pStyle w:val="16"/>
            </w:pPr>
            <w:r>
              <w:rPr>
                <w:rFonts w:hint="eastAsia"/>
              </w:rPr>
              <w:t>双</w:t>
            </w:r>
          </w:p>
        </w:tc>
        <w:tc>
          <w:tcPr>
            <w:tcW w:w="1734" w:type="pct"/>
            <w:vMerge w:val="continue"/>
            <w:tcBorders>
              <w:left w:val="single" w:color="000000" w:sz="2" w:space="0"/>
              <w:right w:val="single" w:color="auto" w:sz="12" w:space="0"/>
            </w:tcBorders>
            <w:vAlign w:val="center"/>
          </w:tcPr>
          <w:p w14:paraId="13F7E135">
            <w:pPr>
              <w:pStyle w:val="16"/>
            </w:pPr>
          </w:p>
        </w:tc>
      </w:tr>
      <w:tr w14:paraId="7C95C4B2">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449" w:type="pct"/>
            <w:tcBorders>
              <w:top w:val="single" w:color="000000" w:sz="2" w:space="0"/>
              <w:left w:val="single" w:color="auto" w:sz="12" w:space="0"/>
              <w:bottom w:val="single" w:color="000000" w:sz="2" w:space="0"/>
              <w:right w:val="single" w:color="000000" w:sz="2" w:space="0"/>
            </w:tcBorders>
            <w:vAlign w:val="center"/>
          </w:tcPr>
          <w:p w14:paraId="601EE461">
            <w:pPr>
              <w:pStyle w:val="16"/>
              <w:numPr>
                <w:ilvl w:val="0"/>
                <w:numId w:val="19"/>
              </w:numPr>
            </w:pPr>
          </w:p>
        </w:tc>
        <w:tc>
          <w:tcPr>
            <w:tcW w:w="1077" w:type="pct"/>
            <w:tcBorders>
              <w:top w:val="single" w:color="000000" w:sz="2" w:space="0"/>
              <w:left w:val="single" w:color="000000" w:sz="2" w:space="0"/>
              <w:bottom w:val="single" w:color="000000" w:sz="2" w:space="0"/>
              <w:right w:val="single" w:color="000000" w:sz="2" w:space="0"/>
            </w:tcBorders>
            <w:vAlign w:val="center"/>
          </w:tcPr>
          <w:p w14:paraId="1C2C4BC3">
            <w:pPr>
              <w:pStyle w:val="16"/>
            </w:pPr>
            <w:r>
              <w:rPr>
                <w:rFonts w:hint="eastAsia"/>
              </w:rPr>
              <w:t>防滑手套</w:t>
            </w:r>
          </w:p>
        </w:tc>
        <w:tc>
          <w:tcPr>
            <w:tcW w:w="867" w:type="pct"/>
            <w:tcBorders>
              <w:top w:val="single" w:color="000000" w:sz="2" w:space="0"/>
              <w:left w:val="single" w:color="000000" w:sz="2" w:space="0"/>
              <w:bottom w:val="single" w:color="000000" w:sz="2" w:space="0"/>
              <w:right w:val="single" w:color="000000" w:sz="2" w:space="0"/>
            </w:tcBorders>
            <w:vAlign w:val="center"/>
          </w:tcPr>
          <w:p w14:paraId="6A63283E">
            <w:pPr>
              <w:pStyle w:val="16"/>
            </w:pPr>
          </w:p>
        </w:tc>
        <w:tc>
          <w:tcPr>
            <w:tcW w:w="436" w:type="pct"/>
            <w:tcBorders>
              <w:top w:val="single" w:color="000000" w:sz="2" w:space="0"/>
              <w:left w:val="single" w:color="000000" w:sz="2" w:space="0"/>
              <w:bottom w:val="single" w:color="000000" w:sz="2" w:space="0"/>
              <w:right w:val="single" w:color="000000" w:sz="2" w:space="0"/>
            </w:tcBorders>
            <w:vAlign w:val="center"/>
          </w:tcPr>
          <w:p w14:paraId="76EDA932">
            <w:pPr>
              <w:pStyle w:val="16"/>
            </w:pPr>
            <w:r>
              <w:t>10</w:t>
            </w:r>
          </w:p>
        </w:tc>
        <w:tc>
          <w:tcPr>
            <w:tcW w:w="436" w:type="pct"/>
            <w:tcBorders>
              <w:top w:val="single" w:color="000000" w:sz="2" w:space="0"/>
              <w:left w:val="single" w:color="000000" w:sz="2" w:space="0"/>
              <w:bottom w:val="single" w:color="000000" w:sz="2" w:space="0"/>
              <w:right w:val="single" w:color="000000" w:sz="2" w:space="0"/>
            </w:tcBorders>
            <w:vAlign w:val="center"/>
          </w:tcPr>
          <w:p w14:paraId="790BB966">
            <w:pPr>
              <w:pStyle w:val="16"/>
            </w:pPr>
            <w:r>
              <w:rPr>
                <w:rFonts w:hint="eastAsia"/>
              </w:rPr>
              <w:t>双</w:t>
            </w:r>
          </w:p>
        </w:tc>
        <w:tc>
          <w:tcPr>
            <w:tcW w:w="1734" w:type="pct"/>
            <w:vMerge w:val="continue"/>
            <w:tcBorders>
              <w:left w:val="single" w:color="000000" w:sz="2" w:space="0"/>
              <w:right w:val="single" w:color="auto" w:sz="12" w:space="0"/>
            </w:tcBorders>
            <w:vAlign w:val="center"/>
          </w:tcPr>
          <w:p w14:paraId="5C7E83DE">
            <w:pPr>
              <w:pStyle w:val="16"/>
            </w:pPr>
          </w:p>
        </w:tc>
      </w:tr>
      <w:tr w14:paraId="76D7E9B1">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449" w:type="pct"/>
            <w:tcBorders>
              <w:top w:val="single" w:color="000000" w:sz="2" w:space="0"/>
              <w:left w:val="single" w:color="auto" w:sz="12" w:space="0"/>
              <w:bottom w:val="single" w:color="000000" w:sz="2" w:space="0"/>
              <w:right w:val="single" w:color="000000" w:sz="2" w:space="0"/>
            </w:tcBorders>
            <w:vAlign w:val="center"/>
          </w:tcPr>
          <w:p w14:paraId="431AF17F">
            <w:pPr>
              <w:pStyle w:val="16"/>
              <w:numPr>
                <w:ilvl w:val="0"/>
                <w:numId w:val="19"/>
              </w:numPr>
            </w:pPr>
          </w:p>
        </w:tc>
        <w:tc>
          <w:tcPr>
            <w:tcW w:w="1077" w:type="pct"/>
            <w:tcBorders>
              <w:top w:val="single" w:color="000000" w:sz="2" w:space="0"/>
              <w:left w:val="single" w:color="000000" w:sz="2" w:space="0"/>
              <w:bottom w:val="single" w:color="000000" w:sz="2" w:space="0"/>
              <w:right w:val="single" w:color="000000" w:sz="2" w:space="0"/>
            </w:tcBorders>
            <w:vAlign w:val="center"/>
          </w:tcPr>
          <w:p w14:paraId="7BAF6D36">
            <w:pPr>
              <w:pStyle w:val="16"/>
            </w:pPr>
            <w:r>
              <w:rPr>
                <w:rFonts w:hint="eastAsia"/>
              </w:rPr>
              <w:t>安全网</w:t>
            </w:r>
          </w:p>
        </w:tc>
        <w:tc>
          <w:tcPr>
            <w:tcW w:w="867" w:type="pct"/>
            <w:tcBorders>
              <w:top w:val="single" w:color="000000" w:sz="2" w:space="0"/>
              <w:left w:val="single" w:color="000000" w:sz="2" w:space="0"/>
              <w:bottom w:val="single" w:color="000000" w:sz="2" w:space="0"/>
              <w:right w:val="single" w:color="000000" w:sz="2" w:space="0"/>
            </w:tcBorders>
            <w:vAlign w:val="center"/>
          </w:tcPr>
          <w:p w14:paraId="13FDBD09">
            <w:pPr>
              <w:pStyle w:val="16"/>
            </w:pPr>
          </w:p>
        </w:tc>
        <w:tc>
          <w:tcPr>
            <w:tcW w:w="436" w:type="pct"/>
            <w:tcBorders>
              <w:top w:val="single" w:color="000000" w:sz="2" w:space="0"/>
              <w:left w:val="single" w:color="000000" w:sz="2" w:space="0"/>
              <w:bottom w:val="single" w:color="000000" w:sz="2" w:space="0"/>
              <w:right w:val="single" w:color="000000" w:sz="2" w:space="0"/>
            </w:tcBorders>
            <w:vAlign w:val="center"/>
          </w:tcPr>
          <w:p w14:paraId="0849C509">
            <w:pPr>
              <w:pStyle w:val="16"/>
            </w:pPr>
          </w:p>
        </w:tc>
        <w:tc>
          <w:tcPr>
            <w:tcW w:w="436" w:type="pct"/>
            <w:tcBorders>
              <w:top w:val="single" w:color="000000" w:sz="2" w:space="0"/>
              <w:left w:val="single" w:color="000000" w:sz="2" w:space="0"/>
              <w:bottom w:val="single" w:color="000000" w:sz="2" w:space="0"/>
              <w:right w:val="single" w:color="000000" w:sz="2" w:space="0"/>
            </w:tcBorders>
            <w:vAlign w:val="center"/>
          </w:tcPr>
          <w:p w14:paraId="111897AE">
            <w:pPr>
              <w:pStyle w:val="16"/>
            </w:pPr>
          </w:p>
        </w:tc>
        <w:tc>
          <w:tcPr>
            <w:tcW w:w="1734" w:type="pct"/>
            <w:vMerge w:val="continue"/>
            <w:tcBorders>
              <w:left w:val="single" w:color="000000" w:sz="2" w:space="0"/>
              <w:bottom w:val="single" w:color="000000" w:sz="2" w:space="0"/>
              <w:right w:val="single" w:color="auto" w:sz="12" w:space="0"/>
            </w:tcBorders>
            <w:vAlign w:val="center"/>
          </w:tcPr>
          <w:p w14:paraId="777FA488">
            <w:pPr>
              <w:pStyle w:val="16"/>
            </w:pPr>
          </w:p>
        </w:tc>
      </w:tr>
      <w:tr w14:paraId="215C046D">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449" w:type="pct"/>
            <w:tcBorders>
              <w:top w:val="single" w:color="000000" w:sz="2" w:space="0"/>
              <w:left w:val="single" w:color="auto" w:sz="12" w:space="0"/>
              <w:bottom w:val="single" w:color="000000" w:sz="2" w:space="0"/>
              <w:right w:val="single" w:color="000000" w:sz="2" w:space="0"/>
            </w:tcBorders>
            <w:vAlign w:val="center"/>
          </w:tcPr>
          <w:p w14:paraId="21875927">
            <w:pPr>
              <w:pStyle w:val="16"/>
              <w:numPr>
                <w:ilvl w:val="0"/>
                <w:numId w:val="19"/>
              </w:numPr>
            </w:pPr>
          </w:p>
        </w:tc>
        <w:tc>
          <w:tcPr>
            <w:tcW w:w="1077" w:type="pct"/>
            <w:tcBorders>
              <w:top w:val="single" w:color="000000" w:sz="2" w:space="0"/>
              <w:left w:val="single" w:color="000000" w:sz="2" w:space="0"/>
              <w:bottom w:val="single" w:color="000000" w:sz="2" w:space="0"/>
              <w:right w:val="single" w:color="000000" w:sz="2" w:space="0"/>
            </w:tcBorders>
            <w:vAlign w:val="center"/>
          </w:tcPr>
          <w:p w14:paraId="6073FC24">
            <w:pPr>
              <w:pStyle w:val="16"/>
            </w:pPr>
            <w:r>
              <w:rPr>
                <w:rFonts w:hint="eastAsia"/>
              </w:rPr>
              <w:t>安全警示牌</w:t>
            </w:r>
          </w:p>
        </w:tc>
        <w:tc>
          <w:tcPr>
            <w:tcW w:w="867" w:type="pct"/>
            <w:tcBorders>
              <w:top w:val="single" w:color="000000" w:sz="2" w:space="0"/>
              <w:left w:val="single" w:color="000000" w:sz="2" w:space="0"/>
              <w:bottom w:val="single" w:color="000000" w:sz="2" w:space="0"/>
              <w:right w:val="single" w:color="000000" w:sz="2" w:space="0"/>
            </w:tcBorders>
            <w:vAlign w:val="center"/>
          </w:tcPr>
          <w:p w14:paraId="5C9CDC26">
            <w:pPr>
              <w:pStyle w:val="16"/>
            </w:pPr>
          </w:p>
        </w:tc>
        <w:tc>
          <w:tcPr>
            <w:tcW w:w="436" w:type="pct"/>
            <w:tcBorders>
              <w:top w:val="single" w:color="000000" w:sz="2" w:space="0"/>
              <w:left w:val="single" w:color="000000" w:sz="2" w:space="0"/>
              <w:bottom w:val="single" w:color="000000" w:sz="2" w:space="0"/>
              <w:right w:val="single" w:color="000000" w:sz="2" w:space="0"/>
            </w:tcBorders>
            <w:vAlign w:val="center"/>
          </w:tcPr>
          <w:p w14:paraId="057B7B03">
            <w:pPr>
              <w:pStyle w:val="16"/>
            </w:pPr>
            <w:r>
              <w:rPr>
                <w:rFonts w:hint="eastAsia"/>
              </w:rPr>
              <w:t>4</w:t>
            </w:r>
          </w:p>
        </w:tc>
        <w:tc>
          <w:tcPr>
            <w:tcW w:w="436" w:type="pct"/>
            <w:tcBorders>
              <w:top w:val="single" w:color="000000" w:sz="2" w:space="0"/>
              <w:left w:val="single" w:color="000000" w:sz="2" w:space="0"/>
              <w:bottom w:val="single" w:color="000000" w:sz="2" w:space="0"/>
              <w:right w:val="single" w:color="000000" w:sz="2" w:space="0"/>
            </w:tcBorders>
            <w:vAlign w:val="center"/>
          </w:tcPr>
          <w:p w14:paraId="08B68D4D">
            <w:pPr>
              <w:pStyle w:val="16"/>
            </w:pPr>
            <w:r>
              <w:rPr>
                <w:rFonts w:hint="eastAsia"/>
              </w:rPr>
              <w:t>块</w:t>
            </w:r>
          </w:p>
        </w:tc>
        <w:tc>
          <w:tcPr>
            <w:tcW w:w="1734" w:type="pct"/>
            <w:vMerge w:val="restart"/>
            <w:tcBorders>
              <w:top w:val="single" w:color="000000" w:sz="2" w:space="0"/>
              <w:left w:val="single" w:color="000000" w:sz="2" w:space="0"/>
              <w:right w:val="single" w:color="auto" w:sz="12" w:space="0"/>
            </w:tcBorders>
            <w:vAlign w:val="center"/>
          </w:tcPr>
          <w:p w14:paraId="5E05D8D3">
            <w:pPr>
              <w:pStyle w:val="16"/>
            </w:pPr>
            <w:r>
              <w:rPr>
                <w:rFonts w:hint="eastAsia"/>
              </w:rPr>
              <w:t>安全警戒警示用品</w:t>
            </w:r>
          </w:p>
        </w:tc>
      </w:tr>
      <w:tr w14:paraId="6646FEF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449" w:type="pct"/>
            <w:tcBorders>
              <w:top w:val="single" w:color="000000" w:sz="2" w:space="0"/>
              <w:left w:val="single" w:color="auto" w:sz="12" w:space="0"/>
              <w:bottom w:val="single" w:color="000000" w:sz="2" w:space="0"/>
              <w:right w:val="single" w:color="000000" w:sz="2" w:space="0"/>
            </w:tcBorders>
            <w:vAlign w:val="center"/>
          </w:tcPr>
          <w:p w14:paraId="08BE55A8">
            <w:pPr>
              <w:pStyle w:val="16"/>
              <w:numPr>
                <w:ilvl w:val="0"/>
                <w:numId w:val="19"/>
              </w:numPr>
            </w:pPr>
          </w:p>
        </w:tc>
        <w:tc>
          <w:tcPr>
            <w:tcW w:w="1077" w:type="pct"/>
            <w:tcBorders>
              <w:top w:val="single" w:color="000000" w:sz="2" w:space="0"/>
              <w:left w:val="single" w:color="000000" w:sz="2" w:space="0"/>
              <w:bottom w:val="single" w:color="000000" w:sz="2" w:space="0"/>
              <w:right w:val="single" w:color="000000" w:sz="2" w:space="0"/>
            </w:tcBorders>
            <w:vAlign w:val="center"/>
          </w:tcPr>
          <w:p w14:paraId="08E8CB1B">
            <w:pPr>
              <w:pStyle w:val="16"/>
            </w:pPr>
            <w:r>
              <w:rPr>
                <w:rFonts w:hint="eastAsia"/>
              </w:rPr>
              <w:t>锥桶</w:t>
            </w:r>
          </w:p>
        </w:tc>
        <w:tc>
          <w:tcPr>
            <w:tcW w:w="867" w:type="pct"/>
            <w:tcBorders>
              <w:top w:val="single" w:color="000000" w:sz="2" w:space="0"/>
              <w:left w:val="single" w:color="000000" w:sz="2" w:space="0"/>
              <w:bottom w:val="single" w:color="000000" w:sz="2" w:space="0"/>
              <w:right w:val="single" w:color="000000" w:sz="2" w:space="0"/>
            </w:tcBorders>
            <w:vAlign w:val="center"/>
          </w:tcPr>
          <w:p w14:paraId="65C47056">
            <w:pPr>
              <w:pStyle w:val="16"/>
            </w:pPr>
          </w:p>
        </w:tc>
        <w:tc>
          <w:tcPr>
            <w:tcW w:w="436" w:type="pct"/>
            <w:tcBorders>
              <w:top w:val="single" w:color="000000" w:sz="2" w:space="0"/>
              <w:left w:val="single" w:color="000000" w:sz="2" w:space="0"/>
              <w:bottom w:val="single" w:color="000000" w:sz="2" w:space="0"/>
              <w:right w:val="single" w:color="000000" w:sz="2" w:space="0"/>
            </w:tcBorders>
            <w:vAlign w:val="center"/>
          </w:tcPr>
          <w:p w14:paraId="3C168443">
            <w:pPr>
              <w:pStyle w:val="16"/>
            </w:pPr>
            <w:r>
              <w:rPr>
                <w:rFonts w:hint="eastAsia"/>
              </w:rPr>
              <w:t>若干</w:t>
            </w:r>
          </w:p>
        </w:tc>
        <w:tc>
          <w:tcPr>
            <w:tcW w:w="436" w:type="pct"/>
            <w:tcBorders>
              <w:top w:val="single" w:color="000000" w:sz="2" w:space="0"/>
              <w:left w:val="single" w:color="000000" w:sz="2" w:space="0"/>
              <w:bottom w:val="single" w:color="000000" w:sz="2" w:space="0"/>
              <w:right w:val="single" w:color="000000" w:sz="2" w:space="0"/>
            </w:tcBorders>
            <w:vAlign w:val="center"/>
          </w:tcPr>
          <w:p w14:paraId="46DCDC4D">
            <w:pPr>
              <w:pStyle w:val="16"/>
            </w:pPr>
            <w:r>
              <w:rPr>
                <w:rFonts w:hint="eastAsia"/>
              </w:rPr>
              <w:t>个</w:t>
            </w:r>
          </w:p>
        </w:tc>
        <w:tc>
          <w:tcPr>
            <w:tcW w:w="1734" w:type="pct"/>
            <w:vMerge w:val="continue"/>
            <w:tcBorders>
              <w:top w:val="single" w:color="000000" w:sz="2" w:space="0"/>
              <w:left w:val="single" w:color="000000" w:sz="2" w:space="0"/>
              <w:right w:val="single" w:color="auto" w:sz="12" w:space="0"/>
            </w:tcBorders>
            <w:vAlign w:val="center"/>
          </w:tcPr>
          <w:p w14:paraId="21FC4746">
            <w:pPr>
              <w:pStyle w:val="16"/>
            </w:pPr>
          </w:p>
        </w:tc>
      </w:tr>
      <w:tr w14:paraId="2EAE6D0A">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449" w:type="pct"/>
            <w:tcBorders>
              <w:top w:val="single" w:color="000000" w:sz="2" w:space="0"/>
              <w:left w:val="single" w:color="auto" w:sz="12" w:space="0"/>
              <w:bottom w:val="single" w:color="000000" w:sz="2" w:space="0"/>
              <w:right w:val="single" w:color="000000" w:sz="2" w:space="0"/>
            </w:tcBorders>
            <w:vAlign w:val="center"/>
          </w:tcPr>
          <w:p w14:paraId="41E7548A">
            <w:pPr>
              <w:pStyle w:val="16"/>
              <w:numPr>
                <w:ilvl w:val="0"/>
                <w:numId w:val="19"/>
              </w:numPr>
            </w:pPr>
          </w:p>
        </w:tc>
        <w:tc>
          <w:tcPr>
            <w:tcW w:w="1077" w:type="pct"/>
            <w:tcBorders>
              <w:top w:val="single" w:color="000000" w:sz="2" w:space="0"/>
              <w:left w:val="single" w:color="000000" w:sz="2" w:space="0"/>
              <w:bottom w:val="single" w:color="000000" w:sz="2" w:space="0"/>
              <w:right w:val="single" w:color="000000" w:sz="2" w:space="0"/>
            </w:tcBorders>
            <w:vAlign w:val="center"/>
          </w:tcPr>
          <w:p w14:paraId="62A2F857">
            <w:pPr>
              <w:pStyle w:val="16"/>
            </w:pPr>
            <w:r>
              <w:rPr>
                <w:rFonts w:hint="eastAsia"/>
              </w:rPr>
              <w:t>水马围挡</w:t>
            </w:r>
          </w:p>
        </w:tc>
        <w:tc>
          <w:tcPr>
            <w:tcW w:w="867" w:type="pct"/>
            <w:tcBorders>
              <w:top w:val="single" w:color="000000" w:sz="2" w:space="0"/>
              <w:left w:val="single" w:color="000000" w:sz="2" w:space="0"/>
              <w:bottom w:val="single" w:color="000000" w:sz="2" w:space="0"/>
              <w:right w:val="single" w:color="000000" w:sz="2" w:space="0"/>
            </w:tcBorders>
            <w:vAlign w:val="center"/>
          </w:tcPr>
          <w:p w14:paraId="211E0304">
            <w:pPr>
              <w:pStyle w:val="16"/>
            </w:pPr>
          </w:p>
        </w:tc>
        <w:tc>
          <w:tcPr>
            <w:tcW w:w="436" w:type="pct"/>
            <w:tcBorders>
              <w:top w:val="single" w:color="000000" w:sz="2" w:space="0"/>
              <w:left w:val="single" w:color="000000" w:sz="2" w:space="0"/>
              <w:bottom w:val="single" w:color="000000" w:sz="2" w:space="0"/>
              <w:right w:val="single" w:color="000000" w:sz="2" w:space="0"/>
            </w:tcBorders>
            <w:vAlign w:val="center"/>
          </w:tcPr>
          <w:p w14:paraId="17666907">
            <w:pPr>
              <w:pStyle w:val="16"/>
            </w:pPr>
            <w:r>
              <w:rPr>
                <w:rFonts w:hint="eastAsia"/>
              </w:rPr>
              <w:t>若干</w:t>
            </w:r>
          </w:p>
        </w:tc>
        <w:tc>
          <w:tcPr>
            <w:tcW w:w="436" w:type="pct"/>
            <w:tcBorders>
              <w:top w:val="single" w:color="000000" w:sz="2" w:space="0"/>
              <w:left w:val="single" w:color="000000" w:sz="2" w:space="0"/>
              <w:bottom w:val="single" w:color="000000" w:sz="2" w:space="0"/>
              <w:right w:val="single" w:color="000000" w:sz="2" w:space="0"/>
            </w:tcBorders>
            <w:vAlign w:val="center"/>
          </w:tcPr>
          <w:p w14:paraId="4ED7EA57">
            <w:pPr>
              <w:pStyle w:val="16"/>
            </w:pPr>
            <w:r>
              <w:rPr>
                <w:rFonts w:hint="eastAsia"/>
              </w:rPr>
              <w:t>个</w:t>
            </w:r>
          </w:p>
        </w:tc>
        <w:tc>
          <w:tcPr>
            <w:tcW w:w="1734" w:type="pct"/>
            <w:vMerge w:val="continue"/>
            <w:tcBorders>
              <w:top w:val="single" w:color="000000" w:sz="2" w:space="0"/>
              <w:left w:val="single" w:color="000000" w:sz="2" w:space="0"/>
              <w:right w:val="single" w:color="auto" w:sz="12" w:space="0"/>
            </w:tcBorders>
            <w:vAlign w:val="center"/>
          </w:tcPr>
          <w:p w14:paraId="4C45D94E">
            <w:pPr>
              <w:pStyle w:val="16"/>
            </w:pPr>
          </w:p>
        </w:tc>
      </w:tr>
      <w:tr w14:paraId="60FB775C">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449" w:type="pct"/>
            <w:tcBorders>
              <w:top w:val="single" w:color="000000" w:sz="2" w:space="0"/>
              <w:left w:val="single" w:color="auto" w:sz="12" w:space="0"/>
              <w:bottom w:val="single" w:color="auto" w:sz="12" w:space="0"/>
              <w:right w:val="single" w:color="000000" w:sz="2" w:space="0"/>
            </w:tcBorders>
            <w:vAlign w:val="center"/>
          </w:tcPr>
          <w:p w14:paraId="6222810B">
            <w:pPr>
              <w:pStyle w:val="16"/>
              <w:numPr>
                <w:ilvl w:val="0"/>
                <w:numId w:val="19"/>
              </w:numPr>
            </w:pPr>
          </w:p>
        </w:tc>
        <w:tc>
          <w:tcPr>
            <w:tcW w:w="1077" w:type="pct"/>
            <w:tcBorders>
              <w:top w:val="single" w:color="000000" w:sz="2" w:space="0"/>
              <w:left w:val="single" w:color="000000" w:sz="2" w:space="0"/>
              <w:bottom w:val="single" w:color="auto" w:sz="12" w:space="0"/>
              <w:right w:val="single" w:color="000000" w:sz="2" w:space="0"/>
            </w:tcBorders>
            <w:vAlign w:val="center"/>
          </w:tcPr>
          <w:p w14:paraId="60BD6CB8">
            <w:pPr>
              <w:pStyle w:val="16"/>
            </w:pPr>
            <w:r>
              <w:rPr>
                <w:rFonts w:hint="eastAsia"/>
              </w:rPr>
              <w:t>安全警戒线</w:t>
            </w:r>
          </w:p>
        </w:tc>
        <w:tc>
          <w:tcPr>
            <w:tcW w:w="867" w:type="pct"/>
            <w:tcBorders>
              <w:top w:val="single" w:color="000000" w:sz="2" w:space="0"/>
              <w:left w:val="single" w:color="000000" w:sz="2" w:space="0"/>
              <w:bottom w:val="single" w:color="auto" w:sz="12" w:space="0"/>
              <w:right w:val="single" w:color="000000" w:sz="2" w:space="0"/>
            </w:tcBorders>
            <w:vAlign w:val="center"/>
          </w:tcPr>
          <w:p w14:paraId="5E00B3FF">
            <w:pPr>
              <w:pStyle w:val="16"/>
            </w:pPr>
            <w:r>
              <w:t>150m</w:t>
            </w:r>
          </w:p>
        </w:tc>
        <w:tc>
          <w:tcPr>
            <w:tcW w:w="436" w:type="pct"/>
            <w:tcBorders>
              <w:top w:val="single" w:color="000000" w:sz="2" w:space="0"/>
              <w:left w:val="single" w:color="000000" w:sz="2" w:space="0"/>
              <w:bottom w:val="single" w:color="auto" w:sz="12" w:space="0"/>
              <w:right w:val="single" w:color="000000" w:sz="2" w:space="0"/>
            </w:tcBorders>
            <w:vAlign w:val="center"/>
          </w:tcPr>
          <w:p w14:paraId="20EAFADB">
            <w:pPr>
              <w:pStyle w:val="16"/>
            </w:pPr>
            <w:r>
              <w:rPr>
                <w:rFonts w:hint="eastAsia"/>
              </w:rPr>
              <w:t>若干</w:t>
            </w:r>
          </w:p>
        </w:tc>
        <w:tc>
          <w:tcPr>
            <w:tcW w:w="436" w:type="pct"/>
            <w:tcBorders>
              <w:top w:val="single" w:color="000000" w:sz="2" w:space="0"/>
              <w:left w:val="single" w:color="000000" w:sz="2" w:space="0"/>
              <w:bottom w:val="single" w:color="auto" w:sz="12" w:space="0"/>
              <w:right w:val="single" w:color="000000" w:sz="2" w:space="0"/>
            </w:tcBorders>
            <w:vAlign w:val="center"/>
          </w:tcPr>
          <w:p w14:paraId="5C061FB7">
            <w:pPr>
              <w:pStyle w:val="16"/>
            </w:pPr>
            <w:r>
              <w:rPr>
                <w:rFonts w:hint="eastAsia"/>
              </w:rPr>
              <w:t>盘</w:t>
            </w:r>
          </w:p>
        </w:tc>
        <w:tc>
          <w:tcPr>
            <w:tcW w:w="1734" w:type="pct"/>
            <w:vMerge w:val="continue"/>
            <w:tcBorders>
              <w:left w:val="single" w:color="000000" w:sz="2" w:space="0"/>
              <w:bottom w:val="single" w:color="auto" w:sz="12" w:space="0"/>
              <w:right w:val="single" w:color="auto" w:sz="12" w:space="0"/>
            </w:tcBorders>
            <w:vAlign w:val="center"/>
          </w:tcPr>
          <w:p w14:paraId="5E398DA2">
            <w:pPr>
              <w:pStyle w:val="16"/>
            </w:pPr>
          </w:p>
        </w:tc>
      </w:tr>
    </w:tbl>
    <w:p w14:paraId="448D1DE2">
      <w:pPr>
        <w:pStyle w:val="4"/>
      </w:pPr>
      <w:r>
        <w:t>安全</w:t>
      </w:r>
      <w:r>
        <w:rPr>
          <w:rFonts w:hint="eastAsia"/>
        </w:rPr>
        <w:t>临时设施计划</w:t>
      </w:r>
    </w:p>
    <w:p w14:paraId="3E5373C1">
      <w:pPr>
        <w:ind w:firstLine="480"/>
      </w:pPr>
      <w:r>
        <w:fldChar w:fldCharType="begin"/>
      </w:r>
      <w:r>
        <w:instrText xml:space="preserve"> </w:instrText>
      </w:r>
      <w:r>
        <w:rPr>
          <w:rFonts w:hint="eastAsia"/>
        </w:rPr>
        <w:instrText xml:space="preserve">REF 设备型号1 \h</w:instrText>
      </w:r>
      <w:r>
        <w:instrText xml:space="preserve">  \* MERGEFORMAT </w:instrText>
      </w:r>
      <w:r>
        <w:fldChar w:fldCharType="separate"/>
      </w:r>
      <w:r>
        <w:rPr>
          <w:rFonts w:hint="eastAsia"/>
          <w:lang w:eastAsia="zh-CN"/>
        </w:rPr>
        <w:t>SC160</w:t>
      </w:r>
      <w:r>
        <w:fldChar w:fldCharType="end"/>
      </w:r>
      <w:r>
        <w:fldChar w:fldCharType="begin"/>
      </w:r>
      <w:r>
        <w:instrText xml:space="preserve"> REF 设备类型 \h  \* MERGEFORMAT </w:instrText>
      </w:r>
      <w:r>
        <w:fldChar w:fldCharType="separate"/>
      </w:r>
      <w:r>
        <w:rPr>
          <w:rFonts w:hint="eastAsia"/>
        </w:rPr>
        <w:t>施工升降机</w:t>
      </w:r>
      <w:r>
        <w:fldChar w:fldCharType="end"/>
      </w:r>
      <w:r>
        <w:rPr>
          <w:rFonts w:hint="eastAsia"/>
        </w:rPr>
        <w:t>安拆实施所需</w:t>
      </w:r>
      <w:r>
        <w:t>安全</w:t>
      </w:r>
      <w:r>
        <w:rPr>
          <w:rFonts w:hint="eastAsia"/>
        </w:rPr>
        <w:t>临时设施计划详见</w:t>
      </w:r>
      <w:r>
        <w:fldChar w:fldCharType="begin"/>
      </w:r>
      <w:r>
        <w:instrText xml:space="preserve"> </w:instrText>
      </w:r>
      <w:r>
        <w:rPr>
          <w:rFonts w:hint="eastAsia"/>
        </w:rPr>
        <w:instrText xml:space="preserve">REF _Ref124174654 \h</w:instrText>
      </w:r>
      <w:r>
        <w:instrText xml:space="preserve"> </w:instrText>
      </w:r>
      <w:r>
        <w:fldChar w:fldCharType="separate"/>
      </w:r>
      <w:r>
        <w:rPr>
          <w:rFonts w:hint="eastAsia"/>
        </w:rPr>
        <w:t>表</w:t>
      </w:r>
      <w:r>
        <w:t>3.2.4-1</w:t>
      </w:r>
      <w:r>
        <w:fldChar w:fldCharType="end"/>
      </w:r>
      <w:r>
        <w:rPr>
          <w:rFonts w:hint="eastAsia"/>
        </w:rPr>
        <w:t>所示。</w:t>
      </w:r>
    </w:p>
    <w:p w14:paraId="1697C2D0">
      <w:pPr>
        <w:pStyle w:val="15"/>
      </w:pPr>
      <w:bookmarkStart w:id="63" w:name="_Ref124174654"/>
      <w:r>
        <w:rPr>
          <w:rFonts w:hint="eastAsia"/>
        </w:rPr>
        <w:t>表</w:t>
      </w:r>
      <w:r>
        <w:fldChar w:fldCharType="begin"/>
      </w:r>
      <w:r>
        <w:instrText xml:space="preserve"> STYLEREF 3 \s </w:instrText>
      </w:r>
      <w:r>
        <w:fldChar w:fldCharType="separate"/>
      </w:r>
      <w:r>
        <w:t>3.2.4</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63"/>
      <w:r>
        <w:t xml:space="preserve"> 安全</w:t>
      </w:r>
      <w:r>
        <w:rPr>
          <w:rFonts w:hint="eastAsia"/>
        </w:rPr>
        <w:t>临时设施计划</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Layout w:type="autofit"/>
        <w:tblCellMar>
          <w:top w:w="0" w:type="dxa"/>
          <w:left w:w="0" w:type="dxa"/>
          <w:bottom w:w="0" w:type="dxa"/>
          <w:right w:w="0" w:type="dxa"/>
        </w:tblCellMar>
      </w:tblPr>
      <w:tblGrid>
        <w:gridCol w:w="864"/>
        <w:gridCol w:w="2064"/>
        <w:gridCol w:w="1242"/>
        <w:gridCol w:w="835"/>
        <w:gridCol w:w="835"/>
        <w:gridCol w:w="2496"/>
      </w:tblGrid>
      <w:tr w14:paraId="1CC4560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tblHeader/>
          <w:jc w:val="center"/>
        </w:trPr>
        <w:tc>
          <w:tcPr>
            <w:tcW w:w="518" w:type="pct"/>
            <w:tcBorders>
              <w:top w:val="single" w:color="auto" w:sz="12" w:space="0"/>
              <w:left w:val="single" w:color="auto" w:sz="12" w:space="0"/>
              <w:bottom w:val="single" w:color="000000" w:sz="2" w:space="0"/>
              <w:right w:val="single" w:color="000000" w:sz="2" w:space="0"/>
            </w:tcBorders>
            <w:vAlign w:val="center"/>
          </w:tcPr>
          <w:p w14:paraId="3AF6C907">
            <w:pPr>
              <w:pStyle w:val="16"/>
              <w:rPr>
                <w:b/>
              </w:rPr>
            </w:pPr>
            <w:r>
              <w:rPr>
                <w:rFonts w:hint="eastAsia"/>
                <w:b/>
              </w:rPr>
              <w:t>序号</w:t>
            </w:r>
          </w:p>
        </w:tc>
        <w:tc>
          <w:tcPr>
            <w:tcW w:w="1238" w:type="pct"/>
            <w:tcBorders>
              <w:top w:val="single" w:color="auto" w:sz="12" w:space="0"/>
              <w:left w:val="single" w:color="000000" w:sz="2" w:space="0"/>
              <w:bottom w:val="single" w:color="000000" w:sz="2" w:space="0"/>
              <w:right w:val="single" w:color="000000" w:sz="2" w:space="0"/>
            </w:tcBorders>
            <w:vAlign w:val="center"/>
          </w:tcPr>
          <w:p w14:paraId="288AEE28">
            <w:pPr>
              <w:pStyle w:val="16"/>
              <w:rPr>
                <w:b/>
              </w:rPr>
            </w:pPr>
            <w:r>
              <w:rPr>
                <w:rFonts w:hint="eastAsia"/>
                <w:b/>
              </w:rPr>
              <w:t>名称</w:t>
            </w:r>
          </w:p>
        </w:tc>
        <w:tc>
          <w:tcPr>
            <w:tcW w:w="745" w:type="pct"/>
            <w:tcBorders>
              <w:top w:val="single" w:color="auto" w:sz="12" w:space="0"/>
              <w:left w:val="single" w:color="000000" w:sz="2" w:space="0"/>
              <w:bottom w:val="single" w:color="000000" w:sz="2" w:space="0"/>
              <w:right w:val="single" w:color="000000" w:sz="2" w:space="0"/>
            </w:tcBorders>
            <w:vAlign w:val="center"/>
          </w:tcPr>
          <w:p w14:paraId="74DF3B7C">
            <w:pPr>
              <w:pStyle w:val="16"/>
              <w:rPr>
                <w:b/>
              </w:rPr>
            </w:pPr>
            <w:r>
              <w:rPr>
                <w:rFonts w:hint="eastAsia"/>
                <w:b/>
              </w:rPr>
              <w:t>规格型号</w:t>
            </w:r>
          </w:p>
        </w:tc>
        <w:tc>
          <w:tcPr>
            <w:tcW w:w="501" w:type="pct"/>
            <w:tcBorders>
              <w:top w:val="single" w:color="auto" w:sz="12" w:space="0"/>
              <w:left w:val="single" w:color="000000" w:sz="2" w:space="0"/>
              <w:bottom w:val="single" w:color="000000" w:sz="2" w:space="0"/>
              <w:right w:val="single" w:color="000000" w:sz="2" w:space="0"/>
            </w:tcBorders>
            <w:vAlign w:val="center"/>
          </w:tcPr>
          <w:p w14:paraId="32FA04C6">
            <w:pPr>
              <w:pStyle w:val="16"/>
              <w:rPr>
                <w:b/>
              </w:rPr>
            </w:pPr>
            <w:r>
              <w:rPr>
                <w:rFonts w:hint="eastAsia"/>
                <w:b/>
              </w:rPr>
              <w:t>数量</w:t>
            </w:r>
          </w:p>
        </w:tc>
        <w:tc>
          <w:tcPr>
            <w:tcW w:w="501" w:type="pct"/>
            <w:tcBorders>
              <w:top w:val="single" w:color="auto" w:sz="12" w:space="0"/>
              <w:left w:val="single" w:color="000000" w:sz="2" w:space="0"/>
              <w:bottom w:val="single" w:color="000000" w:sz="2" w:space="0"/>
              <w:right w:val="single" w:color="000000" w:sz="2" w:space="0"/>
            </w:tcBorders>
            <w:vAlign w:val="center"/>
          </w:tcPr>
          <w:p w14:paraId="3C95FC2B">
            <w:pPr>
              <w:pStyle w:val="16"/>
              <w:rPr>
                <w:b/>
              </w:rPr>
            </w:pPr>
            <w:r>
              <w:rPr>
                <w:rFonts w:hint="eastAsia"/>
                <w:b/>
              </w:rPr>
              <w:t>单位</w:t>
            </w:r>
          </w:p>
        </w:tc>
        <w:tc>
          <w:tcPr>
            <w:tcW w:w="1497" w:type="pct"/>
            <w:tcBorders>
              <w:top w:val="single" w:color="auto" w:sz="12" w:space="0"/>
              <w:left w:val="single" w:color="000000" w:sz="2" w:space="0"/>
              <w:bottom w:val="single" w:color="000000" w:sz="2" w:space="0"/>
              <w:right w:val="single" w:color="auto" w:sz="12" w:space="0"/>
            </w:tcBorders>
            <w:vAlign w:val="center"/>
          </w:tcPr>
          <w:p w14:paraId="60F7C819">
            <w:pPr>
              <w:pStyle w:val="16"/>
              <w:rPr>
                <w:b/>
              </w:rPr>
            </w:pPr>
            <w:r>
              <w:rPr>
                <w:rFonts w:hint="eastAsia"/>
                <w:b/>
              </w:rPr>
              <w:t>备注</w:t>
            </w:r>
          </w:p>
        </w:tc>
      </w:tr>
      <w:tr w14:paraId="4345542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518" w:type="pct"/>
            <w:tcBorders>
              <w:top w:val="single" w:color="000000" w:sz="2" w:space="0"/>
              <w:left w:val="single" w:color="auto" w:sz="12" w:space="0"/>
              <w:bottom w:val="single" w:color="000000" w:sz="2" w:space="0"/>
              <w:right w:val="single" w:color="000000" w:sz="2" w:space="0"/>
            </w:tcBorders>
            <w:shd w:val="clear" w:color="auto" w:fill="auto"/>
            <w:vAlign w:val="center"/>
          </w:tcPr>
          <w:p w14:paraId="4A014CE5">
            <w:pPr>
              <w:pStyle w:val="16"/>
              <w:numPr>
                <w:ilvl w:val="0"/>
                <w:numId w:val="20"/>
              </w:numPr>
            </w:pPr>
          </w:p>
        </w:tc>
        <w:tc>
          <w:tcPr>
            <w:tcW w:w="1238" w:type="pct"/>
            <w:tcBorders>
              <w:top w:val="single" w:color="000000" w:sz="2" w:space="0"/>
              <w:left w:val="single" w:color="000000" w:sz="2" w:space="0"/>
              <w:bottom w:val="single" w:color="000000" w:sz="2" w:space="0"/>
              <w:right w:val="single" w:color="000000" w:sz="2" w:space="0"/>
            </w:tcBorders>
            <w:shd w:val="clear" w:color="auto" w:fill="auto"/>
          </w:tcPr>
          <w:p w14:paraId="2EEFD0D9">
            <w:pPr>
              <w:pStyle w:val="16"/>
            </w:pPr>
            <w:r>
              <w:rPr>
                <w:rFonts w:hint="eastAsia"/>
              </w:rPr>
              <w:t>安全通道及防护棚</w:t>
            </w:r>
          </w:p>
        </w:tc>
        <w:tc>
          <w:tcPr>
            <w:tcW w:w="7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12BDEA3">
            <w:pPr>
              <w:pStyle w:val="16"/>
            </w:pPr>
          </w:p>
        </w:tc>
        <w:tc>
          <w:tcPr>
            <w:tcW w:w="50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4B08E9D5">
            <w:pPr>
              <w:pStyle w:val="16"/>
            </w:pPr>
            <w:r>
              <w:rPr>
                <w:kern w:val="0"/>
              </w:rPr>
              <w:t>4</w:t>
            </w:r>
          </w:p>
        </w:tc>
        <w:tc>
          <w:tcPr>
            <w:tcW w:w="50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2FFF6952">
            <w:pPr>
              <w:pStyle w:val="16"/>
            </w:pPr>
          </w:p>
        </w:tc>
        <w:tc>
          <w:tcPr>
            <w:tcW w:w="1497" w:type="pct"/>
            <w:tcBorders>
              <w:top w:val="single" w:color="000000" w:sz="2" w:space="0"/>
              <w:left w:val="single" w:color="000000" w:sz="2" w:space="0"/>
              <w:bottom w:val="single" w:color="000000" w:sz="2" w:space="0"/>
              <w:right w:val="single" w:color="auto" w:sz="12" w:space="0"/>
            </w:tcBorders>
            <w:shd w:val="clear" w:color="auto" w:fill="auto"/>
            <w:vAlign w:val="center"/>
          </w:tcPr>
          <w:p w14:paraId="74783991">
            <w:pPr>
              <w:pStyle w:val="16"/>
            </w:pPr>
            <w:r>
              <w:rPr>
                <w:rFonts w:hint="eastAsia"/>
              </w:rPr>
              <w:t>自制或采购</w:t>
            </w:r>
          </w:p>
        </w:tc>
      </w:tr>
      <w:tr w14:paraId="1EBEE1F8">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518" w:type="pct"/>
            <w:tcBorders>
              <w:top w:val="single" w:color="000000" w:sz="2" w:space="0"/>
              <w:left w:val="single" w:color="auto" w:sz="12" w:space="0"/>
              <w:bottom w:val="single" w:color="000000" w:sz="2" w:space="0"/>
              <w:right w:val="single" w:color="000000" w:sz="2" w:space="0"/>
            </w:tcBorders>
            <w:shd w:val="clear" w:color="auto" w:fill="auto"/>
            <w:vAlign w:val="center"/>
          </w:tcPr>
          <w:p w14:paraId="3ADA3CB3">
            <w:pPr>
              <w:pStyle w:val="16"/>
              <w:numPr>
                <w:ilvl w:val="0"/>
                <w:numId w:val="20"/>
              </w:numPr>
            </w:pPr>
          </w:p>
        </w:tc>
        <w:tc>
          <w:tcPr>
            <w:tcW w:w="1238" w:type="pct"/>
            <w:tcBorders>
              <w:top w:val="single" w:color="000000" w:sz="2" w:space="0"/>
              <w:left w:val="single" w:color="000000" w:sz="2" w:space="0"/>
              <w:bottom w:val="single" w:color="000000" w:sz="2" w:space="0"/>
              <w:right w:val="single" w:color="000000" w:sz="2" w:space="0"/>
            </w:tcBorders>
            <w:shd w:val="clear" w:color="auto" w:fill="auto"/>
          </w:tcPr>
          <w:p w14:paraId="61577857">
            <w:pPr>
              <w:pStyle w:val="16"/>
            </w:pPr>
            <w:r>
              <w:rPr>
                <w:rFonts w:hint="eastAsia"/>
              </w:rPr>
              <w:t>安全门</w:t>
            </w:r>
          </w:p>
        </w:tc>
        <w:tc>
          <w:tcPr>
            <w:tcW w:w="745" w:type="pct"/>
            <w:tcBorders>
              <w:top w:val="single" w:color="000000" w:sz="2" w:space="0"/>
              <w:left w:val="single" w:color="000000" w:sz="2" w:space="0"/>
              <w:bottom w:val="single" w:color="000000" w:sz="2" w:space="0"/>
              <w:right w:val="single" w:color="000000" w:sz="2" w:space="0"/>
            </w:tcBorders>
            <w:shd w:val="clear" w:color="auto" w:fill="auto"/>
            <w:vAlign w:val="center"/>
          </w:tcPr>
          <w:p w14:paraId="73B08F39">
            <w:pPr>
              <w:pStyle w:val="16"/>
            </w:pPr>
          </w:p>
        </w:tc>
        <w:tc>
          <w:tcPr>
            <w:tcW w:w="50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577373F1">
            <w:pPr>
              <w:pStyle w:val="16"/>
            </w:pPr>
            <w:r>
              <w:rPr>
                <w:kern w:val="0"/>
              </w:rPr>
              <w:t>4</w:t>
            </w:r>
          </w:p>
        </w:tc>
        <w:tc>
          <w:tcPr>
            <w:tcW w:w="501" w:type="pct"/>
            <w:tcBorders>
              <w:top w:val="single" w:color="000000" w:sz="2" w:space="0"/>
              <w:left w:val="single" w:color="000000" w:sz="2" w:space="0"/>
              <w:bottom w:val="single" w:color="000000" w:sz="2" w:space="0"/>
              <w:right w:val="single" w:color="000000" w:sz="2" w:space="0"/>
            </w:tcBorders>
            <w:shd w:val="clear" w:color="auto" w:fill="auto"/>
            <w:vAlign w:val="center"/>
          </w:tcPr>
          <w:p w14:paraId="0333D6AC">
            <w:pPr>
              <w:pStyle w:val="16"/>
            </w:pPr>
          </w:p>
        </w:tc>
        <w:tc>
          <w:tcPr>
            <w:tcW w:w="1497" w:type="pct"/>
            <w:tcBorders>
              <w:top w:val="single" w:color="000000" w:sz="2" w:space="0"/>
              <w:left w:val="single" w:color="000000" w:sz="2" w:space="0"/>
              <w:bottom w:val="single" w:color="000000" w:sz="2" w:space="0"/>
              <w:right w:val="single" w:color="auto" w:sz="12" w:space="0"/>
            </w:tcBorders>
            <w:shd w:val="clear" w:color="auto" w:fill="auto"/>
            <w:vAlign w:val="center"/>
          </w:tcPr>
          <w:p w14:paraId="76BF2A18">
            <w:pPr>
              <w:pStyle w:val="16"/>
            </w:pPr>
            <w:r>
              <w:t>自制或采购</w:t>
            </w:r>
          </w:p>
        </w:tc>
      </w:tr>
      <w:tr w14:paraId="1E4049FE">
        <w:tblPrEx>
          <w:tblBorders>
            <w:top w:val="single" w:color="auto" w:sz="12" w:space="0"/>
            <w:left w:val="single" w:color="auto" w:sz="12" w:space="0"/>
            <w:bottom w:val="single" w:color="auto" w:sz="12" w:space="0"/>
            <w:right w:val="single" w:color="auto" w:sz="12" w:space="0"/>
            <w:insideH w:val="single" w:color="000000" w:sz="2" w:space="0"/>
            <w:insideV w:val="single" w:color="000000" w:sz="2" w:space="0"/>
          </w:tblBorders>
          <w:tblCellMar>
            <w:top w:w="0" w:type="dxa"/>
            <w:left w:w="0" w:type="dxa"/>
            <w:bottom w:w="0" w:type="dxa"/>
            <w:right w:w="0" w:type="dxa"/>
          </w:tblCellMar>
        </w:tblPrEx>
        <w:trPr>
          <w:cantSplit/>
          <w:trHeight w:val="15" w:hRule="atLeast"/>
          <w:jc w:val="center"/>
        </w:trPr>
        <w:tc>
          <w:tcPr>
            <w:tcW w:w="518" w:type="pct"/>
            <w:tcBorders>
              <w:top w:val="single" w:color="000000" w:sz="2" w:space="0"/>
              <w:left w:val="single" w:color="auto" w:sz="12" w:space="0"/>
              <w:bottom w:val="single" w:color="auto" w:sz="12" w:space="0"/>
              <w:right w:val="single" w:color="000000" w:sz="2" w:space="0"/>
            </w:tcBorders>
            <w:shd w:val="clear" w:color="auto" w:fill="auto"/>
            <w:vAlign w:val="center"/>
          </w:tcPr>
          <w:p w14:paraId="72063B97">
            <w:pPr>
              <w:pStyle w:val="16"/>
              <w:numPr>
                <w:ilvl w:val="0"/>
                <w:numId w:val="20"/>
              </w:numPr>
            </w:pPr>
          </w:p>
        </w:tc>
        <w:tc>
          <w:tcPr>
            <w:tcW w:w="1238" w:type="pct"/>
            <w:tcBorders>
              <w:top w:val="single" w:color="000000" w:sz="2" w:space="0"/>
              <w:left w:val="single" w:color="000000" w:sz="2" w:space="0"/>
              <w:bottom w:val="single" w:color="auto" w:sz="12" w:space="0"/>
              <w:right w:val="single" w:color="000000" w:sz="2" w:space="0"/>
            </w:tcBorders>
            <w:shd w:val="clear" w:color="auto" w:fill="auto"/>
          </w:tcPr>
          <w:p w14:paraId="7429154D">
            <w:pPr>
              <w:pStyle w:val="16"/>
            </w:pPr>
            <w:r>
              <w:rPr>
                <w:rFonts w:hint="eastAsia"/>
              </w:rPr>
              <w:t>栏杆防护</w:t>
            </w:r>
          </w:p>
        </w:tc>
        <w:tc>
          <w:tcPr>
            <w:tcW w:w="745" w:type="pct"/>
            <w:tcBorders>
              <w:top w:val="single" w:color="000000" w:sz="2" w:space="0"/>
              <w:left w:val="single" w:color="000000" w:sz="2" w:space="0"/>
              <w:bottom w:val="single" w:color="auto" w:sz="12" w:space="0"/>
              <w:right w:val="single" w:color="000000" w:sz="2" w:space="0"/>
            </w:tcBorders>
            <w:shd w:val="clear" w:color="auto" w:fill="auto"/>
            <w:vAlign w:val="center"/>
          </w:tcPr>
          <w:p w14:paraId="67231824">
            <w:pPr>
              <w:pStyle w:val="16"/>
            </w:pPr>
          </w:p>
        </w:tc>
        <w:tc>
          <w:tcPr>
            <w:tcW w:w="501" w:type="pct"/>
            <w:tcBorders>
              <w:top w:val="single" w:color="000000" w:sz="2" w:space="0"/>
              <w:left w:val="single" w:color="000000" w:sz="2" w:space="0"/>
              <w:bottom w:val="single" w:color="auto" w:sz="12" w:space="0"/>
              <w:right w:val="single" w:color="000000" w:sz="2" w:space="0"/>
            </w:tcBorders>
            <w:shd w:val="clear" w:color="auto" w:fill="auto"/>
            <w:vAlign w:val="center"/>
          </w:tcPr>
          <w:p w14:paraId="48620FF1">
            <w:pPr>
              <w:pStyle w:val="16"/>
            </w:pPr>
          </w:p>
        </w:tc>
        <w:tc>
          <w:tcPr>
            <w:tcW w:w="501" w:type="pct"/>
            <w:tcBorders>
              <w:top w:val="single" w:color="000000" w:sz="2" w:space="0"/>
              <w:left w:val="single" w:color="000000" w:sz="2" w:space="0"/>
              <w:bottom w:val="single" w:color="auto" w:sz="12" w:space="0"/>
              <w:right w:val="single" w:color="000000" w:sz="2" w:space="0"/>
            </w:tcBorders>
            <w:shd w:val="clear" w:color="auto" w:fill="auto"/>
            <w:vAlign w:val="center"/>
          </w:tcPr>
          <w:p w14:paraId="750A7BD8">
            <w:pPr>
              <w:pStyle w:val="16"/>
            </w:pPr>
          </w:p>
        </w:tc>
        <w:tc>
          <w:tcPr>
            <w:tcW w:w="1497" w:type="pct"/>
            <w:tcBorders>
              <w:top w:val="single" w:color="000000" w:sz="2" w:space="0"/>
              <w:left w:val="single" w:color="000000" w:sz="2" w:space="0"/>
              <w:bottom w:val="single" w:color="auto" w:sz="12" w:space="0"/>
              <w:right w:val="single" w:color="auto" w:sz="12" w:space="0"/>
            </w:tcBorders>
            <w:shd w:val="clear" w:color="auto" w:fill="auto"/>
            <w:vAlign w:val="center"/>
          </w:tcPr>
          <w:p w14:paraId="2E3E11DE">
            <w:pPr>
              <w:pStyle w:val="16"/>
            </w:pPr>
            <w:r>
              <w:t>自制或采购</w:t>
            </w:r>
          </w:p>
        </w:tc>
      </w:tr>
    </w:tbl>
    <w:p w14:paraId="157D8E59">
      <w:pPr>
        <w:pStyle w:val="3"/>
      </w:pPr>
      <w:bookmarkStart w:id="64" w:name="_Toc5478"/>
      <w:r>
        <w:rPr>
          <w:rFonts w:hint="eastAsia"/>
        </w:rPr>
        <w:t>设备及工具计划</w:t>
      </w:r>
      <w:bookmarkEnd w:id="64"/>
    </w:p>
    <w:p w14:paraId="2EF188AC">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安拆使用的机械设备、工具、吊索具等详见</w:t>
      </w:r>
      <w:r>
        <w:fldChar w:fldCharType="begin"/>
      </w:r>
      <w:r>
        <w:instrText xml:space="preserve"> </w:instrText>
      </w:r>
      <w:r>
        <w:rPr>
          <w:rFonts w:hint="eastAsia"/>
        </w:rPr>
        <w:instrText xml:space="preserve">REF _Ref124174667 \h</w:instrText>
      </w:r>
      <w:r>
        <w:instrText xml:space="preserve"> </w:instrText>
      </w:r>
      <w:r>
        <w:fldChar w:fldCharType="separate"/>
      </w:r>
      <w:r>
        <w:rPr>
          <w:rFonts w:hint="eastAsia"/>
        </w:rPr>
        <w:t>表</w:t>
      </w:r>
      <w:r>
        <w:t>3.3</w:t>
      </w:r>
      <w:r>
        <w:rPr>
          <w:rFonts w:hint="eastAsia"/>
        </w:rPr>
        <w:t>-</w:t>
      </w:r>
      <w:r>
        <w:t>1</w:t>
      </w:r>
      <w:r>
        <w:fldChar w:fldCharType="end"/>
      </w:r>
      <w:r>
        <w:rPr>
          <w:rFonts w:hint="eastAsia"/>
        </w:rPr>
        <w:t>所示。</w:t>
      </w:r>
      <w:bookmarkStart w:id="65" w:name="_Toc40778436"/>
    </w:p>
    <w:p w14:paraId="08BCEA1C">
      <w:pPr>
        <w:pStyle w:val="15"/>
      </w:pPr>
      <w:bookmarkStart w:id="66" w:name="_Ref124174667"/>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3.3</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66"/>
      <w:r>
        <w:t xml:space="preserve"> </w:t>
      </w:r>
      <w:r>
        <w:rPr>
          <w:rFonts w:hint="eastAsia"/>
        </w:rPr>
        <w:t>设备计划表</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39"/>
        <w:gridCol w:w="2682"/>
        <w:gridCol w:w="2644"/>
        <w:gridCol w:w="740"/>
        <w:gridCol w:w="740"/>
        <w:gridCol w:w="977"/>
      </w:tblGrid>
      <w:tr w14:paraId="4850CE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tblHeader/>
          <w:jc w:val="center"/>
        </w:trPr>
        <w:tc>
          <w:tcPr>
            <w:tcW w:w="434" w:type="pct"/>
            <w:shd w:val="clear" w:color="auto" w:fill="auto"/>
            <w:vAlign w:val="center"/>
          </w:tcPr>
          <w:p w14:paraId="39FE4CD4">
            <w:pPr>
              <w:pStyle w:val="16"/>
              <w:rPr>
                <w:b/>
              </w:rPr>
            </w:pPr>
            <w:r>
              <w:rPr>
                <w:rFonts w:hint="eastAsia"/>
                <w:b/>
              </w:rPr>
              <w:t>序号</w:t>
            </w:r>
          </w:p>
        </w:tc>
        <w:tc>
          <w:tcPr>
            <w:tcW w:w="1574" w:type="pct"/>
            <w:shd w:val="clear" w:color="auto" w:fill="auto"/>
            <w:vAlign w:val="center"/>
          </w:tcPr>
          <w:p w14:paraId="6BD640D9">
            <w:pPr>
              <w:pStyle w:val="16"/>
              <w:rPr>
                <w:b/>
              </w:rPr>
            </w:pPr>
            <w:r>
              <w:rPr>
                <w:rFonts w:hint="eastAsia"/>
                <w:b/>
              </w:rPr>
              <w:t>名称</w:t>
            </w:r>
          </w:p>
        </w:tc>
        <w:tc>
          <w:tcPr>
            <w:tcW w:w="1551" w:type="pct"/>
            <w:shd w:val="clear" w:color="auto" w:fill="auto"/>
            <w:vAlign w:val="center"/>
          </w:tcPr>
          <w:p w14:paraId="1582AAE3">
            <w:pPr>
              <w:pStyle w:val="16"/>
              <w:rPr>
                <w:b/>
              </w:rPr>
            </w:pPr>
            <w:r>
              <w:rPr>
                <w:rFonts w:hint="eastAsia"/>
                <w:b/>
              </w:rPr>
              <w:t>规格型号</w:t>
            </w:r>
          </w:p>
        </w:tc>
        <w:tc>
          <w:tcPr>
            <w:tcW w:w="434" w:type="pct"/>
            <w:shd w:val="clear" w:color="auto" w:fill="auto"/>
            <w:vAlign w:val="center"/>
          </w:tcPr>
          <w:p w14:paraId="50E2893A">
            <w:pPr>
              <w:pStyle w:val="16"/>
              <w:rPr>
                <w:b/>
              </w:rPr>
            </w:pPr>
            <w:r>
              <w:rPr>
                <w:rFonts w:hint="eastAsia"/>
                <w:b/>
              </w:rPr>
              <w:t>数量</w:t>
            </w:r>
          </w:p>
        </w:tc>
        <w:tc>
          <w:tcPr>
            <w:tcW w:w="434" w:type="pct"/>
            <w:shd w:val="clear" w:color="auto" w:fill="auto"/>
            <w:vAlign w:val="center"/>
          </w:tcPr>
          <w:p w14:paraId="1DB749D8">
            <w:pPr>
              <w:pStyle w:val="16"/>
              <w:rPr>
                <w:b/>
              </w:rPr>
            </w:pPr>
            <w:r>
              <w:rPr>
                <w:rFonts w:hint="eastAsia"/>
                <w:b/>
              </w:rPr>
              <w:t>单位</w:t>
            </w:r>
          </w:p>
        </w:tc>
        <w:tc>
          <w:tcPr>
            <w:tcW w:w="573" w:type="pct"/>
            <w:shd w:val="clear" w:color="auto" w:fill="auto"/>
            <w:vAlign w:val="center"/>
          </w:tcPr>
          <w:p w14:paraId="1B9899CB">
            <w:pPr>
              <w:pStyle w:val="16"/>
              <w:rPr>
                <w:b/>
              </w:rPr>
            </w:pPr>
            <w:r>
              <w:rPr>
                <w:rFonts w:hint="eastAsia"/>
                <w:b/>
              </w:rPr>
              <w:t>备注</w:t>
            </w:r>
          </w:p>
        </w:tc>
      </w:tr>
      <w:tr w14:paraId="6E49FE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5F1572BA">
            <w:pPr>
              <w:pStyle w:val="16"/>
              <w:numPr>
                <w:ilvl w:val="0"/>
                <w:numId w:val="21"/>
              </w:numPr>
            </w:pPr>
          </w:p>
        </w:tc>
        <w:tc>
          <w:tcPr>
            <w:tcW w:w="1574" w:type="pct"/>
            <w:shd w:val="clear" w:color="auto" w:fill="auto"/>
            <w:vAlign w:val="center"/>
          </w:tcPr>
          <w:p w14:paraId="54DF2608">
            <w:pPr>
              <w:pStyle w:val="16"/>
            </w:pPr>
            <w:r>
              <w:fldChar w:fldCharType="begin"/>
            </w:r>
            <w:r>
              <w:instrText xml:space="preserve"> </w:instrText>
            </w:r>
            <w:r>
              <w:rPr>
                <w:rFonts w:hint="eastAsia"/>
              </w:rPr>
              <w:instrText xml:space="preserve">REF 起重设备1类型 \h</w:instrText>
            </w:r>
            <w:r>
              <w:instrText xml:space="preserve">  \* MERGEFORMAT </w:instrText>
            </w:r>
            <w:r>
              <w:fldChar w:fldCharType="separate"/>
            </w:r>
            <w:r>
              <w:rPr>
                <w:rFonts w:hint="eastAsia"/>
              </w:rPr>
              <w:t>塔式起重机</w:t>
            </w:r>
            <w:r>
              <w:fldChar w:fldCharType="end"/>
            </w:r>
          </w:p>
        </w:tc>
        <w:tc>
          <w:tcPr>
            <w:tcW w:w="1551" w:type="pct"/>
            <w:shd w:val="clear" w:color="auto" w:fill="auto"/>
            <w:vAlign w:val="center"/>
          </w:tcPr>
          <w:p w14:paraId="0FC2E04B">
            <w:pPr>
              <w:pStyle w:val="16"/>
            </w:pPr>
            <w:r>
              <w:fldChar w:fldCharType="begin"/>
            </w:r>
            <w:r>
              <w:instrText xml:space="preserve"> </w:instrText>
            </w:r>
            <w:r>
              <w:rPr>
                <w:rFonts w:hint="eastAsia"/>
              </w:rPr>
              <w:instrText xml:space="preserve">REF 起重设备1型号 \h</w:instrText>
            </w:r>
            <w:r>
              <w:instrText xml:space="preserve">  \* MERGEFORMAT </w:instrText>
            </w:r>
            <w:r>
              <w:fldChar w:fldCharType="separate"/>
            </w:r>
            <w:r>
              <w:rPr>
                <w:rFonts w:hint="eastAsia"/>
                <w:lang w:eastAsia="zh-CN"/>
              </w:rPr>
              <w:t>XGT8040A-25</w:t>
            </w:r>
            <w:r>
              <w:fldChar w:fldCharType="end"/>
            </w:r>
          </w:p>
        </w:tc>
        <w:tc>
          <w:tcPr>
            <w:tcW w:w="434" w:type="pct"/>
            <w:shd w:val="clear" w:color="auto" w:fill="auto"/>
            <w:vAlign w:val="center"/>
          </w:tcPr>
          <w:p w14:paraId="4223597D">
            <w:pPr>
              <w:pStyle w:val="16"/>
            </w:pPr>
            <w:r>
              <w:t>1</w:t>
            </w:r>
          </w:p>
        </w:tc>
        <w:tc>
          <w:tcPr>
            <w:tcW w:w="434" w:type="pct"/>
            <w:shd w:val="clear" w:color="auto" w:fill="auto"/>
            <w:vAlign w:val="center"/>
          </w:tcPr>
          <w:p w14:paraId="612CEBBF">
            <w:pPr>
              <w:pStyle w:val="16"/>
            </w:pPr>
            <w:r>
              <w:rPr>
                <w:rFonts w:hint="eastAsia"/>
              </w:rPr>
              <w:t>台</w:t>
            </w:r>
          </w:p>
        </w:tc>
        <w:tc>
          <w:tcPr>
            <w:tcW w:w="573" w:type="pct"/>
            <w:vMerge w:val="restart"/>
            <w:shd w:val="clear" w:color="auto" w:fill="auto"/>
            <w:vAlign w:val="center"/>
          </w:tcPr>
          <w:p w14:paraId="135CE857">
            <w:pPr>
              <w:pStyle w:val="16"/>
            </w:pPr>
            <w:r>
              <w:rPr>
                <w:rFonts w:hint="eastAsia"/>
              </w:rPr>
              <w:t>设备</w:t>
            </w:r>
          </w:p>
        </w:tc>
      </w:tr>
      <w:tr w14:paraId="0EF099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27C612E8">
            <w:pPr>
              <w:pStyle w:val="16"/>
              <w:numPr>
                <w:ilvl w:val="0"/>
                <w:numId w:val="21"/>
              </w:numPr>
            </w:pPr>
          </w:p>
        </w:tc>
        <w:tc>
          <w:tcPr>
            <w:tcW w:w="1574" w:type="pct"/>
            <w:shd w:val="clear" w:color="auto" w:fill="auto"/>
            <w:vAlign w:val="center"/>
          </w:tcPr>
          <w:p w14:paraId="74D02053">
            <w:pPr>
              <w:pStyle w:val="16"/>
            </w:pPr>
            <w:r>
              <w:rPr>
                <w:rFonts w:hint="eastAsia"/>
              </w:rPr>
              <w:t>交流电焊机</w:t>
            </w:r>
          </w:p>
        </w:tc>
        <w:tc>
          <w:tcPr>
            <w:tcW w:w="1551" w:type="pct"/>
            <w:shd w:val="clear" w:color="auto" w:fill="auto"/>
            <w:vAlign w:val="center"/>
          </w:tcPr>
          <w:p w14:paraId="6F750C62">
            <w:pPr>
              <w:pStyle w:val="16"/>
            </w:pPr>
          </w:p>
        </w:tc>
        <w:tc>
          <w:tcPr>
            <w:tcW w:w="434" w:type="pct"/>
            <w:shd w:val="clear" w:color="auto" w:fill="auto"/>
            <w:vAlign w:val="center"/>
          </w:tcPr>
          <w:p w14:paraId="7868EBBB">
            <w:pPr>
              <w:pStyle w:val="16"/>
            </w:pPr>
            <w:r>
              <w:t>1</w:t>
            </w:r>
          </w:p>
        </w:tc>
        <w:tc>
          <w:tcPr>
            <w:tcW w:w="434" w:type="pct"/>
            <w:shd w:val="clear" w:color="auto" w:fill="auto"/>
            <w:vAlign w:val="center"/>
          </w:tcPr>
          <w:p w14:paraId="6C2866EF">
            <w:pPr>
              <w:pStyle w:val="16"/>
            </w:pPr>
            <w:r>
              <w:rPr>
                <w:rFonts w:hint="eastAsia"/>
              </w:rPr>
              <w:t>台</w:t>
            </w:r>
          </w:p>
        </w:tc>
        <w:tc>
          <w:tcPr>
            <w:tcW w:w="573" w:type="pct"/>
            <w:vMerge w:val="continue"/>
            <w:shd w:val="clear" w:color="auto" w:fill="auto"/>
            <w:vAlign w:val="center"/>
          </w:tcPr>
          <w:p w14:paraId="6501BE5B">
            <w:pPr>
              <w:pStyle w:val="16"/>
            </w:pPr>
          </w:p>
        </w:tc>
      </w:tr>
      <w:tr w14:paraId="2460CE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0C06099E">
            <w:pPr>
              <w:pStyle w:val="16"/>
              <w:numPr>
                <w:ilvl w:val="0"/>
                <w:numId w:val="21"/>
              </w:numPr>
            </w:pPr>
          </w:p>
        </w:tc>
        <w:tc>
          <w:tcPr>
            <w:tcW w:w="1574" w:type="pct"/>
            <w:shd w:val="clear" w:color="auto" w:fill="auto"/>
            <w:vAlign w:val="center"/>
          </w:tcPr>
          <w:p w14:paraId="5EAB9F81">
            <w:pPr>
              <w:pStyle w:val="16"/>
            </w:pPr>
            <w:r>
              <w:rPr>
                <w:rFonts w:hint="eastAsia"/>
              </w:rPr>
              <w:t>氧气瓶</w:t>
            </w:r>
          </w:p>
        </w:tc>
        <w:tc>
          <w:tcPr>
            <w:tcW w:w="1551" w:type="pct"/>
            <w:shd w:val="clear" w:color="auto" w:fill="auto"/>
            <w:vAlign w:val="center"/>
          </w:tcPr>
          <w:p w14:paraId="7912FF09">
            <w:pPr>
              <w:pStyle w:val="16"/>
            </w:pPr>
          </w:p>
        </w:tc>
        <w:tc>
          <w:tcPr>
            <w:tcW w:w="434" w:type="pct"/>
            <w:shd w:val="clear" w:color="auto" w:fill="auto"/>
            <w:vAlign w:val="center"/>
          </w:tcPr>
          <w:p w14:paraId="68CF010A">
            <w:pPr>
              <w:pStyle w:val="16"/>
            </w:pPr>
            <w:r>
              <w:rPr>
                <w:rFonts w:hint="eastAsia"/>
              </w:rPr>
              <w:t>1</w:t>
            </w:r>
          </w:p>
        </w:tc>
        <w:tc>
          <w:tcPr>
            <w:tcW w:w="434" w:type="pct"/>
            <w:shd w:val="clear" w:color="auto" w:fill="auto"/>
            <w:vAlign w:val="center"/>
          </w:tcPr>
          <w:p w14:paraId="6867D7BD">
            <w:pPr>
              <w:pStyle w:val="16"/>
            </w:pPr>
            <w:r>
              <w:rPr>
                <w:rFonts w:hint="eastAsia"/>
              </w:rPr>
              <w:t>瓶</w:t>
            </w:r>
          </w:p>
        </w:tc>
        <w:tc>
          <w:tcPr>
            <w:tcW w:w="573" w:type="pct"/>
            <w:vMerge w:val="continue"/>
            <w:shd w:val="clear" w:color="auto" w:fill="auto"/>
            <w:vAlign w:val="center"/>
          </w:tcPr>
          <w:p w14:paraId="72CC5835">
            <w:pPr>
              <w:pStyle w:val="16"/>
            </w:pPr>
          </w:p>
        </w:tc>
      </w:tr>
      <w:tr w14:paraId="7DEB63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30D86E11">
            <w:pPr>
              <w:pStyle w:val="16"/>
              <w:numPr>
                <w:ilvl w:val="0"/>
                <w:numId w:val="21"/>
              </w:numPr>
            </w:pPr>
          </w:p>
        </w:tc>
        <w:tc>
          <w:tcPr>
            <w:tcW w:w="1574" w:type="pct"/>
            <w:shd w:val="clear" w:color="auto" w:fill="auto"/>
            <w:vAlign w:val="center"/>
          </w:tcPr>
          <w:p w14:paraId="7A035E2F">
            <w:pPr>
              <w:pStyle w:val="16"/>
            </w:pPr>
            <w:r>
              <w:rPr>
                <w:rFonts w:hint="eastAsia"/>
              </w:rPr>
              <w:t>乙炔气瓶</w:t>
            </w:r>
          </w:p>
        </w:tc>
        <w:tc>
          <w:tcPr>
            <w:tcW w:w="1551" w:type="pct"/>
            <w:shd w:val="clear" w:color="auto" w:fill="auto"/>
            <w:vAlign w:val="center"/>
          </w:tcPr>
          <w:p w14:paraId="6E41335F">
            <w:pPr>
              <w:pStyle w:val="16"/>
            </w:pPr>
          </w:p>
        </w:tc>
        <w:tc>
          <w:tcPr>
            <w:tcW w:w="434" w:type="pct"/>
            <w:shd w:val="clear" w:color="auto" w:fill="auto"/>
            <w:vAlign w:val="center"/>
          </w:tcPr>
          <w:p w14:paraId="565CBEEB">
            <w:pPr>
              <w:pStyle w:val="16"/>
            </w:pPr>
            <w:r>
              <w:rPr>
                <w:rFonts w:hint="eastAsia"/>
              </w:rPr>
              <w:t>1</w:t>
            </w:r>
          </w:p>
        </w:tc>
        <w:tc>
          <w:tcPr>
            <w:tcW w:w="434" w:type="pct"/>
            <w:shd w:val="clear" w:color="auto" w:fill="auto"/>
            <w:vAlign w:val="center"/>
          </w:tcPr>
          <w:p w14:paraId="3F151D81">
            <w:pPr>
              <w:pStyle w:val="16"/>
            </w:pPr>
            <w:r>
              <w:rPr>
                <w:rFonts w:hint="eastAsia"/>
              </w:rPr>
              <w:t>瓶</w:t>
            </w:r>
          </w:p>
        </w:tc>
        <w:tc>
          <w:tcPr>
            <w:tcW w:w="573" w:type="pct"/>
            <w:vMerge w:val="continue"/>
            <w:shd w:val="clear" w:color="auto" w:fill="auto"/>
            <w:vAlign w:val="center"/>
          </w:tcPr>
          <w:p w14:paraId="2819B96D">
            <w:pPr>
              <w:pStyle w:val="16"/>
            </w:pPr>
          </w:p>
        </w:tc>
      </w:tr>
      <w:tr w14:paraId="2D3428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14:paraId="6A907A47">
            <w:pPr>
              <w:pStyle w:val="16"/>
              <w:numPr>
                <w:ilvl w:val="0"/>
                <w:numId w:val="21"/>
              </w:numPr>
            </w:pPr>
          </w:p>
        </w:tc>
        <w:tc>
          <w:tcPr>
            <w:tcW w:w="1574" w:type="pct"/>
            <w:shd w:val="clear" w:color="auto" w:fill="auto"/>
            <w:vAlign w:val="center"/>
          </w:tcPr>
          <w:p w14:paraId="43AFDE8B">
            <w:pPr>
              <w:pStyle w:val="16"/>
            </w:pPr>
            <w:r>
              <w:rPr>
                <w:rFonts w:hint="eastAsia"/>
              </w:rPr>
              <w:t>钢丝绳</w:t>
            </w:r>
          </w:p>
        </w:tc>
        <w:tc>
          <w:tcPr>
            <w:tcW w:w="1551" w:type="pct"/>
            <w:shd w:val="clear" w:color="auto" w:fill="auto"/>
            <w:vAlign w:val="center"/>
          </w:tcPr>
          <w:p w14:paraId="4CF951C9">
            <w:pPr>
              <w:pStyle w:val="16"/>
            </w:pPr>
            <w:r>
              <w:fldChar w:fldCharType="begin"/>
            </w:r>
            <w:r>
              <w:instrText xml:space="preserve"> REF 吊装钢丝绳 \h  \* MERGEFORMAT </w:instrText>
            </w:r>
            <w:r>
              <w:fldChar w:fldCharType="separate"/>
            </w:r>
            <w:r>
              <w:t>20 6×37S-FC 1770</w:t>
            </w:r>
            <w:r>
              <w:fldChar w:fldCharType="end"/>
            </w:r>
          </w:p>
        </w:tc>
        <w:tc>
          <w:tcPr>
            <w:tcW w:w="434" w:type="pct"/>
            <w:shd w:val="clear" w:color="auto" w:fill="auto"/>
            <w:vAlign w:val="center"/>
          </w:tcPr>
          <w:p w14:paraId="13C37D50">
            <w:pPr>
              <w:pStyle w:val="16"/>
            </w:pPr>
            <w:r>
              <w:rPr>
                <w:rFonts w:hint="eastAsia"/>
              </w:rPr>
              <w:t>4</w:t>
            </w:r>
          </w:p>
        </w:tc>
        <w:tc>
          <w:tcPr>
            <w:tcW w:w="434" w:type="pct"/>
            <w:shd w:val="clear" w:color="auto" w:fill="auto"/>
            <w:vAlign w:val="center"/>
          </w:tcPr>
          <w:p w14:paraId="4DAB321D">
            <w:pPr>
              <w:pStyle w:val="16"/>
            </w:pPr>
            <w:r>
              <w:rPr>
                <w:rFonts w:hint="eastAsia"/>
              </w:rPr>
              <w:t>根</w:t>
            </w:r>
          </w:p>
        </w:tc>
        <w:tc>
          <w:tcPr>
            <w:tcW w:w="573" w:type="pct"/>
            <w:vMerge w:val="restart"/>
            <w:shd w:val="clear" w:color="auto" w:fill="auto"/>
            <w:vAlign w:val="center"/>
          </w:tcPr>
          <w:p w14:paraId="3BAE6A63">
            <w:pPr>
              <w:pStyle w:val="16"/>
            </w:pPr>
            <w:r>
              <w:rPr>
                <w:rFonts w:hint="eastAsia"/>
              </w:rPr>
              <w:t>吊索具</w:t>
            </w:r>
          </w:p>
        </w:tc>
      </w:tr>
      <w:tr w14:paraId="50EE2DA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14:paraId="515867D2">
            <w:pPr>
              <w:pStyle w:val="16"/>
              <w:numPr>
                <w:ilvl w:val="0"/>
                <w:numId w:val="21"/>
              </w:numPr>
            </w:pPr>
          </w:p>
        </w:tc>
        <w:tc>
          <w:tcPr>
            <w:tcW w:w="1574" w:type="pct"/>
            <w:shd w:val="clear" w:color="auto" w:fill="auto"/>
            <w:vAlign w:val="center"/>
          </w:tcPr>
          <w:p w14:paraId="4793CE49">
            <w:pPr>
              <w:pStyle w:val="16"/>
            </w:pPr>
            <w:r>
              <w:rPr>
                <w:rFonts w:hint="eastAsia"/>
              </w:rPr>
              <w:t>棕绳</w:t>
            </w:r>
          </w:p>
        </w:tc>
        <w:tc>
          <w:tcPr>
            <w:tcW w:w="1551" w:type="pct"/>
            <w:shd w:val="clear" w:color="auto" w:fill="auto"/>
            <w:vAlign w:val="center"/>
          </w:tcPr>
          <w:p w14:paraId="0C5DAF0C">
            <w:pPr>
              <w:pStyle w:val="16"/>
            </w:pPr>
          </w:p>
        </w:tc>
        <w:tc>
          <w:tcPr>
            <w:tcW w:w="434" w:type="pct"/>
            <w:shd w:val="clear" w:color="auto" w:fill="auto"/>
            <w:vAlign w:val="center"/>
          </w:tcPr>
          <w:p w14:paraId="011121C0">
            <w:pPr>
              <w:pStyle w:val="16"/>
            </w:pPr>
            <w:r>
              <w:rPr>
                <w:rFonts w:hint="eastAsia"/>
              </w:rPr>
              <w:t>2</w:t>
            </w:r>
          </w:p>
        </w:tc>
        <w:tc>
          <w:tcPr>
            <w:tcW w:w="434" w:type="pct"/>
            <w:shd w:val="clear" w:color="auto" w:fill="auto"/>
            <w:vAlign w:val="center"/>
          </w:tcPr>
          <w:p w14:paraId="094873AF">
            <w:pPr>
              <w:pStyle w:val="16"/>
            </w:pPr>
            <w:r>
              <w:rPr>
                <w:rFonts w:hint="eastAsia"/>
              </w:rPr>
              <w:t>捆</w:t>
            </w:r>
          </w:p>
        </w:tc>
        <w:tc>
          <w:tcPr>
            <w:tcW w:w="573" w:type="pct"/>
            <w:vMerge w:val="continue"/>
            <w:shd w:val="clear" w:color="auto" w:fill="auto"/>
            <w:vAlign w:val="center"/>
          </w:tcPr>
          <w:p w14:paraId="3B8AA524">
            <w:pPr>
              <w:pStyle w:val="16"/>
            </w:pPr>
          </w:p>
        </w:tc>
      </w:tr>
      <w:tr w14:paraId="2E9B17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top"/>
          </w:tcPr>
          <w:p w14:paraId="6BE16D30">
            <w:pPr>
              <w:pStyle w:val="16"/>
              <w:numPr>
                <w:ilvl w:val="0"/>
                <w:numId w:val="21"/>
              </w:numPr>
            </w:pPr>
          </w:p>
        </w:tc>
        <w:tc>
          <w:tcPr>
            <w:tcW w:w="1574" w:type="pct"/>
            <w:shd w:val="clear" w:color="auto" w:fill="auto"/>
            <w:vAlign w:val="center"/>
          </w:tcPr>
          <w:p w14:paraId="4226A972">
            <w:pPr>
              <w:pStyle w:val="16"/>
            </w:pPr>
            <w:r>
              <w:rPr>
                <w:rFonts w:hint="eastAsia"/>
              </w:rPr>
              <w:t>卸扣</w:t>
            </w:r>
          </w:p>
        </w:tc>
        <w:tc>
          <w:tcPr>
            <w:tcW w:w="1551" w:type="pct"/>
            <w:shd w:val="clear" w:color="auto" w:fill="auto"/>
            <w:vAlign w:val="center"/>
          </w:tcPr>
          <w:p w14:paraId="603F608A">
            <w:pPr>
              <w:pStyle w:val="16"/>
            </w:pPr>
            <w:r>
              <w:fldChar w:fldCharType="begin"/>
            </w:r>
            <w:r>
              <w:instrText xml:space="preserve"> REF 吊装卸扣 \h  \* MERGEFORMAT </w:instrText>
            </w:r>
            <w:r>
              <w:fldChar w:fldCharType="separate"/>
            </w:r>
            <w:r>
              <w:t>GB/T 25854-6-B</w:t>
            </w:r>
            <w:r>
              <w:rPr>
                <w:rFonts w:hint="eastAsia"/>
              </w:rPr>
              <w:t>W</w:t>
            </w:r>
            <w:r>
              <w:t>1.6</w:t>
            </w:r>
            <w:r>
              <w:fldChar w:fldCharType="end"/>
            </w:r>
          </w:p>
        </w:tc>
        <w:tc>
          <w:tcPr>
            <w:tcW w:w="434" w:type="pct"/>
            <w:shd w:val="clear" w:color="auto" w:fill="auto"/>
            <w:vAlign w:val="center"/>
          </w:tcPr>
          <w:p w14:paraId="7A677E13">
            <w:pPr>
              <w:pStyle w:val="16"/>
            </w:pPr>
            <w:r>
              <w:rPr>
                <w:rFonts w:hint="eastAsia"/>
              </w:rPr>
              <w:t>4</w:t>
            </w:r>
          </w:p>
        </w:tc>
        <w:tc>
          <w:tcPr>
            <w:tcW w:w="434" w:type="pct"/>
            <w:shd w:val="clear" w:color="auto" w:fill="auto"/>
            <w:vAlign w:val="center"/>
          </w:tcPr>
          <w:p w14:paraId="6F5C86FA">
            <w:pPr>
              <w:pStyle w:val="16"/>
            </w:pPr>
            <w:r>
              <w:rPr>
                <w:rFonts w:hint="eastAsia"/>
              </w:rPr>
              <w:t>个</w:t>
            </w:r>
          </w:p>
        </w:tc>
        <w:tc>
          <w:tcPr>
            <w:tcW w:w="573" w:type="pct"/>
            <w:vMerge w:val="continue"/>
            <w:shd w:val="clear" w:color="auto" w:fill="auto"/>
            <w:vAlign w:val="center"/>
          </w:tcPr>
          <w:p w14:paraId="4BB30A33">
            <w:pPr>
              <w:pStyle w:val="16"/>
            </w:pPr>
          </w:p>
        </w:tc>
      </w:tr>
      <w:tr w14:paraId="216D1B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4A4530B0">
            <w:pPr>
              <w:pStyle w:val="16"/>
              <w:numPr>
                <w:ilvl w:val="0"/>
                <w:numId w:val="21"/>
              </w:numPr>
            </w:pPr>
          </w:p>
        </w:tc>
        <w:tc>
          <w:tcPr>
            <w:tcW w:w="1574" w:type="pct"/>
            <w:shd w:val="clear" w:color="auto" w:fill="auto"/>
            <w:vAlign w:val="center"/>
          </w:tcPr>
          <w:p w14:paraId="5B69A6C7">
            <w:pPr>
              <w:pStyle w:val="16"/>
            </w:pPr>
            <w:r>
              <w:rPr>
                <w:rFonts w:hint="eastAsia"/>
              </w:rPr>
              <w:t>手锤</w:t>
            </w:r>
          </w:p>
        </w:tc>
        <w:tc>
          <w:tcPr>
            <w:tcW w:w="1551" w:type="pct"/>
            <w:shd w:val="clear" w:color="auto" w:fill="auto"/>
            <w:vAlign w:val="center"/>
          </w:tcPr>
          <w:p w14:paraId="7F300E22">
            <w:pPr>
              <w:pStyle w:val="16"/>
            </w:pPr>
            <w:r>
              <w:rPr>
                <w:rFonts w:hint="eastAsia"/>
              </w:rPr>
              <w:t>16磅</w:t>
            </w:r>
          </w:p>
        </w:tc>
        <w:tc>
          <w:tcPr>
            <w:tcW w:w="434" w:type="pct"/>
            <w:shd w:val="clear" w:color="auto" w:fill="auto"/>
            <w:vAlign w:val="center"/>
          </w:tcPr>
          <w:p w14:paraId="719B397E">
            <w:pPr>
              <w:pStyle w:val="16"/>
            </w:pPr>
            <w:r>
              <w:rPr>
                <w:rFonts w:hint="eastAsia"/>
              </w:rPr>
              <w:t>2</w:t>
            </w:r>
          </w:p>
        </w:tc>
        <w:tc>
          <w:tcPr>
            <w:tcW w:w="434" w:type="pct"/>
            <w:shd w:val="clear" w:color="auto" w:fill="auto"/>
            <w:vAlign w:val="center"/>
          </w:tcPr>
          <w:p w14:paraId="6AF97C73">
            <w:pPr>
              <w:pStyle w:val="16"/>
            </w:pPr>
            <w:r>
              <w:rPr>
                <w:rFonts w:hint="eastAsia"/>
              </w:rPr>
              <w:t>把</w:t>
            </w:r>
          </w:p>
        </w:tc>
        <w:tc>
          <w:tcPr>
            <w:tcW w:w="573" w:type="pct"/>
            <w:vMerge w:val="restart"/>
            <w:shd w:val="clear" w:color="auto" w:fill="auto"/>
            <w:vAlign w:val="center"/>
          </w:tcPr>
          <w:p w14:paraId="0028345A">
            <w:pPr>
              <w:pStyle w:val="16"/>
            </w:pPr>
            <w:r>
              <w:rPr>
                <w:rFonts w:hint="eastAsia"/>
              </w:rPr>
              <w:t>工具</w:t>
            </w:r>
          </w:p>
        </w:tc>
      </w:tr>
      <w:tr w14:paraId="4E7925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10DEC62A">
            <w:pPr>
              <w:pStyle w:val="16"/>
              <w:numPr>
                <w:ilvl w:val="0"/>
                <w:numId w:val="21"/>
              </w:numPr>
            </w:pPr>
          </w:p>
        </w:tc>
        <w:tc>
          <w:tcPr>
            <w:tcW w:w="1574" w:type="pct"/>
            <w:shd w:val="clear" w:color="auto" w:fill="auto"/>
            <w:vAlign w:val="center"/>
          </w:tcPr>
          <w:p w14:paraId="4D6501F0">
            <w:pPr>
              <w:pStyle w:val="16"/>
            </w:pPr>
            <w:r>
              <w:rPr>
                <w:rFonts w:hint="eastAsia"/>
              </w:rPr>
              <w:t>手锤</w:t>
            </w:r>
          </w:p>
        </w:tc>
        <w:tc>
          <w:tcPr>
            <w:tcW w:w="1551" w:type="pct"/>
            <w:shd w:val="clear" w:color="auto" w:fill="auto"/>
            <w:vAlign w:val="center"/>
          </w:tcPr>
          <w:p w14:paraId="3708355F">
            <w:pPr>
              <w:pStyle w:val="16"/>
            </w:pPr>
            <w:r>
              <w:t>2</w:t>
            </w:r>
            <w:r>
              <w:rPr>
                <w:rFonts w:hint="eastAsia"/>
              </w:rPr>
              <w:t>磅</w:t>
            </w:r>
          </w:p>
        </w:tc>
        <w:tc>
          <w:tcPr>
            <w:tcW w:w="434" w:type="pct"/>
            <w:shd w:val="clear" w:color="auto" w:fill="auto"/>
            <w:vAlign w:val="center"/>
          </w:tcPr>
          <w:p w14:paraId="50F4478A">
            <w:pPr>
              <w:pStyle w:val="16"/>
            </w:pPr>
            <w:r>
              <w:rPr>
                <w:rFonts w:hint="eastAsia"/>
              </w:rPr>
              <w:t>4</w:t>
            </w:r>
          </w:p>
        </w:tc>
        <w:tc>
          <w:tcPr>
            <w:tcW w:w="434" w:type="pct"/>
            <w:shd w:val="clear" w:color="auto" w:fill="auto"/>
            <w:vAlign w:val="center"/>
          </w:tcPr>
          <w:p w14:paraId="466964A8">
            <w:pPr>
              <w:pStyle w:val="16"/>
            </w:pPr>
            <w:r>
              <w:rPr>
                <w:rFonts w:hint="eastAsia"/>
              </w:rPr>
              <w:t>把</w:t>
            </w:r>
          </w:p>
        </w:tc>
        <w:tc>
          <w:tcPr>
            <w:tcW w:w="573" w:type="pct"/>
            <w:vMerge w:val="continue"/>
            <w:shd w:val="clear" w:color="auto" w:fill="auto"/>
            <w:vAlign w:val="center"/>
          </w:tcPr>
          <w:p w14:paraId="54474D9B">
            <w:pPr>
              <w:pStyle w:val="16"/>
            </w:pPr>
          </w:p>
        </w:tc>
      </w:tr>
      <w:tr w14:paraId="170594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455AA886">
            <w:pPr>
              <w:pStyle w:val="16"/>
              <w:numPr>
                <w:ilvl w:val="0"/>
                <w:numId w:val="21"/>
              </w:numPr>
            </w:pPr>
          </w:p>
        </w:tc>
        <w:tc>
          <w:tcPr>
            <w:tcW w:w="1574" w:type="pct"/>
            <w:shd w:val="clear" w:color="auto" w:fill="auto"/>
            <w:vAlign w:val="center"/>
          </w:tcPr>
          <w:p w14:paraId="41FFEE20">
            <w:pPr>
              <w:pStyle w:val="16"/>
            </w:pPr>
            <w:r>
              <w:rPr>
                <w:rFonts w:hint="eastAsia"/>
              </w:rPr>
              <w:t>活络板手</w:t>
            </w:r>
          </w:p>
        </w:tc>
        <w:tc>
          <w:tcPr>
            <w:tcW w:w="1551" w:type="pct"/>
            <w:shd w:val="clear" w:color="auto" w:fill="auto"/>
            <w:vAlign w:val="center"/>
          </w:tcPr>
          <w:p w14:paraId="125F2C7A">
            <w:pPr>
              <w:pStyle w:val="16"/>
            </w:pPr>
            <w:r>
              <w:rPr>
                <w:rFonts w:hint="eastAsia"/>
              </w:rPr>
              <w:t>12寸</w:t>
            </w:r>
          </w:p>
        </w:tc>
        <w:tc>
          <w:tcPr>
            <w:tcW w:w="434" w:type="pct"/>
            <w:shd w:val="clear" w:color="auto" w:fill="auto"/>
            <w:vAlign w:val="center"/>
          </w:tcPr>
          <w:p w14:paraId="6839F88B">
            <w:pPr>
              <w:pStyle w:val="16"/>
            </w:pPr>
            <w:r>
              <w:rPr>
                <w:rFonts w:hint="eastAsia"/>
              </w:rPr>
              <w:t>4</w:t>
            </w:r>
          </w:p>
        </w:tc>
        <w:tc>
          <w:tcPr>
            <w:tcW w:w="434" w:type="pct"/>
            <w:shd w:val="clear" w:color="auto" w:fill="auto"/>
            <w:vAlign w:val="center"/>
          </w:tcPr>
          <w:p w14:paraId="1300DD7E">
            <w:pPr>
              <w:pStyle w:val="16"/>
            </w:pPr>
            <w:r>
              <w:rPr>
                <w:rFonts w:hint="eastAsia"/>
              </w:rPr>
              <w:t>把</w:t>
            </w:r>
          </w:p>
        </w:tc>
        <w:tc>
          <w:tcPr>
            <w:tcW w:w="573" w:type="pct"/>
            <w:vMerge w:val="continue"/>
            <w:shd w:val="clear" w:color="auto" w:fill="auto"/>
            <w:vAlign w:val="center"/>
          </w:tcPr>
          <w:p w14:paraId="233DDAF4">
            <w:pPr>
              <w:pStyle w:val="16"/>
            </w:pPr>
          </w:p>
        </w:tc>
      </w:tr>
      <w:tr w14:paraId="4AD1F0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0AE91765">
            <w:pPr>
              <w:pStyle w:val="16"/>
              <w:numPr>
                <w:ilvl w:val="0"/>
                <w:numId w:val="21"/>
              </w:numPr>
            </w:pPr>
          </w:p>
        </w:tc>
        <w:tc>
          <w:tcPr>
            <w:tcW w:w="1574" w:type="pct"/>
            <w:shd w:val="clear" w:color="auto" w:fill="auto"/>
            <w:vAlign w:val="center"/>
          </w:tcPr>
          <w:p w14:paraId="2B333A4F">
            <w:pPr>
              <w:pStyle w:val="16"/>
            </w:pPr>
            <w:r>
              <w:rPr>
                <w:rFonts w:hint="eastAsia"/>
              </w:rPr>
              <w:t>活络板手</w:t>
            </w:r>
          </w:p>
        </w:tc>
        <w:tc>
          <w:tcPr>
            <w:tcW w:w="1551" w:type="pct"/>
            <w:shd w:val="clear" w:color="auto" w:fill="auto"/>
            <w:vAlign w:val="center"/>
          </w:tcPr>
          <w:p w14:paraId="6750C083">
            <w:pPr>
              <w:pStyle w:val="16"/>
            </w:pPr>
            <w:r>
              <w:rPr>
                <w:rFonts w:hint="eastAsia"/>
              </w:rPr>
              <w:t>1</w:t>
            </w:r>
            <w:r>
              <w:t>0</w:t>
            </w:r>
            <w:r>
              <w:rPr>
                <w:rFonts w:hint="eastAsia"/>
              </w:rPr>
              <w:t>寸</w:t>
            </w:r>
          </w:p>
        </w:tc>
        <w:tc>
          <w:tcPr>
            <w:tcW w:w="434" w:type="pct"/>
            <w:shd w:val="clear" w:color="auto" w:fill="auto"/>
            <w:vAlign w:val="center"/>
          </w:tcPr>
          <w:p w14:paraId="1FF65D4C">
            <w:pPr>
              <w:pStyle w:val="16"/>
            </w:pPr>
            <w:r>
              <w:rPr>
                <w:rFonts w:hint="eastAsia"/>
              </w:rPr>
              <w:t>4</w:t>
            </w:r>
          </w:p>
        </w:tc>
        <w:tc>
          <w:tcPr>
            <w:tcW w:w="434" w:type="pct"/>
            <w:shd w:val="clear" w:color="auto" w:fill="auto"/>
            <w:vAlign w:val="center"/>
          </w:tcPr>
          <w:p w14:paraId="4966022D">
            <w:pPr>
              <w:pStyle w:val="16"/>
            </w:pPr>
            <w:r>
              <w:rPr>
                <w:rFonts w:hint="eastAsia"/>
              </w:rPr>
              <w:t>把</w:t>
            </w:r>
          </w:p>
        </w:tc>
        <w:tc>
          <w:tcPr>
            <w:tcW w:w="573" w:type="pct"/>
            <w:vMerge w:val="continue"/>
            <w:shd w:val="clear" w:color="auto" w:fill="auto"/>
            <w:vAlign w:val="center"/>
          </w:tcPr>
          <w:p w14:paraId="696E62D2">
            <w:pPr>
              <w:pStyle w:val="16"/>
            </w:pPr>
          </w:p>
        </w:tc>
      </w:tr>
      <w:tr w14:paraId="7F1BB5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50696E54">
            <w:pPr>
              <w:pStyle w:val="16"/>
              <w:numPr>
                <w:ilvl w:val="0"/>
                <w:numId w:val="21"/>
              </w:numPr>
            </w:pPr>
          </w:p>
        </w:tc>
        <w:tc>
          <w:tcPr>
            <w:tcW w:w="1574" w:type="pct"/>
            <w:shd w:val="clear" w:color="auto" w:fill="auto"/>
            <w:vAlign w:val="center"/>
          </w:tcPr>
          <w:p w14:paraId="77BA5D23">
            <w:pPr>
              <w:pStyle w:val="16"/>
            </w:pPr>
            <w:r>
              <w:rPr>
                <w:rFonts w:hint="eastAsia"/>
              </w:rPr>
              <w:t>专用扳手</w:t>
            </w:r>
          </w:p>
        </w:tc>
        <w:tc>
          <w:tcPr>
            <w:tcW w:w="1551" w:type="pct"/>
            <w:shd w:val="clear" w:color="auto" w:fill="auto"/>
            <w:vAlign w:val="center"/>
          </w:tcPr>
          <w:p w14:paraId="4393F2A3">
            <w:pPr>
              <w:pStyle w:val="16"/>
            </w:pPr>
          </w:p>
        </w:tc>
        <w:tc>
          <w:tcPr>
            <w:tcW w:w="434" w:type="pct"/>
            <w:shd w:val="clear" w:color="auto" w:fill="auto"/>
            <w:vAlign w:val="center"/>
          </w:tcPr>
          <w:p w14:paraId="1DD038D9">
            <w:pPr>
              <w:pStyle w:val="16"/>
            </w:pPr>
            <w:r>
              <w:rPr>
                <w:rFonts w:hint="eastAsia"/>
              </w:rPr>
              <w:t>4</w:t>
            </w:r>
          </w:p>
        </w:tc>
        <w:tc>
          <w:tcPr>
            <w:tcW w:w="434" w:type="pct"/>
            <w:shd w:val="clear" w:color="auto" w:fill="auto"/>
            <w:vAlign w:val="center"/>
          </w:tcPr>
          <w:p w14:paraId="5821AA4F">
            <w:pPr>
              <w:pStyle w:val="16"/>
            </w:pPr>
            <w:r>
              <w:rPr>
                <w:rFonts w:hint="eastAsia"/>
              </w:rPr>
              <w:t>把</w:t>
            </w:r>
          </w:p>
        </w:tc>
        <w:tc>
          <w:tcPr>
            <w:tcW w:w="573" w:type="pct"/>
            <w:vMerge w:val="continue"/>
            <w:shd w:val="clear" w:color="auto" w:fill="auto"/>
            <w:vAlign w:val="center"/>
          </w:tcPr>
          <w:p w14:paraId="1E8F6B7F">
            <w:pPr>
              <w:pStyle w:val="16"/>
            </w:pPr>
          </w:p>
        </w:tc>
      </w:tr>
      <w:tr w14:paraId="158CD3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0FD97E25">
            <w:pPr>
              <w:pStyle w:val="16"/>
              <w:numPr>
                <w:ilvl w:val="0"/>
                <w:numId w:val="21"/>
              </w:numPr>
            </w:pPr>
          </w:p>
        </w:tc>
        <w:tc>
          <w:tcPr>
            <w:tcW w:w="1574" w:type="pct"/>
            <w:shd w:val="clear" w:color="auto" w:fill="auto"/>
            <w:vAlign w:val="center"/>
          </w:tcPr>
          <w:p w14:paraId="25C90B70">
            <w:pPr>
              <w:pStyle w:val="16"/>
            </w:pPr>
            <w:r>
              <w:rPr>
                <w:rFonts w:hint="eastAsia"/>
              </w:rPr>
              <w:t>钢丝钳</w:t>
            </w:r>
          </w:p>
        </w:tc>
        <w:tc>
          <w:tcPr>
            <w:tcW w:w="1551" w:type="pct"/>
            <w:shd w:val="clear" w:color="auto" w:fill="auto"/>
            <w:vAlign w:val="center"/>
          </w:tcPr>
          <w:p w14:paraId="2CC891CB">
            <w:pPr>
              <w:pStyle w:val="16"/>
            </w:pPr>
            <w:r>
              <w:t>6</w:t>
            </w:r>
            <w:r>
              <w:rPr>
                <w:rFonts w:hint="eastAsia"/>
              </w:rPr>
              <w:t>寸</w:t>
            </w:r>
          </w:p>
        </w:tc>
        <w:tc>
          <w:tcPr>
            <w:tcW w:w="434" w:type="pct"/>
            <w:shd w:val="clear" w:color="auto" w:fill="auto"/>
            <w:vAlign w:val="center"/>
          </w:tcPr>
          <w:p w14:paraId="258DE4E0">
            <w:pPr>
              <w:pStyle w:val="16"/>
            </w:pPr>
            <w:r>
              <w:t>2</w:t>
            </w:r>
          </w:p>
        </w:tc>
        <w:tc>
          <w:tcPr>
            <w:tcW w:w="434" w:type="pct"/>
            <w:shd w:val="clear" w:color="auto" w:fill="auto"/>
            <w:vAlign w:val="center"/>
          </w:tcPr>
          <w:p w14:paraId="4F922DD4">
            <w:pPr>
              <w:pStyle w:val="16"/>
            </w:pPr>
            <w:r>
              <w:rPr>
                <w:rFonts w:hint="eastAsia"/>
              </w:rPr>
              <w:t>把</w:t>
            </w:r>
          </w:p>
        </w:tc>
        <w:tc>
          <w:tcPr>
            <w:tcW w:w="573" w:type="pct"/>
            <w:vMerge w:val="continue"/>
            <w:shd w:val="clear" w:color="auto" w:fill="auto"/>
            <w:vAlign w:val="center"/>
          </w:tcPr>
          <w:p w14:paraId="35F510A8">
            <w:pPr>
              <w:pStyle w:val="16"/>
            </w:pPr>
          </w:p>
        </w:tc>
      </w:tr>
      <w:tr w14:paraId="611640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1025205B">
            <w:pPr>
              <w:pStyle w:val="16"/>
              <w:numPr>
                <w:ilvl w:val="0"/>
                <w:numId w:val="21"/>
              </w:numPr>
            </w:pPr>
          </w:p>
        </w:tc>
        <w:tc>
          <w:tcPr>
            <w:tcW w:w="1574" w:type="pct"/>
            <w:shd w:val="clear" w:color="auto" w:fill="auto"/>
            <w:vAlign w:val="center"/>
          </w:tcPr>
          <w:p w14:paraId="7B56EEBD">
            <w:pPr>
              <w:pStyle w:val="16"/>
            </w:pPr>
            <w:r>
              <w:rPr>
                <w:rFonts w:hint="eastAsia"/>
              </w:rPr>
              <w:t>撬棒</w:t>
            </w:r>
          </w:p>
        </w:tc>
        <w:tc>
          <w:tcPr>
            <w:tcW w:w="1551" w:type="pct"/>
            <w:shd w:val="clear" w:color="auto" w:fill="auto"/>
            <w:vAlign w:val="center"/>
          </w:tcPr>
          <w:p w14:paraId="5111C4E4">
            <w:pPr>
              <w:pStyle w:val="16"/>
            </w:pPr>
            <w:r>
              <w:t>φ</w:t>
            </w:r>
            <w:r>
              <w:rPr>
                <w:rFonts w:hint="eastAsia"/>
              </w:rPr>
              <w:t>25×800</w:t>
            </w:r>
          </w:p>
        </w:tc>
        <w:tc>
          <w:tcPr>
            <w:tcW w:w="434" w:type="pct"/>
            <w:shd w:val="clear" w:color="auto" w:fill="auto"/>
            <w:vAlign w:val="center"/>
          </w:tcPr>
          <w:p w14:paraId="31BB3EF6">
            <w:pPr>
              <w:pStyle w:val="16"/>
            </w:pPr>
            <w:r>
              <w:rPr>
                <w:rFonts w:hint="eastAsia"/>
                <w:kern w:val="0"/>
              </w:rPr>
              <w:t>2</w:t>
            </w:r>
          </w:p>
        </w:tc>
        <w:tc>
          <w:tcPr>
            <w:tcW w:w="434" w:type="pct"/>
            <w:shd w:val="clear" w:color="auto" w:fill="auto"/>
            <w:vAlign w:val="center"/>
          </w:tcPr>
          <w:p w14:paraId="776B3EED">
            <w:pPr>
              <w:pStyle w:val="16"/>
            </w:pPr>
            <w:r>
              <w:rPr>
                <w:rFonts w:hint="eastAsia"/>
              </w:rPr>
              <w:t>把</w:t>
            </w:r>
          </w:p>
        </w:tc>
        <w:tc>
          <w:tcPr>
            <w:tcW w:w="573" w:type="pct"/>
            <w:vMerge w:val="continue"/>
            <w:shd w:val="clear" w:color="auto" w:fill="auto"/>
            <w:vAlign w:val="center"/>
          </w:tcPr>
          <w:p w14:paraId="685A08F3">
            <w:pPr>
              <w:pStyle w:val="16"/>
            </w:pPr>
          </w:p>
        </w:tc>
      </w:tr>
      <w:tr w14:paraId="057D0E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3824C09D">
            <w:pPr>
              <w:pStyle w:val="16"/>
              <w:numPr>
                <w:ilvl w:val="0"/>
                <w:numId w:val="21"/>
              </w:numPr>
            </w:pPr>
          </w:p>
        </w:tc>
        <w:tc>
          <w:tcPr>
            <w:tcW w:w="1574" w:type="pct"/>
            <w:shd w:val="clear" w:color="auto" w:fill="auto"/>
            <w:vAlign w:val="center"/>
          </w:tcPr>
          <w:p w14:paraId="74FE24D8">
            <w:pPr>
              <w:pStyle w:val="16"/>
            </w:pPr>
            <w:r>
              <w:rPr>
                <w:rFonts w:hint="eastAsia"/>
              </w:rPr>
              <w:t>经纬仪</w:t>
            </w:r>
          </w:p>
        </w:tc>
        <w:tc>
          <w:tcPr>
            <w:tcW w:w="1551" w:type="pct"/>
            <w:shd w:val="clear" w:color="auto" w:fill="auto"/>
            <w:vAlign w:val="center"/>
          </w:tcPr>
          <w:p w14:paraId="54D85C31">
            <w:pPr>
              <w:pStyle w:val="16"/>
            </w:pPr>
          </w:p>
        </w:tc>
        <w:tc>
          <w:tcPr>
            <w:tcW w:w="434" w:type="pct"/>
            <w:shd w:val="clear" w:color="auto" w:fill="auto"/>
            <w:vAlign w:val="center"/>
          </w:tcPr>
          <w:p w14:paraId="0B55A908">
            <w:pPr>
              <w:pStyle w:val="16"/>
            </w:pPr>
            <w:r>
              <w:rPr>
                <w:rFonts w:hint="eastAsia"/>
              </w:rPr>
              <w:t>2</w:t>
            </w:r>
          </w:p>
        </w:tc>
        <w:tc>
          <w:tcPr>
            <w:tcW w:w="434" w:type="pct"/>
            <w:shd w:val="clear" w:color="auto" w:fill="auto"/>
            <w:vAlign w:val="center"/>
          </w:tcPr>
          <w:p w14:paraId="70425A97">
            <w:pPr>
              <w:pStyle w:val="16"/>
            </w:pPr>
            <w:r>
              <w:rPr>
                <w:rFonts w:hint="eastAsia"/>
              </w:rPr>
              <w:t>台</w:t>
            </w:r>
          </w:p>
        </w:tc>
        <w:tc>
          <w:tcPr>
            <w:tcW w:w="573" w:type="pct"/>
            <w:vMerge w:val="continue"/>
            <w:shd w:val="clear" w:color="auto" w:fill="auto"/>
            <w:vAlign w:val="center"/>
          </w:tcPr>
          <w:p w14:paraId="3C9A4605">
            <w:pPr>
              <w:pStyle w:val="16"/>
            </w:pPr>
          </w:p>
        </w:tc>
      </w:tr>
      <w:tr w14:paraId="60AC8B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718D5A9F">
            <w:pPr>
              <w:pStyle w:val="16"/>
              <w:numPr>
                <w:ilvl w:val="0"/>
                <w:numId w:val="21"/>
              </w:numPr>
            </w:pPr>
          </w:p>
        </w:tc>
        <w:tc>
          <w:tcPr>
            <w:tcW w:w="1574" w:type="pct"/>
            <w:shd w:val="clear" w:color="auto" w:fill="auto"/>
            <w:vAlign w:val="center"/>
          </w:tcPr>
          <w:p w14:paraId="56DA71A8">
            <w:pPr>
              <w:pStyle w:val="16"/>
            </w:pPr>
            <w:r>
              <w:rPr>
                <w:rFonts w:hint="eastAsia"/>
              </w:rPr>
              <w:t>水准仪</w:t>
            </w:r>
          </w:p>
        </w:tc>
        <w:tc>
          <w:tcPr>
            <w:tcW w:w="1551" w:type="pct"/>
            <w:shd w:val="clear" w:color="auto" w:fill="auto"/>
            <w:vAlign w:val="center"/>
          </w:tcPr>
          <w:p w14:paraId="15472974">
            <w:pPr>
              <w:pStyle w:val="16"/>
            </w:pPr>
          </w:p>
        </w:tc>
        <w:tc>
          <w:tcPr>
            <w:tcW w:w="434" w:type="pct"/>
            <w:shd w:val="clear" w:color="auto" w:fill="auto"/>
            <w:vAlign w:val="center"/>
          </w:tcPr>
          <w:p w14:paraId="660DFE70">
            <w:pPr>
              <w:pStyle w:val="16"/>
            </w:pPr>
            <w:r>
              <w:t>2</w:t>
            </w:r>
          </w:p>
        </w:tc>
        <w:tc>
          <w:tcPr>
            <w:tcW w:w="434" w:type="pct"/>
            <w:shd w:val="clear" w:color="auto" w:fill="auto"/>
            <w:vAlign w:val="center"/>
          </w:tcPr>
          <w:p w14:paraId="41E6EA7A">
            <w:pPr>
              <w:pStyle w:val="16"/>
            </w:pPr>
            <w:r>
              <w:rPr>
                <w:rFonts w:hint="eastAsia"/>
              </w:rPr>
              <w:t>台</w:t>
            </w:r>
          </w:p>
        </w:tc>
        <w:tc>
          <w:tcPr>
            <w:tcW w:w="573" w:type="pct"/>
            <w:vMerge w:val="continue"/>
            <w:shd w:val="clear" w:color="auto" w:fill="auto"/>
            <w:vAlign w:val="center"/>
          </w:tcPr>
          <w:p w14:paraId="52BE115A">
            <w:pPr>
              <w:pStyle w:val="16"/>
            </w:pPr>
          </w:p>
        </w:tc>
      </w:tr>
      <w:tr w14:paraId="72CCE5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48E7400D">
            <w:pPr>
              <w:pStyle w:val="16"/>
              <w:numPr>
                <w:ilvl w:val="0"/>
                <w:numId w:val="21"/>
              </w:numPr>
            </w:pPr>
          </w:p>
        </w:tc>
        <w:tc>
          <w:tcPr>
            <w:tcW w:w="1574" w:type="pct"/>
            <w:shd w:val="clear" w:color="auto" w:fill="auto"/>
            <w:vAlign w:val="center"/>
          </w:tcPr>
          <w:p w14:paraId="6A9104B1">
            <w:pPr>
              <w:pStyle w:val="16"/>
            </w:pPr>
            <w:r>
              <w:rPr>
                <w:rFonts w:hint="eastAsia"/>
              </w:rPr>
              <w:t>兆欧表</w:t>
            </w:r>
          </w:p>
        </w:tc>
        <w:tc>
          <w:tcPr>
            <w:tcW w:w="1551" w:type="pct"/>
            <w:shd w:val="clear" w:color="auto" w:fill="auto"/>
            <w:vAlign w:val="center"/>
          </w:tcPr>
          <w:p w14:paraId="586DEF90">
            <w:pPr>
              <w:pStyle w:val="16"/>
            </w:pPr>
            <w:r>
              <w:t>500</w:t>
            </w:r>
            <w:r>
              <w:rPr>
                <w:rFonts w:hint="eastAsia"/>
              </w:rPr>
              <w:t>V</w:t>
            </w:r>
          </w:p>
        </w:tc>
        <w:tc>
          <w:tcPr>
            <w:tcW w:w="434" w:type="pct"/>
            <w:shd w:val="clear" w:color="auto" w:fill="auto"/>
            <w:vAlign w:val="center"/>
          </w:tcPr>
          <w:p w14:paraId="0C8C4B6C">
            <w:pPr>
              <w:pStyle w:val="16"/>
            </w:pPr>
            <w:r>
              <w:rPr>
                <w:rFonts w:hint="eastAsia"/>
              </w:rPr>
              <w:t>1</w:t>
            </w:r>
          </w:p>
        </w:tc>
        <w:tc>
          <w:tcPr>
            <w:tcW w:w="434" w:type="pct"/>
            <w:shd w:val="clear" w:color="auto" w:fill="auto"/>
            <w:vAlign w:val="center"/>
          </w:tcPr>
          <w:p w14:paraId="7D36151E">
            <w:pPr>
              <w:pStyle w:val="16"/>
            </w:pPr>
            <w:r>
              <w:rPr>
                <w:rFonts w:hint="eastAsia"/>
              </w:rPr>
              <w:t>台</w:t>
            </w:r>
          </w:p>
        </w:tc>
        <w:tc>
          <w:tcPr>
            <w:tcW w:w="573" w:type="pct"/>
            <w:vMerge w:val="continue"/>
            <w:shd w:val="clear" w:color="auto" w:fill="auto"/>
            <w:vAlign w:val="center"/>
          </w:tcPr>
          <w:p w14:paraId="1ED52A85">
            <w:pPr>
              <w:pStyle w:val="16"/>
            </w:pPr>
          </w:p>
        </w:tc>
      </w:tr>
      <w:tr w14:paraId="21FAA4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71D0E077">
            <w:pPr>
              <w:pStyle w:val="16"/>
              <w:numPr>
                <w:ilvl w:val="0"/>
                <w:numId w:val="21"/>
              </w:numPr>
            </w:pPr>
          </w:p>
        </w:tc>
        <w:tc>
          <w:tcPr>
            <w:tcW w:w="1574" w:type="pct"/>
            <w:shd w:val="clear" w:color="auto" w:fill="auto"/>
            <w:vAlign w:val="center"/>
          </w:tcPr>
          <w:p w14:paraId="75401EA7">
            <w:pPr>
              <w:pStyle w:val="16"/>
            </w:pPr>
            <w:r>
              <w:rPr>
                <w:rFonts w:hint="eastAsia"/>
              </w:rPr>
              <w:t>凯尔文电流表</w:t>
            </w:r>
          </w:p>
        </w:tc>
        <w:tc>
          <w:tcPr>
            <w:tcW w:w="1551" w:type="pct"/>
            <w:shd w:val="clear" w:color="auto" w:fill="auto"/>
            <w:vAlign w:val="center"/>
          </w:tcPr>
          <w:p w14:paraId="37E4DC63">
            <w:pPr>
              <w:pStyle w:val="16"/>
            </w:pPr>
          </w:p>
        </w:tc>
        <w:tc>
          <w:tcPr>
            <w:tcW w:w="434" w:type="pct"/>
            <w:shd w:val="clear" w:color="auto" w:fill="auto"/>
            <w:vAlign w:val="center"/>
          </w:tcPr>
          <w:p w14:paraId="61E79535">
            <w:pPr>
              <w:pStyle w:val="16"/>
            </w:pPr>
            <w:r>
              <w:rPr>
                <w:rFonts w:hint="eastAsia"/>
              </w:rPr>
              <w:t>1</w:t>
            </w:r>
          </w:p>
        </w:tc>
        <w:tc>
          <w:tcPr>
            <w:tcW w:w="434" w:type="pct"/>
            <w:shd w:val="clear" w:color="auto" w:fill="auto"/>
            <w:vAlign w:val="center"/>
          </w:tcPr>
          <w:p w14:paraId="0C540AE4">
            <w:pPr>
              <w:pStyle w:val="16"/>
            </w:pPr>
            <w:r>
              <w:rPr>
                <w:rFonts w:hint="eastAsia"/>
              </w:rPr>
              <w:t>台</w:t>
            </w:r>
          </w:p>
        </w:tc>
        <w:tc>
          <w:tcPr>
            <w:tcW w:w="573" w:type="pct"/>
            <w:vMerge w:val="continue"/>
            <w:shd w:val="clear" w:color="auto" w:fill="auto"/>
            <w:vAlign w:val="center"/>
          </w:tcPr>
          <w:p w14:paraId="0F32913E">
            <w:pPr>
              <w:pStyle w:val="16"/>
            </w:pPr>
          </w:p>
        </w:tc>
      </w:tr>
      <w:tr w14:paraId="283303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434" w:type="pct"/>
            <w:shd w:val="clear" w:color="auto" w:fill="auto"/>
            <w:vAlign w:val="center"/>
          </w:tcPr>
          <w:p w14:paraId="27905B68">
            <w:pPr>
              <w:pStyle w:val="16"/>
              <w:numPr>
                <w:ilvl w:val="0"/>
                <w:numId w:val="21"/>
              </w:numPr>
            </w:pPr>
          </w:p>
        </w:tc>
        <w:tc>
          <w:tcPr>
            <w:tcW w:w="1574" w:type="pct"/>
            <w:shd w:val="clear" w:color="auto" w:fill="auto"/>
            <w:vAlign w:val="center"/>
          </w:tcPr>
          <w:p w14:paraId="680F7AF2">
            <w:pPr>
              <w:pStyle w:val="16"/>
            </w:pPr>
            <w:r>
              <w:rPr>
                <w:rFonts w:hint="eastAsia"/>
              </w:rPr>
              <w:t>万用电表</w:t>
            </w:r>
          </w:p>
        </w:tc>
        <w:tc>
          <w:tcPr>
            <w:tcW w:w="1551" w:type="pct"/>
            <w:shd w:val="clear" w:color="auto" w:fill="auto"/>
            <w:vAlign w:val="center"/>
          </w:tcPr>
          <w:p w14:paraId="34EC91C6">
            <w:pPr>
              <w:pStyle w:val="16"/>
            </w:pPr>
          </w:p>
        </w:tc>
        <w:tc>
          <w:tcPr>
            <w:tcW w:w="434" w:type="pct"/>
            <w:shd w:val="clear" w:color="auto" w:fill="auto"/>
            <w:vAlign w:val="center"/>
          </w:tcPr>
          <w:p w14:paraId="72A11612">
            <w:pPr>
              <w:pStyle w:val="16"/>
            </w:pPr>
            <w:r>
              <w:rPr>
                <w:rFonts w:hint="eastAsia"/>
              </w:rPr>
              <w:t>1</w:t>
            </w:r>
          </w:p>
        </w:tc>
        <w:tc>
          <w:tcPr>
            <w:tcW w:w="434" w:type="pct"/>
            <w:shd w:val="clear" w:color="auto" w:fill="auto"/>
            <w:vAlign w:val="center"/>
          </w:tcPr>
          <w:p w14:paraId="28D892C6">
            <w:pPr>
              <w:pStyle w:val="16"/>
            </w:pPr>
            <w:r>
              <w:rPr>
                <w:rFonts w:hint="eastAsia"/>
              </w:rPr>
              <w:t>台</w:t>
            </w:r>
          </w:p>
        </w:tc>
        <w:tc>
          <w:tcPr>
            <w:tcW w:w="573" w:type="pct"/>
            <w:vMerge w:val="continue"/>
            <w:shd w:val="clear" w:color="auto" w:fill="auto"/>
            <w:vAlign w:val="center"/>
          </w:tcPr>
          <w:p w14:paraId="17836E81">
            <w:pPr>
              <w:pStyle w:val="16"/>
            </w:pPr>
          </w:p>
        </w:tc>
      </w:tr>
    </w:tbl>
    <w:p w14:paraId="3D043D3F">
      <w:pPr>
        <w:ind w:firstLine="480"/>
      </w:pPr>
      <w:r>
        <w:rPr>
          <w:rFonts w:hint="eastAsia"/>
        </w:rPr>
        <w:br w:type="page"/>
      </w:r>
    </w:p>
    <w:p w14:paraId="66AE663D">
      <w:pPr>
        <w:pStyle w:val="2"/>
      </w:pPr>
      <w:bookmarkStart w:id="67" w:name="_Toc31407"/>
      <w:bookmarkStart w:id="68" w:name="_Toc6760"/>
      <w:bookmarkStart w:id="69" w:name="_Toc29909"/>
      <w:r>
        <w:rPr>
          <w:rFonts w:hint="eastAsia"/>
        </w:rPr>
        <w:t>施工工艺</w:t>
      </w:r>
      <w:bookmarkEnd w:id="65"/>
      <w:bookmarkEnd w:id="67"/>
      <w:bookmarkEnd w:id="68"/>
      <w:bookmarkEnd w:id="69"/>
    </w:p>
    <w:p w14:paraId="208645AA">
      <w:pPr>
        <w:pStyle w:val="3"/>
      </w:pPr>
      <w:bookmarkStart w:id="70" w:name="_Toc7925"/>
      <w:r>
        <w:rPr>
          <w:rFonts w:hint="eastAsia"/>
        </w:rPr>
        <w:t>施工方案概述</w:t>
      </w:r>
      <w:bookmarkEnd w:id="70"/>
    </w:p>
    <w:p w14:paraId="3CAA9268">
      <w:pPr>
        <w:numPr>
          <w:ilvl w:val="0"/>
          <w:numId w:val="22"/>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w:t>
      </w:r>
    </w:p>
    <w:p w14:paraId="58A2C930">
      <w:pPr>
        <w:ind w:firstLine="480"/>
      </w:pPr>
      <w:r>
        <w:fldChar w:fldCharType="begin"/>
      </w:r>
      <w:r>
        <w:instrText xml:space="preserve"> REF </w:instrText>
      </w:r>
      <w:r>
        <w:rPr>
          <w:rFonts w:hint="eastAsia"/>
        </w:rPr>
        <w:instrText xml:space="preserve">设备类型</w:instrText>
      </w:r>
      <w:r>
        <w:instrText xml:space="preserve"> \h  \* MERGEFORMAT </w:instrText>
      </w:r>
      <w:r>
        <w:fldChar w:fldCharType="separate"/>
      </w:r>
      <w:r>
        <w:rPr>
          <w:rFonts w:hint="eastAsia"/>
        </w:rPr>
        <w:t>施工升降机</w:t>
      </w:r>
      <w:r>
        <w:fldChar w:fldCharType="end"/>
      </w:r>
      <w:r>
        <w:rPr>
          <w:rFonts w:hint="eastAsia"/>
        </w:rPr>
        <w:t>采用</w:t>
      </w:r>
      <w:r>
        <w:t>1</w:t>
      </w:r>
      <w:r>
        <w:rPr>
          <w:rFonts w:hint="eastAsia"/>
        </w:rPr>
        <w:t>台</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XGT8040A-25</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r>
        <w:rPr>
          <w:rFonts w:hint="eastAsia"/>
        </w:rPr>
        <w:t>进行安装。依次在基础上安装底架、标准节、底架围栏、吊笼吊杆、电控系统及安全装置，通电整机调试完毕后进行导轨架加高安装、附墙架安装。</w:t>
      </w:r>
    </w:p>
    <w:p w14:paraId="1E083A2B">
      <w:pPr>
        <w:numPr>
          <w:ilvl w:val="0"/>
          <w:numId w:val="22"/>
        </w:numPr>
        <w:ind w:firstLineChars="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拆除</w:t>
      </w:r>
    </w:p>
    <w:p w14:paraId="76C7E649">
      <w:pPr>
        <w:ind w:firstLine="480"/>
      </w:pPr>
      <w:r>
        <w:fldChar w:fldCharType="begin"/>
      </w:r>
      <w:r>
        <w:instrText xml:space="preserve"> REF </w:instrText>
      </w:r>
      <w:r>
        <w:rPr>
          <w:rFonts w:hint="eastAsia"/>
        </w:rPr>
        <w:instrText xml:space="preserve">设备类型</w:instrText>
      </w:r>
      <w:r>
        <w:instrText xml:space="preserve"> \h  \* MERGEFORMAT </w:instrText>
      </w:r>
      <w:r>
        <w:fldChar w:fldCharType="separate"/>
      </w:r>
      <w:r>
        <w:rPr>
          <w:rFonts w:hint="eastAsia"/>
        </w:rPr>
        <w:t>施工升降机</w:t>
      </w:r>
      <w:r>
        <w:fldChar w:fldCharType="end"/>
      </w:r>
      <w:r>
        <w:rPr>
          <w:rFonts w:hint="eastAsia"/>
        </w:rPr>
        <w:t>采用</w:t>
      </w:r>
      <w:r>
        <w:t>1</w:t>
      </w:r>
      <w:r>
        <w:rPr>
          <w:rFonts w:hint="eastAsia"/>
        </w:rPr>
        <w:t>台</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XGT8040A-25</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r>
        <w:rPr>
          <w:rFonts w:hint="eastAsia"/>
        </w:rPr>
        <w:t>拆除。将吊笼开到笼底拆除滑触线装置后拆除导轨架及附墙架、传动小车、吊笼、外笼、底架围栏和底架。</w:t>
      </w:r>
    </w:p>
    <w:p w14:paraId="1DEBC6E2">
      <w:pPr>
        <w:pStyle w:val="3"/>
      </w:pPr>
      <w:bookmarkStart w:id="71" w:name="_Toc15224"/>
      <w:bookmarkStart w:id="72" w:name="_Toc29597"/>
      <w:bookmarkStart w:id="73" w:name="_Toc40778437"/>
      <w:bookmarkStart w:id="74" w:name="_Toc26392"/>
      <w:bookmarkStart w:id="75" w:name="_Toc2911"/>
      <w:bookmarkStart w:id="76" w:name="_Toc11075"/>
      <w:bookmarkStart w:id="77" w:name="_Toc12005"/>
      <w:bookmarkStart w:id="78" w:name="_Toc1607"/>
      <w:r>
        <w:rPr>
          <w:rFonts w:hint="eastAsia"/>
        </w:rPr>
        <w:t>主要设备选型</w:t>
      </w:r>
      <w:bookmarkEnd w:id="71"/>
    </w:p>
    <w:p w14:paraId="3F240AF6">
      <w:pPr>
        <w:pStyle w:val="4"/>
      </w:pPr>
      <w:r>
        <w:rPr>
          <w:rFonts w:hint="eastAsia"/>
        </w:rPr>
        <w:t>起重设备</w:t>
      </w:r>
    </w:p>
    <w:p w14:paraId="2105A6A9">
      <w:pPr>
        <w:pStyle w:val="5"/>
      </w:pPr>
      <w:r>
        <w:rPr>
          <w:rFonts w:hint="eastAsia"/>
        </w:rPr>
        <w:t>起重设备参数</w:t>
      </w:r>
    </w:p>
    <w:p w14:paraId="71623FDE">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整机安装（拆除）施工起重设备选型如</w:t>
      </w:r>
      <w:r>
        <w:fldChar w:fldCharType="begin"/>
      </w:r>
      <w:r>
        <w:instrText xml:space="preserve"> </w:instrText>
      </w:r>
      <w:r>
        <w:rPr>
          <w:rFonts w:hint="eastAsia"/>
        </w:rPr>
        <w:instrText xml:space="preserve">REF _Ref117774280 \h</w:instrText>
      </w:r>
      <w:r>
        <w:instrText xml:space="preserve"> </w:instrText>
      </w:r>
      <w:r>
        <w:fldChar w:fldCharType="separate"/>
      </w:r>
      <w:r>
        <w:rPr>
          <w:rFonts w:hint="eastAsia"/>
        </w:rPr>
        <w:t>表</w:t>
      </w:r>
      <w:r>
        <w:t>4.2.1-1</w:t>
      </w:r>
      <w:r>
        <w:fldChar w:fldCharType="end"/>
      </w:r>
      <w:r>
        <w:rPr>
          <w:rFonts w:hint="eastAsia"/>
        </w:rPr>
        <w:t>所示。</w:t>
      </w:r>
    </w:p>
    <w:p w14:paraId="5553C1CB">
      <w:pPr>
        <w:pStyle w:val="15"/>
      </w:pPr>
      <w:bookmarkStart w:id="79" w:name="_Ref117774280"/>
      <w:r>
        <w:rPr>
          <w:rFonts w:hint="eastAsia"/>
        </w:rPr>
        <w:t>表</w:t>
      </w:r>
      <w:r>
        <w:fldChar w:fldCharType="begin"/>
      </w:r>
      <w:r>
        <w:instrText xml:space="preserve"> STYLEREF 3 \s </w:instrText>
      </w:r>
      <w:r>
        <w:fldChar w:fldCharType="separate"/>
      </w:r>
      <w:r>
        <w:t>4.2.1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79"/>
      <w:r>
        <w:t xml:space="preserve"> </w:t>
      </w:r>
      <w:r>
        <w:fldChar w:fldCharType="begin"/>
      </w:r>
      <w:r>
        <w:instrText xml:space="preserve"> REF 设备类型 \h  \* MERGEFORMAT </w:instrText>
      </w:r>
      <w:r>
        <w:fldChar w:fldCharType="separate"/>
      </w:r>
      <w:r>
        <w:rPr>
          <w:rFonts w:hint="eastAsia"/>
        </w:rPr>
        <w:t>施工升降机</w:t>
      </w:r>
      <w:r>
        <w:fldChar w:fldCharType="end"/>
      </w:r>
      <w:r>
        <w:t>整机安装（</w:t>
      </w:r>
      <w:r>
        <w:rPr>
          <w:rFonts w:hint="eastAsia"/>
        </w:rPr>
        <w:t>拆除</w:t>
      </w:r>
      <w:r>
        <w:t>）</w:t>
      </w:r>
      <w:r>
        <w:rPr>
          <w:rFonts w:hint="eastAsia"/>
        </w:rPr>
        <w:t>施工起重设备选型</w:t>
      </w:r>
    </w:p>
    <w:tbl>
      <w:tblPr>
        <w:tblStyle w:val="1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420"/>
        <w:gridCol w:w="1643"/>
        <w:gridCol w:w="716"/>
        <w:gridCol w:w="716"/>
        <w:gridCol w:w="2598"/>
        <w:gridCol w:w="715"/>
      </w:tblGrid>
      <w:tr w14:paraId="5CEE71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19" w:type="pct"/>
            <w:shd w:val="clear" w:color="auto" w:fill="auto"/>
            <w:vAlign w:val="center"/>
          </w:tcPr>
          <w:p w14:paraId="78C18A9D">
            <w:pPr>
              <w:pStyle w:val="16"/>
              <w:rPr>
                <w:b/>
              </w:rPr>
            </w:pPr>
            <w:r>
              <w:rPr>
                <w:rFonts w:hint="eastAsia"/>
                <w:b/>
              </w:rPr>
              <w:t>序号</w:t>
            </w:r>
          </w:p>
        </w:tc>
        <w:tc>
          <w:tcPr>
            <w:tcW w:w="833" w:type="pct"/>
            <w:shd w:val="clear" w:color="auto" w:fill="auto"/>
            <w:vAlign w:val="center"/>
          </w:tcPr>
          <w:p w14:paraId="33EFB0BB">
            <w:pPr>
              <w:pStyle w:val="16"/>
              <w:rPr>
                <w:b/>
              </w:rPr>
            </w:pPr>
            <w:r>
              <w:rPr>
                <w:rFonts w:hint="eastAsia"/>
                <w:b/>
              </w:rPr>
              <w:t>设备名称</w:t>
            </w:r>
          </w:p>
        </w:tc>
        <w:tc>
          <w:tcPr>
            <w:tcW w:w="964" w:type="pct"/>
            <w:shd w:val="clear" w:color="auto" w:fill="auto"/>
            <w:vAlign w:val="center"/>
          </w:tcPr>
          <w:p w14:paraId="0D5BCDFA">
            <w:pPr>
              <w:pStyle w:val="16"/>
              <w:rPr>
                <w:b/>
              </w:rPr>
            </w:pPr>
            <w:r>
              <w:rPr>
                <w:rFonts w:hint="eastAsia"/>
                <w:b/>
              </w:rPr>
              <w:t>规格型号</w:t>
            </w:r>
          </w:p>
        </w:tc>
        <w:tc>
          <w:tcPr>
            <w:tcW w:w="420" w:type="pct"/>
            <w:shd w:val="clear" w:color="auto" w:fill="auto"/>
            <w:vAlign w:val="center"/>
          </w:tcPr>
          <w:p w14:paraId="15F9B3B5">
            <w:pPr>
              <w:pStyle w:val="16"/>
              <w:rPr>
                <w:b/>
              </w:rPr>
            </w:pPr>
            <w:r>
              <w:rPr>
                <w:rFonts w:hint="eastAsia"/>
                <w:b/>
              </w:rPr>
              <w:t>单位</w:t>
            </w:r>
          </w:p>
        </w:tc>
        <w:tc>
          <w:tcPr>
            <w:tcW w:w="420" w:type="pct"/>
            <w:shd w:val="clear" w:color="auto" w:fill="auto"/>
            <w:vAlign w:val="center"/>
          </w:tcPr>
          <w:p w14:paraId="276FEFF6">
            <w:pPr>
              <w:pStyle w:val="16"/>
              <w:rPr>
                <w:b/>
              </w:rPr>
            </w:pPr>
            <w:r>
              <w:rPr>
                <w:rFonts w:hint="eastAsia"/>
                <w:b/>
              </w:rPr>
              <w:t>数量</w:t>
            </w:r>
          </w:p>
        </w:tc>
        <w:tc>
          <w:tcPr>
            <w:tcW w:w="1524" w:type="pct"/>
            <w:shd w:val="clear" w:color="auto" w:fill="auto"/>
            <w:vAlign w:val="center"/>
          </w:tcPr>
          <w:p w14:paraId="0C55759B">
            <w:pPr>
              <w:pStyle w:val="16"/>
              <w:rPr>
                <w:b/>
              </w:rPr>
            </w:pPr>
            <w:r>
              <w:rPr>
                <w:rFonts w:hint="eastAsia"/>
                <w:b/>
              </w:rPr>
              <w:t>工作内容</w:t>
            </w:r>
          </w:p>
        </w:tc>
        <w:tc>
          <w:tcPr>
            <w:tcW w:w="419" w:type="pct"/>
            <w:shd w:val="clear" w:color="auto" w:fill="auto"/>
            <w:vAlign w:val="center"/>
          </w:tcPr>
          <w:p w14:paraId="458D687E">
            <w:pPr>
              <w:pStyle w:val="16"/>
              <w:rPr>
                <w:b/>
              </w:rPr>
            </w:pPr>
            <w:r>
              <w:rPr>
                <w:rFonts w:hint="eastAsia"/>
                <w:b/>
              </w:rPr>
              <w:t>备注</w:t>
            </w:r>
          </w:p>
        </w:tc>
      </w:tr>
      <w:tr w14:paraId="7438AC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19" w:type="pct"/>
            <w:shd w:val="clear" w:color="auto" w:fill="auto"/>
            <w:vAlign w:val="center"/>
          </w:tcPr>
          <w:p w14:paraId="42872EE0">
            <w:pPr>
              <w:pStyle w:val="16"/>
              <w:numPr>
                <w:ilvl w:val="0"/>
                <w:numId w:val="23"/>
              </w:numPr>
            </w:pPr>
          </w:p>
        </w:tc>
        <w:tc>
          <w:tcPr>
            <w:tcW w:w="833" w:type="pct"/>
            <w:shd w:val="clear" w:color="auto" w:fill="auto"/>
            <w:vAlign w:val="center"/>
          </w:tcPr>
          <w:p w14:paraId="571E1C7E">
            <w:pPr>
              <w:pStyle w:val="16"/>
            </w:pPr>
            <w:bookmarkStart w:id="80" w:name="起重设备1类型"/>
            <w:r>
              <w:rPr>
                <w:rFonts w:hint="eastAsia"/>
              </w:rPr>
              <w:t>塔式起重机</w:t>
            </w:r>
            <w:bookmarkEnd w:id="80"/>
          </w:p>
        </w:tc>
        <w:tc>
          <w:tcPr>
            <w:tcW w:w="964" w:type="pct"/>
            <w:shd w:val="clear" w:color="auto" w:fill="auto"/>
            <w:vAlign w:val="center"/>
          </w:tcPr>
          <w:p w14:paraId="3937F4CD">
            <w:pPr>
              <w:pStyle w:val="16"/>
              <w:rPr>
                <w:rFonts w:hint="eastAsia" w:eastAsia="宋体"/>
                <w:lang w:eastAsia="zh-CN"/>
              </w:rPr>
            </w:pPr>
            <w:r>
              <w:rPr>
                <w:rFonts w:hint="eastAsia"/>
                <w:lang w:eastAsia="zh-CN"/>
              </w:rPr>
              <w:t>XGT8040A-25</w:t>
            </w:r>
          </w:p>
        </w:tc>
        <w:tc>
          <w:tcPr>
            <w:tcW w:w="420" w:type="pct"/>
            <w:shd w:val="clear" w:color="auto" w:fill="auto"/>
            <w:vAlign w:val="center"/>
          </w:tcPr>
          <w:p w14:paraId="32B72CF2">
            <w:pPr>
              <w:pStyle w:val="16"/>
            </w:pPr>
            <w:r>
              <w:rPr>
                <w:rFonts w:hint="eastAsia"/>
              </w:rPr>
              <w:t>台</w:t>
            </w:r>
          </w:p>
        </w:tc>
        <w:tc>
          <w:tcPr>
            <w:tcW w:w="420" w:type="pct"/>
            <w:shd w:val="clear" w:color="auto" w:fill="auto"/>
            <w:vAlign w:val="center"/>
          </w:tcPr>
          <w:p w14:paraId="38441CE7">
            <w:pPr>
              <w:pStyle w:val="16"/>
            </w:pPr>
            <w:r>
              <w:t>1</w:t>
            </w:r>
          </w:p>
        </w:tc>
        <w:tc>
          <w:tcPr>
            <w:tcW w:w="1524" w:type="pct"/>
            <w:shd w:val="clear" w:color="auto" w:fill="auto"/>
            <w:vAlign w:val="center"/>
          </w:tcPr>
          <w:p w14:paraId="28158D5B">
            <w:pPr>
              <w:pStyle w:val="16"/>
            </w:pPr>
            <w:r>
              <w:rPr>
                <w:rFonts w:hint="eastAsia"/>
              </w:rPr>
              <w:t>安装拆除施工起重作业</w:t>
            </w:r>
          </w:p>
        </w:tc>
        <w:tc>
          <w:tcPr>
            <w:tcW w:w="419" w:type="pct"/>
            <w:shd w:val="clear" w:color="auto" w:fill="auto"/>
            <w:vAlign w:val="center"/>
          </w:tcPr>
          <w:p w14:paraId="5DDCA1D1">
            <w:pPr>
              <w:pStyle w:val="16"/>
            </w:pPr>
          </w:p>
        </w:tc>
      </w:tr>
    </w:tbl>
    <w:p w14:paraId="76A03E86">
      <w:pPr>
        <w:ind w:firstLine="480"/>
      </w:pPr>
      <w:bookmarkStart w:id="81" w:name="_Ref77088541"/>
      <w:r>
        <w:fldChar w:fldCharType="begin"/>
      </w:r>
      <w:r>
        <w:instrText xml:space="preserve"> </w:instrText>
      </w:r>
      <w:r>
        <w:rPr>
          <w:rFonts w:hint="eastAsia"/>
        </w:rPr>
        <w:instrText xml:space="preserve">REF 起重设备1型号 \h</w:instrText>
      </w:r>
      <w:r>
        <w:instrText xml:space="preserve"> </w:instrText>
      </w:r>
      <w:r>
        <w:fldChar w:fldCharType="separate"/>
      </w:r>
      <w:r>
        <w:rPr>
          <w:rFonts w:hint="eastAsia"/>
          <w:lang w:eastAsia="zh-CN"/>
        </w:rPr>
        <w:t>XGT8040A-25</w:t>
      </w:r>
      <w:r>
        <w:fldChar w:fldCharType="end"/>
      </w:r>
      <w:r>
        <w:fldChar w:fldCharType="begin"/>
      </w:r>
      <w:r>
        <w:instrText xml:space="preserve"> REF 起重设备1类型 \h </w:instrText>
      </w:r>
      <w:r>
        <w:fldChar w:fldCharType="separate"/>
      </w:r>
      <w:r>
        <w:rPr>
          <w:rFonts w:hint="eastAsia"/>
        </w:rPr>
        <w:t>塔式起重机</w:t>
      </w:r>
      <w:r>
        <w:fldChar w:fldCharType="end"/>
      </w:r>
      <w:r>
        <w:rPr>
          <w:rFonts w:hint="eastAsia"/>
        </w:rPr>
        <w:t>整机尺寸、载荷性能如</w:t>
      </w:r>
      <w:r>
        <w:fldChar w:fldCharType="begin"/>
      </w:r>
      <w:r>
        <w:instrText xml:space="preserve"> </w:instrText>
      </w:r>
      <w:r>
        <w:rPr>
          <w:rFonts w:hint="eastAsia"/>
        </w:rPr>
        <w:instrText xml:space="preserve">REF _Ref128401714 \h</w:instrText>
      </w:r>
      <w:r>
        <w:instrText xml:space="preserve"> </w:instrText>
      </w:r>
      <w:r>
        <w:fldChar w:fldCharType="separate"/>
      </w:r>
      <w:r>
        <w:rPr>
          <w:rFonts w:hint="eastAsia"/>
        </w:rPr>
        <w:t>图</w:t>
      </w:r>
      <w:r>
        <w:t>4.2.1</w:t>
      </w:r>
      <w:r>
        <w:rPr>
          <w:rFonts w:hint="eastAsia"/>
        </w:rPr>
        <w:t>-</w:t>
      </w:r>
      <w:r>
        <w:t>1</w:t>
      </w:r>
      <w:r>
        <w:fldChar w:fldCharType="end"/>
      </w:r>
      <w:r>
        <w:rPr>
          <w:rFonts w:hint="eastAsia"/>
        </w:rPr>
        <w:t>、</w:t>
      </w:r>
      <w:r>
        <w:fldChar w:fldCharType="begin"/>
      </w:r>
      <w:r>
        <w:instrText xml:space="preserve"> </w:instrText>
      </w:r>
      <w:r>
        <w:rPr>
          <w:rFonts w:hint="eastAsia"/>
        </w:rPr>
        <w:instrText xml:space="preserve">REF _Ref128401720 \h</w:instrText>
      </w:r>
      <w:r>
        <w:instrText xml:space="preserve"> </w:instrText>
      </w:r>
      <w:r>
        <w:fldChar w:fldCharType="separate"/>
      </w:r>
      <w:r>
        <w:rPr>
          <w:rFonts w:hint="eastAsia"/>
        </w:rPr>
        <w:t>图</w:t>
      </w:r>
      <w:r>
        <w:t>4.2.1</w:t>
      </w:r>
      <w:r>
        <w:rPr>
          <w:rFonts w:hint="eastAsia"/>
        </w:rPr>
        <w:t>-</w:t>
      </w:r>
      <w:r>
        <w:t>2</w:t>
      </w:r>
      <w:r>
        <w:fldChar w:fldCharType="end"/>
      </w:r>
      <w:r>
        <w:rPr>
          <w:rFonts w:hint="eastAsia"/>
        </w:rPr>
        <w:t>所示。</w:t>
      </w:r>
    </w:p>
    <w:p w14:paraId="7C8B9A6E">
      <w:pPr>
        <w:pStyle w:val="109"/>
      </w:pPr>
      <w:r>
        <w:drawing>
          <wp:inline distT="0" distB="0" distL="0" distR="0">
            <wp:extent cx="5274310" cy="4275455"/>
            <wp:effectExtent l="0" t="0" r="2540" b="0"/>
            <wp:docPr id="10" name="图片 10"/>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37"/>
                    <a:stretch>
                      <a:fillRect/>
                    </a:stretch>
                  </pic:blipFill>
                  <pic:spPr>
                    <a:xfrm>
                      <a:off x="0" y="0"/>
                      <a:ext cx="5274310" cy="4275455"/>
                    </a:xfrm>
                    <a:prstGeom prst="rect">
                      <a:avLst/>
                    </a:prstGeom>
                  </pic:spPr>
                </pic:pic>
              </a:graphicData>
            </a:graphic>
          </wp:inline>
        </w:drawing>
      </w:r>
    </w:p>
    <w:p w14:paraId="12B062A1">
      <w:pPr>
        <w:pStyle w:val="108"/>
      </w:pPr>
      <w:bookmarkStart w:id="82" w:name="_Ref128401714"/>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bookmarkEnd w:id="82"/>
      <w:r>
        <w:t xml:space="preserve"> </w:t>
      </w:r>
      <w:r>
        <w:fldChar w:fldCharType="begin"/>
      </w:r>
      <w:r>
        <w:instrText xml:space="preserve"> </w:instrText>
      </w:r>
      <w:r>
        <w:rPr>
          <w:rFonts w:hint="eastAsia"/>
        </w:rPr>
        <w:instrText xml:space="preserve">REF 起重设备1型号 \h</w:instrText>
      </w:r>
      <w:r>
        <w:instrText xml:space="preserve"> </w:instrText>
      </w:r>
      <w:r>
        <w:fldChar w:fldCharType="separate"/>
      </w:r>
      <w:r>
        <w:rPr>
          <w:rFonts w:hint="eastAsia"/>
          <w:lang w:eastAsia="zh-CN"/>
        </w:rPr>
        <w:t>XGT8040A-25</w:t>
      </w:r>
      <w:r>
        <w:fldChar w:fldCharType="end"/>
      </w:r>
      <w:r>
        <w:fldChar w:fldCharType="begin"/>
      </w:r>
      <w:r>
        <w:instrText xml:space="preserve"> REF 起重设备1类型 \h </w:instrText>
      </w:r>
      <w:r>
        <w:fldChar w:fldCharType="separate"/>
      </w:r>
      <w:r>
        <w:rPr>
          <w:rFonts w:hint="eastAsia"/>
        </w:rPr>
        <w:t>塔式起重机</w:t>
      </w:r>
      <w:r>
        <w:fldChar w:fldCharType="end"/>
      </w:r>
      <w:r>
        <w:rPr>
          <w:rFonts w:hint="eastAsia"/>
        </w:rPr>
        <w:t>整机尺寸</w:t>
      </w:r>
    </w:p>
    <w:p w14:paraId="13C466EC">
      <w:pPr>
        <w:pStyle w:val="109"/>
      </w:pPr>
      <w:r>
        <w:drawing>
          <wp:inline distT="0" distB="0" distL="114300" distR="114300">
            <wp:extent cx="5265420" cy="2466340"/>
            <wp:effectExtent l="0" t="0" r="11430" b="1016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38"/>
                    <a:stretch>
                      <a:fillRect/>
                    </a:stretch>
                  </pic:blipFill>
                  <pic:spPr>
                    <a:xfrm>
                      <a:off x="0" y="0"/>
                      <a:ext cx="5265420" cy="2466340"/>
                    </a:xfrm>
                    <a:prstGeom prst="rect">
                      <a:avLst/>
                    </a:prstGeom>
                    <a:noFill/>
                    <a:ln>
                      <a:noFill/>
                    </a:ln>
                  </pic:spPr>
                </pic:pic>
              </a:graphicData>
            </a:graphic>
          </wp:inline>
        </w:drawing>
      </w:r>
    </w:p>
    <w:p w14:paraId="70AD3A8E">
      <w:pPr>
        <w:pStyle w:val="108"/>
      </w:pPr>
      <w:bookmarkStart w:id="83" w:name="_Ref128401720"/>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w:t>
      </w:r>
      <w:r>
        <w:fldChar w:fldCharType="end"/>
      </w:r>
      <w:bookmarkEnd w:id="83"/>
      <w:r>
        <w:t xml:space="preserve"> </w:t>
      </w:r>
      <w:r>
        <w:fldChar w:fldCharType="begin"/>
      </w:r>
      <w:r>
        <w:instrText xml:space="preserve"> </w:instrText>
      </w:r>
      <w:r>
        <w:rPr>
          <w:rFonts w:hint="eastAsia"/>
        </w:rPr>
        <w:instrText xml:space="preserve">REF 起重设备1型号 \h</w:instrText>
      </w:r>
      <w:r>
        <w:instrText xml:space="preserve"> </w:instrText>
      </w:r>
      <w:r>
        <w:fldChar w:fldCharType="separate"/>
      </w:r>
      <w:r>
        <w:rPr>
          <w:rFonts w:hint="eastAsia"/>
          <w:lang w:eastAsia="zh-CN"/>
        </w:rPr>
        <w:t>XGT8040A-25</w:t>
      </w:r>
      <w:r>
        <w:fldChar w:fldCharType="end"/>
      </w:r>
      <w:r>
        <w:fldChar w:fldCharType="begin"/>
      </w:r>
      <w:r>
        <w:instrText xml:space="preserve"> REF 起重设备1类型 \h </w:instrText>
      </w:r>
      <w:r>
        <w:fldChar w:fldCharType="separate"/>
      </w:r>
      <w:r>
        <w:rPr>
          <w:rFonts w:hint="eastAsia"/>
        </w:rPr>
        <w:t>塔式起重机</w:t>
      </w:r>
      <w:r>
        <w:fldChar w:fldCharType="end"/>
      </w:r>
      <w:r>
        <w:rPr>
          <w:rFonts w:hint="eastAsia"/>
        </w:rPr>
        <w:t>载荷性能</w:t>
      </w:r>
    </w:p>
    <w:p w14:paraId="36D6D52A">
      <w:pPr>
        <w:pStyle w:val="5"/>
      </w:pPr>
      <w:r>
        <w:rPr>
          <w:rFonts w:hint="eastAsia"/>
        </w:rPr>
        <w:t>主要吊装工况</w:t>
      </w:r>
    </w:p>
    <w:p w14:paraId="493E6269">
      <w:pPr>
        <w:ind w:firstLine="480"/>
      </w:pPr>
      <w:r>
        <w:rPr>
          <w:rFonts w:hint="eastAsia"/>
        </w:rPr>
        <w:t>施工升降机初始安装时，塔吊的吊高均在</w:t>
      </w:r>
      <w:r>
        <w:t>40m</w:t>
      </w:r>
      <w:r>
        <w:rPr>
          <w:rFonts w:hint="eastAsia"/>
        </w:rPr>
        <w:t>以上（施工升降机初始安装高度为</w:t>
      </w:r>
      <w:r>
        <w:t>15m</w:t>
      </w:r>
      <w:r>
        <w:rPr>
          <w:rFonts w:hint="eastAsia"/>
        </w:rPr>
        <w:t>左右），拆除时塔吊位于施工升降机上方，故起重高度满足要求。同时参照以上塔吊起重性能参数表可知，塔吊在</w:t>
      </w:r>
      <w:r>
        <w:t>50m</w:t>
      </w:r>
      <w:r>
        <w:rPr>
          <w:rFonts w:hint="eastAsia"/>
        </w:rPr>
        <w:t>以下的吊幅下起重能力达</w:t>
      </w:r>
      <w:r>
        <w:t>12.5t</w:t>
      </w:r>
      <w:r>
        <w:rPr>
          <w:rFonts w:hint="eastAsia"/>
        </w:rPr>
        <w:t>（二倍率），满足标准节0</w:t>
      </w:r>
      <w:r>
        <w:t>.48</w:t>
      </w:r>
      <w:r>
        <w:rPr>
          <w:rFonts w:hint="eastAsia"/>
        </w:rPr>
        <w:t>t（三节标准节组装一起进行整体吊装）、</w:t>
      </w:r>
      <w:r>
        <w:rPr>
          <w:rFonts w:hint="eastAsia"/>
          <w:bCs/>
        </w:rPr>
        <w:t>吊笼主结构</w:t>
      </w:r>
      <w:r>
        <w:rPr>
          <w:bCs/>
        </w:rPr>
        <w:t>1.85t</w:t>
      </w:r>
      <w:r>
        <w:rPr>
          <w:rFonts w:hint="eastAsia"/>
          <w:bCs/>
        </w:rPr>
        <w:t>在全幅度工况下</w:t>
      </w:r>
      <w:r>
        <w:rPr>
          <w:rFonts w:hint="eastAsia"/>
        </w:rPr>
        <w:t>的安装与拆除的施工要求。</w:t>
      </w:r>
    </w:p>
    <w:p w14:paraId="6C93070C">
      <w:pPr>
        <w:ind w:firstLine="480"/>
      </w:pPr>
      <w:r>
        <w:fldChar w:fldCharType="begin"/>
      </w:r>
      <w:r>
        <w:instrText xml:space="preserve"> REF 设备类型 \h  \* MERGEFORMAT </w:instrText>
      </w:r>
      <w:r>
        <w:fldChar w:fldCharType="separate"/>
      </w:r>
      <w:r>
        <w:rPr>
          <w:rFonts w:hint="eastAsia"/>
        </w:rPr>
        <w:t>施工升降机</w:t>
      </w:r>
      <w:r>
        <w:fldChar w:fldCharType="end"/>
      </w:r>
      <w:r>
        <w:t>整机安装</w:t>
      </w:r>
      <w:r>
        <w:rPr>
          <w:rFonts w:hint="eastAsia"/>
        </w:rPr>
        <w:t>拆除工况吊装参数详见</w:t>
      </w:r>
      <w:r>
        <w:fldChar w:fldCharType="begin"/>
      </w:r>
      <w:r>
        <w:instrText xml:space="preserve"> </w:instrText>
      </w:r>
      <w:r>
        <w:rPr>
          <w:rFonts w:hint="eastAsia"/>
        </w:rPr>
        <w:instrText xml:space="preserve">REF _Ref121249921 \h</w:instrText>
      </w:r>
      <w:r>
        <w:instrText xml:space="preserve"> </w:instrText>
      </w:r>
      <w:r>
        <w:fldChar w:fldCharType="separate"/>
      </w:r>
      <w:r>
        <w:rPr>
          <w:rFonts w:hint="eastAsia"/>
        </w:rPr>
        <w:t>表</w:t>
      </w:r>
      <w:r>
        <w:t>4.2.1-2</w:t>
      </w:r>
      <w:r>
        <w:fldChar w:fldCharType="end"/>
      </w:r>
      <w:r>
        <w:rPr>
          <w:rFonts w:hint="eastAsia"/>
        </w:rPr>
        <w:t>所示。</w:t>
      </w:r>
    </w:p>
    <w:p w14:paraId="625568B5">
      <w:pPr>
        <w:ind w:firstLine="480"/>
        <w:sectPr>
          <w:footerReference r:id="rId17" w:type="default"/>
          <w:pgSz w:w="11906" w:h="16838"/>
          <w:pgMar w:top="1440" w:right="1800" w:bottom="1440" w:left="1800" w:header="851" w:footer="992" w:gutter="0"/>
          <w:pgNumType w:start="1"/>
          <w:cols w:space="425" w:num="1"/>
          <w:docGrid w:type="lines" w:linePitch="312" w:charSpace="0"/>
        </w:sectPr>
      </w:pPr>
    </w:p>
    <w:p w14:paraId="666646B0">
      <w:pPr>
        <w:pStyle w:val="15"/>
      </w:pPr>
      <w:bookmarkStart w:id="84" w:name="_Ref121249921"/>
      <w:r>
        <w:rPr>
          <w:rFonts w:hint="eastAsia"/>
        </w:rPr>
        <w:t>表</w:t>
      </w:r>
      <w:r>
        <w:fldChar w:fldCharType="begin"/>
      </w:r>
      <w:r>
        <w:instrText xml:space="preserve"> STYLEREF 3 \s </w:instrText>
      </w:r>
      <w:r>
        <w:fldChar w:fldCharType="separate"/>
      </w:r>
      <w:r>
        <w:t>4.2.1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2</w:t>
      </w:r>
      <w:r>
        <w:fldChar w:fldCharType="end"/>
      </w:r>
      <w:bookmarkEnd w:id="84"/>
      <w:r>
        <w:rPr>
          <w:rFonts w:hint="eastAsia"/>
        </w:rPr>
        <w:t xml:space="preserve"> </w:t>
      </w:r>
      <w:r>
        <w:fldChar w:fldCharType="begin"/>
      </w:r>
      <w:r>
        <w:instrText xml:space="preserve"> REF 设备类型 \h  \* MERGEFORMAT </w:instrText>
      </w:r>
      <w:r>
        <w:fldChar w:fldCharType="separate"/>
      </w:r>
      <w:r>
        <w:rPr>
          <w:rFonts w:hint="eastAsia"/>
        </w:rPr>
        <w:t>施工升降机</w:t>
      </w:r>
      <w:r>
        <w:fldChar w:fldCharType="end"/>
      </w:r>
      <w:r>
        <w:rPr>
          <w:rFonts w:hint="eastAsia"/>
        </w:rPr>
        <w:t>安装拆除工况吊装参数</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9"/>
        <w:gridCol w:w="1292"/>
        <w:gridCol w:w="858"/>
        <w:gridCol w:w="713"/>
        <w:gridCol w:w="858"/>
        <w:gridCol w:w="1437"/>
        <w:gridCol w:w="3025"/>
        <w:gridCol w:w="1523"/>
        <w:gridCol w:w="1004"/>
        <w:gridCol w:w="1292"/>
        <w:gridCol w:w="753"/>
      </w:tblGrid>
      <w:tr w14:paraId="0F2939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vMerge w:val="restart"/>
            <w:shd w:val="clear" w:color="auto" w:fill="auto"/>
            <w:vAlign w:val="center"/>
          </w:tcPr>
          <w:p w14:paraId="6AE01869">
            <w:pPr>
              <w:pStyle w:val="16"/>
              <w:rPr>
                <w:b/>
              </w:rPr>
            </w:pPr>
            <w:r>
              <w:rPr>
                <w:rFonts w:hint="eastAsia"/>
                <w:b/>
              </w:rPr>
              <w:t>序号</w:t>
            </w:r>
          </w:p>
        </w:tc>
        <w:tc>
          <w:tcPr>
            <w:tcW w:w="483" w:type="pct"/>
            <w:vMerge w:val="restart"/>
            <w:shd w:val="clear" w:color="auto" w:fill="auto"/>
            <w:vAlign w:val="center"/>
          </w:tcPr>
          <w:p w14:paraId="32157552">
            <w:pPr>
              <w:pStyle w:val="16"/>
              <w:rPr>
                <w:b/>
              </w:rPr>
            </w:pPr>
            <w:r>
              <w:rPr>
                <w:rFonts w:hint="eastAsia"/>
                <w:b/>
              </w:rPr>
              <w:t>部件名称</w:t>
            </w:r>
          </w:p>
        </w:tc>
        <w:tc>
          <w:tcPr>
            <w:tcW w:w="322" w:type="pct"/>
            <w:vMerge w:val="restart"/>
            <w:shd w:val="clear" w:color="auto" w:fill="auto"/>
            <w:vAlign w:val="center"/>
          </w:tcPr>
          <w:p w14:paraId="7C42AA52">
            <w:pPr>
              <w:pStyle w:val="16"/>
              <w:rPr>
                <w:b/>
              </w:rPr>
            </w:pPr>
            <w:r>
              <w:rPr>
                <w:rFonts w:hint="eastAsia"/>
                <w:b/>
              </w:rPr>
              <w:t>单重</w:t>
            </w:r>
            <w:r>
              <w:rPr>
                <w:b/>
              </w:rPr>
              <w:t>(t)</w:t>
            </w:r>
          </w:p>
        </w:tc>
        <w:tc>
          <w:tcPr>
            <w:tcW w:w="268" w:type="pct"/>
            <w:vMerge w:val="restart"/>
            <w:shd w:val="clear" w:color="auto" w:fill="auto"/>
            <w:vAlign w:val="center"/>
          </w:tcPr>
          <w:p w14:paraId="248CFC55">
            <w:pPr>
              <w:pStyle w:val="16"/>
              <w:rPr>
                <w:b/>
              </w:rPr>
            </w:pPr>
            <w:r>
              <w:rPr>
                <w:rFonts w:hint="eastAsia"/>
                <w:b/>
              </w:rPr>
              <w:t>数量</w:t>
            </w:r>
          </w:p>
        </w:tc>
        <w:tc>
          <w:tcPr>
            <w:tcW w:w="322" w:type="pct"/>
            <w:vMerge w:val="restart"/>
            <w:shd w:val="clear" w:color="auto" w:fill="auto"/>
            <w:vAlign w:val="center"/>
          </w:tcPr>
          <w:p w14:paraId="4FB91C20">
            <w:pPr>
              <w:pStyle w:val="16"/>
              <w:rPr>
                <w:b/>
              </w:rPr>
            </w:pPr>
            <w:r>
              <w:rPr>
                <w:rFonts w:hint="eastAsia"/>
                <w:b/>
              </w:rPr>
              <w:t>总重</w:t>
            </w:r>
            <w:r>
              <w:rPr>
                <w:b/>
              </w:rPr>
              <w:t>(t)</w:t>
            </w:r>
          </w:p>
        </w:tc>
        <w:tc>
          <w:tcPr>
            <w:tcW w:w="537" w:type="pct"/>
            <w:vMerge w:val="restart"/>
            <w:shd w:val="clear" w:color="auto" w:fill="auto"/>
            <w:vAlign w:val="center"/>
          </w:tcPr>
          <w:p w14:paraId="0B78C9E6">
            <w:pPr>
              <w:pStyle w:val="16"/>
              <w:rPr>
                <w:b/>
              </w:rPr>
            </w:pPr>
            <w:r>
              <w:rPr>
                <w:rFonts w:hint="eastAsia"/>
                <w:b/>
              </w:rPr>
              <w:t>需求吊幅</w:t>
            </w:r>
            <w:r>
              <w:rPr>
                <w:b/>
              </w:rPr>
              <w:t>(m)</w:t>
            </w:r>
          </w:p>
        </w:tc>
        <w:tc>
          <w:tcPr>
            <w:tcW w:w="1127" w:type="pct"/>
            <w:vMerge w:val="restart"/>
            <w:shd w:val="clear" w:color="auto" w:fill="auto"/>
            <w:vAlign w:val="center"/>
          </w:tcPr>
          <w:p w14:paraId="33E640F7">
            <w:pPr>
              <w:pStyle w:val="16"/>
              <w:rPr>
                <w:b/>
              </w:rPr>
            </w:pPr>
            <w:r>
              <w:rPr>
                <w:rFonts w:hint="eastAsia"/>
                <w:b/>
              </w:rPr>
              <w:t>型号及数量</w:t>
            </w:r>
          </w:p>
        </w:tc>
        <w:tc>
          <w:tcPr>
            <w:tcW w:w="1395" w:type="pct"/>
            <w:gridSpan w:val="3"/>
            <w:shd w:val="clear" w:color="auto" w:fill="auto"/>
            <w:vAlign w:val="center"/>
          </w:tcPr>
          <w:p w14:paraId="2357175A">
            <w:pPr>
              <w:pStyle w:val="16"/>
              <w:rPr>
                <w:b/>
              </w:rPr>
            </w:pPr>
            <w:r>
              <w:rPr>
                <w:rFonts w:hint="eastAsia"/>
                <w:b/>
              </w:rPr>
              <w:t>起重设备选型及吊装参数</w:t>
            </w:r>
          </w:p>
        </w:tc>
        <w:tc>
          <w:tcPr>
            <w:tcW w:w="283" w:type="pct"/>
            <w:vMerge w:val="restart"/>
            <w:shd w:val="clear" w:color="auto" w:fill="auto"/>
            <w:vAlign w:val="center"/>
          </w:tcPr>
          <w:p w14:paraId="5F27A672">
            <w:pPr>
              <w:pStyle w:val="16"/>
              <w:rPr>
                <w:b/>
              </w:rPr>
            </w:pPr>
            <w:r>
              <w:rPr>
                <w:rFonts w:hint="eastAsia"/>
                <w:b/>
              </w:rPr>
              <w:t>结论</w:t>
            </w:r>
          </w:p>
        </w:tc>
      </w:tr>
      <w:tr w14:paraId="71343D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0" w:type="auto"/>
            <w:vMerge w:val="continue"/>
            <w:shd w:val="clear" w:color="auto" w:fill="auto"/>
            <w:vAlign w:val="center"/>
          </w:tcPr>
          <w:p w14:paraId="3B92DE9F">
            <w:pPr>
              <w:pStyle w:val="16"/>
              <w:rPr>
                <w:b/>
              </w:rPr>
            </w:pPr>
          </w:p>
        </w:tc>
        <w:tc>
          <w:tcPr>
            <w:tcW w:w="0" w:type="auto"/>
            <w:vMerge w:val="continue"/>
            <w:shd w:val="clear" w:color="auto" w:fill="auto"/>
            <w:vAlign w:val="center"/>
          </w:tcPr>
          <w:p w14:paraId="0C735D45">
            <w:pPr>
              <w:pStyle w:val="16"/>
              <w:rPr>
                <w:b/>
              </w:rPr>
            </w:pPr>
          </w:p>
        </w:tc>
        <w:tc>
          <w:tcPr>
            <w:tcW w:w="0" w:type="auto"/>
            <w:vMerge w:val="continue"/>
            <w:shd w:val="clear" w:color="auto" w:fill="auto"/>
            <w:vAlign w:val="center"/>
          </w:tcPr>
          <w:p w14:paraId="40CDDBEF">
            <w:pPr>
              <w:pStyle w:val="16"/>
              <w:rPr>
                <w:b/>
              </w:rPr>
            </w:pPr>
          </w:p>
        </w:tc>
        <w:tc>
          <w:tcPr>
            <w:tcW w:w="0" w:type="auto"/>
            <w:vMerge w:val="continue"/>
            <w:shd w:val="clear" w:color="auto" w:fill="auto"/>
            <w:vAlign w:val="center"/>
          </w:tcPr>
          <w:p w14:paraId="347B3EAF">
            <w:pPr>
              <w:pStyle w:val="16"/>
              <w:rPr>
                <w:b/>
              </w:rPr>
            </w:pPr>
          </w:p>
        </w:tc>
        <w:tc>
          <w:tcPr>
            <w:tcW w:w="0" w:type="auto"/>
            <w:vMerge w:val="continue"/>
            <w:shd w:val="clear" w:color="auto" w:fill="auto"/>
            <w:vAlign w:val="center"/>
          </w:tcPr>
          <w:p w14:paraId="772097C3">
            <w:pPr>
              <w:pStyle w:val="16"/>
              <w:rPr>
                <w:b/>
              </w:rPr>
            </w:pPr>
          </w:p>
        </w:tc>
        <w:tc>
          <w:tcPr>
            <w:tcW w:w="0" w:type="auto"/>
            <w:vMerge w:val="continue"/>
            <w:shd w:val="clear" w:color="auto" w:fill="auto"/>
            <w:vAlign w:val="center"/>
          </w:tcPr>
          <w:p w14:paraId="386B0C07">
            <w:pPr>
              <w:pStyle w:val="16"/>
              <w:rPr>
                <w:b/>
              </w:rPr>
            </w:pPr>
          </w:p>
        </w:tc>
        <w:tc>
          <w:tcPr>
            <w:tcW w:w="0" w:type="auto"/>
            <w:vMerge w:val="continue"/>
            <w:shd w:val="clear" w:color="auto" w:fill="auto"/>
            <w:vAlign w:val="center"/>
          </w:tcPr>
          <w:p w14:paraId="7DB92981">
            <w:pPr>
              <w:pStyle w:val="16"/>
              <w:rPr>
                <w:b/>
              </w:rPr>
            </w:pPr>
          </w:p>
        </w:tc>
        <w:tc>
          <w:tcPr>
            <w:tcW w:w="536" w:type="pct"/>
            <w:shd w:val="clear" w:color="auto" w:fill="auto"/>
            <w:vAlign w:val="center"/>
          </w:tcPr>
          <w:p w14:paraId="437A2636">
            <w:pPr>
              <w:pStyle w:val="16"/>
              <w:rPr>
                <w:b/>
              </w:rPr>
            </w:pPr>
            <w:r>
              <w:rPr>
                <w:rFonts w:hint="eastAsia"/>
                <w:b/>
              </w:rPr>
              <w:t>设备型号</w:t>
            </w:r>
          </w:p>
        </w:tc>
        <w:tc>
          <w:tcPr>
            <w:tcW w:w="376" w:type="pct"/>
            <w:shd w:val="clear" w:color="auto" w:fill="auto"/>
            <w:vAlign w:val="center"/>
          </w:tcPr>
          <w:p w14:paraId="4018B245">
            <w:pPr>
              <w:pStyle w:val="16"/>
              <w:rPr>
                <w:b/>
              </w:rPr>
            </w:pPr>
            <w:r>
              <w:rPr>
                <w:rFonts w:hint="eastAsia"/>
                <w:b/>
              </w:rPr>
              <w:t>吊幅</w:t>
            </w:r>
            <w:r>
              <w:rPr>
                <w:b/>
              </w:rPr>
              <w:t>(m)</w:t>
            </w:r>
          </w:p>
        </w:tc>
        <w:tc>
          <w:tcPr>
            <w:tcW w:w="483" w:type="pct"/>
            <w:shd w:val="clear" w:color="auto" w:fill="auto"/>
            <w:vAlign w:val="center"/>
          </w:tcPr>
          <w:p w14:paraId="0E7BD3F1">
            <w:pPr>
              <w:pStyle w:val="16"/>
              <w:rPr>
                <w:b/>
              </w:rPr>
            </w:pPr>
            <w:r>
              <w:rPr>
                <w:rFonts w:hint="eastAsia"/>
                <w:b/>
              </w:rPr>
              <w:t>额定载荷</w:t>
            </w:r>
            <w:r>
              <w:rPr>
                <w:b/>
              </w:rPr>
              <w:t>(t)</w:t>
            </w:r>
          </w:p>
        </w:tc>
        <w:tc>
          <w:tcPr>
            <w:tcW w:w="0" w:type="auto"/>
            <w:vMerge w:val="continue"/>
            <w:shd w:val="clear" w:color="auto" w:fill="auto"/>
            <w:vAlign w:val="center"/>
          </w:tcPr>
          <w:p w14:paraId="3F7E73FB">
            <w:pPr>
              <w:pStyle w:val="16"/>
              <w:rPr>
                <w:b/>
              </w:rPr>
            </w:pPr>
          </w:p>
        </w:tc>
      </w:tr>
      <w:tr w14:paraId="4EE3F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auto" w:fill="auto"/>
            <w:vAlign w:val="center"/>
          </w:tcPr>
          <w:p w14:paraId="7C1C9F45">
            <w:pPr>
              <w:pStyle w:val="16"/>
              <w:numPr>
                <w:ilvl w:val="0"/>
                <w:numId w:val="24"/>
              </w:numPr>
            </w:pPr>
          </w:p>
        </w:tc>
        <w:tc>
          <w:tcPr>
            <w:tcW w:w="483" w:type="pct"/>
            <w:shd w:val="clear" w:color="auto" w:fill="auto"/>
            <w:vAlign w:val="center"/>
          </w:tcPr>
          <w:p w14:paraId="711720DC">
            <w:pPr>
              <w:pStyle w:val="16"/>
            </w:pPr>
            <w:r>
              <w:rPr>
                <w:rFonts w:hint="eastAsia"/>
              </w:rPr>
              <w:t>标准节</w:t>
            </w:r>
          </w:p>
        </w:tc>
        <w:tc>
          <w:tcPr>
            <w:tcW w:w="322" w:type="pct"/>
            <w:shd w:val="clear" w:color="auto" w:fill="auto"/>
            <w:vAlign w:val="center"/>
          </w:tcPr>
          <w:p w14:paraId="1F548F6F">
            <w:pPr>
              <w:pStyle w:val="16"/>
              <w:rPr>
                <w:rFonts w:hint="default" w:eastAsia="宋体"/>
                <w:lang w:val="en-US" w:eastAsia="zh-CN"/>
              </w:rPr>
            </w:pPr>
            <w:r>
              <w:rPr>
                <w:rFonts w:hint="eastAsia"/>
              </w:rPr>
              <w:t>0</w:t>
            </w:r>
            <w:r>
              <w:t>.1</w:t>
            </w:r>
            <w:r>
              <w:rPr>
                <w:rFonts w:hint="eastAsia"/>
                <w:lang w:val="en-US" w:eastAsia="zh-CN"/>
              </w:rPr>
              <w:t>15</w:t>
            </w:r>
          </w:p>
        </w:tc>
        <w:tc>
          <w:tcPr>
            <w:tcW w:w="268" w:type="pct"/>
            <w:shd w:val="clear" w:color="auto" w:fill="auto"/>
            <w:vAlign w:val="center"/>
          </w:tcPr>
          <w:p w14:paraId="0A0F6461">
            <w:pPr>
              <w:pStyle w:val="16"/>
            </w:pPr>
            <w:r>
              <w:t>3</w:t>
            </w:r>
          </w:p>
        </w:tc>
        <w:tc>
          <w:tcPr>
            <w:tcW w:w="322" w:type="pct"/>
            <w:shd w:val="clear" w:color="auto" w:fill="auto"/>
            <w:vAlign w:val="center"/>
          </w:tcPr>
          <w:p w14:paraId="0B8A828E">
            <w:pPr>
              <w:pStyle w:val="16"/>
              <w:rPr>
                <w:rFonts w:hint="default" w:eastAsia="宋体"/>
                <w:lang w:val="en-US" w:eastAsia="zh-CN"/>
              </w:rPr>
            </w:pPr>
            <w:r>
              <w:fldChar w:fldCharType="begin"/>
            </w:r>
            <w:r>
              <w:instrText xml:space="preserve"> =PRODUCT(LEFT) </w:instrText>
            </w:r>
            <w:r>
              <w:fldChar w:fldCharType="separate"/>
            </w:r>
            <w:r>
              <w:t>0.</w:t>
            </w:r>
            <w:r>
              <w:rPr>
                <w:rFonts w:hint="eastAsia"/>
                <w:lang w:val="en-US" w:eastAsia="zh-CN"/>
              </w:rPr>
              <w:t>3</w:t>
            </w:r>
            <w:r>
              <w:fldChar w:fldCharType="end"/>
            </w:r>
            <w:r>
              <w:rPr>
                <w:rFonts w:hint="eastAsia"/>
                <w:lang w:val="en-US" w:eastAsia="zh-CN"/>
              </w:rPr>
              <w:t>45</w:t>
            </w:r>
          </w:p>
        </w:tc>
        <w:tc>
          <w:tcPr>
            <w:tcW w:w="537" w:type="pct"/>
            <w:shd w:val="clear" w:color="auto" w:fill="auto"/>
            <w:vAlign w:val="center"/>
          </w:tcPr>
          <w:p w14:paraId="5BBF4698">
            <w:pPr>
              <w:pStyle w:val="16"/>
              <w:rPr>
                <w:rFonts w:hint="default" w:eastAsia="宋体"/>
                <w:lang w:val="en-US" w:eastAsia="zh-CN"/>
              </w:rPr>
            </w:pPr>
            <w:r>
              <w:rPr>
                <w:rFonts w:hint="eastAsia"/>
                <w:lang w:val="en-US" w:eastAsia="zh-CN"/>
              </w:rPr>
              <w:t>55</w:t>
            </w:r>
          </w:p>
        </w:tc>
        <w:tc>
          <w:tcPr>
            <w:tcW w:w="1127" w:type="pct"/>
            <w:shd w:val="clear" w:color="auto" w:fill="auto"/>
            <w:vAlign w:val="center"/>
          </w:tcPr>
          <w:p w14:paraId="54041A39">
            <w:pPr>
              <w:pStyle w:val="16"/>
            </w:pPr>
            <w:r>
              <w:t>1</w:t>
            </w:r>
            <w:r>
              <w:rPr>
                <w:rFonts w:hint="eastAsia"/>
              </w:rPr>
              <w:t>台</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XGT8040A-25</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p>
        </w:tc>
        <w:tc>
          <w:tcPr>
            <w:tcW w:w="536" w:type="pct"/>
            <w:shd w:val="clear" w:color="auto" w:fill="auto"/>
            <w:vAlign w:val="center"/>
          </w:tcPr>
          <w:p w14:paraId="3C6ED0DA">
            <w:pPr>
              <w:pStyle w:val="16"/>
            </w:pP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XGT8040A-25</w:t>
            </w:r>
            <w:r>
              <w:fldChar w:fldCharType="end"/>
            </w:r>
          </w:p>
        </w:tc>
        <w:tc>
          <w:tcPr>
            <w:tcW w:w="376" w:type="pct"/>
            <w:shd w:val="clear" w:color="auto" w:fill="auto"/>
            <w:vAlign w:val="center"/>
          </w:tcPr>
          <w:p w14:paraId="024F145D">
            <w:pPr>
              <w:pStyle w:val="16"/>
              <w:rPr>
                <w:rFonts w:hint="default" w:eastAsia="宋体"/>
                <w:lang w:val="en-US" w:eastAsia="zh-CN"/>
              </w:rPr>
            </w:pPr>
            <w:r>
              <w:rPr>
                <w:rFonts w:hint="eastAsia"/>
                <w:lang w:val="en-US" w:eastAsia="zh-CN"/>
              </w:rPr>
              <w:t>55</w:t>
            </w:r>
          </w:p>
        </w:tc>
        <w:tc>
          <w:tcPr>
            <w:tcW w:w="483" w:type="pct"/>
            <w:shd w:val="clear" w:color="auto" w:fill="auto"/>
            <w:vAlign w:val="center"/>
          </w:tcPr>
          <w:p w14:paraId="2ECCED1B">
            <w:pPr>
              <w:pStyle w:val="16"/>
              <w:rPr>
                <w:rFonts w:hint="default" w:eastAsia="宋体"/>
                <w:lang w:val="en-US" w:eastAsia="zh-CN"/>
              </w:rPr>
            </w:pPr>
            <w:r>
              <w:rPr>
                <w:rFonts w:hint="eastAsia"/>
                <w:lang w:val="en-US" w:eastAsia="zh-CN"/>
              </w:rPr>
              <w:t>8.6</w:t>
            </w:r>
          </w:p>
        </w:tc>
        <w:tc>
          <w:tcPr>
            <w:tcW w:w="283" w:type="pct"/>
            <w:shd w:val="clear" w:color="auto" w:fill="auto"/>
            <w:vAlign w:val="center"/>
          </w:tcPr>
          <w:p w14:paraId="06B0FCEE">
            <w:pPr>
              <w:pStyle w:val="16"/>
            </w:pPr>
            <w:r>
              <w:rPr>
                <w:rFonts w:hint="eastAsia"/>
              </w:rPr>
              <w:t>满足要求</w:t>
            </w:r>
          </w:p>
        </w:tc>
      </w:tr>
      <w:tr w14:paraId="7010A9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63" w:type="pct"/>
            <w:shd w:val="clear" w:color="auto" w:fill="auto"/>
            <w:vAlign w:val="center"/>
          </w:tcPr>
          <w:p w14:paraId="19C60006">
            <w:pPr>
              <w:pStyle w:val="16"/>
              <w:numPr>
                <w:ilvl w:val="0"/>
                <w:numId w:val="24"/>
              </w:numPr>
            </w:pPr>
          </w:p>
        </w:tc>
        <w:tc>
          <w:tcPr>
            <w:tcW w:w="483" w:type="pct"/>
            <w:shd w:val="clear" w:color="auto" w:fill="auto"/>
            <w:vAlign w:val="center"/>
          </w:tcPr>
          <w:p w14:paraId="5BFBAC9C">
            <w:pPr>
              <w:pStyle w:val="16"/>
            </w:pPr>
            <w:r>
              <w:rPr>
                <w:rFonts w:hint="eastAsia"/>
              </w:rPr>
              <w:t>吊笼</w:t>
            </w:r>
          </w:p>
        </w:tc>
        <w:tc>
          <w:tcPr>
            <w:tcW w:w="322" w:type="pct"/>
            <w:shd w:val="clear" w:color="auto" w:fill="auto"/>
            <w:vAlign w:val="center"/>
          </w:tcPr>
          <w:p w14:paraId="6119D2FB">
            <w:pPr>
              <w:pStyle w:val="16"/>
              <w:rPr>
                <w:rFonts w:hint="eastAsia" w:eastAsia="宋体"/>
                <w:lang w:eastAsia="zh-CN"/>
              </w:rPr>
            </w:pPr>
            <w:r>
              <w:t>1.</w:t>
            </w:r>
            <w:r>
              <w:rPr>
                <w:rFonts w:hint="eastAsia"/>
                <w:lang w:val="en-US" w:eastAsia="zh-CN"/>
              </w:rPr>
              <w:t>4</w:t>
            </w:r>
          </w:p>
        </w:tc>
        <w:tc>
          <w:tcPr>
            <w:tcW w:w="268" w:type="pct"/>
            <w:shd w:val="clear" w:color="auto" w:fill="auto"/>
            <w:vAlign w:val="center"/>
          </w:tcPr>
          <w:p w14:paraId="36BFE01E">
            <w:pPr>
              <w:pStyle w:val="16"/>
              <w:rPr>
                <w:rFonts w:hint="eastAsia" w:eastAsia="宋体"/>
                <w:lang w:eastAsia="zh-CN"/>
              </w:rPr>
            </w:pPr>
            <w:r>
              <w:rPr>
                <w:rFonts w:hint="eastAsia"/>
                <w:lang w:val="en-US" w:eastAsia="zh-CN"/>
              </w:rPr>
              <w:t>1</w:t>
            </w:r>
          </w:p>
        </w:tc>
        <w:tc>
          <w:tcPr>
            <w:tcW w:w="322" w:type="pct"/>
            <w:shd w:val="clear" w:color="auto" w:fill="auto"/>
            <w:vAlign w:val="center"/>
          </w:tcPr>
          <w:p w14:paraId="7A05BF2E">
            <w:pPr>
              <w:pStyle w:val="16"/>
              <w:rPr>
                <w:rFonts w:hint="default" w:eastAsia="宋体"/>
                <w:lang w:val="en-US" w:eastAsia="zh-CN"/>
              </w:rPr>
            </w:pPr>
            <w:r>
              <w:rPr>
                <w:rFonts w:hint="eastAsia"/>
                <w:lang w:val="en-US" w:eastAsia="zh-CN"/>
              </w:rPr>
              <w:t>1.4</w:t>
            </w:r>
          </w:p>
        </w:tc>
        <w:tc>
          <w:tcPr>
            <w:tcW w:w="537" w:type="pct"/>
            <w:shd w:val="clear" w:color="auto" w:fill="auto"/>
            <w:vAlign w:val="center"/>
          </w:tcPr>
          <w:p w14:paraId="49843136">
            <w:pPr>
              <w:pStyle w:val="16"/>
              <w:rPr>
                <w:rFonts w:hint="default" w:eastAsia="宋体"/>
                <w:lang w:val="en-US" w:eastAsia="zh-CN"/>
              </w:rPr>
            </w:pPr>
            <w:r>
              <w:rPr>
                <w:rFonts w:hint="eastAsia"/>
                <w:lang w:val="en-US" w:eastAsia="zh-CN"/>
              </w:rPr>
              <w:t>55</w:t>
            </w:r>
          </w:p>
        </w:tc>
        <w:tc>
          <w:tcPr>
            <w:tcW w:w="1127" w:type="pct"/>
            <w:shd w:val="clear" w:color="auto" w:fill="auto"/>
            <w:vAlign w:val="center"/>
          </w:tcPr>
          <w:p w14:paraId="6F60B4DD">
            <w:pPr>
              <w:pStyle w:val="16"/>
            </w:pPr>
            <w:r>
              <w:t>1</w:t>
            </w:r>
            <w:r>
              <w:rPr>
                <w:rFonts w:hint="eastAsia"/>
              </w:rPr>
              <w:t>台</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XGT8040A-25</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p>
        </w:tc>
        <w:tc>
          <w:tcPr>
            <w:tcW w:w="536" w:type="pct"/>
            <w:shd w:val="clear" w:color="auto" w:fill="auto"/>
            <w:vAlign w:val="center"/>
          </w:tcPr>
          <w:p w14:paraId="6C0770BA">
            <w:pPr>
              <w:pStyle w:val="16"/>
            </w:pP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XGT8040A-25</w:t>
            </w:r>
            <w:r>
              <w:fldChar w:fldCharType="end"/>
            </w:r>
          </w:p>
        </w:tc>
        <w:tc>
          <w:tcPr>
            <w:tcW w:w="376" w:type="pct"/>
            <w:shd w:val="clear" w:color="auto" w:fill="auto"/>
            <w:vAlign w:val="center"/>
          </w:tcPr>
          <w:p w14:paraId="747C85E1">
            <w:pPr>
              <w:pStyle w:val="16"/>
              <w:rPr>
                <w:rFonts w:hint="default" w:eastAsia="宋体"/>
                <w:lang w:val="en-US" w:eastAsia="zh-CN"/>
              </w:rPr>
            </w:pPr>
            <w:r>
              <w:rPr>
                <w:rFonts w:hint="eastAsia"/>
                <w:lang w:val="en-US" w:eastAsia="zh-CN"/>
              </w:rPr>
              <w:t>55</w:t>
            </w:r>
          </w:p>
        </w:tc>
        <w:tc>
          <w:tcPr>
            <w:tcW w:w="483" w:type="pct"/>
            <w:shd w:val="clear" w:color="auto" w:fill="auto"/>
            <w:vAlign w:val="center"/>
          </w:tcPr>
          <w:p w14:paraId="682901BF">
            <w:pPr>
              <w:pStyle w:val="16"/>
              <w:rPr>
                <w:rFonts w:hint="default" w:eastAsia="宋体"/>
                <w:lang w:val="en-US" w:eastAsia="zh-CN"/>
              </w:rPr>
            </w:pPr>
            <w:r>
              <w:rPr>
                <w:rFonts w:hint="eastAsia"/>
                <w:lang w:val="en-US" w:eastAsia="zh-CN"/>
              </w:rPr>
              <w:t>8.6</w:t>
            </w:r>
          </w:p>
        </w:tc>
        <w:tc>
          <w:tcPr>
            <w:tcW w:w="283" w:type="pct"/>
            <w:shd w:val="clear" w:color="auto" w:fill="auto"/>
            <w:vAlign w:val="center"/>
          </w:tcPr>
          <w:p w14:paraId="0834E3B7">
            <w:pPr>
              <w:pStyle w:val="16"/>
            </w:pPr>
            <w:r>
              <w:rPr>
                <w:rFonts w:hint="eastAsia"/>
              </w:rPr>
              <w:t>满足要求</w:t>
            </w:r>
          </w:p>
        </w:tc>
      </w:tr>
    </w:tbl>
    <w:p w14:paraId="6BEA36FA">
      <w:pPr>
        <w:ind w:firstLine="480"/>
      </w:pPr>
    </w:p>
    <w:bookmarkEnd w:id="81"/>
    <w:p w14:paraId="0EDE8D2A">
      <w:pPr>
        <w:ind w:firstLine="480"/>
        <w:sectPr>
          <w:pgSz w:w="16838" w:h="11906" w:orient="landscape"/>
          <w:pgMar w:top="1440" w:right="1800" w:bottom="1440" w:left="1800" w:header="851" w:footer="992" w:gutter="0"/>
          <w:cols w:space="425" w:num="1"/>
          <w:docGrid w:type="lines" w:linePitch="326" w:charSpace="0"/>
        </w:sectPr>
      </w:pPr>
    </w:p>
    <w:p w14:paraId="5CD92E7A">
      <w:pPr>
        <w:ind w:firstLine="480"/>
      </w:pPr>
      <w:r>
        <w:rPr>
          <w:rFonts w:hint="eastAsia"/>
        </w:rPr>
        <w:t>施工升降机初始安装时，塔吊的吊高均在</w:t>
      </w:r>
      <w:r>
        <w:t>40</w:t>
      </w:r>
      <w:r>
        <w:rPr>
          <w:rFonts w:hint="eastAsia"/>
        </w:rPr>
        <w:t>m以上（施工升降机初始安装高度为15</w:t>
      </w:r>
      <w:r>
        <w:t>m</w:t>
      </w:r>
      <w:r>
        <w:rPr>
          <w:rFonts w:hint="eastAsia"/>
        </w:rPr>
        <w:t>左右），拆除时塔吊位于施工升降机上方，故起重高度满足要求。同时参照以上塔吊起重性能参数表可知，塔吊在5</w:t>
      </w:r>
      <w:r>
        <w:rPr>
          <w:rFonts w:hint="eastAsia"/>
          <w:lang w:val="en-US" w:eastAsia="zh-CN"/>
        </w:rPr>
        <w:t>5</w:t>
      </w:r>
      <w:r>
        <w:rPr>
          <w:rFonts w:hint="eastAsia"/>
        </w:rPr>
        <w:t>m以下的吊幅下起重能力达</w:t>
      </w:r>
      <w:r>
        <w:rPr>
          <w:rFonts w:hint="eastAsia"/>
          <w:lang w:val="en-US" w:eastAsia="zh-CN"/>
        </w:rPr>
        <w:t>8.6</w:t>
      </w:r>
      <w:r>
        <w:rPr>
          <w:rFonts w:hint="eastAsia"/>
        </w:rPr>
        <w:t>t（二倍率），满足</w:t>
      </w:r>
      <w:r>
        <w:rPr>
          <w:bCs/>
        </w:rPr>
        <w:t>吊笼主结构1.</w:t>
      </w:r>
      <w:r>
        <w:rPr>
          <w:rFonts w:hint="eastAsia"/>
          <w:bCs/>
          <w:lang w:val="en-US" w:eastAsia="zh-CN"/>
        </w:rPr>
        <w:t>4</w:t>
      </w:r>
      <w:r>
        <w:rPr>
          <w:bCs/>
        </w:rPr>
        <w:t>t</w:t>
      </w:r>
      <w:r>
        <w:rPr>
          <w:rFonts w:hint="eastAsia"/>
          <w:bCs/>
        </w:rPr>
        <w:t>在全幅度工况下</w:t>
      </w:r>
      <w:r>
        <w:rPr>
          <w:rFonts w:hint="eastAsia"/>
        </w:rPr>
        <w:t>的安装与拆除的施工要求。</w:t>
      </w:r>
    </w:p>
    <w:p w14:paraId="7F72CD79">
      <w:pPr>
        <w:pStyle w:val="109"/>
      </w:pPr>
      <w:r>
        <w:drawing>
          <wp:inline distT="0" distB="0" distL="114300" distR="114300">
            <wp:extent cx="5268595" cy="1921510"/>
            <wp:effectExtent l="0" t="0" r="8255" b="254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39"/>
                    <a:stretch>
                      <a:fillRect/>
                    </a:stretch>
                  </pic:blipFill>
                  <pic:spPr>
                    <a:xfrm>
                      <a:off x="0" y="0"/>
                      <a:ext cx="5268595" cy="1921510"/>
                    </a:xfrm>
                    <a:prstGeom prst="rect">
                      <a:avLst/>
                    </a:prstGeom>
                    <a:noFill/>
                    <a:ln>
                      <a:noFill/>
                    </a:ln>
                  </pic:spPr>
                </pic:pic>
              </a:graphicData>
            </a:graphic>
          </wp:inline>
        </w:drawing>
      </w:r>
    </w:p>
    <w:p w14:paraId="23CF4D03">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4.2.1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3</w:t>
      </w:r>
      <w:r>
        <w:fldChar w:fldCharType="end"/>
      </w:r>
      <w:r>
        <w:t xml:space="preserve"> </w:t>
      </w:r>
      <w:r>
        <w:rPr>
          <w:rFonts w:hint="eastAsia"/>
        </w:rPr>
        <w:t>吊幅示意图</w:t>
      </w:r>
    </w:p>
    <w:p w14:paraId="4A1E486E">
      <w:pPr>
        <w:pStyle w:val="4"/>
      </w:pPr>
      <w:r>
        <w:rPr>
          <w:rFonts w:hint="eastAsia"/>
        </w:rPr>
        <w:t>吊索选型计算</w:t>
      </w:r>
    </w:p>
    <w:p w14:paraId="06CD885E">
      <w:pPr>
        <w:pStyle w:val="5"/>
      </w:pPr>
      <w:r>
        <w:rPr>
          <w:rFonts w:hint="eastAsia"/>
        </w:rPr>
        <w:t>工作载荷计算方法</w:t>
      </w:r>
    </w:p>
    <w:p w14:paraId="15F540EA">
      <w:pPr>
        <w:ind w:firstLine="480"/>
      </w:pPr>
      <w:r>
        <w:rPr>
          <w:rFonts w:hint="eastAsia"/>
        </w:rPr>
        <w:t>根据《一般用途钢丝绳吊索特性和技术条件》（</w:t>
      </w:r>
      <w:r>
        <w:t>GB/T 16762-2020</w:t>
      </w:r>
      <w:r>
        <w:rPr>
          <w:rFonts w:hint="eastAsia"/>
        </w:rPr>
        <w:t>），单肢吊索额定工作载荷计算公式为：</w:t>
      </w:r>
    </w:p>
    <w:p w14:paraId="7CC7FE69">
      <w:pPr>
        <w:pStyle w:val="95"/>
      </w:pPr>
      <w:r>
        <w:object>
          <v:shape id="_x0000_i1025" o:spt="75" type="#_x0000_t75" style="height:34.05pt;width:83.35pt;" o:ole="t" filled="f" o:preferrelative="t" stroked="f" coordsize="21600,21600">
            <v:path/>
            <v:fill on="f" focussize="0,0"/>
            <v:stroke on="f" joinstyle="miter"/>
            <v:imagedata r:id="rId41" o:title=""/>
            <o:lock v:ext="edit" aspectratio="t"/>
            <w10:wrap type="none"/>
            <w10:anchorlock/>
          </v:shape>
          <o:OLEObject Type="Embed" ProgID="Equation.DSMT4" ShapeID="_x0000_i1025" DrawAspect="Content" ObjectID="_1468075725" r:id="rId40">
            <o:LockedField>false</o:LockedField>
          </o:OLEObject>
        </w:object>
      </w:r>
    </w:p>
    <w:p w14:paraId="1F780532">
      <w:pPr>
        <w:ind w:firstLine="0" w:firstLineChars="0"/>
        <w:rPr>
          <w:szCs w:val="24"/>
        </w:rPr>
      </w:pPr>
      <w:r>
        <w:rPr>
          <w:rFonts w:hint="eastAsia"/>
          <w:szCs w:val="24"/>
        </w:rPr>
        <w:t>其中：</w:t>
      </w:r>
      <w:r>
        <w:rPr>
          <w:b/>
          <w:i/>
          <w:szCs w:val="24"/>
        </w:rPr>
        <w:t>WLL</w:t>
      </w:r>
      <w:r>
        <w:rPr>
          <w:szCs w:val="24"/>
        </w:rPr>
        <w:t>——</w:t>
      </w:r>
      <w:r>
        <w:rPr>
          <w:rFonts w:hint="eastAsia"/>
          <w:szCs w:val="24"/>
        </w:rPr>
        <w:t>吊索额定工作载荷，单位为吨（</w:t>
      </w:r>
      <w:r>
        <w:rPr>
          <w:szCs w:val="24"/>
        </w:rPr>
        <w:t>t</w:t>
      </w:r>
      <w:r>
        <w:rPr>
          <w:rFonts w:hint="eastAsia"/>
          <w:szCs w:val="24"/>
        </w:rPr>
        <w:t>）；</w:t>
      </w:r>
    </w:p>
    <w:p w14:paraId="5A6C1D2A">
      <w:pPr>
        <w:ind w:firstLine="723" w:firstLineChars="300"/>
        <w:rPr>
          <w:szCs w:val="24"/>
        </w:rPr>
      </w:pPr>
      <w:r>
        <w:rPr>
          <w:b/>
          <w:i/>
          <w:szCs w:val="24"/>
        </w:rPr>
        <w:t>F</w:t>
      </w:r>
      <w:r>
        <w:rPr>
          <w:szCs w:val="24"/>
          <w:vertAlign w:val="subscript"/>
        </w:rPr>
        <w:t>0</w:t>
      </w:r>
      <w:r>
        <w:rPr>
          <w:szCs w:val="24"/>
        </w:rPr>
        <w:t>——</w:t>
      </w:r>
      <w:r>
        <w:rPr>
          <w:rFonts w:hint="eastAsia"/>
          <w:szCs w:val="24"/>
        </w:rPr>
        <w:t>钢丝绳最小破断拉力，单位为千牛（</w:t>
      </w:r>
      <w:r>
        <w:rPr>
          <w:szCs w:val="24"/>
        </w:rPr>
        <w:t>kN</w:t>
      </w:r>
      <w:r>
        <w:rPr>
          <w:rFonts w:hint="eastAsia"/>
          <w:szCs w:val="24"/>
        </w:rPr>
        <w:t>）；</w:t>
      </w:r>
    </w:p>
    <w:p w14:paraId="00A7B179">
      <w:pPr>
        <w:ind w:firstLine="720" w:firstLineChars="300"/>
        <w:rPr>
          <w:szCs w:val="24"/>
        </w:rPr>
      </w:pPr>
      <w:r>
        <w:rPr>
          <w:i/>
          <w:szCs w:val="24"/>
        </w:rPr>
        <w:t>K</w:t>
      </w:r>
      <w:r>
        <w:rPr>
          <w:szCs w:val="24"/>
          <w:vertAlign w:val="subscript"/>
        </w:rPr>
        <w:t>e</w:t>
      </w:r>
      <w:r>
        <w:rPr>
          <w:szCs w:val="24"/>
        </w:rPr>
        <w:t>——</w:t>
      </w:r>
      <w:r>
        <w:rPr>
          <w:rFonts w:hint="eastAsia"/>
          <w:szCs w:val="24"/>
        </w:rPr>
        <w:t>接头形式效能近似系数，压制接头取</w:t>
      </w:r>
      <w:r>
        <w:rPr>
          <w:szCs w:val="24"/>
        </w:rPr>
        <w:t>0.9</w:t>
      </w:r>
      <w:r>
        <w:rPr>
          <w:rFonts w:hint="eastAsia"/>
          <w:szCs w:val="24"/>
        </w:rPr>
        <w:t>，插编接头取</w:t>
      </w:r>
      <w:r>
        <w:rPr>
          <w:szCs w:val="24"/>
        </w:rPr>
        <w:t>0.75</w:t>
      </w:r>
      <w:r>
        <w:rPr>
          <w:rFonts w:hint="eastAsia"/>
          <w:szCs w:val="24"/>
        </w:rPr>
        <w:t>；</w:t>
      </w:r>
    </w:p>
    <w:p w14:paraId="3C5020EF">
      <w:pPr>
        <w:ind w:firstLine="720" w:firstLineChars="300"/>
        <w:rPr>
          <w:szCs w:val="24"/>
        </w:rPr>
      </w:pPr>
      <w:r>
        <w:rPr>
          <w:i/>
          <w:szCs w:val="24"/>
        </w:rPr>
        <w:t>K</w:t>
      </w:r>
      <w:r>
        <w:rPr>
          <w:szCs w:val="24"/>
          <w:vertAlign w:val="subscript"/>
        </w:rPr>
        <w:t>u</w:t>
      </w:r>
      <w:r>
        <w:rPr>
          <w:szCs w:val="24"/>
        </w:rPr>
        <w:t>——</w:t>
      </w:r>
      <w:r>
        <w:rPr>
          <w:rFonts w:hint="eastAsia"/>
          <w:szCs w:val="24"/>
        </w:rPr>
        <w:t>安全系数，一般取</w:t>
      </w:r>
      <w:r>
        <w:rPr>
          <w:szCs w:val="24"/>
        </w:rPr>
        <w:t>5</w:t>
      </w:r>
      <w:r>
        <w:rPr>
          <w:rFonts w:hint="eastAsia"/>
          <w:szCs w:val="24"/>
        </w:rPr>
        <w:t>；</w:t>
      </w:r>
    </w:p>
    <w:p w14:paraId="690C5095">
      <w:pPr>
        <w:ind w:firstLine="720" w:firstLineChars="300"/>
        <w:rPr>
          <w:szCs w:val="24"/>
        </w:rPr>
      </w:pPr>
      <w:r>
        <w:rPr>
          <w:i/>
          <w:szCs w:val="24"/>
        </w:rPr>
        <w:t>K</w:t>
      </w:r>
      <w:r>
        <w:rPr>
          <w:szCs w:val="24"/>
          <w:vertAlign w:val="subscript"/>
        </w:rPr>
        <w:t>m</w:t>
      </w:r>
      <w:r>
        <w:rPr>
          <w:szCs w:val="24"/>
        </w:rPr>
        <w:t>——</w:t>
      </w:r>
      <w:r>
        <w:rPr>
          <w:rFonts w:hint="eastAsia"/>
          <w:szCs w:val="24"/>
        </w:rPr>
        <w:t>质量与力的转换系数，取值为</w:t>
      </w:r>
      <w:r>
        <w:rPr>
          <w:szCs w:val="24"/>
        </w:rPr>
        <w:t>9.80665</w:t>
      </w:r>
      <w:r>
        <w:rPr>
          <w:rFonts w:hint="eastAsia"/>
          <w:szCs w:val="24"/>
        </w:rPr>
        <w:t>。</w:t>
      </w:r>
    </w:p>
    <w:p w14:paraId="187C4EAE">
      <w:pPr>
        <w:ind w:firstLine="480"/>
      </w:pPr>
      <w:r>
        <w:rPr>
          <w:rFonts w:hint="eastAsia"/>
        </w:rPr>
        <w:t>组装吊索额定工作载荷计算公式：</w:t>
      </w:r>
    </w:p>
    <w:p w14:paraId="73E327EC">
      <w:pPr>
        <w:pStyle w:val="95"/>
      </w:pPr>
      <w:r>
        <w:object>
          <v:shape id="_x0000_i1026" o:spt="75" type="#_x0000_t75" style="height:34.05pt;width:101.6pt;" o:ole="t" filled="f" o:preferrelative="t" stroked="f" coordsize="21600,21600">
            <v:path/>
            <v:fill on="f" focussize="0,0"/>
            <v:stroke on="f" joinstyle="miter"/>
            <v:imagedata r:id="rId43" o:title=""/>
            <o:lock v:ext="edit" aspectratio="t"/>
            <w10:wrap type="none"/>
            <w10:anchorlock/>
          </v:shape>
          <o:OLEObject Type="Embed" ProgID="Equation.DSMT4" ShapeID="_x0000_i1026" DrawAspect="Content" ObjectID="_1468075726" r:id="rId42">
            <o:LockedField>false</o:LockedField>
          </o:OLEObject>
        </w:object>
      </w:r>
    </w:p>
    <w:p w14:paraId="6C7F8A35">
      <w:pPr>
        <w:ind w:firstLine="0" w:firstLineChars="0"/>
        <w:rPr>
          <w:szCs w:val="24"/>
        </w:rPr>
      </w:pPr>
      <w:r>
        <w:rPr>
          <w:rFonts w:hint="eastAsia"/>
          <w:szCs w:val="24"/>
        </w:rPr>
        <w:t>其中：</w:t>
      </w:r>
      <w:r>
        <w:rPr>
          <w:b/>
          <w:i/>
          <w:szCs w:val="24"/>
        </w:rPr>
        <w:t>WLL</w:t>
      </w:r>
      <w:r>
        <w:rPr>
          <w:szCs w:val="24"/>
        </w:rPr>
        <w:t>——</w:t>
      </w:r>
      <w:r>
        <w:rPr>
          <w:rFonts w:hint="eastAsia"/>
          <w:szCs w:val="24"/>
        </w:rPr>
        <w:t>吊索额定工作载荷，单位为吨（</w:t>
      </w:r>
      <w:r>
        <w:rPr>
          <w:szCs w:val="24"/>
        </w:rPr>
        <w:t>t</w:t>
      </w:r>
      <w:r>
        <w:rPr>
          <w:rFonts w:hint="eastAsia"/>
          <w:szCs w:val="24"/>
        </w:rPr>
        <w:t>）；</w:t>
      </w:r>
    </w:p>
    <w:p w14:paraId="73E60EA8">
      <w:pPr>
        <w:ind w:firstLine="723" w:firstLineChars="300"/>
        <w:rPr>
          <w:szCs w:val="24"/>
        </w:rPr>
      </w:pPr>
      <w:r>
        <w:rPr>
          <w:b/>
          <w:i/>
          <w:szCs w:val="24"/>
        </w:rPr>
        <w:t>F</w:t>
      </w:r>
      <w:r>
        <w:rPr>
          <w:szCs w:val="24"/>
          <w:vertAlign w:val="subscript"/>
        </w:rPr>
        <w:t>0</w:t>
      </w:r>
      <w:r>
        <w:rPr>
          <w:szCs w:val="24"/>
        </w:rPr>
        <w:t>——</w:t>
      </w:r>
      <w:r>
        <w:rPr>
          <w:rFonts w:hint="eastAsia"/>
          <w:szCs w:val="24"/>
        </w:rPr>
        <w:t>钢丝绳最小破断拉力，单位为千牛（</w:t>
      </w:r>
      <w:r>
        <w:rPr>
          <w:szCs w:val="24"/>
        </w:rPr>
        <w:t>kN</w:t>
      </w:r>
      <w:r>
        <w:rPr>
          <w:rFonts w:hint="eastAsia"/>
          <w:szCs w:val="24"/>
        </w:rPr>
        <w:t>）；</w:t>
      </w:r>
    </w:p>
    <w:p w14:paraId="5BCD4987">
      <w:pPr>
        <w:ind w:firstLine="720" w:firstLineChars="300"/>
        <w:rPr>
          <w:szCs w:val="24"/>
        </w:rPr>
      </w:pPr>
      <w:r>
        <w:rPr>
          <w:i/>
          <w:szCs w:val="24"/>
        </w:rPr>
        <w:t>K</w:t>
      </w:r>
      <w:r>
        <w:rPr>
          <w:szCs w:val="24"/>
          <w:vertAlign w:val="subscript"/>
        </w:rPr>
        <w:t>e</w:t>
      </w:r>
      <w:r>
        <w:rPr>
          <w:szCs w:val="24"/>
        </w:rPr>
        <w:t>——</w:t>
      </w:r>
      <w:r>
        <w:rPr>
          <w:rFonts w:hint="eastAsia"/>
          <w:szCs w:val="24"/>
        </w:rPr>
        <w:t>接头形式效能近似系数，压制接头取</w:t>
      </w:r>
      <w:r>
        <w:rPr>
          <w:szCs w:val="24"/>
        </w:rPr>
        <w:t>0.9</w:t>
      </w:r>
      <w:r>
        <w:rPr>
          <w:rFonts w:hint="eastAsia"/>
          <w:szCs w:val="24"/>
        </w:rPr>
        <w:t>，插编接头取</w:t>
      </w:r>
      <w:r>
        <w:rPr>
          <w:szCs w:val="24"/>
        </w:rPr>
        <w:t>0.75</w:t>
      </w:r>
      <w:r>
        <w:rPr>
          <w:rFonts w:hint="eastAsia"/>
          <w:szCs w:val="24"/>
        </w:rPr>
        <w:t>；</w:t>
      </w:r>
    </w:p>
    <w:p w14:paraId="6D8A9BAE">
      <w:pPr>
        <w:ind w:firstLine="720" w:firstLineChars="300"/>
        <w:rPr>
          <w:i/>
          <w:szCs w:val="24"/>
        </w:rPr>
      </w:pPr>
      <w:r>
        <w:rPr>
          <w:i/>
          <w:szCs w:val="24"/>
        </w:rPr>
        <w:t>K</w:t>
      </w:r>
      <w:r>
        <w:rPr>
          <w:szCs w:val="24"/>
        </w:rPr>
        <w:t>——</w:t>
      </w:r>
      <w:r>
        <w:rPr>
          <w:rFonts w:hint="eastAsia"/>
          <w:szCs w:val="24"/>
        </w:rPr>
        <w:t>肢的数量与垂直方向角度的相关系数（即额定工作载荷计算系数）</w:t>
      </w:r>
    </w:p>
    <w:p w14:paraId="798341AB">
      <w:pPr>
        <w:ind w:firstLine="720" w:firstLineChars="300"/>
        <w:rPr>
          <w:szCs w:val="24"/>
        </w:rPr>
      </w:pPr>
      <w:r>
        <w:rPr>
          <w:i/>
          <w:szCs w:val="24"/>
        </w:rPr>
        <w:t>K</w:t>
      </w:r>
      <w:r>
        <w:rPr>
          <w:szCs w:val="24"/>
          <w:vertAlign w:val="subscript"/>
        </w:rPr>
        <w:t>u</w:t>
      </w:r>
      <w:r>
        <w:rPr>
          <w:szCs w:val="24"/>
        </w:rPr>
        <w:t>——</w:t>
      </w:r>
      <w:r>
        <w:rPr>
          <w:rFonts w:hint="eastAsia"/>
          <w:szCs w:val="24"/>
        </w:rPr>
        <w:t>安全系数，一般取</w:t>
      </w:r>
      <w:r>
        <w:rPr>
          <w:szCs w:val="24"/>
        </w:rPr>
        <w:t>5</w:t>
      </w:r>
      <w:r>
        <w:rPr>
          <w:rFonts w:hint="eastAsia"/>
          <w:szCs w:val="24"/>
        </w:rPr>
        <w:t>；</w:t>
      </w:r>
    </w:p>
    <w:p w14:paraId="3B7B26D8">
      <w:pPr>
        <w:ind w:firstLine="720" w:firstLineChars="300"/>
        <w:rPr>
          <w:szCs w:val="24"/>
        </w:rPr>
      </w:pPr>
      <w:r>
        <w:rPr>
          <w:i/>
          <w:szCs w:val="24"/>
        </w:rPr>
        <w:t>K</w:t>
      </w:r>
      <w:r>
        <w:rPr>
          <w:szCs w:val="24"/>
          <w:vertAlign w:val="subscript"/>
        </w:rPr>
        <w:t>m</w:t>
      </w:r>
      <w:r>
        <w:rPr>
          <w:szCs w:val="24"/>
        </w:rPr>
        <w:t>——</w:t>
      </w:r>
      <w:r>
        <w:rPr>
          <w:rFonts w:hint="eastAsia"/>
          <w:szCs w:val="24"/>
        </w:rPr>
        <w:t>质量与力的转换系数，取值为</w:t>
      </w:r>
      <w:r>
        <w:rPr>
          <w:szCs w:val="24"/>
        </w:rPr>
        <w:t>9.80665</w:t>
      </w:r>
      <w:r>
        <w:rPr>
          <w:rFonts w:hint="eastAsia"/>
          <w:szCs w:val="24"/>
        </w:rPr>
        <w:t>。</w:t>
      </w:r>
    </w:p>
    <w:p w14:paraId="7E8E11B2">
      <w:pPr>
        <w:pStyle w:val="15"/>
      </w:pPr>
      <w:r>
        <w:rPr>
          <w:rFonts w:hint="eastAsia"/>
        </w:rPr>
        <w:t>表</w:t>
      </w:r>
      <w:r>
        <w:fldChar w:fldCharType="begin"/>
      </w:r>
      <w:r>
        <w:instrText xml:space="preserve"> STYLEREF 3 \s </w:instrText>
      </w:r>
      <w:r>
        <w:fldChar w:fldCharType="separate"/>
      </w:r>
      <w:r>
        <w:t>4.2.2</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r>
        <w:t xml:space="preserve"> </w:t>
      </w:r>
      <w:r>
        <w:rPr>
          <w:rFonts w:hint="eastAsia"/>
        </w:rPr>
        <w:t>钢丝绳额定工作载荷计算系数</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34"/>
        <w:gridCol w:w="1785"/>
        <w:gridCol w:w="1135"/>
        <w:gridCol w:w="1135"/>
        <w:gridCol w:w="1133"/>
      </w:tblGrid>
      <w:tr w14:paraId="3C3DF2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1956" w:type="pct"/>
            <w:vMerge w:val="restart"/>
            <w:tcBorders>
              <w:top w:val="single" w:color="auto" w:sz="12" w:space="0"/>
              <w:left w:val="single" w:color="auto" w:sz="12" w:space="0"/>
              <w:bottom w:val="single" w:color="auto" w:sz="4" w:space="0"/>
              <w:right w:val="single" w:color="auto" w:sz="4" w:space="0"/>
            </w:tcBorders>
            <w:shd w:val="clear" w:color="auto" w:fill="auto"/>
            <w:vAlign w:val="center"/>
          </w:tcPr>
          <w:p w14:paraId="2B49C2B7">
            <w:pPr>
              <w:pStyle w:val="16"/>
              <w:rPr>
                <w:b/>
              </w:rPr>
            </w:pPr>
            <w:r>
              <w:rPr>
                <w:rFonts w:hint="eastAsia"/>
                <w:b/>
              </w:rPr>
              <w:t>两对应吊索间的夹角</w:t>
            </w:r>
            <w:r>
              <w:rPr>
                <w:b/>
              </w:rPr>
              <w:t>α</w:t>
            </w:r>
          </w:p>
        </w:tc>
        <w:tc>
          <w:tcPr>
            <w:tcW w:w="1047" w:type="pct"/>
            <w:vMerge w:val="restart"/>
            <w:tcBorders>
              <w:top w:val="single" w:color="auto" w:sz="12" w:space="0"/>
              <w:left w:val="single" w:color="auto" w:sz="4" w:space="0"/>
              <w:bottom w:val="single" w:color="auto" w:sz="4" w:space="0"/>
              <w:right w:val="single" w:color="auto" w:sz="4" w:space="0"/>
            </w:tcBorders>
            <w:shd w:val="clear" w:color="auto" w:fill="auto"/>
            <w:vAlign w:val="center"/>
          </w:tcPr>
          <w:p w14:paraId="47BFB36F">
            <w:pPr>
              <w:pStyle w:val="16"/>
              <w:rPr>
                <w:b/>
              </w:rPr>
            </w:pPr>
            <w:r>
              <w:rPr>
                <w:rFonts w:hint="eastAsia"/>
                <w:b/>
              </w:rPr>
              <w:t>竖向夹角</w:t>
            </w:r>
            <w:r>
              <w:rPr>
                <w:b/>
              </w:rPr>
              <w:t>β</w:t>
            </w:r>
          </w:p>
        </w:tc>
        <w:tc>
          <w:tcPr>
            <w:tcW w:w="1997" w:type="pct"/>
            <w:gridSpan w:val="3"/>
            <w:tcBorders>
              <w:top w:val="single" w:color="auto" w:sz="12" w:space="0"/>
              <w:left w:val="single" w:color="auto" w:sz="4" w:space="0"/>
              <w:bottom w:val="single" w:color="auto" w:sz="4" w:space="0"/>
              <w:right w:val="single" w:color="auto" w:sz="12" w:space="0"/>
            </w:tcBorders>
            <w:shd w:val="clear" w:color="auto" w:fill="auto"/>
            <w:vAlign w:val="center"/>
          </w:tcPr>
          <w:p w14:paraId="205371B5">
            <w:pPr>
              <w:pStyle w:val="16"/>
              <w:rPr>
                <w:b/>
              </w:rPr>
            </w:pPr>
            <w:r>
              <w:rPr>
                <w:rFonts w:hint="eastAsia"/>
                <w:b/>
              </w:rPr>
              <w:t>额定工作载荷计算系数</w:t>
            </w:r>
          </w:p>
        </w:tc>
      </w:tr>
      <w:tr w14:paraId="0A7855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0" w:type="auto"/>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2F7C2A54">
            <w:pPr>
              <w:pStyle w:val="16"/>
              <w:rPr>
                <w:b/>
              </w:rPr>
            </w:pPr>
          </w:p>
        </w:tc>
        <w:tc>
          <w:tcPr>
            <w:tcW w:w="0" w:type="auto"/>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49709C2D">
            <w:pPr>
              <w:pStyle w:val="16"/>
              <w:rPr>
                <w:b/>
              </w:rPr>
            </w:pPr>
          </w:p>
        </w:tc>
        <w:tc>
          <w:tcPr>
            <w:tcW w:w="1997" w:type="pct"/>
            <w:gridSpan w:val="3"/>
            <w:tcBorders>
              <w:top w:val="single" w:color="auto" w:sz="4" w:space="0"/>
              <w:left w:val="single" w:color="auto" w:sz="4" w:space="0"/>
              <w:bottom w:val="single" w:color="auto" w:sz="4" w:space="0"/>
              <w:right w:val="single" w:color="auto" w:sz="12" w:space="0"/>
            </w:tcBorders>
            <w:shd w:val="clear" w:color="auto" w:fill="auto"/>
            <w:vAlign w:val="center"/>
          </w:tcPr>
          <w:p w14:paraId="00244504">
            <w:pPr>
              <w:pStyle w:val="16"/>
              <w:rPr>
                <w:b/>
              </w:rPr>
            </w:pPr>
            <w:r>
              <w:rPr>
                <w:rFonts w:hint="eastAsia"/>
                <w:b/>
              </w:rPr>
              <w:t>组装吊索数量</w:t>
            </w:r>
          </w:p>
        </w:tc>
      </w:tr>
      <w:tr w14:paraId="3631D15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0" w:type="auto"/>
            <w:vMerge w:val="continue"/>
            <w:tcBorders>
              <w:top w:val="single" w:color="auto" w:sz="12" w:space="0"/>
              <w:left w:val="single" w:color="auto" w:sz="12" w:space="0"/>
              <w:bottom w:val="single" w:color="auto" w:sz="4" w:space="0"/>
              <w:right w:val="single" w:color="auto" w:sz="4" w:space="0"/>
            </w:tcBorders>
            <w:shd w:val="clear" w:color="auto" w:fill="auto"/>
            <w:vAlign w:val="center"/>
          </w:tcPr>
          <w:p w14:paraId="457C135C">
            <w:pPr>
              <w:pStyle w:val="16"/>
              <w:rPr>
                <w:b/>
              </w:rPr>
            </w:pPr>
          </w:p>
        </w:tc>
        <w:tc>
          <w:tcPr>
            <w:tcW w:w="0" w:type="auto"/>
            <w:vMerge w:val="continue"/>
            <w:tcBorders>
              <w:top w:val="single" w:color="auto" w:sz="12" w:space="0"/>
              <w:left w:val="single" w:color="auto" w:sz="4" w:space="0"/>
              <w:bottom w:val="single" w:color="auto" w:sz="4" w:space="0"/>
              <w:right w:val="single" w:color="auto" w:sz="4" w:space="0"/>
            </w:tcBorders>
            <w:shd w:val="clear" w:color="auto" w:fill="auto"/>
            <w:vAlign w:val="center"/>
          </w:tcPr>
          <w:p w14:paraId="43FF9125">
            <w:pPr>
              <w:pStyle w:val="16"/>
              <w:rPr>
                <w:b/>
              </w:rPr>
            </w:pP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E70161A">
            <w:pPr>
              <w:pStyle w:val="16"/>
              <w:rPr>
                <w:b/>
              </w:rPr>
            </w:pPr>
            <w:r>
              <w:rPr>
                <w:rFonts w:hint="eastAsia"/>
                <w:b/>
              </w:rPr>
              <w:t>两肢</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6D0CBF3B">
            <w:pPr>
              <w:pStyle w:val="16"/>
              <w:rPr>
                <w:b/>
              </w:rPr>
            </w:pPr>
            <w:r>
              <w:rPr>
                <w:rFonts w:hint="eastAsia"/>
                <w:b/>
              </w:rPr>
              <w:t>三肢</w:t>
            </w:r>
          </w:p>
        </w:tc>
        <w:tc>
          <w:tcPr>
            <w:tcW w:w="665" w:type="pct"/>
            <w:tcBorders>
              <w:top w:val="single" w:color="auto" w:sz="4" w:space="0"/>
              <w:left w:val="single" w:color="auto" w:sz="4" w:space="0"/>
              <w:bottom w:val="single" w:color="auto" w:sz="4" w:space="0"/>
              <w:right w:val="single" w:color="auto" w:sz="12" w:space="0"/>
            </w:tcBorders>
            <w:shd w:val="clear" w:color="auto" w:fill="auto"/>
            <w:vAlign w:val="center"/>
          </w:tcPr>
          <w:p w14:paraId="1D1127D5">
            <w:pPr>
              <w:pStyle w:val="16"/>
              <w:rPr>
                <w:b/>
              </w:rPr>
            </w:pPr>
            <w:r>
              <w:rPr>
                <w:rFonts w:hint="eastAsia"/>
                <w:b/>
              </w:rPr>
              <w:t>四肢</w:t>
            </w:r>
          </w:p>
        </w:tc>
      </w:tr>
      <w:tr w14:paraId="6193BE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56" w:type="pct"/>
            <w:tcBorders>
              <w:top w:val="single" w:color="auto" w:sz="4" w:space="0"/>
              <w:left w:val="single" w:color="auto" w:sz="12" w:space="0"/>
              <w:bottom w:val="single" w:color="auto" w:sz="4" w:space="0"/>
              <w:right w:val="single" w:color="auto" w:sz="4" w:space="0"/>
            </w:tcBorders>
            <w:shd w:val="clear" w:color="auto" w:fill="auto"/>
            <w:vAlign w:val="center"/>
          </w:tcPr>
          <w:p w14:paraId="30391B4D">
            <w:pPr>
              <w:pStyle w:val="16"/>
            </w:pPr>
            <w:r>
              <w:t>α</w:t>
            </w:r>
            <w:r>
              <w:rPr>
                <w:rFonts w:hint="eastAsia"/>
              </w:rPr>
              <w:t>≤</w:t>
            </w:r>
            <w:r>
              <w:t>90</w:t>
            </w:r>
            <w:r>
              <w:rPr>
                <w:rFonts w:hint="eastAsia"/>
              </w:rPr>
              <w:t>°</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14:paraId="19D915E4">
            <w:pPr>
              <w:pStyle w:val="16"/>
            </w:pPr>
            <w:r>
              <w:t>β</w:t>
            </w:r>
            <w:r>
              <w:rPr>
                <w:rFonts w:hint="eastAsia"/>
              </w:rPr>
              <w:t>≤</w:t>
            </w:r>
            <w:r>
              <w:t>45</w:t>
            </w:r>
            <w:r>
              <w:rPr>
                <w:rFonts w:hint="eastAsia"/>
              </w:rPr>
              <w:t>°</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38299928">
            <w:pPr>
              <w:pStyle w:val="16"/>
            </w:pPr>
            <w:r>
              <w:t>1.4</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2EE55864">
            <w:pPr>
              <w:pStyle w:val="16"/>
            </w:pPr>
            <w:r>
              <w:t>2.1</w:t>
            </w:r>
          </w:p>
        </w:tc>
        <w:tc>
          <w:tcPr>
            <w:tcW w:w="665" w:type="pct"/>
            <w:tcBorders>
              <w:top w:val="single" w:color="auto" w:sz="4" w:space="0"/>
              <w:left w:val="single" w:color="auto" w:sz="4" w:space="0"/>
              <w:bottom w:val="single" w:color="auto" w:sz="4" w:space="0"/>
              <w:right w:val="single" w:color="auto" w:sz="12" w:space="0"/>
            </w:tcBorders>
            <w:shd w:val="clear" w:color="auto" w:fill="auto"/>
            <w:vAlign w:val="center"/>
          </w:tcPr>
          <w:p w14:paraId="2F7CCB65">
            <w:pPr>
              <w:pStyle w:val="16"/>
            </w:pPr>
            <w:r>
              <w:t>2.1</w:t>
            </w:r>
          </w:p>
        </w:tc>
      </w:tr>
      <w:tr w14:paraId="6554AD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956" w:type="pct"/>
            <w:tcBorders>
              <w:top w:val="single" w:color="auto" w:sz="4" w:space="0"/>
              <w:left w:val="single" w:color="auto" w:sz="12" w:space="0"/>
              <w:bottom w:val="single" w:color="auto" w:sz="4" w:space="0"/>
              <w:right w:val="single" w:color="auto" w:sz="4" w:space="0"/>
            </w:tcBorders>
            <w:shd w:val="clear" w:color="auto" w:fill="auto"/>
            <w:vAlign w:val="center"/>
          </w:tcPr>
          <w:p w14:paraId="7BEFDDAD">
            <w:pPr>
              <w:pStyle w:val="16"/>
            </w:pPr>
            <w:r>
              <w:t>90</w:t>
            </w:r>
            <w:r>
              <w:rPr>
                <w:rFonts w:hint="eastAsia"/>
              </w:rPr>
              <w:t>°＜</w:t>
            </w:r>
            <w:r>
              <w:t>α</w:t>
            </w:r>
            <w:r>
              <w:rPr>
                <w:rFonts w:hint="eastAsia"/>
              </w:rPr>
              <w:t>≤</w:t>
            </w:r>
            <w:r>
              <w:t>120</w:t>
            </w:r>
            <w:r>
              <w:rPr>
                <w:rFonts w:hint="eastAsia"/>
              </w:rPr>
              <w:t>°</w:t>
            </w:r>
          </w:p>
        </w:tc>
        <w:tc>
          <w:tcPr>
            <w:tcW w:w="1047" w:type="pct"/>
            <w:tcBorders>
              <w:top w:val="single" w:color="auto" w:sz="4" w:space="0"/>
              <w:left w:val="single" w:color="auto" w:sz="4" w:space="0"/>
              <w:bottom w:val="single" w:color="auto" w:sz="4" w:space="0"/>
              <w:right w:val="single" w:color="auto" w:sz="4" w:space="0"/>
            </w:tcBorders>
            <w:shd w:val="clear" w:color="auto" w:fill="auto"/>
            <w:vAlign w:val="center"/>
          </w:tcPr>
          <w:p w14:paraId="3C1842F0">
            <w:pPr>
              <w:pStyle w:val="16"/>
            </w:pPr>
            <w:r>
              <w:t>45</w:t>
            </w:r>
            <w:r>
              <w:rPr>
                <w:rFonts w:hint="eastAsia"/>
              </w:rPr>
              <w:t>°＜</w:t>
            </w:r>
            <w:r>
              <w:t>β</w:t>
            </w:r>
            <w:r>
              <w:rPr>
                <w:rFonts w:hint="eastAsia"/>
              </w:rPr>
              <w:t>≤</w:t>
            </w:r>
            <w:r>
              <w:t>60</w:t>
            </w:r>
            <w:r>
              <w:rPr>
                <w:rFonts w:hint="eastAsia"/>
              </w:rPr>
              <w:t>°</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09CCCC3B">
            <w:pPr>
              <w:pStyle w:val="16"/>
            </w:pPr>
            <w:r>
              <w:t>1</w:t>
            </w:r>
          </w:p>
        </w:tc>
        <w:tc>
          <w:tcPr>
            <w:tcW w:w="666" w:type="pct"/>
            <w:tcBorders>
              <w:top w:val="single" w:color="auto" w:sz="4" w:space="0"/>
              <w:left w:val="single" w:color="auto" w:sz="4" w:space="0"/>
              <w:bottom w:val="single" w:color="auto" w:sz="4" w:space="0"/>
              <w:right w:val="single" w:color="auto" w:sz="4" w:space="0"/>
            </w:tcBorders>
            <w:shd w:val="clear" w:color="auto" w:fill="auto"/>
            <w:vAlign w:val="center"/>
          </w:tcPr>
          <w:p w14:paraId="10C39B26">
            <w:pPr>
              <w:pStyle w:val="16"/>
            </w:pPr>
            <w:r>
              <w:t>1.5</w:t>
            </w:r>
          </w:p>
        </w:tc>
        <w:tc>
          <w:tcPr>
            <w:tcW w:w="665" w:type="pct"/>
            <w:tcBorders>
              <w:top w:val="single" w:color="auto" w:sz="4" w:space="0"/>
              <w:left w:val="single" w:color="auto" w:sz="4" w:space="0"/>
              <w:bottom w:val="single" w:color="auto" w:sz="4" w:space="0"/>
              <w:right w:val="single" w:color="auto" w:sz="12" w:space="0"/>
            </w:tcBorders>
            <w:shd w:val="clear" w:color="auto" w:fill="auto"/>
            <w:vAlign w:val="center"/>
          </w:tcPr>
          <w:p w14:paraId="3B23BE9F">
            <w:pPr>
              <w:pStyle w:val="16"/>
            </w:pPr>
            <w:r>
              <w:t>1.5</w:t>
            </w:r>
          </w:p>
        </w:tc>
      </w:tr>
      <w:tr w14:paraId="45B78E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000" w:type="pct"/>
            <w:gridSpan w:val="5"/>
            <w:tcBorders>
              <w:top w:val="single" w:color="auto" w:sz="4" w:space="0"/>
              <w:left w:val="single" w:color="auto" w:sz="12" w:space="0"/>
              <w:bottom w:val="single" w:color="auto" w:sz="12" w:space="0"/>
              <w:right w:val="single" w:color="auto" w:sz="12" w:space="0"/>
            </w:tcBorders>
            <w:shd w:val="clear" w:color="auto" w:fill="auto"/>
            <w:vAlign w:val="center"/>
          </w:tcPr>
          <w:p w14:paraId="7CA35650">
            <w:pPr>
              <w:pStyle w:val="16"/>
              <w:jc w:val="left"/>
            </w:pPr>
            <w:r>
              <w:rPr>
                <w:rFonts w:hint="eastAsia"/>
              </w:rPr>
              <w:t>注</w:t>
            </w:r>
            <w:r>
              <w:t>1</w:t>
            </w:r>
            <w:r>
              <w:rPr>
                <w:rFonts w:hint="eastAsia"/>
              </w:rPr>
              <w:t>：表中所给出的系数为每肢吊索均匀地分布载荷的情况下。</w:t>
            </w:r>
          </w:p>
          <w:p w14:paraId="21333CFE">
            <w:pPr>
              <w:pStyle w:val="16"/>
              <w:jc w:val="left"/>
            </w:pPr>
            <w:r>
              <w:rPr>
                <w:rFonts w:hint="eastAsia"/>
              </w:rPr>
              <w:t>注</w:t>
            </w:r>
            <w:r>
              <w:t>2</w:t>
            </w:r>
            <w:r>
              <w:rPr>
                <w:rFonts w:hint="eastAsia"/>
              </w:rPr>
              <w:t>：主吊环和中间环设计仅在规定的夹角</w:t>
            </w:r>
            <w:r>
              <w:t>α</w:t>
            </w:r>
            <w:r>
              <w:rPr>
                <w:rFonts w:hint="eastAsia"/>
              </w:rPr>
              <w:t>范围内，例如</w:t>
            </w:r>
            <w:r>
              <w:t>0</w:t>
            </w:r>
            <w:r>
              <w:rPr>
                <w:rFonts w:hint="eastAsia"/>
              </w:rPr>
              <w:t>°</w:t>
            </w:r>
            <w:r>
              <w:t>~90</w:t>
            </w:r>
            <w:r>
              <w:rPr>
                <w:rFonts w:hint="eastAsia"/>
              </w:rPr>
              <w:t>°能起吊标记在吊索上的额定工作载荷；在大于</w:t>
            </w:r>
            <w:r>
              <w:t>90</w:t>
            </w:r>
            <w:r>
              <w:rPr>
                <w:rFonts w:hint="eastAsia"/>
              </w:rPr>
              <w:t>°夹角时，他们不应用来承受更大载荷。</w:t>
            </w:r>
          </w:p>
        </w:tc>
      </w:tr>
    </w:tbl>
    <w:p w14:paraId="2DE48C7E">
      <w:pPr>
        <w:ind w:firstLine="480"/>
      </w:pPr>
      <w:r>
        <w:rPr>
          <w:rFonts w:hint="eastAsia"/>
        </w:rPr>
        <w:t>两对应吊索间的夹角</w:t>
      </w:r>
      <w:r>
        <w:rPr>
          <w:i/>
        </w:rPr>
        <w:t>α</w:t>
      </w:r>
      <w:r>
        <w:rPr>
          <w:rFonts w:hint="eastAsia"/>
        </w:rPr>
        <w:t>与竖向夹角</w:t>
      </w:r>
      <w:r>
        <w:rPr>
          <w:i/>
        </w:rPr>
        <w:t>β</w:t>
      </w:r>
      <w:r>
        <w:rPr>
          <w:rFonts w:hint="eastAsia"/>
        </w:rPr>
        <w:t>如</w:t>
      </w:r>
      <w:r>
        <w:fldChar w:fldCharType="begin"/>
      </w:r>
      <w:r>
        <w:instrText xml:space="preserve"> </w:instrText>
      </w:r>
      <w:r>
        <w:rPr>
          <w:rFonts w:hint="eastAsia"/>
        </w:rPr>
        <w:instrText xml:space="preserve">REF _Ref153292381 \h</w:instrText>
      </w:r>
      <w:r>
        <w:instrText xml:space="preserve">  \* MERGEFORMAT </w:instrText>
      </w:r>
      <w:r>
        <w:fldChar w:fldCharType="separate"/>
      </w:r>
      <w:r>
        <w:rPr>
          <w:rFonts w:hint="eastAsia"/>
        </w:rPr>
        <w:t>图</w:t>
      </w:r>
      <w:r>
        <w:t>4.2.2-1</w:t>
      </w:r>
      <w:r>
        <w:fldChar w:fldCharType="end"/>
      </w:r>
      <w:r>
        <w:rPr>
          <w:rFonts w:hint="eastAsia"/>
        </w:rPr>
        <w:t>所示。</w:t>
      </w:r>
    </w:p>
    <w:p w14:paraId="33EE8C60">
      <w:pPr>
        <w:pStyle w:val="109"/>
      </w:pPr>
      <w:r>
        <w:drawing>
          <wp:inline distT="0" distB="0" distL="0" distR="0">
            <wp:extent cx="5274310" cy="193738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274310" cy="1937385"/>
                    </a:xfrm>
                    <a:prstGeom prst="rect">
                      <a:avLst/>
                    </a:prstGeom>
                    <a:noFill/>
                    <a:ln>
                      <a:noFill/>
                    </a:ln>
                  </pic:spPr>
                </pic:pic>
              </a:graphicData>
            </a:graphic>
          </wp:inline>
        </w:drawing>
      </w:r>
    </w:p>
    <w:p w14:paraId="618C071B">
      <w:pPr>
        <w:pStyle w:val="108"/>
      </w:pPr>
      <w:bookmarkStart w:id="85" w:name="_Ref153292381"/>
      <w:r>
        <w:rPr>
          <w:rFonts w:hint="eastAsia"/>
        </w:rPr>
        <w:t>图</w:t>
      </w:r>
      <w:r>
        <w:fldChar w:fldCharType="begin"/>
      </w:r>
      <w:r>
        <w:instrText xml:space="preserve"> STYLEREF 3 \s </w:instrText>
      </w:r>
      <w:r>
        <w:fldChar w:fldCharType="separate"/>
      </w:r>
      <w:r>
        <w:t>4.2.2</w:t>
      </w:r>
      <w:r>
        <w:fldChar w:fldCharType="end"/>
      </w:r>
      <w:r>
        <w:t>-</w:t>
      </w:r>
      <w:r>
        <w:fldChar w:fldCharType="begin"/>
      </w:r>
      <w:r>
        <w:instrText xml:space="preserve"> SEQ </w:instrText>
      </w:r>
      <w:r>
        <w:rPr>
          <w:rFonts w:hint="eastAsia"/>
        </w:rPr>
        <w:instrText xml:space="preserve">图</w:instrText>
      </w:r>
      <w:r>
        <w:instrText xml:space="preserve"> \* ARABIC \s 3 </w:instrText>
      </w:r>
      <w:r>
        <w:fldChar w:fldCharType="separate"/>
      </w:r>
      <w:r>
        <w:t>1</w:t>
      </w:r>
      <w:r>
        <w:fldChar w:fldCharType="end"/>
      </w:r>
      <w:bookmarkEnd w:id="85"/>
      <w:r>
        <w:t xml:space="preserve"> </w:t>
      </w:r>
      <w:r>
        <w:rPr>
          <w:rFonts w:hint="eastAsia"/>
        </w:rPr>
        <w:t>两对应吊索间的夹角</w:t>
      </w:r>
      <w:r>
        <w:rPr>
          <w:rFonts w:hint="eastAsia"/>
          <w:i/>
        </w:rPr>
        <w:t>α</w:t>
      </w:r>
      <w:r>
        <w:t>与</w:t>
      </w:r>
      <w:r>
        <w:rPr>
          <w:rFonts w:hint="eastAsia"/>
        </w:rPr>
        <w:t>竖向夹角</w:t>
      </w:r>
      <w:r>
        <w:rPr>
          <w:rFonts w:hint="eastAsia"/>
          <w:i/>
        </w:rPr>
        <w:t>β</w:t>
      </w:r>
    </w:p>
    <w:p w14:paraId="53F9748B">
      <w:pPr>
        <w:ind w:firstLine="480"/>
      </w:pPr>
      <w:r>
        <w:rPr>
          <w:rFonts w:hint="eastAsia"/>
        </w:rPr>
        <w:t>根据《建筑施工起重吊装安全技术规范》（</w:t>
      </w:r>
      <w:r>
        <w:t>JGJ 276-2012</w:t>
      </w:r>
      <w:r>
        <w:rPr>
          <w:rFonts w:hint="eastAsia"/>
        </w:rPr>
        <w:t>）：</w:t>
      </w:r>
    </w:p>
    <w:p w14:paraId="23F8DB41">
      <w:pPr>
        <w:numPr>
          <w:ilvl w:val="0"/>
          <w:numId w:val="25"/>
        </w:numPr>
        <w:ind w:firstLineChars="0"/>
      </w:pPr>
      <w:r>
        <w:rPr>
          <w:rFonts w:hint="eastAsia"/>
        </w:rPr>
        <w:t>吊索宜采用6</w:t>
      </w:r>
      <w:r>
        <w:t>×</w:t>
      </w:r>
      <w:r>
        <w:rPr>
          <w:rFonts w:hint="eastAsia"/>
        </w:rPr>
        <w:t>3</w:t>
      </w:r>
      <w:r>
        <w:t>7</w:t>
      </w:r>
      <w:r>
        <w:rPr>
          <w:rFonts w:hint="eastAsia"/>
        </w:rPr>
        <w:t>型钢丝绳制作成环式或8股头式，其长度和直径应根据吊物的几何尺寸，重量和所用吊装工具，吊装方法确定。使用时可采用单根、双根、四根或多根悬吊形式。</w:t>
      </w:r>
    </w:p>
    <w:p w14:paraId="1D000F87">
      <w:pPr>
        <w:numPr>
          <w:ilvl w:val="0"/>
          <w:numId w:val="25"/>
        </w:numPr>
        <w:ind w:firstLineChars="0"/>
      </w:pPr>
      <w:r>
        <w:rPr>
          <w:rFonts w:hint="eastAsia"/>
        </w:rPr>
        <w:t>当利用吊索上的吊钩、卡环钩挂重物上的起重吊环时，吊索的安全系数不应小于</w:t>
      </w:r>
      <w:r>
        <w:t>6</w:t>
      </w:r>
      <w:r>
        <w:rPr>
          <w:rFonts w:hint="eastAsia"/>
        </w:rPr>
        <w:t>；当用吊索直接捆绑重物，且吊索与重物棱角间采取了妥善的保护措施时，吊索的安全系数应取</w:t>
      </w:r>
      <w:r>
        <w:t>6~8</w:t>
      </w:r>
      <w:r>
        <w:rPr>
          <w:rFonts w:hint="eastAsia"/>
        </w:rPr>
        <w:t>；当起吊重、大或精密的重物时，除应采取妥善保护措施外，吊索的安全系数应取</w:t>
      </w:r>
      <w:r>
        <w:t>10</w:t>
      </w:r>
      <w:r>
        <w:rPr>
          <w:rFonts w:hint="eastAsia"/>
        </w:rPr>
        <w:t>；</w:t>
      </w:r>
    </w:p>
    <w:p w14:paraId="26606963">
      <w:pPr>
        <w:numPr>
          <w:ilvl w:val="0"/>
          <w:numId w:val="25"/>
        </w:numPr>
        <w:ind w:firstLineChars="0"/>
      </w:pPr>
      <w:r>
        <w:rPr>
          <w:rFonts w:hint="eastAsia"/>
        </w:rPr>
        <w:t>吊索与所吊构件间的水平夹角宜大于</w:t>
      </w:r>
      <w:r>
        <w:t>45</w:t>
      </w:r>
      <w:r>
        <w:rPr>
          <w:rFonts w:hint="eastAsia"/>
        </w:rPr>
        <w:t>°。</w:t>
      </w:r>
    </w:p>
    <w:p w14:paraId="5BB7CF68">
      <w:pPr>
        <w:pStyle w:val="5"/>
      </w:pPr>
      <w:r>
        <w:rPr>
          <w:rFonts w:hint="eastAsia"/>
        </w:rPr>
        <w:t>主要工况选型计算</w:t>
      </w:r>
    </w:p>
    <w:p w14:paraId="359CBDD2">
      <w:pPr>
        <w:ind w:firstLine="480"/>
      </w:pPr>
      <w:r>
        <w:rPr>
          <w:rFonts w:hint="eastAsia"/>
        </w:rPr>
        <w:t>主要工况吊索选型计算见</w:t>
      </w:r>
      <w:r>
        <w:fldChar w:fldCharType="begin"/>
      </w:r>
      <w:r>
        <w:instrText xml:space="preserve"> </w:instrText>
      </w:r>
      <w:r>
        <w:rPr>
          <w:rFonts w:hint="eastAsia"/>
        </w:rPr>
        <w:instrText xml:space="preserve">REF _Ref121249921 \h</w:instrText>
      </w:r>
      <w:r>
        <w:instrText xml:space="preserve"> </w:instrText>
      </w:r>
      <w:r>
        <w:fldChar w:fldCharType="separate"/>
      </w:r>
      <w:r>
        <w:rPr>
          <w:rFonts w:hint="eastAsia"/>
        </w:rPr>
        <w:t>表</w:t>
      </w:r>
      <w:r>
        <w:t>4.2.1-2</w:t>
      </w:r>
      <w:r>
        <w:fldChar w:fldCharType="end"/>
      </w:r>
      <w:r>
        <w:rPr>
          <w:rFonts w:hint="eastAsia"/>
        </w:rPr>
        <w:t>所示。</w:t>
      </w:r>
    </w:p>
    <w:p w14:paraId="592AF07D">
      <w:pPr>
        <w:pStyle w:val="15"/>
      </w:pPr>
      <w:r>
        <w:rPr>
          <w:rFonts w:hint="eastAsia"/>
        </w:rPr>
        <w:t>表</w:t>
      </w:r>
      <w:r>
        <w:fldChar w:fldCharType="begin"/>
      </w:r>
      <w:r>
        <w:instrText xml:space="preserve"> STYLEREF 3 \s </w:instrText>
      </w:r>
      <w:r>
        <w:fldChar w:fldCharType="separate"/>
      </w:r>
      <w:r>
        <w:t>4.2.2</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2</w:t>
      </w:r>
      <w:r>
        <w:fldChar w:fldCharType="end"/>
      </w:r>
      <w:r>
        <w:t xml:space="preserve"> 主要</w:t>
      </w:r>
      <w:r>
        <w:rPr>
          <w:rFonts w:hint="eastAsia"/>
        </w:rPr>
        <w:t>工况吊索选型计算表</w:t>
      </w:r>
    </w:p>
    <w:tbl>
      <w:tblPr>
        <w:tblStyle w:val="21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1297"/>
        <w:gridCol w:w="1079"/>
        <w:gridCol w:w="2323"/>
        <w:gridCol w:w="602"/>
        <w:gridCol w:w="736"/>
        <w:gridCol w:w="447"/>
        <w:gridCol w:w="897"/>
        <w:gridCol w:w="702"/>
      </w:tblGrid>
      <w:tr w14:paraId="2B5CAB7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58" w:type="pct"/>
            <w:vMerge w:val="restart"/>
            <w:shd w:val="clear" w:color="auto" w:fill="auto"/>
            <w:vAlign w:val="center"/>
          </w:tcPr>
          <w:p w14:paraId="5F58C506">
            <w:pPr>
              <w:pStyle w:val="16"/>
              <w:rPr>
                <w:b/>
              </w:rPr>
            </w:pPr>
            <w:r>
              <w:rPr>
                <w:rFonts w:hint="eastAsia"/>
                <w:b/>
              </w:rPr>
              <w:t>序号</w:t>
            </w:r>
          </w:p>
        </w:tc>
        <w:tc>
          <w:tcPr>
            <w:tcW w:w="761" w:type="pct"/>
            <w:vMerge w:val="restart"/>
            <w:shd w:val="clear" w:color="auto" w:fill="auto"/>
            <w:vAlign w:val="center"/>
          </w:tcPr>
          <w:p w14:paraId="6B8B5A4F">
            <w:pPr>
              <w:pStyle w:val="16"/>
              <w:rPr>
                <w:b/>
              </w:rPr>
            </w:pPr>
            <w:r>
              <w:rPr>
                <w:rFonts w:hint="eastAsia"/>
                <w:b/>
              </w:rPr>
              <w:t>主要</w:t>
            </w:r>
          </w:p>
          <w:p w14:paraId="5C146E73">
            <w:pPr>
              <w:pStyle w:val="16"/>
              <w:rPr>
                <w:b/>
              </w:rPr>
            </w:pPr>
            <w:r>
              <w:rPr>
                <w:rFonts w:hint="eastAsia"/>
                <w:b/>
              </w:rPr>
              <w:t>吊装单元</w:t>
            </w:r>
          </w:p>
        </w:tc>
        <w:tc>
          <w:tcPr>
            <w:tcW w:w="633" w:type="pct"/>
            <w:vMerge w:val="restart"/>
            <w:shd w:val="clear" w:color="auto" w:fill="auto"/>
            <w:vAlign w:val="center"/>
          </w:tcPr>
          <w:p w14:paraId="16DE2565">
            <w:pPr>
              <w:pStyle w:val="16"/>
              <w:rPr>
                <w:b/>
              </w:rPr>
            </w:pPr>
            <w:r>
              <w:rPr>
                <w:b/>
                <w:i/>
              </w:rPr>
              <w:t>WL</w:t>
            </w:r>
            <w:r>
              <w:rPr>
                <w:b/>
              </w:rPr>
              <w:t>(t)</w:t>
            </w:r>
          </w:p>
        </w:tc>
        <w:tc>
          <w:tcPr>
            <w:tcW w:w="2936" w:type="pct"/>
            <w:gridSpan w:val="5"/>
            <w:shd w:val="clear" w:color="auto" w:fill="auto"/>
            <w:vAlign w:val="center"/>
          </w:tcPr>
          <w:p w14:paraId="634D5195">
            <w:pPr>
              <w:pStyle w:val="16"/>
              <w:rPr>
                <w:b/>
              </w:rPr>
            </w:pPr>
            <w:r>
              <w:rPr>
                <w:rFonts w:hint="eastAsia"/>
                <w:b/>
              </w:rPr>
              <w:t>吊索参数</w:t>
            </w:r>
          </w:p>
        </w:tc>
        <w:tc>
          <w:tcPr>
            <w:tcW w:w="412" w:type="pct"/>
            <w:vMerge w:val="restart"/>
            <w:shd w:val="clear" w:color="auto" w:fill="auto"/>
            <w:vAlign w:val="center"/>
          </w:tcPr>
          <w:p w14:paraId="283F9C52">
            <w:pPr>
              <w:pStyle w:val="16"/>
              <w:rPr>
                <w:b/>
              </w:rPr>
            </w:pPr>
            <w:r>
              <w:rPr>
                <w:rFonts w:hint="eastAsia"/>
                <w:b/>
              </w:rPr>
              <w:t>结论</w:t>
            </w:r>
          </w:p>
        </w:tc>
      </w:tr>
      <w:tr w14:paraId="278158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blHeader/>
          <w:jc w:val="center"/>
        </w:trPr>
        <w:tc>
          <w:tcPr>
            <w:tcW w:w="258" w:type="pct"/>
            <w:vMerge w:val="continue"/>
            <w:shd w:val="clear" w:color="auto" w:fill="auto"/>
            <w:vAlign w:val="center"/>
          </w:tcPr>
          <w:p w14:paraId="1D29C3A1">
            <w:pPr>
              <w:pStyle w:val="16"/>
              <w:rPr>
                <w:b/>
              </w:rPr>
            </w:pPr>
          </w:p>
        </w:tc>
        <w:tc>
          <w:tcPr>
            <w:tcW w:w="761" w:type="pct"/>
            <w:vMerge w:val="continue"/>
            <w:shd w:val="clear" w:color="auto" w:fill="auto"/>
            <w:vAlign w:val="center"/>
          </w:tcPr>
          <w:p w14:paraId="6642A617">
            <w:pPr>
              <w:pStyle w:val="16"/>
              <w:rPr>
                <w:b/>
              </w:rPr>
            </w:pPr>
          </w:p>
        </w:tc>
        <w:tc>
          <w:tcPr>
            <w:tcW w:w="633" w:type="pct"/>
            <w:vMerge w:val="continue"/>
            <w:shd w:val="clear" w:color="auto" w:fill="auto"/>
            <w:vAlign w:val="center"/>
          </w:tcPr>
          <w:p w14:paraId="25EABFCF">
            <w:pPr>
              <w:pStyle w:val="16"/>
              <w:rPr>
                <w:b/>
              </w:rPr>
            </w:pPr>
          </w:p>
        </w:tc>
        <w:tc>
          <w:tcPr>
            <w:tcW w:w="1363" w:type="pct"/>
            <w:shd w:val="clear" w:color="auto" w:fill="auto"/>
            <w:vAlign w:val="center"/>
          </w:tcPr>
          <w:p w14:paraId="39CD40EA">
            <w:pPr>
              <w:pStyle w:val="16"/>
              <w:rPr>
                <w:b/>
              </w:rPr>
            </w:pPr>
            <w:r>
              <w:rPr>
                <w:rFonts w:hint="eastAsia"/>
                <w:b/>
              </w:rPr>
              <w:t>吊索型号</w:t>
            </w:r>
          </w:p>
        </w:tc>
        <w:tc>
          <w:tcPr>
            <w:tcW w:w="353" w:type="pct"/>
            <w:shd w:val="clear" w:color="auto" w:fill="auto"/>
            <w:vAlign w:val="center"/>
          </w:tcPr>
          <w:p w14:paraId="12402D3F">
            <w:pPr>
              <w:pStyle w:val="16"/>
              <w:rPr>
                <w:b/>
              </w:rPr>
            </w:pPr>
            <w:r>
              <w:rPr>
                <w:b/>
                <w:i/>
              </w:rPr>
              <w:t>K</w:t>
            </w:r>
            <w:r>
              <w:rPr>
                <w:b/>
                <w:vertAlign w:val="subscript"/>
              </w:rPr>
              <w:t>e</w:t>
            </w:r>
          </w:p>
        </w:tc>
        <w:tc>
          <w:tcPr>
            <w:tcW w:w="432" w:type="pct"/>
            <w:shd w:val="clear" w:color="auto" w:fill="auto"/>
            <w:vAlign w:val="center"/>
          </w:tcPr>
          <w:p w14:paraId="4314945E">
            <w:pPr>
              <w:pStyle w:val="16"/>
              <w:rPr>
                <w:b/>
              </w:rPr>
            </w:pPr>
            <w:r>
              <w:rPr>
                <w:rFonts w:hint="eastAsia"/>
                <w:b/>
              </w:rPr>
              <w:t>肢数</w:t>
            </w:r>
          </w:p>
        </w:tc>
        <w:tc>
          <w:tcPr>
            <w:tcW w:w="262" w:type="pct"/>
            <w:shd w:val="clear" w:color="auto" w:fill="auto"/>
            <w:vAlign w:val="center"/>
          </w:tcPr>
          <w:p w14:paraId="078CA2C2">
            <w:pPr>
              <w:pStyle w:val="16"/>
              <w:rPr>
                <w:b/>
                <w:i/>
              </w:rPr>
            </w:pPr>
            <w:r>
              <w:rPr>
                <w:b/>
                <w:i/>
              </w:rPr>
              <w:t>K</w:t>
            </w:r>
            <w:r>
              <w:rPr>
                <w:b/>
                <w:i/>
                <w:vertAlign w:val="subscript"/>
              </w:rPr>
              <w:t>u</w:t>
            </w:r>
          </w:p>
        </w:tc>
        <w:tc>
          <w:tcPr>
            <w:tcW w:w="526" w:type="pct"/>
            <w:shd w:val="clear" w:color="auto" w:fill="auto"/>
            <w:vAlign w:val="center"/>
          </w:tcPr>
          <w:p w14:paraId="394CA054">
            <w:pPr>
              <w:pStyle w:val="16"/>
              <w:rPr>
                <w:b/>
              </w:rPr>
            </w:pPr>
            <w:r>
              <w:rPr>
                <w:b/>
                <w:i/>
              </w:rPr>
              <w:t>WLL</w:t>
            </w:r>
            <w:r>
              <w:rPr>
                <w:b/>
              </w:rPr>
              <w:t>(t)</w:t>
            </w:r>
          </w:p>
        </w:tc>
        <w:tc>
          <w:tcPr>
            <w:tcW w:w="412" w:type="pct"/>
            <w:vMerge w:val="continue"/>
            <w:shd w:val="clear" w:color="auto" w:fill="auto"/>
            <w:vAlign w:val="center"/>
          </w:tcPr>
          <w:p w14:paraId="4BAF84AA">
            <w:pPr>
              <w:pStyle w:val="16"/>
              <w:rPr>
                <w:b/>
              </w:rPr>
            </w:pPr>
          </w:p>
        </w:tc>
      </w:tr>
      <w:tr w14:paraId="0F6E0B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 w:type="pct"/>
            <w:shd w:val="clear" w:color="auto" w:fill="auto"/>
            <w:vAlign w:val="center"/>
          </w:tcPr>
          <w:p w14:paraId="283C8C62">
            <w:pPr>
              <w:pStyle w:val="16"/>
              <w:numPr>
                <w:ilvl w:val="0"/>
                <w:numId w:val="26"/>
              </w:numPr>
            </w:pPr>
          </w:p>
        </w:tc>
        <w:tc>
          <w:tcPr>
            <w:tcW w:w="761" w:type="pct"/>
            <w:shd w:val="clear" w:color="auto" w:fill="auto"/>
            <w:vAlign w:val="center"/>
          </w:tcPr>
          <w:p w14:paraId="35E245BF">
            <w:pPr>
              <w:pStyle w:val="16"/>
            </w:pPr>
            <w:r>
              <w:rPr>
                <w:rFonts w:hint="eastAsia"/>
              </w:rPr>
              <w:t>3节标准节</w:t>
            </w:r>
          </w:p>
        </w:tc>
        <w:tc>
          <w:tcPr>
            <w:tcW w:w="633" w:type="pct"/>
            <w:shd w:val="clear" w:color="auto" w:fill="auto"/>
            <w:vAlign w:val="center"/>
          </w:tcPr>
          <w:p w14:paraId="449A886D">
            <w:pPr>
              <w:pStyle w:val="16"/>
              <w:rPr>
                <w:rFonts w:hint="default" w:eastAsia="宋体"/>
                <w:lang w:val="en-US" w:eastAsia="zh-CN"/>
              </w:rPr>
            </w:pPr>
            <w:r>
              <w:t>0.</w:t>
            </w:r>
            <w:r>
              <w:rPr>
                <w:rFonts w:hint="eastAsia"/>
                <w:lang w:val="en-US" w:eastAsia="zh-CN"/>
              </w:rPr>
              <w:t>345</w:t>
            </w:r>
          </w:p>
        </w:tc>
        <w:tc>
          <w:tcPr>
            <w:tcW w:w="1363" w:type="pct"/>
            <w:shd w:val="clear" w:color="auto" w:fill="auto"/>
            <w:vAlign w:val="center"/>
          </w:tcPr>
          <w:p w14:paraId="7770A7D8">
            <w:pPr>
              <w:pStyle w:val="16"/>
            </w:pPr>
            <w:r>
              <w:fldChar w:fldCharType="begin"/>
            </w:r>
            <w:r>
              <w:instrText xml:space="preserve"> REF 吊装钢丝绳 \h  \* MERGEFORMAT </w:instrText>
            </w:r>
            <w:r>
              <w:fldChar w:fldCharType="separate"/>
            </w:r>
            <w:r>
              <w:t>20 6×37S-FC 1770</w:t>
            </w:r>
            <w:r>
              <w:fldChar w:fldCharType="end"/>
            </w:r>
          </w:p>
        </w:tc>
        <w:tc>
          <w:tcPr>
            <w:tcW w:w="353" w:type="pct"/>
            <w:shd w:val="clear" w:color="auto" w:fill="auto"/>
            <w:vAlign w:val="center"/>
          </w:tcPr>
          <w:p w14:paraId="37E3F90A">
            <w:pPr>
              <w:pStyle w:val="16"/>
            </w:pPr>
            <w:r>
              <w:rPr>
                <w:rFonts w:hint="eastAsia"/>
              </w:rPr>
              <w:t>0</w:t>
            </w:r>
            <w:r>
              <w:t>.75</w:t>
            </w:r>
          </w:p>
        </w:tc>
        <w:tc>
          <w:tcPr>
            <w:tcW w:w="432" w:type="pct"/>
            <w:shd w:val="clear" w:color="auto" w:fill="auto"/>
            <w:vAlign w:val="center"/>
          </w:tcPr>
          <w:p w14:paraId="3FD5B9F1">
            <w:pPr>
              <w:pStyle w:val="16"/>
            </w:pPr>
            <w:r>
              <w:t>2</w:t>
            </w:r>
          </w:p>
        </w:tc>
        <w:tc>
          <w:tcPr>
            <w:tcW w:w="262" w:type="pct"/>
            <w:shd w:val="clear" w:color="auto" w:fill="auto"/>
            <w:vAlign w:val="center"/>
          </w:tcPr>
          <w:p w14:paraId="054B2D11">
            <w:pPr>
              <w:pStyle w:val="16"/>
            </w:pPr>
            <w:r>
              <w:rPr>
                <w:rFonts w:hint="eastAsia"/>
              </w:rPr>
              <w:t>6</w:t>
            </w:r>
          </w:p>
        </w:tc>
        <w:tc>
          <w:tcPr>
            <w:tcW w:w="526" w:type="pct"/>
            <w:shd w:val="clear" w:color="auto" w:fill="auto"/>
            <w:vAlign w:val="center"/>
          </w:tcPr>
          <w:p w14:paraId="300CA8D6">
            <w:pPr>
              <w:pStyle w:val="16"/>
            </w:pPr>
            <w:r>
              <w:t>4.2</w:t>
            </w:r>
          </w:p>
        </w:tc>
        <w:tc>
          <w:tcPr>
            <w:tcW w:w="412" w:type="pct"/>
            <w:shd w:val="clear" w:color="auto" w:fill="auto"/>
            <w:vAlign w:val="center"/>
          </w:tcPr>
          <w:p w14:paraId="70B5F467">
            <w:pPr>
              <w:pStyle w:val="16"/>
            </w:pPr>
            <w:r>
              <w:rPr>
                <w:rFonts w:hint="eastAsia"/>
              </w:rPr>
              <w:t>满足要求</w:t>
            </w:r>
          </w:p>
        </w:tc>
      </w:tr>
      <w:tr w14:paraId="489CD1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8" w:type="pct"/>
            <w:shd w:val="clear" w:color="auto" w:fill="auto"/>
            <w:vAlign w:val="center"/>
          </w:tcPr>
          <w:p w14:paraId="0BB75ABD">
            <w:pPr>
              <w:pStyle w:val="16"/>
              <w:numPr>
                <w:ilvl w:val="0"/>
                <w:numId w:val="26"/>
              </w:numPr>
            </w:pPr>
          </w:p>
        </w:tc>
        <w:tc>
          <w:tcPr>
            <w:tcW w:w="761" w:type="pct"/>
            <w:shd w:val="clear" w:color="auto" w:fill="auto"/>
            <w:vAlign w:val="center"/>
          </w:tcPr>
          <w:p w14:paraId="1420B79D">
            <w:pPr>
              <w:pStyle w:val="16"/>
            </w:pPr>
            <w:r>
              <w:rPr>
                <w:rFonts w:hint="eastAsia"/>
              </w:rPr>
              <w:t>吊笼</w:t>
            </w:r>
          </w:p>
        </w:tc>
        <w:tc>
          <w:tcPr>
            <w:tcW w:w="633" w:type="pct"/>
            <w:shd w:val="clear" w:color="auto" w:fill="auto"/>
            <w:vAlign w:val="center"/>
          </w:tcPr>
          <w:p w14:paraId="4630C94B">
            <w:pPr>
              <w:pStyle w:val="16"/>
              <w:rPr>
                <w:rFonts w:hint="eastAsia" w:eastAsia="宋体"/>
                <w:lang w:eastAsia="zh-CN"/>
              </w:rPr>
            </w:pPr>
            <w:r>
              <w:t>1.</w:t>
            </w:r>
            <w:r>
              <w:rPr>
                <w:rFonts w:hint="eastAsia"/>
                <w:lang w:val="en-US" w:eastAsia="zh-CN"/>
              </w:rPr>
              <w:t>4</w:t>
            </w:r>
          </w:p>
        </w:tc>
        <w:tc>
          <w:tcPr>
            <w:tcW w:w="1363" w:type="pct"/>
            <w:shd w:val="clear" w:color="auto" w:fill="auto"/>
            <w:vAlign w:val="center"/>
          </w:tcPr>
          <w:p w14:paraId="58A7121E">
            <w:pPr>
              <w:pStyle w:val="16"/>
            </w:pPr>
            <w:bookmarkStart w:id="86" w:name="吊装钢丝绳"/>
            <w:r>
              <w:t>20 6×37S-FC 1770</w:t>
            </w:r>
            <w:bookmarkEnd w:id="86"/>
          </w:p>
        </w:tc>
        <w:tc>
          <w:tcPr>
            <w:tcW w:w="353" w:type="pct"/>
            <w:shd w:val="clear" w:color="auto" w:fill="auto"/>
            <w:vAlign w:val="center"/>
          </w:tcPr>
          <w:p w14:paraId="1C6EFADE">
            <w:pPr>
              <w:pStyle w:val="16"/>
            </w:pPr>
            <w:r>
              <w:rPr>
                <w:rFonts w:hint="eastAsia"/>
              </w:rPr>
              <w:t>0</w:t>
            </w:r>
            <w:r>
              <w:t>.75</w:t>
            </w:r>
          </w:p>
        </w:tc>
        <w:tc>
          <w:tcPr>
            <w:tcW w:w="432" w:type="pct"/>
            <w:shd w:val="clear" w:color="auto" w:fill="auto"/>
            <w:vAlign w:val="center"/>
          </w:tcPr>
          <w:p w14:paraId="689AD4B0">
            <w:pPr>
              <w:pStyle w:val="16"/>
            </w:pPr>
            <w:r>
              <w:t>4</w:t>
            </w:r>
          </w:p>
        </w:tc>
        <w:tc>
          <w:tcPr>
            <w:tcW w:w="262" w:type="pct"/>
            <w:shd w:val="clear" w:color="auto" w:fill="auto"/>
            <w:vAlign w:val="center"/>
          </w:tcPr>
          <w:p w14:paraId="16DE4D11">
            <w:pPr>
              <w:pStyle w:val="16"/>
            </w:pPr>
            <w:r>
              <w:rPr>
                <w:rFonts w:hint="eastAsia"/>
              </w:rPr>
              <w:t>6</w:t>
            </w:r>
          </w:p>
        </w:tc>
        <w:tc>
          <w:tcPr>
            <w:tcW w:w="526" w:type="pct"/>
            <w:shd w:val="clear" w:color="auto" w:fill="auto"/>
            <w:vAlign w:val="center"/>
          </w:tcPr>
          <w:p w14:paraId="693F3295">
            <w:pPr>
              <w:pStyle w:val="16"/>
            </w:pPr>
            <w:r>
              <w:t>5.9</w:t>
            </w:r>
          </w:p>
        </w:tc>
        <w:tc>
          <w:tcPr>
            <w:tcW w:w="412" w:type="pct"/>
            <w:shd w:val="clear" w:color="auto" w:fill="auto"/>
            <w:vAlign w:val="center"/>
          </w:tcPr>
          <w:p w14:paraId="38845AD1">
            <w:pPr>
              <w:pStyle w:val="16"/>
            </w:pPr>
            <w:r>
              <w:rPr>
                <w:rFonts w:hint="eastAsia"/>
              </w:rPr>
              <w:t>满足要求</w:t>
            </w:r>
          </w:p>
        </w:tc>
      </w:tr>
    </w:tbl>
    <w:p w14:paraId="432B6E70">
      <w:pPr>
        <w:pStyle w:val="4"/>
      </w:pPr>
      <w:r>
        <w:rPr>
          <w:rFonts w:hint="eastAsia"/>
        </w:rPr>
        <w:t>卸扣选型计算</w:t>
      </w:r>
    </w:p>
    <w:p w14:paraId="74389B25">
      <w:pPr>
        <w:pStyle w:val="5"/>
      </w:pPr>
      <w:r>
        <w:rPr>
          <w:rFonts w:hint="eastAsia"/>
        </w:rPr>
        <w:t>选型计算方法</w:t>
      </w:r>
    </w:p>
    <w:p w14:paraId="3AA4E030">
      <w:pPr>
        <w:ind w:firstLine="480"/>
      </w:pPr>
      <w:r>
        <w:rPr>
          <w:rFonts w:hint="eastAsia"/>
        </w:rPr>
        <w:t>《一般起重用</w:t>
      </w:r>
      <w:r>
        <w:t>D</w:t>
      </w:r>
      <w:r>
        <w:rPr>
          <w:rFonts w:hint="eastAsia"/>
        </w:rPr>
        <w:t>形和弓形锻造卸扣》（</w:t>
      </w:r>
      <w:r>
        <w:t>GB/T 25854-2010</w:t>
      </w:r>
      <w:r>
        <w:rPr>
          <w:rFonts w:hint="eastAsia"/>
        </w:rPr>
        <w:t>）明确规定了</w:t>
      </w:r>
      <w:r>
        <w:t>4</w:t>
      </w:r>
      <w:r>
        <w:rPr>
          <w:rFonts w:hint="eastAsia"/>
        </w:rPr>
        <w:t>级、</w:t>
      </w:r>
      <w:r>
        <w:t>6</w:t>
      </w:r>
      <w:r>
        <w:rPr>
          <w:rFonts w:hint="eastAsia"/>
        </w:rPr>
        <w:t>级和</w:t>
      </w:r>
      <w:r>
        <w:t>8</w:t>
      </w:r>
      <w:r>
        <w:rPr>
          <w:rFonts w:hint="eastAsia"/>
        </w:rPr>
        <w:t>级</w:t>
      </w:r>
      <w:r>
        <w:t>D</w:t>
      </w:r>
      <w:r>
        <w:rPr>
          <w:rFonts w:hint="eastAsia"/>
        </w:rPr>
        <w:t>形和弓形卸扣性能，适用于极限工作载荷范围为</w:t>
      </w:r>
      <w:r>
        <w:t>0.32t~100t</w:t>
      </w:r>
      <w:r>
        <w:rPr>
          <w:rFonts w:hint="eastAsia"/>
        </w:rPr>
        <w:t>。卸扣作为吊索与结构物连接的连接件，认为其受力与单肢吊索受力相同。因此考虑卸扣工作载荷大于单肢吊索工作载荷即可。</w:t>
      </w:r>
    </w:p>
    <w:p w14:paraId="6239741E">
      <w:pPr>
        <w:keepNext/>
        <w:keepLines/>
        <w:numPr>
          <w:ilvl w:val="3"/>
          <w:numId w:val="1"/>
        </w:numPr>
        <w:tabs>
          <w:tab w:val="left" w:pos="0"/>
        </w:tabs>
        <w:ind w:firstLineChars="0"/>
        <w:jc w:val="left"/>
        <w:outlineLvl w:val="3"/>
        <w:rPr>
          <w:rFonts w:eastAsiaTheme="majorEastAsia" w:cstheme="majorBidi"/>
          <w:b/>
          <w:szCs w:val="28"/>
        </w:rPr>
      </w:pPr>
      <w:r>
        <w:rPr>
          <w:rFonts w:hint="eastAsia" w:eastAsiaTheme="majorEastAsia" w:cstheme="majorBidi"/>
          <w:b/>
          <w:szCs w:val="28"/>
        </w:rPr>
        <w:t>极限工况选型计算</w:t>
      </w:r>
    </w:p>
    <w:p w14:paraId="51288534">
      <w:pPr>
        <w:ind w:firstLine="480"/>
      </w:pPr>
      <w:r>
        <w:rPr>
          <w:rFonts w:hint="eastAsia"/>
        </w:rPr>
        <w:t>单肢吊索工作载荷不超过</w:t>
      </w:r>
      <w:r>
        <w:t>1.6t</w:t>
      </w:r>
      <w:r>
        <w:rPr>
          <w:rFonts w:hint="eastAsia"/>
        </w:rPr>
        <w:t>，因此根据《一般起重用</w:t>
      </w:r>
      <w:r>
        <w:t>D</w:t>
      </w:r>
      <w:r>
        <w:rPr>
          <w:rFonts w:hint="eastAsia"/>
        </w:rPr>
        <w:t>形和弓形锻造卸扣》（</w:t>
      </w:r>
      <w:r>
        <w:t>GB/T 25854-2010</w:t>
      </w:r>
      <w:r>
        <w:rPr>
          <w:rFonts w:hint="eastAsia"/>
        </w:rPr>
        <w:t>）选用型号为</w:t>
      </w:r>
      <w:bookmarkStart w:id="87" w:name="吊装卸扣"/>
      <w:r>
        <w:t>GB/T 25854-6-B</w:t>
      </w:r>
      <w:r>
        <w:rPr>
          <w:rFonts w:hint="eastAsia"/>
        </w:rPr>
        <w:t>W</w:t>
      </w:r>
      <w:r>
        <w:t>1.6</w:t>
      </w:r>
      <w:bookmarkEnd w:id="87"/>
      <w:r>
        <w:rPr>
          <w:rFonts w:hint="eastAsia"/>
        </w:rPr>
        <w:t>的卸扣即可满足要求。</w:t>
      </w:r>
    </w:p>
    <w:p w14:paraId="02174E27">
      <w:pPr>
        <w:pStyle w:val="3"/>
      </w:pPr>
      <w:bookmarkStart w:id="88" w:name="_Toc30905"/>
      <w:r>
        <w:rPr>
          <w:rFonts w:hint="eastAsia"/>
        </w:rPr>
        <w:t>施工准备</w:t>
      </w:r>
      <w:bookmarkEnd w:id="72"/>
      <w:bookmarkEnd w:id="73"/>
      <w:bookmarkEnd w:id="74"/>
      <w:bookmarkEnd w:id="75"/>
      <w:bookmarkEnd w:id="76"/>
      <w:bookmarkEnd w:id="77"/>
      <w:bookmarkEnd w:id="78"/>
      <w:bookmarkEnd w:id="88"/>
    </w:p>
    <w:p w14:paraId="0B78328A">
      <w:pPr>
        <w:pStyle w:val="4"/>
      </w:pPr>
      <w:r>
        <w:rPr>
          <w:rFonts w:hint="eastAsia"/>
        </w:rPr>
        <w:t>技术准备</w:t>
      </w:r>
    </w:p>
    <w:p w14:paraId="1D378ADD">
      <w:pPr>
        <w:numPr>
          <w:ilvl w:val="0"/>
          <w:numId w:val="27"/>
        </w:numPr>
        <w:ind w:firstLineChars="0"/>
      </w:pPr>
      <w:r>
        <w:rPr>
          <w:rFonts w:hint="eastAsia"/>
        </w:rPr>
        <w:t>测量准备</w:t>
      </w:r>
    </w:p>
    <w:p w14:paraId="76D6F2A2">
      <w:pPr>
        <w:ind w:firstLine="480"/>
      </w:pPr>
      <w:r>
        <w:t>根据施工图复核</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w:t>
      </w:r>
      <w:r>
        <w:t>坐标</w:t>
      </w:r>
      <w:r>
        <w:rPr>
          <w:rFonts w:hint="eastAsia"/>
        </w:rPr>
        <w:t>，</w:t>
      </w:r>
      <w:r>
        <w:t>建立平面施工测量控制网。</w:t>
      </w:r>
    </w:p>
    <w:p w14:paraId="13604E58">
      <w:pPr>
        <w:numPr>
          <w:ilvl w:val="0"/>
          <w:numId w:val="27"/>
        </w:numPr>
        <w:ind w:firstLineChars="0"/>
      </w:pPr>
      <w:r>
        <w:rPr>
          <w:rFonts w:hint="eastAsia"/>
        </w:rPr>
        <w:t>资料报备</w:t>
      </w:r>
    </w:p>
    <w:p w14:paraId="65CDA366">
      <w:pPr>
        <w:ind w:firstLine="480"/>
      </w:pPr>
      <w:r>
        <w:rPr>
          <w:rFonts w:hint="eastAsia"/>
        </w:rPr>
        <w:t>向项目部报备</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安拆相关资料，包括</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安拆告知手续，审核修改通过的安拆方案，实际到场特种作业人员证件，施工所需设备、材料。</w:t>
      </w:r>
    </w:p>
    <w:p w14:paraId="2F273374">
      <w:pPr>
        <w:numPr>
          <w:ilvl w:val="0"/>
          <w:numId w:val="27"/>
        </w:numPr>
        <w:ind w:firstLineChars="0"/>
      </w:pPr>
      <w:r>
        <w:rPr>
          <w:rFonts w:hint="eastAsia"/>
        </w:rPr>
        <w:t>技术交底</w:t>
      </w:r>
    </w:p>
    <w:p w14:paraId="0DEDB3B3">
      <w:pPr>
        <w:ind w:firstLine="480"/>
      </w:pPr>
      <w:r>
        <w:rPr>
          <w:rFonts w:hint="eastAsia"/>
        </w:rPr>
        <w:t>针对本工程相关施工管理人员和施工作业</w:t>
      </w:r>
      <w:r>
        <w:t>人员，组织</w:t>
      </w:r>
      <w:r>
        <w:rPr>
          <w:rFonts w:hint="eastAsia"/>
        </w:rPr>
        <w:t>技术方案交底与</w:t>
      </w:r>
      <w:r>
        <w:t>安全</w:t>
      </w:r>
      <w:r>
        <w:rPr>
          <w:rFonts w:hint="eastAsia"/>
        </w:rPr>
        <w:t>教育</w:t>
      </w:r>
      <w:r>
        <w:t>培训</w:t>
      </w:r>
      <w:r>
        <w:rPr>
          <w:rFonts w:hint="eastAsia"/>
        </w:rPr>
        <w:t>并参与项目部组织的相关技术交底与培训</w:t>
      </w:r>
      <w:r>
        <w:t>。</w:t>
      </w:r>
    </w:p>
    <w:p w14:paraId="7313833C">
      <w:pPr>
        <w:pStyle w:val="4"/>
      </w:pPr>
      <w:r>
        <w:rPr>
          <w:rFonts w:hint="eastAsia"/>
        </w:rPr>
        <w:t>现场准备</w:t>
      </w:r>
    </w:p>
    <w:p w14:paraId="003FFF89">
      <w:pPr>
        <w:numPr>
          <w:ilvl w:val="0"/>
          <w:numId w:val="28"/>
        </w:numPr>
        <w:ind w:firstLineChars="0"/>
      </w:pPr>
      <w:r>
        <w:rPr>
          <w:rFonts w:hint="eastAsia"/>
        </w:rPr>
        <w:t>场地准备</w:t>
      </w:r>
    </w:p>
    <w:p w14:paraId="209C0B8A">
      <w:pPr>
        <w:ind w:firstLine="480"/>
      </w:pPr>
      <w:r>
        <w:rPr>
          <w:rFonts w:hint="eastAsia"/>
        </w:rPr>
        <w:t>根据本施工方案的施工平面布置，与项目部一同清理现场场地，保证施工场所满足空间需求，并对</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基础进行验收，不合格项应进行整改。</w:t>
      </w:r>
    </w:p>
    <w:p w14:paraId="7E2E87C0">
      <w:pPr>
        <w:numPr>
          <w:ilvl w:val="0"/>
          <w:numId w:val="28"/>
        </w:numPr>
        <w:ind w:firstLineChars="0"/>
      </w:pPr>
      <w:r>
        <w:rPr>
          <w:rFonts w:hint="eastAsia"/>
        </w:rPr>
        <w:t>环境准备</w:t>
      </w:r>
    </w:p>
    <w:p w14:paraId="736E1D84">
      <w:pPr>
        <w:ind w:firstLine="480"/>
      </w:pPr>
      <w:r>
        <w:rPr>
          <w:rFonts w:hint="eastAsia"/>
        </w:rPr>
        <w:t>持续关注气候以及水位情况，保证施工过程中不受恶劣天气（6级及以上大风、雨、雪等）以及高水位影响。</w:t>
      </w:r>
    </w:p>
    <w:p w14:paraId="4E9E9141">
      <w:pPr>
        <w:numPr>
          <w:ilvl w:val="0"/>
          <w:numId w:val="28"/>
        </w:numPr>
        <w:ind w:firstLineChars="0"/>
      </w:pPr>
      <w:r>
        <w:rPr>
          <w:rFonts w:hint="eastAsia"/>
        </w:rPr>
        <w:t>材料准备</w:t>
      </w:r>
    </w:p>
    <w:p w14:paraId="34373937">
      <w:pPr>
        <w:ind w:firstLine="480"/>
      </w:pPr>
      <w:r>
        <w:rPr>
          <w:rFonts w:hint="eastAsia"/>
        </w:rPr>
        <w:t>施工所需</w:t>
      </w:r>
      <w:r>
        <w:t>材料</w:t>
      </w:r>
      <w:r>
        <w:rPr>
          <w:rFonts w:hint="eastAsia"/>
        </w:rPr>
        <w:t>通过项目部</w:t>
      </w:r>
      <w:r>
        <w:t>验收合格。在夜晚作业时，应准备足够的照明条件。</w:t>
      </w:r>
    </w:p>
    <w:p w14:paraId="459ABB36">
      <w:pPr>
        <w:numPr>
          <w:ilvl w:val="0"/>
          <w:numId w:val="28"/>
        </w:numPr>
        <w:ind w:firstLineChars="0"/>
      </w:pPr>
      <w:r>
        <w:rPr>
          <w:rFonts w:hint="eastAsia"/>
        </w:rPr>
        <w:t>设备准备</w:t>
      </w:r>
    </w:p>
    <w:p w14:paraId="5C0CE45A">
      <w:pPr>
        <w:ind w:firstLine="480"/>
      </w:pPr>
      <w:r>
        <w:rPr>
          <w:rFonts w:hint="eastAsia"/>
        </w:rPr>
        <w:t>施工所需设备通过项目部验收合格，确保设备满足施工需要求。</w:t>
      </w:r>
    </w:p>
    <w:p w14:paraId="75A13373">
      <w:pPr>
        <w:numPr>
          <w:ilvl w:val="0"/>
          <w:numId w:val="28"/>
        </w:numPr>
        <w:ind w:firstLineChars="0"/>
      </w:pPr>
      <w:r>
        <w:rPr>
          <w:rFonts w:hint="eastAsia"/>
        </w:rPr>
        <w:t>临时用电</w:t>
      </w:r>
    </w:p>
    <w:p w14:paraId="4E75C447">
      <w:pPr>
        <w:ind w:firstLine="480"/>
      </w:pPr>
      <w:r>
        <w:fldChar w:fldCharType="begin"/>
      </w:r>
      <w:r>
        <w:instrText xml:space="preserve"> </w:instrText>
      </w:r>
      <w:r>
        <w:rPr>
          <w:rFonts w:hint="eastAsia"/>
        </w:rPr>
        <w:instrText xml:space="preserve">REF 设备位置 \h</w:instrText>
      </w:r>
      <w:r>
        <w:instrText xml:space="preserve">  \* MERGEFORMAT </w:instrText>
      </w:r>
      <w:r>
        <w:fldChar w:fldCharType="separate"/>
      </w:r>
      <w:r>
        <w:rPr>
          <w:rFonts w:hint="eastAsia"/>
          <w:lang w:eastAsia="zh-CN"/>
        </w:rPr>
        <w:t>新洲特大桥索塔</w:t>
      </w:r>
      <w:r>
        <w:fldChar w:fldCharType="end"/>
      </w:r>
      <w:r>
        <w:rPr>
          <w:rFonts w:hint="eastAsia"/>
        </w:rPr>
        <w:t>施工区域配1台800kW变压器和一台250kW发电机，各功能区均配备二级配电箱，各用电终端配三级配电箱，供电线经PVC管保护地埋敷设。</w:t>
      </w:r>
    </w:p>
    <w:p w14:paraId="70A7AD52">
      <w:pPr>
        <w:numPr>
          <w:ilvl w:val="0"/>
          <w:numId w:val="28"/>
        </w:numPr>
        <w:ind w:firstLineChars="0"/>
      </w:pPr>
      <w:r>
        <w:rPr>
          <w:rFonts w:hint="eastAsia"/>
        </w:rPr>
        <w:t>人员准备</w:t>
      </w:r>
    </w:p>
    <w:p w14:paraId="11A610E1">
      <w:pPr>
        <w:ind w:firstLine="480"/>
      </w:pPr>
      <w:r>
        <w:rPr>
          <w:rFonts w:hint="eastAsia"/>
        </w:rPr>
        <w:t>施工涉及的特种作业人员应持证上岗，施工前进行吊装演练。</w:t>
      </w:r>
    </w:p>
    <w:p w14:paraId="66AD3563">
      <w:pPr>
        <w:pStyle w:val="3"/>
      </w:pPr>
      <w:bookmarkStart w:id="89" w:name="_Toc7753"/>
      <w:bookmarkStart w:id="90" w:name="_Toc13629"/>
      <w:r>
        <w:rPr>
          <w:rFonts w:hint="eastAsia"/>
        </w:rPr>
        <w:t>施工工艺流程图</w:t>
      </w:r>
      <w:bookmarkEnd w:id="89"/>
    </w:p>
    <w:p w14:paraId="7492596F">
      <w:pPr>
        <w:ind w:firstLine="480"/>
        <w:rPr>
          <w:highlight w:val="yellow"/>
        </w:rPr>
      </w:pPr>
      <w:r>
        <w:fldChar w:fldCharType="begin"/>
      </w:r>
      <w:r>
        <w:instrText xml:space="preserve"> REF 设备类型 \h  \* MERGEFORMAT </w:instrText>
      </w:r>
      <w:r>
        <w:fldChar w:fldCharType="separate"/>
      </w:r>
      <w:r>
        <w:rPr>
          <w:rFonts w:hint="eastAsia"/>
        </w:rPr>
        <w:t>施工升降机</w:t>
      </w:r>
      <w:r>
        <w:fldChar w:fldCharType="end"/>
      </w:r>
      <w:r>
        <w:rPr>
          <w:rFonts w:hint="eastAsia"/>
        </w:rPr>
        <w:t>安装工艺流程图如</w:t>
      </w:r>
      <w:r>
        <w:fldChar w:fldCharType="begin"/>
      </w:r>
      <w:r>
        <w:instrText xml:space="preserve"> </w:instrText>
      </w:r>
      <w:r>
        <w:rPr>
          <w:rFonts w:hint="eastAsia"/>
        </w:rPr>
        <w:instrText xml:space="preserve">REF _Ref123658448 \h</w:instrText>
      </w:r>
      <w:r>
        <w:instrText xml:space="preserve"> </w:instrText>
      </w:r>
      <w:r>
        <w:fldChar w:fldCharType="separate"/>
      </w:r>
      <w:r>
        <w:rPr>
          <w:rFonts w:hint="eastAsia"/>
        </w:rPr>
        <w:t>图</w:t>
      </w:r>
      <w:r>
        <w:t>4.4</w:t>
      </w:r>
      <w:r>
        <w:rPr>
          <w:rFonts w:hint="eastAsia"/>
        </w:rPr>
        <w:t>-</w:t>
      </w:r>
      <w:r>
        <w:t>1</w:t>
      </w:r>
      <w:r>
        <w:fldChar w:fldCharType="end"/>
      </w:r>
      <w:r>
        <w:rPr>
          <w:rFonts w:hint="eastAsia"/>
        </w:rPr>
        <w:t>所示。</w:t>
      </w:r>
    </w:p>
    <w:p w14:paraId="2F4FD1C1">
      <w:pPr>
        <w:pStyle w:val="109"/>
      </w:pPr>
      <w:r>
        <w:object>
          <v:shape id="_x0000_i1027" o:spt="75" type="#_x0000_t75" style="height:406.85pt;width:251pt;" o:ole="t" filled="f" o:preferrelative="t" stroked="f" coordsize="21600,21600">
            <v:path/>
            <v:fill on="f" focussize="0,0"/>
            <v:stroke on="f" joinstyle="miter"/>
            <v:imagedata r:id="rId46" o:title=""/>
            <o:lock v:ext="edit" aspectratio="t"/>
            <w10:wrap type="none"/>
            <w10:anchorlock/>
          </v:shape>
          <o:OLEObject Type="Embed" ProgID="Visio.Drawing.15" ShapeID="_x0000_i1027" DrawAspect="Content" ObjectID="_1468075727" r:id="rId45">
            <o:LockedField>false</o:LockedField>
          </o:OLEObject>
        </w:object>
      </w:r>
    </w:p>
    <w:p w14:paraId="1946D5F0">
      <w:pPr>
        <w:pStyle w:val="108"/>
      </w:pPr>
      <w:bookmarkStart w:id="91" w:name="_Ref123658448"/>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91"/>
      <w:r>
        <w:rPr>
          <w:rFonts w:hint="eastAsia"/>
        </w:rPr>
        <w:t xml:space="preserve"> </w:t>
      </w:r>
      <w:r>
        <w:fldChar w:fldCharType="begin"/>
      </w:r>
      <w:r>
        <w:instrText xml:space="preserve"> REF 设备类型 \h  \* MERGEFORMAT </w:instrText>
      </w:r>
      <w:r>
        <w:fldChar w:fldCharType="separate"/>
      </w:r>
      <w:r>
        <w:rPr>
          <w:rFonts w:hint="eastAsia"/>
        </w:rPr>
        <w:t>施工升降机</w:t>
      </w:r>
      <w:r>
        <w:fldChar w:fldCharType="end"/>
      </w:r>
      <w:r>
        <w:rPr>
          <w:rFonts w:hint="eastAsia"/>
        </w:rPr>
        <w:t>安装工艺流程图</w:t>
      </w:r>
    </w:p>
    <w:p w14:paraId="547EEBA8">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拆除</w:t>
      </w:r>
      <w:r>
        <w:t>工艺</w:t>
      </w:r>
      <w:r>
        <w:rPr>
          <w:rFonts w:hint="eastAsia"/>
        </w:rPr>
        <w:t>流程图如</w:t>
      </w:r>
      <w:r>
        <w:fldChar w:fldCharType="begin"/>
      </w:r>
      <w:r>
        <w:instrText xml:space="preserve"> REF _Ref123658453 \h </w:instrText>
      </w:r>
      <w:r>
        <w:fldChar w:fldCharType="separate"/>
      </w:r>
      <w:r>
        <w:rPr>
          <w:rFonts w:hint="eastAsia"/>
        </w:rPr>
        <w:t>图</w:t>
      </w:r>
      <w:r>
        <w:t>4.4</w:t>
      </w:r>
      <w:r>
        <w:rPr>
          <w:rFonts w:hint="eastAsia"/>
        </w:rPr>
        <w:t>-</w:t>
      </w:r>
      <w:r>
        <w:t>2</w:t>
      </w:r>
      <w:r>
        <w:fldChar w:fldCharType="end"/>
      </w:r>
      <w:r>
        <w:rPr>
          <w:rFonts w:hint="eastAsia"/>
        </w:rPr>
        <w:t>所示。</w:t>
      </w:r>
    </w:p>
    <w:p w14:paraId="5192FE3A">
      <w:pPr>
        <w:pStyle w:val="109"/>
      </w:pPr>
      <w:r>
        <w:object>
          <v:shape id="_x0000_i1028" o:spt="75" type="#_x0000_t75" style="height:236.7pt;width:249.55pt;" o:ole="t" filled="f" o:preferrelative="t" stroked="f" coordsize="21600,21600">
            <v:path/>
            <v:fill on="f" focussize="0,0"/>
            <v:stroke on="f" joinstyle="miter"/>
            <v:imagedata r:id="rId48" o:title=""/>
            <o:lock v:ext="edit" aspectratio="t"/>
            <w10:wrap type="none"/>
            <w10:anchorlock/>
          </v:shape>
          <o:OLEObject Type="Embed" ProgID="Visio.Drawing.15" ShapeID="_x0000_i1028" DrawAspect="Content" ObjectID="_1468075728" r:id="rId47">
            <o:LockedField>false</o:LockedField>
          </o:OLEObject>
        </w:object>
      </w:r>
    </w:p>
    <w:p w14:paraId="24DF3658">
      <w:pPr>
        <w:pStyle w:val="108"/>
      </w:pPr>
      <w:bookmarkStart w:id="92" w:name="_Ref123658453"/>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4.4</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2</w:t>
      </w:r>
      <w:r>
        <w:fldChar w:fldCharType="end"/>
      </w:r>
      <w:bookmarkEnd w:id="92"/>
      <w:r>
        <w:rPr>
          <w:rFonts w:hint="eastAsia"/>
        </w:rPr>
        <w:t xml:space="preserve"> </w:t>
      </w:r>
      <w:r>
        <w:fldChar w:fldCharType="begin"/>
      </w:r>
      <w:r>
        <w:instrText xml:space="preserve"> REF 设备类型 \h  \* MERGEFORMAT </w:instrText>
      </w:r>
      <w:r>
        <w:fldChar w:fldCharType="separate"/>
      </w:r>
      <w:r>
        <w:rPr>
          <w:rFonts w:hint="eastAsia"/>
        </w:rPr>
        <w:t>施工升降机</w:t>
      </w:r>
      <w:r>
        <w:fldChar w:fldCharType="end"/>
      </w:r>
      <w:r>
        <w:rPr>
          <w:rFonts w:hint="eastAsia"/>
        </w:rPr>
        <w:t>拆除工艺流程图</w:t>
      </w:r>
    </w:p>
    <w:p w14:paraId="39507065">
      <w:pPr>
        <w:pStyle w:val="3"/>
      </w:pPr>
      <w:bookmarkStart w:id="93" w:name="_Toc5263"/>
      <w:r>
        <w:rPr>
          <w:rFonts w:hint="eastAsia"/>
        </w:rPr>
        <w:t>施工方法</w:t>
      </w:r>
      <w:bookmarkEnd w:id="93"/>
    </w:p>
    <w:p w14:paraId="0F11B5B5">
      <w:pPr>
        <w:ind w:firstLine="480"/>
      </w:pPr>
      <w:r>
        <w:rPr>
          <w:rFonts w:hint="eastAsia"/>
          <w:lang w:val="en-US" w:eastAsia="zh-CN"/>
        </w:rPr>
        <w:t>2</w:t>
      </w:r>
      <w:r>
        <w:t>#</w:t>
      </w:r>
      <w:r>
        <w:fldChar w:fldCharType="begin"/>
      </w:r>
      <w:r>
        <w:instrText xml:space="preserve"> REF </w:instrText>
      </w:r>
      <w:r>
        <w:rPr>
          <w:rFonts w:hint="eastAsia"/>
        </w:rPr>
        <w:instrText xml:space="preserve">设备类型</w:instrText>
      </w:r>
      <w:r>
        <w:instrText xml:space="preserve"> \h  \* MERGEFORMAT </w:instrText>
      </w:r>
      <w:r>
        <w:fldChar w:fldCharType="separate"/>
      </w:r>
      <w:r>
        <w:rPr>
          <w:rFonts w:hint="eastAsia"/>
        </w:rPr>
        <w:t>施工升降机</w:t>
      </w:r>
      <w:r>
        <w:fldChar w:fldCharType="end"/>
      </w:r>
      <w:r>
        <w:rPr>
          <w:rFonts w:hint="eastAsia"/>
        </w:rPr>
        <w:t>离</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XGT8040A-25</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r>
        <w:rPr>
          <w:rFonts w:hint="eastAsia"/>
        </w:rPr>
        <w:t>最远，因此本章节以</w:t>
      </w:r>
      <w:r>
        <w:rPr>
          <w:rFonts w:hint="eastAsia"/>
          <w:lang w:val="en-US" w:eastAsia="zh-CN"/>
        </w:rPr>
        <w:t>2</w:t>
      </w:r>
      <w:r>
        <w:t>#</w:t>
      </w:r>
      <w:r>
        <w:fldChar w:fldCharType="begin"/>
      </w:r>
      <w:r>
        <w:instrText xml:space="preserve"> REF </w:instrText>
      </w:r>
      <w:r>
        <w:rPr>
          <w:rFonts w:hint="eastAsia"/>
        </w:rPr>
        <w:instrText xml:space="preserve">设备类型</w:instrText>
      </w:r>
      <w:r>
        <w:instrText xml:space="preserve"> \h  \* MERGEFORMAT </w:instrText>
      </w:r>
      <w:r>
        <w:fldChar w:fldCharType="separate"/>
      </w:r>
      <w:r>
        <w:rPr>
          <w:rFonts w:hint="eastAsia"/>
        </w:rPr>
        <w:t>施工升降机</w:t>
      </w:r>
      <w:r>
        <w:fldChar w:fldCharType="end"/>
      </w:r>
      <w:r>
        <w:rPr>
          <w:rFonts w:hint="eastAsia"/>
        </w:rPr>
        <w:t>安装拆除为例进行介绍，1</w:t>
      </w:r>
      <w:r>
        <w:t>#</w:t>
      </w:r>
      <w:r>
        <w:fldChar w:fldCharType="begin"/>
      </w:r>
      <w:r>
        <w:instrText xml:space="preserve"> REF </w:instrText>
      </w:r>
      <w:r>
        <w:rPr>
          <w:rFonts w:hint="eastAsia"/>
        </w:rPr>
        <w:instrText xml:space="preserve">设备类型</w:instrText>
      </w:r>
      <w:r>
        <w:instrText xml:space="preserve"> \h  \* MERGEFORMAT </w:instrText>
      </w:r>
      <w:r>
        <w:fldChar w:fldCharType="separate"/>
      </w:r>
      <w:r>
        <w:rPr>
          <w:rFonts w:hint="eastAsia"/>
        </w:rPr>
        <w:t>施工升降机</w:t>
      </w:r>
      <w:r>
        <w:fldChar w:fldCharType="end"/>
      </w:r>
      <w:r>
        <w:t>安装拆除</w:t>
      </w:r>
      <w:r>
        <w:rPr>
          <w:rFonts w:hint="eastAsia"/>
        </w:rPr>
        <w:t>方法参照</w:t>
      </w:r>
      <w:r>
        <w:rPr>
          <w:rFonts w:hint="eastAsia"/>
          <w:lang w:val="en-US" w:eastAsia="zh-CN"/>
        </w:rPr>
        <w:t>2</w:t>
      </w:r>
      <w:r>
        <w:t>#</w:t>
      </w:r>
      <w:r>
        <w:fldChar w:fldCharType="begin"/>
      </w:r>
      <w:r>
        <w:instrText xml:space="preserve"> REF </w:instrText>
      </w:r>
      <w:r>
        <w:rPr>
          <w:rFonts w:hint="eastAsia"/>
        </w:rPr>
        <w:instrText xml:space="preserve">设备类型</w:instrText>
      </w:r>
      <w:r>
        <w:instrText xml:space="preserve"> \h  \* MERGEFORMAT </w:instrText>
      </w:r>
      <w:r>
        <w:fldChar w:fldCharType="separate"/>
      </w:r>
      <w:r>
        <w:rPr>
          <w:rFonts w:hint="eastAsia"/>
        </w:rPr>
        <w:t>施工升降机</w:t>
      </w:r>
      <w:r>
        <w:fldChar w:fldCharType="end"/>
      </w:r>
      <w:r>
        <w:rPr>
          <w:rFonts w:hint="eastAsia"/>
        </w:rPr>
        <w:t>执行。</w:t>
      </w:r>
    </w:p>
    <w:p w14:paraId="1E33DB7F">
      <w:pPr>
        <w:pStyle w:val="4"/>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安装方法</w:t>
      </w:r>
    </w:p>
    <w:p w14:paraId="46784BB8">
      <w:pPr>
        <w:pStyle w:val="5"/>
      </w:pPr>
      <w:r>
        <w:rPr>
          <w:rFonts w:hint="eastAsia"/>
        </w:rPr>
        <w:t>底架及标准节安装</w:t>
      </w:r>
    </w:p>
    <w:p w14:paraId="1F28E52A">
      <w:pPr>
        <w:pStyle w:val="70"/>
        <w:numPr>
          <w:ilvl w:val="0"/>
          <w:numId w:val="29"/>
        </w:numPr>
        <w:ind w:firstLineChars="0"/>
      </w:pPr>
      <w:r>
        <w:rPr>
          <w:rFonts w:hint="eastAsia"/>
        </w:rPr>
        <w:t>基础施工完成后，将螺栓焊接于承重梁上，底架初步固定就位，测量人员采用全站仪进行校正。</w:t>
      </w:r>
    </w:p>
    <w:p w14:paraId="646075F8">
      <w:pPr>
        <w:pStyle w:val="109"/>
      </w:pPr>
      <w:r>
        <w:drawing>
          <wp:inline distT="0" distB="0" distL="0" distR="0">
            <wp:extent cx="3390900" cy="213804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9"/>
                    <a:srcRect t="42374"/>
                    <a:stretch>
                      <a:fillRect/>
                    </a:stretch>
                  </pic:blipFill>
                  <pic:spPr>
                    <a:xfrm>
                      <a:off x="0" y="0"/>
                      <a:ext cx="3391194" cy="2138635"/>
                    </a:xfrm>
                    <a:prstGeom prst="rect">
                      <a:avLst/>
                    </a:prstGeom>
                    <a:ln>
                      <a:noFill/>
                    </a:ln>
                  </pic:spPr>
                </pic:pic>
              </a:graphicData>
            </a:graphic>
          </wp:inline>
        </w:drawing>
      </w:r>
    </w:p>
    <w:p w14:paraId="71D967A2">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w:t>
      </w:r>
      <w:r>
        <w:fldChar w:fldCharType="end"/>
      </w:r>
      <w:r>
        <w:t xml:space="preserve"> </w:t>
      </w:r>
      <w:r>
        <w:rPr>
          <w:rFonts w:hint="eastAsia"/>
        </w:rPr>
        <w:t>底架安装示意图</w:t>
      </w:r>
    </w:p>
    <w:p w14:paraId="7EEC2D42">
      <w:pPr>
        <w:pStyle w:val="70"/>
        <w:numPr>
          <w:ilvl w:val="0"/>
          <w:numId w:val="29"/>
        </w:numPr>
        <w:ind w:firstLineChars="0"/>
      </w:pPr>
      <w:r>
        <w:rPr>
          <w:rFonts w:hint="eastAsia"/>
        </w:rPr>
        <w:t>测量人员采用水准仪测量底盘高程，可通过塞垫薄钢板确保底架倾斜角度与设计一致（确保导轨架与底架垂直），随后专业安装作业人员将底架与预埋螺栓连接，但暂不拧紧。</w:t>
      </w:r>
    </w:p>
    <w:p w14:paraId="4591353D">
      <w:pPr>
        <w:pStyle w:val="70"/>
        <w:numPr>
          <w:ilvl w:val="0"/>
          <w:numId w:val="29"/>
        </w:numPr>
        <w:ind w:firstLineChars="0"/>
      </w:pPr>
      <w:r>
        <w:rPr>
          <w:rFonts w:hint="eastAsia"/>
        </w:rPr>
        <w:t>专业安装作业人员采用塔吊使用</w:t>
      </w:r>
      <w:r>
        <w:t>2</w:t>
      </w:r>
      <w:r>
        <w:rPr>
          <w:rFonts w:hint="eastAsia"/>
        </w:rPr>
        <w:t>根6m长的</w:t>
      </w:r>
      <w:r>
        <w:fldChar w:fldCharType="begin"/>
      </w:r>
      <w:r>
        <w:instrText xml:space="preserve"> REF 吊装钢丝绳 \h </w:instrText>
      </w:r>
      <w:r>
        <w:fldChar w:fldCharType="separate"/>
      </w:r>
      <w:r>
        <w:t>20 6×37S-FC 1770</w:t>
      </w:r>
      <w:r>
        <w:fldChar w:fldCharType="end"/>
      </w:r>
      <w:r>
        <w:rPr>
          <w:rFonts w:hint="eastAsia"/>
        </w:rPr>
        <w:t>钢丝绳在首节标准节顶部自带的斜对称的吊耳孔中配置</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卸扣将标准节起吊安装（底节标准节通常不带齿条，安装前将标准节两端管子接头处及齿条销子处擦拭干净，并加少量润滑脂），并拧紧螺栓。</w:t>
      </w:r>
    </w:p>
    <w:p w14:paraId="6EB42D2A">
      <w:pPr>
        <w:pStyle w:val="70"/>
        <w:numPr>
          <w:ilvl w:val="0"/>
          <w:numId w:val="29"/>
        </w:numPr>
        <w:ind w:firstLineChars="0"/>
      </w:pPr>
      <w:r>
        <w:rPr>
          <w:rFonts w:hint="eastAsia"/>
        </w:rPr>
        <w:t>随后采用塔吊配合，用同样的方法再加装</w:t>
      </w:r>
      <w:r>
        <w:t>4</w:t>
      </w:r>
      <w:r>
        <w:rPr>
          <w:rFonts w:hint="eastAsia"/>
        </w:rPr>
        <w:t>节标准节（</w:t>
      </w:r>
      <w:r>
        <w:t>4</w:t>
      </w:r>
      <w:r>
        <w:rPr>
          <w:rFonts w:hint="eastAsia"/>
        </w:rPr>
        <w:t>节标准节事先在地面上采用M</w:t>
      </w:r>
      <w:r>
        <w:t>24</w:t>
      </w:r>
      <w:r>
        <w:rPr>
          <w:rFonts w:hint="eastAsia"/>
        </w:rPr>
        <w:t>×</w:t>
      </w:r>
      <w:r>
        <w:t>230</w:t>
      </w:r>
      <w:r>
        <w:rPr>
          <w:rFonts w:hint="eastAsia"/>
        </w:rPr>
        <w:t>mm的专用螺栓组拼成一体，整体起吊。多节起吊时采用</w:t>
      </w:r>
      <w:r>
        <w:t>2</w:t>
      </w:r>
      <w:r>
        <w:rPr>
          <w:rFonts w:hint="eastAsia"/>
        </w:rPr>
        <w:t>根6m长的</w:t>
      </w:r>
      <w:r>
        <w:fldChar w:fldCharType="begin"/>
      </w:r>
      <w:r>
        <w:instrText xml:space="preserve"> REF 吊装钢丝绳 \h </w:instrText>
      </w:r>
      <w:r>
        <w:fldChar w:fldCharType="separate"/>
      </w:r>
      <w:r>
        <w:t>20 6×37S-FC 1770</w:t>
      </w:r>
      <w:r>
        <w:fldChar w:fldCharType="end"/>
      </w:r>
      <w:r>
        <w:rPr>
          <w:rFonts w:hint="eastAsia"/>
        </w:rPr>
        <w:t>钢丝绳配</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卸扣进行吊装），并对安装角度进行检查。（测量人员用全站仪测量、专业安装作业人员调整导轨架的安装角度，保证导轨架的各个立管在两个相邻方向上的倾斜度偏差≤1/1500），检查后用3</w:t>
      </w:r>
      <w:r>
        <w:t>0</w:t>
      </w:r>
      <w:r>
        <w:rPr>
          <w:rFonts w:hint="eastAsia"/>
        </w:rPr>
        <w:t>0N</w:t>
      </w:r>
      <w:r>
        <w:t>·</w:t>
      </w:r>
      <w:r>
        <w:rPr>
          <w:rFonts w:hint="eastAsia"/>
        </w:rPr>
        <w:t>m的预紧力拧紧底架与承台顶部预埋件之间的连接螺栓。</w:t>
      </w:r>
    </w:p>
    <w:p w14:paraId="11359374">
      <w:pPr>
        <w:pStyle w:val="70"/>
        <w:numPr>
          <w:ilvl w:val="0"/>
          <w:numId w:val="29"/>
        </w:numPr>
        <w:ind w:firstLineChars="0"/>
      </w:pPr>
      <w:r>
        <w:rPr>
          <w:rFonts w:hint="eastAsia"/>
        </w:rPr>
        <w:t>塔吊将</w:t>
      </w:r>
      <w:r>
        <w:t>4</w:t>
      </w:r>
      <w:r>
        <w:rPr>
          <w:rFonts w:hint="eastAsia"/>
        </w:rPr>
        <w:t>节标准节吊装到位并完成螺栓连接后，专业安装作业人员通过攀爬标准节至其顶部处解除卸扣连接，攀爬过程中专业安装作业人员将安全带交替系挂在作业人员上方的标准节横杆上，并遵循安全带高挂低用的安全使用原则。</w:t>
      </w:r>
    </w:p>
    <w:p w14:paraId="4F6691E5">
      <w:pPr>
        <w:pStyle w:val="70"/>
        <w:numPr>
          <w:ilvl w:val="0"/>
          <w:numId w:val="29"/>
        </w:numPr>
        <w:ind w:firstLineChars="0"/>
      </w:pPr>
      <w:r>
        <w:rPr>
          <w:rFonts w:hint="eastAsia"/>
        </w:rPr>
        <w:t>塔吊起吊吊装时设置警戒区，安排专人负责指挥，专人操作，严禁无关人员进入起重作业范围内。</w:t>
      </w:r>
    </w:p>
    <w:p w14:paraId="2CF7E658">
      <w:pPr>
        <w:pStyle w:val="70"/>
        <w:numPr>
          <w:ilvl w:val="0"/>
          <w:numId w:val="29"/>
        </w:numPr>
        <w:ind w:firstLineChars="0"/>
      </w:pPr>
      <w:r>
        <w:rPr>
          <w:rFonts w:hint="eastAsia"/>
        </w:rPr>
        <w:t>标准节吊装时，要设置溜绳控制其摆动，防止其碰撞周边构件。</w:t>
      </w:r>
    </w:p>
    <w:bookmarkEnd w:id="90"/>
    <w:p w14:paraId="71B2BF14">
      <w:pPr>
        <w:ind w:firstLine="480"/>
      </w:pPr>
      <w:r>
        <w:rPr>
          <w:rFonts w:hint="eastAsia"/>
        </w:rPr>
        <w:t>标准节安装平面图、立面图如</w:t>
      </w:r>
      <w:r>
        <w:fldChar w:fldCharType="begin"/>
      </w:r>
      <w:r>
        <w:instrText xml:space="preserve"> REF _Ref127538298 \h </w:instrText>
      </w:r>
      <w:r>
        <w:fldChar w:fldCharType="separate"/>
      </w:r>
      <w:r>
        <w:rPr>
          <w:rFonts w:hint="eastAsia"/>
        </w:rPr>
        <w:t>图</w:t>
      </w:r>
      <w:r>
        <w:t>4.5.1</w:t>
      </w:r>
      <w:r>
        <w:rPr>
          <w:rFonts w:hint="eastAsia"/>
        </w:rPr>
        <w:t>-</w:t>
      </w:r>
      <w:r>
        <w:t>2</w:t>
      </w:r>
      <w:r>
        <w:fldChar w:fldCharType="end"/>
      </w:r>
      <w:r>
        <w:rPr>
          <w:rFonts w:hint="eastAsia"/>
        </w:rPr>
        <w:t>、</w:t>
      </w:r>
      <w:r>
        <w:fldChar w:fldCharType="begin"/>
      </w:r>
      <w:r>
        <w:instrText xml:space="preserve"> REF _Ref127538299 \h </w:instrText>
      </w:r>
      <w:r>
        <w:fldChar w:fldCharType="separate"/>
      </w:r>
      <w:r>
        <w:rPr>
          <w:rFonts w:hint="eastAsia"/>
        </w:rPr>
        <w:t>图</w:t>
      </w:r>
      <w:r>
        <w:t>4.5.1</w:t>
      </w:r>
      <w:r>
        <w:rPr>
          <w:rFonts w:hint="eastAsia"/>
        </w:rPr>
        <w:t>-</w:t>
      </w:r>
      <w:r>
        <w:t>3</w:t>
      </w:r>
      <w:r>
        <w:fldChar w:fldCharType="end"/>
      </w:r>
      <w:r>
        <w:rPr>
          <w:rFonts w:hint="eastAsia"/>
        </w:rPr>
        <w:t>所示。</w:t>
      </w:r>
    </w:p>
    <w:p w14:paraId="7159544E">
      <w:pPr>
        <w:pStyle w:val="109"/>
      </w:pPr>
      <w:r>
        <w:drawing>
          <wp:inline distT="0" distB="0" distL="114300" distR="114300">
            <wp:extent cx="5266055" cy="1771650"/>
            <wp:effectExtent l="0" t="0" r="10795" b="0"/>
            <wp:docPr id="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pic:cNvPicPr>
                      <a:picLocks noChangeAspect="1"/>
                    </pic:cNvPicPr>
                  </pic:nvPicPr>
                  <pic:blipFill>
                    <a:blip r:embed="rId50"/>
                    <a:stretch>
                      <a:fillRect/>
                    </a:stretch>
                  </pic:blipFill>
                  <pic:spPr>
                    <a:xfrm>
                      <a:off x="0" y="0"/>
                      <a:ext cx="5266055" cy="1771650"/>
                    </a:xfrm>
                    <a:prstGeom prst="rect">
                      <a:avLst/>
                    </a:prstGeom>
                    <a:noFill/>
                    <a:ln>
                      <a:noFill/>
                    </a:ln>
                  </pic:spPr>
                </pic:pic>
              </a:graphicData>
            </a:graphic>
          </wp:inline>
        </w:drawing>
      </w:r>
    </w:p>
    <w:p w14:paraId="0B041FDD">
      <w:pPr>
        <w:pStyle w:val="108"/>
      </w:pPr>
      <w:bookmarkStart w:id="94" w:name="_Ref127538298"/>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w:t>
      </w:r>
      <w:r>
        <w:fldChar w:fldCharType="end"/>
      </w:r>
      <w:bookmarkEnd w:id="94"/>
      <w:r>
        <w:t xml:space="preserve"> </w:t>
      </w:r>
      <w:r>
        <w:rPr>
          <w:rFonts w:hint="eastAsia"/>
        </w:rPr>
        <w:t>标准节安装平面图（mm）</w:t>
      </w:r>
    </w:p>
    <w:p w14:paraId="740AD7B8">
      <w:pPr>
        <w:pStyle w:val="109"/>
      </w:pPr>
      <w:r>
        <w:drawing>
          <wp:inline distT="0" distB="0" distL="114300" distR="114300">
            <wp:extent cx="2476500" cy="5857875"/>
            <wp:effectExtent l="0" t="0" r="0" b="9525"/>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51"/>
                    <a:stretch>
                      <a:fillRect/>
                    </a:stretch>
                  </pic:blipFill>
                  <pic:spPr>
                    <a:xfrm>
                      <a:off x="0" y="0"/>
                      <a:ext cx="2476500" cy="5857875"/>
                    </a:xfrm>
                    <a:prstGeom prst="rect">
                      <a:avLst/>
                    </a:prstGeom>
                    <a:noFill/>
                    <a:ln>
                      <a:noFill/>
                    </a:ln>
                  </pic:spPr>
                </pic:pic>
              </a:graphicData>
            </a:graphic>
          </wp:inline>
        </w:drawing>
      </w:r>
      <w:r>
        <w:drawing>
          <wp:inline distT="0" distB="0" distL="114300" distR="114300">
            <wp:extent cx="5268595" cy="3985895"/>
            <wp:effectExtent l="0" t="0" r="8255" b="1460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52"/>
                    <a:stretch>
                      <a:fillRect/>
                    </a:stretch>
                  </pic:blipFill>
                  <pic:spPr>
                    <a:xfrm>
                      <a:off x="0" y="0"/>
                      <a:ext cx="5268595" cy="3985895"/>
                    </a:xfrm>
                    <a:prstGeom prst="rect">
                      <a:avLst/>
                    </a:prstGeom>
                    <a:noFill/>
                    <a:ln>
                      <a:noFill/>
                    </a:ln>
                  </pic:spPr>
                </pic:pic>
              </a:graphicData>
            </a:graphic>
          </wp:inline>
        </w:drawing>
      </w:r>
    </w:p>
    <w:p w14:paraId="5F02A5F4">
      <w:pPr>
        <w:pStyle w:val="108"/>
      </w:pPr>
      <w:bookmarkStart w:id="95" w:name="_Ref127538299"/>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3</w:t>
      </w:r>
      <w:r>
        <w:fldChar w:fldCharType="end"/>
      </w:r>
      <w:bookmarkEnd w:id="95"/>
      <w:r>
        <w:t xml:space="preserve"> </w:t>
      </w:r>
      <w:r>
        <w:rPr>
          <w:rFonts w:hint="eastAsia"/>
        </w:rPr>
        <w:t>标准节安装立面图（mm）</w:t>
      </w:r>
    </w:p>
    <w:p w14:paraId="195155E6">
      <w:pPr>
        <w:pStyle w:val="5"/>
      </w:pPr>
      <w:r>
        <w:rPr>
          <w:rFonts w:hint="eastAsia"/>
        </w:rPr>
        <w:t>底架围栏（围栏门支撑和电源柜等）及缓冲弹簧安装</w:t>
      </w:r>
    </w:p>
    <w:p w14:paraId="4FA774D8">
      <w:pPr>
        <w:pStyle w:val="70"/>
        <w:numPr>
          <w:ilvl w:val="0"/>
          <w:numId w:val="30"/>
        </w:numPr>
        <w:ind w:firstLineChars="0"/>
      </w:pPr>
      <w:r>
        <w:rPr>
          <w:rFonts w:hint="eastAsia"/>
        </w:rPr>
        <w:t>专业安装作业人员依次采用塔吊使用</w:t>
      </w:r>
      <w:r>
        <w:fldChar w:fldCharType="begin"/>
      </w:r>
      <w:r>
        <w:instrText xml:space="preserve"> REF 吊装钢丝绳 \h </w:instrText>
      </w:r>
      <w:r>
        <w:fldChar w:fldCharType="separate"/>
      </w:r>
      <w:r>
        <w:t>20 6×37S-FC 1770</w:t>
      </w:r>
      <w:r>
        <w:fldChar w:fldCharType="end"/>
      </w:r>
      <w:r>
        <w:rPr>
          <w:rFonts w:hint="eastAsia"/>
        </w:rPr>
        <w:t>钢丝绳吊装底架的侧护栏、后护栏、门框结构、电控柜、弹簧座和缓冲弹簧，并用螺栓将各部件连接起来。</w:t>
      </w:r>
    </w:p>
    <w:p w14:paraId="663A739C">
      <w:pPr>
        <w:pStyle w:val="70"/>
        <w:numPr>
          <w:ilvl w:val="0"/>
          <w:numId w:val="30"/>
        </w:numPr>
        <w:ind w:firstLineChars="0"/>
      </w:pPr>
      <w:r>
        <w:rPr>
          <w:rFonts w:hint="eastAsia"/>
        </w:rPr>
        <w:t>吊装侧护栏、后护栏时，先在护栏顶部两端焊接吊耳，采用</w:t>
      </w:r>
      <w:r>
        <w:t>2</w:t>
      </w:r>
      <w:r>
        <w:rPr>
          <w:rFonts w:hint="eastAsia"/>
        </w:rPr>
        <w:t>根6m长</w:t>
      </w:r>
      <w:r>
        <w:fldChar w:fldCharType="begin"/>
      </w:r>
      <w:r>
        <w:instrText xml:space="preserve"> REF 吊装钢丝绳 \h </w:instrText>
      </w:r>
      <w:r>
        <w:fldChar w:fldCharType="separate"/>
      </w:r>
      <w:r>
        <w:t>20 6×37S-FC 1770</w:t>
      </w:r>
      <w:r>
        <w:fldChar w:fldCharType="end"/>
      </w:r>
      <w:r>
        <w:rPr>
          <w:rFonts w:hint="eastAsia"/>
        </w:rPr>
        <w:t>钢丝绳配套</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卸扣与吊耳连接。专业安装作业人员在地面上先将两根钢丝绳的一端挂在塔吊吊钩上，另一端与两侧吊耳采用卸扣连接固定。启动塔吊，将单侧护栏缓慢提升，用溜绳控制其摆动。起吊至指定位置后，</w:t>
      </w:r>
      <w:bookmarkStart w:id="96" w:name="_Hlk76547843"/>
      <w:r>
        <w:rPr>
          <w:rFonts w:hint="eastAsia"/>
        </w:rPr>
        <w:t>专业安装作业人员分别用M10的螺栓将其与主底架和辅底架相连，暂不拧紧。采用A</w:t>
      </w:r>
      <w:r>
        <w:t>48.3</w:t>
      </w:r>
      <w:r>
        <w:rPr>
          <w:rFonts w:hint="eastAsia"/>
        </w:rPr>
        <w:t>×</w:t>
      </w:r>
      <w:r>
        <w:t>3.6</w:t>
      </w:r>
      <w:r>
        <w:rPr>
          <w:rFonts w:hint="eastAsia"/>
        </w:rPr>
        <w:t>mm钢管支撑单侧围栏进行临时支撑固定</w:t>
      </w:r>
      <w:bookmarkEnd w:id="96"/>
      <w:r>
        <w:rPr>
          <w:rFonts w:hint="eastAsia"/>
        </w:rPr>
        <w:t>，塔吊缓慢落钩后，解除钢丝绳两端的连接，分别用M10的螺栓与主底架和辅底架相连，暂不拧紧。</w:t>
      </w:r>
    </w:p>
    <w:p w14:paraId="6B720C26">
      <w:pPr>
        <w:pStyle w:val="70"/>
        <w:numPr>
          <w:ilvl w:val="0"/>
          <w:numId w:val="30"/>
        </w:numPr>
        <w:ind w:firstLineChars="0"/>
      </w:pPr>
      <w:r>
        <w:rPr>
          <w:rFonts w:hint="eastAsia"/>
        </w:rPr>
        <w:t>相邻围栏吊装完成后及时安装连接螺栓，并同步安装斜撑，确保围栏自身的稳固，直至四周围栏全部吊装安装完成且所有螺栓全部连接形成整体后，再拆除钢管支撑。</w:t>
      </w:r>
    </w:p>
    <w:p w14:paraId="1148FDE7">
      <w:pPr>
        <w:pStyle w:val="70"/>
        <w:numPr>
          <w:ilvl w:val="0"/>
          <w:numId w:val="30"/>
        </w:numPr>
        <w:ind w:firstLineChars="0"/>
      </w:pPr>
      <w:r>
        <w:rPr>
          <w:rFonts w:hint="eastAsia"/>
        </w:rPr>
        <w:t>安装门支撑，调节门框架的垂直度，使门框架的垂直度在两个相近方向≤1/1000；调节后护栏、侧护栏的垂直度，并拧紧所有连接螺栓。</w:t>
      </w:r>
    </w:p>
    <w:p w14:paraId="38413034">
      <w:pPr>
        <w:pStyle w:val="70"/>
        <w:numPr>
          <w:ilvl w:val="0"/>
          <w:numId w:val="30"/>
        </w:numPr>
        <w:ind w:firstLineChars="0"/>
      </w:pPr>
      <w:r>
        <w:rPr>
          <w:rFonts w:hint="eastAsia"/>
        </w:rPr>
        <w:t>采用人工安装外护栏门、门配重滑道及门配重；安装吊笼门碰铁及外护栏门锁，调节门锁与外护栏门的距离，使门锁能锁住外护栏门。</w:t>
      </w:r>
    </w:p>
    <w:p w14:paraId="37E317F4">
      <w:pPr>
        <w:pStyle w:val="70"/>
        <w:numPr>
          <w:ilvl w:val="0"/>
          <w:numId w:val="30"/>
        </w:numPr>
        <w:ind w:firstLineChars="0"/>
      </w:pPr>
      <w:r>
        <w:rPr>
          <w:rFonts w:hint="eastAsia"/>
        </w:rPr>
        <w:t>采用人工安装弹簧座，并将其与钢平台焊接固定牢固。</w:t>
      </w:r>
    </w:p>
    <w:p w14:paraId="1E1AB60C">
      <w:pPr>
        <w:pStyle w:val="70"/>
        <w:numPr>
          <w:ilvl w:val="0"/>
          <w:numId w:val="30"/>
        </w:numPr>
        <w:ind w:firstLineChars="0"/>
      </w:pPr>
      <w:r>
        <w:rPr>
          <w:rFonts w:hint="eastAsia"/>
        </w:rPr>
        <w:t>专业安装作业人员将电源箱安装在底架电控柜上。</w:t>
      </w:r>
    </w:p>
    <w:p w14:paraId="33B4B9F3">
      <w:pPr>
        <w:pStyle w:val="109"/>
      </w:pPr>
      <w:r>
        <w:drawing>
          <wp:inline distT="0" distB="0" distL="114300" distR="114300">
            <wp:extent cx="5271135" cy="6176010"/>
            <wp:effectExtent l="0" t="0" r="5715" b="15240"/>
            <wp:docPr id="3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pic:cNvPicPr>
                      <a:picLocks noChangeAspect="1"/>
                    </pic:cNvPicPr>
                  </pic:nvPicPr>
                  <pic:blipFill>
                    <a:blip r:embed="rId53"/>
                    <a:stretch>
                      <a:fillRect/>
                    </a:stretch>
                  </pic:blipFill>
                  <pic:spPr>
                    <a:xfrm>
                      <a:off x="0" y="0"/>
                      <a:ext cx="5271135" cy="6176010"/>
                    </a:xfrm>
                    <a:prstGeom prst="rect">
                      <a:avLst/>
                    </a:prstGeom>
                    <a:noFill/>
                    <a:ln>
                      <a:noFill/>
                    </a:ln>
                  </pic:spPr>
                </pic:pic>
              </a:graphicData>
            </a:graphic>
          </wp:inline>
        </w:drawing>
      </w:r>
    </w:p>
    <w:p w14:paraId="374E6B41">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4</w:t>
      </w:r>
      <w:r>
        <w:fldChar w:fldCharType="end"/>
      </w:r>
      <w:r>
        <w:t xml:space="preserve"> </w:t>
      </w:r>
      <w:r>
        <w:rPr>
          <w:rFonts w:hint="eastAsia"/>
        </w:rPr>
        <w:t>底架围栏平面图（mm）</w:t>
      </w:r>
    </w:p>
    <w:p w14:paraId="7CBAB837">
      <w:pPr>
        <w:pStyle w:val="5"/>
      </w:pPr>
      <w:r>
        <w:rPr>
          <w:rFonts w:hint="eastAsia"/>
        </w:rPr>
        <w:t>吊笼、传动机构及笼顶部护栏安装</w:t>
      </w:r>
    </w:p>
    <w:p w14:paraId="63A7AD60">
      <w:pPr>
        <w:pStyle w:val="70"/>
        <w:numPr>
          <w:ilvl w:val="0"/>
          <w:numId w:val="31"/>
        </w:numPr>
        <w:ind w:firstLineChars="0"/>
      </w:pPr>
      <w:r>
        <w:rPr>
          <w:rFonts w:hint="eastAsia"/>
        </w:rPr>
        <w:t>吊笼安装</w:t>
      </w:r>
    </w:p>
    <w:p w14:paraId="56887FA5">
      <w:pPr>
        <w:pStyle w:val="70"/>
        <w:numPr>
          <w:ilvl w:val="0"/>
          <w:numId w:val="32"/>
        </w:numPr>
        <w:ind w:firstLineChars="0"/>
      </w:pPr>
      <w:r>
        <w:rPr>
          <w:rFonts w:hint="eastAsia"/>
        </w:rPr>
        <w:t>专业安装作业人员配合塔吊将司机室安装到吊笼指定位置。将司机室从吊笼内部向安装位置推出，使法兰面与吊笼结构贴紧，然后使用螺栓将司机室与吊笼结构紧固连成整体。</w:t>
      </w:r>
    </w:p>
    <w:p w14:paraId="4D95CF6E">
      <w:pPr>
        <w:pStyle w:val="70"/>
        <w:numPr>
          <w:ilvl w:val="0"/>
          <w:numId w:val="32"/>
        </w:numPr>
        <w:ind w:firstLineChars="0"/>
      </w:pPr>
      <w:r>
        <w:rPr>
          <w:rFonts w:hint="eastAsia"/>
        </w:rPr>
        <w:t>专业安装作业人员在钢平台上放一枕木或其它钢材（高度大于弹簧缓冲装置的高度）。</w:t>
      </w:r>
    </w:p>
    <w:p w14:paraId="07439DC9">
      <w:pPr>
        <w:pStyle w:val="70"/>
        <w:numPr>
          <w:ilvl w:val="0"/>
          <w:numId w:val="32"/>
        </w:numPr>
        <w:ind w:firstLineChars="0"/>
      </w:pPr>
      <w:r>
        <w:rPr>
          <w:rFonts w:hint="eastAsia"/>
        </w:rPr>
        <w:t>专业安装作业人员采用塔吊使用4根6m长</w:t>
      </w:r>
      <w:r>
        <w:fldChar w:fldCharType="begin"/>
      </w:r>
      <w:r>
        <w:instrText xml:space="preserve"> REF 吊装钢丝绳 \h </w:instrText>
      </w:r>
      <w:r>
        <w:fldChar w:fldCharType="separate"/>
      </w:r>
      <w:r>
        <w:t>20 6×37S-FC 1770</w:t>
      </w:r>
      <w:r>
        <w:fldChar w:fldCharType="end"/>
      </w:r>
      <w:r>
        <w:rPr>
          <w:rFonts w:hint="eastAsia"/>
        </w:rPr>
        <w:t>钢丝绳配合</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卸扣将其与吊笼顶部的四个吊耳连接，并将吊笼吊装到导轨架上。</w:t>
      </w:r>
    </w:p>
    <w:p w14:paraId="4808CDEF">
      <w:pPr>
        <w:pStyle w:val="70"/>
        <w:numPr>
          <w:ilvl w:val="0"/>
          <w:numId w:val="32"/>
        </w:numPr>
        <w:ind w:firstLineChars="0"/>
      </w:pPr>
      <w:r>
        <w:rPr>
          <w:rFonts w:hint="eastAsia"/>
        </w:rPr>
        <w:t>专业安装作业人员在地面上先将钢丝绳一端挂在塔吊吊钩上，另一端与吊笼顶部的四个吊耳采用</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连接。启动塔吊，将吊笼吊起就位，专业安装作业人员站在导轨架最上一节标准节上并将安全带系挂在导轨架的最上层横杆上，然后塔吊操作人员听从指令缓慢下放吊笼，专业安装作业人员根据下降情况扶正吊笼，使吊笼导轮准确卡入导轨内。使吊笼停放在先前的准备的枕木或钢材上，塔吊缓慢落钩后，专业安装作业人员解除钢丝绳两端的连接。</w:t>
      </w:r>
    </w:p>
    <w:p w14:paraId="76AD3C88">
      <w:pPr>
        <w:ind w:firstLine="480"/>
      </w:pPr>
      <w:r>
        <w:rPr>
          <w:rFonts w:hint="eastAsia"/>
        </w:rPr>
        <w:t>吊笼安装平面图、立面图如</w:t>
      </w:r>
      <w:r>
        <w:fldChar w:fldCharType="begin"/>
      </w:r>
      <w:r>
        <w:instrText xml:space="preserve"> </w:instrText>
      </w:r>
      <w:r>
        <w:rPr>
          <w:rFonts w:hint="eastAsia"/>
        </w:rPr>
        <w:instrText xml:space="preserve">REF _Ref76462818 \h</w:instrText>
      </w:r>
      <w:r>
        <w:instrText xml:space="preserve">  \* MERGEFORMAT </w:instrText>
      </w:r>
      <w:r>
        <w:fldChar w:fldCharType="separate"/>
      </w:r>
      <w:r>
        <w:rPr>
          <w:rFonts w:hint="eastAsia"/>
        </w:rPr>
        <w:t>图</w:t>
      </w:r>
      <w:r>
        <w:t>4.5.1</w:t>
      </w:r>
      <w:r>
        <w:rPr>
          <w:rFonts w:hint="eastAsia"/>
        </w:rPr>
        <w:t>-</w:t>
      </w:r>
      <w:r>
        <w:t>6</w:t>
      </w:r>
      <w:r>
        <w:fldChar w:fldCharType="end"/>
      </w:r>
      <w:r>
        <w:rPr>
          <w:rFonts w:hint="eastAsia"/>
        </w:rPr>
        <w:t>、</w:t>
      </w:r>
      <w:r>
        <w:fldChar w:fldCharType="begin"/>
      </w:r>
      <w:r>
        <w:instrText xml:space="preserve"> </w:instrText>
      </w:r>
      <w:r>
        <w:rPr>
          <w:rFonts w:hint="eastAsia"/>
        </w:rPr>
        <w:instrText xml:space="preserve">REF _Ref77154812 \h</w:instrText>
      </w:r>
      <w:r>
        <w:instrText xml:space="preserve">  \* MERGEFORMAT </w:instrText>
      </w:r>
      <w:r>
        <w:fldChar w:fldCharType="separate"/>
      </w:r>
      <w:r>
        <w:rPr>
          <w:rFonts w:hint="eastAsia"/>
        </w:rPr>
        <w:t>图</w:t>
      </w:r>
      <w:r>
        <w:t>4.5.1</w:t>
      </w:r>
      <w:r>
        <w:rPr>
          <w:rFonts w:hint="eastAsia"/>
        </w:rPr>
        <w:t>-</w:t>
      </w:r>
      <w:r>
        <w:t>7</w:t>
      </w:r>
      <w:r>
        <w:fldChar w:fldCharType="end"/>
      </w:r>
      <w:r>
        <w:rPr>
          <w:rFonts w:hint="eastAsia"/>
        </w:rPr>
        <w:t>所示。</w:t>
      </w:r>
    </w:p>
    <w:p w14:paraId="6EF82524">
      <w:pPr>
        <w:pStyle w:val="109"/>
      </w:pPr>
      <w:r>
        <w:drawing>
          <wp:inline distT="0" distB="0" distL="114300" distR="114300">
            <wp:extent cx="5266055" cy="1771650"/>
            <wp:effectExtent l="0" t="0" r="10795" b="0"/>
            <wp:docPr id="3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2"/>
                    <pic:cNvPicPr>
                      <a:picLocks noChangeAspect="1"/>
                    </pic:cNvPicPr>
                  </pic:nvPicPr>
                  <pic:blipFill>
                    <a:blip r:embed="rId50"/>
                    <a:stretch>
                      <a:fillRect/>
                    </a:stretch>
                  </pic:blipFill>
                  <pic:spPr>
                    <a:xfrm>
                      <a:off x="0" y="0"/>
                      <a:ext cx="5266055" cy="1771650"/>
                    </a:xfrm>
                    <a:prstGeom prst="rect">
                      <a:avLst/>
                    </a:prstGeom>
                    <a:noFill/>
                    <a:ln>
                      <a:noFill/>
                    </a:ln>
                  </pic:spPr>
                </pic:pic>
              </a:graphicData>
            </a:graphic>
          </wp:inline>
        </w:drawing>
      </w:r>
    </w:p>
    <w:p w14:paraId="40B5BA1C">
      <w:pPr>
        <w:pStyle w:val="108"/>
      </w:pPr>
      <w:bookmarkStart w:id="97" w:name="_Ref76462818"/>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6</w:t>
      </w:r>
      <w:r>
        <w:fldChar w:fldCharType="end"/>
      </w:r>
      <w:bookmarkEnd w:id="97"/>
      <w:r>
        <w:t xml:space="preserve"> </w:t>
      </w:r>
      <w:r>
        <w:rPr>
          <w:rFonts w:hint="eastAsia"/>
        </w:rPr>
        <w:t>吊笼安装平面图（mm）</w:t>
      </w:r>
    </w:p>
    <w:p w14:paraId="16B18A88">
      <w:pPr>
        <w:pStyle w:val="109"/>
      </w:pPr>
      <w:bookmarkStart w:id="98" w:name="_Ref76463041"/>
      <w:r>
        <w:drawing>
          <wp:inline distT="0" distB="0" distL="114300" distR="114300">
            <wp:extent cx="5268595" cy="4066540"/>
            <wp:effectExtent l="0" t="0" r="8255" b="10160"/>
            <wp:docPr id="3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6"/>
                    <pic:cNvPicPr>
                      <a:picLocks noChangeAspect="1"/>
                    </pic:cNvPicPr>
                  </pic:nvPicPr>
                  <pic:blipFill>
                    <a:blip r:embed="rId54"/>
                    <a:stretch>
                      <a:fillRect/>
                    </a:stretch>
                  </pic:blipFill>
                  <pic:spPr>
                    <a:xfrm>
                      <a:off x="0" y="0"/>
                      <a:ext cx="5268595" cy="4066540"/>
                    </a:xfrm>
                    <a:prstGeom prst="rect">
                      <a:avLst/>
                    </a:prstGeom>
                    <a:noFill/>
                    <a:ln>
                      <a:noFill/>
                    </a:ln>
                  </pic:spPr>
                </pic:pic>
              </a:graphicData>
            </a:graphic>
          </wp:inline>
        </w:drawing>
      </w:r>
    </w:p>
    <w:p w14:paraId="341C4C63">
      <w:pPr>
        <w:pStyle w:val="108"/>
      </w:pPr>
      <w:bookmarkStart w:id="99" w:name="_Ref77154812"/>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7</w:t>
      </w:r>
      <w:r>
        <w:fldChar w:fldCharType="end"/>
      </w:r>
      <w:bookmarkEnd w:id="98"/>
      <w:bookmarkEnd w:id="99"/>
      <w:r>
        <w:t xml:space="preserve"> </w:t>
      </w:r>
      <w:r>
        <w:rPr>
          <w:rFonts w:hint="eastAsia"/>
        </w:rPr>
        <w:t>吊笼安装立面图（mm）</w:t>
      </w:r>
    </w:p>
    <w:p w14:paraId="4D840C4D">
      <w:pPr>
        <w:pStyle w:val="70"/>
        <w:numPr>
          <w:ilvl w:val="0"/>
          <w:numId w:val="31"/>
        </w:numPr>
        <w:ind w:firstLineChars="0"/>
      </w:pPr>
      <w:r>
        <w:rPr>
          <w:rFonts w:hint="eastAsia"/>
        </w:rPr>
        <w:t>笼顶部护栏安装</w:t>
      </w:r>
    </w:p>
    <w:p w14:paraId="14D12038">
      <w:pPr>
        <w:pStyle w:val="70"/>
        <w:numPr>
          <w:ilvl w:val="0"/>
          <w:numId w:val="33"/>
        </w:numPr>
        <w:ind w:firstLineChars="0"/>
      </w:pPr>
      <w:r>
        <w:rPr>
          <w:rFonts w:hint="eastAsia"/>
        </w:rPr>
        <w:t>顶部护栏采用塔吊分片吊装，专业安装作业人员在地面上先将钢丝绳一端挂在塔吊吊钩上，另一端与吊笼顶部的护栏用2根6m长</w:t>
      </w:r>
      <w:r>
        <w:fldChar w:fldCharType="begin"/>
      </w:r>
      <w:r>
        <w:instrText xml:space="preserve"> REF 吊装钢丝绳 \h </w:instrText>
      </w:r>
      <w:r>
        <w:fldChar w:fldCharType="separate"/>
      </w:r>
      <w:r>
        <w:t>20 6×37S-FC 1770</w:t>
      </w:r>
      <w:r>
        <w:fldChar w:fldCharType="end"/>
      </w:r>
      <w:r>
        <w:rPr>
          <w:rFonts w:hint="eastAsia"/>
        </w:rPr>
        <w:t>钢丝绳捆绑连接，采用</w:t>
      </w:r>
      <w:r>
        <w:fldChar w:fldCharType="begin"/>
      </w:r>
      <w:r>
        <w:instrText xml:space="preserve"> REF 吊装卸扣 \h  \* MERGEFORMAT </w:instrText>
      </w:r>
      <w:r>
        <w:fldChar w:fldCharType="separate"/>
      </w:r>
      <w:r>
        <w:t>GB/T 25854-6-B</w:t>
      </w:r>
      <w:r>
        <w:rPr>
          <w:rFonts w:hint="eastAsia"/>
        </w:rPr>
        <w:t>W</w:t>
      </w:r>
      <w:r>
        <w:t>1.6</w:t>
      </w:r>
      <w:r>
        <w:fldChar w:fldCharType="end"/>
      </w:r>
      <w:r>
        <w:rPr>
          <w:rFonts w:hint="eastAsia"/>
        </w:rPr>
        <w:t>卸扣固定。塔吊缓慢提升至吊笼顶部，专业安装作业人员通过配备的专用爬梯，通过吊笼内部打开顶部顶盖，然后攀登至吊笼顶部。</w:t>
      </w:r>
    </w:p>
    <w:p w14:paraId="35CDC861">
      <w:pPr>
        <w:pStyle w:val="70"/>
        <w:numPr>
          <w:ilvl w:val="0"/>
          <w:numId w:val="33"/>
        </w:numPr>
        <w:ind w:firstLineChars="0"/>
      </w:pPr>
      <w:r>
        <w:rPr>
          <w:rFonts w:hint="eastAsia"/>
        </w:rPr>
        <w:t>塔吊操作人员听从指令缓慢下放吊笼顶部的围栏，下放到位后，专业安装作业人员解除钢丝绳两端的连接，专业安装作业人员逐片将护栏插入到相应插管中，用螺栓将各护栏连接紧固，注意各护栏安装时，有挡板的一端安装在吊笼内侧。安装过程中专业安装作业人员需要将安全带挂在人员上方的导轨架横杆上。</w:t>
      </w:r>
    </w:p>
    <w:p w14:paraId="75FE5A26">
      <w:pPr>
        <w:pStyle w:val="109"/>
      </w:pPr>
      <w:r>
        <w:drawing>
          <wp:inline distT="0" distB="0" distL="114300" distR="114300">
            <wp:extent cx="3740150" cy="4679950"/>
            <wp:effectExtent l="0" t="0" r="0" b="635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55"/>
                    <a:srcRect l="2158" r="1388" b="1443"/>
                    <a:stretch>
                      <a:fillRect/>
                    </a:stretch>
                  </pic:blipFill>
                  <pic:spPr>
                    <a:xfrm>
                      <a:off x="0" y="0"/>
                      <a:ext cx="3740563" cy="4680000"/>
                    </a:xfrm>
                    <a:prstGeom prst="rect">
                      <a:avLst/>
                    </a:prstGeom>
                    <a:noFill/>
                    <a:ln>
                      <a:noFill/>
                    </a:ln>
                  </pic:spPr>
                </pic:pic>
              </a:graphicData>
            </a:graphic>
          </wp:inline>
        </w:drawing>
      </w:r>
    </w:p>
    <w:p w14:paraId="1026ECF3">
      <w:pPr>
        <w:pStyle w:val="109"/>
      </w:pPr>
      <w:r>
        <w:drawing>
          <wp:inline distT="0" distB="0" distL="114300" distR="114300">
            <wp:extent cx="3719830" cy="359981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56"/>
                    <a:srcRect t="15839"/>
                    <a:stretch>
                      <a:fillRect/>
                    </a:stretch>
                  </pic:blipFill>
                  <pic:spPr>
                    <a:xfrm>
                      <a:off x="0" y="0"/>
                      <a:ext cx="3720371" cy="3600000"/>
                    </a:xfrm>
                    <a:prstGeom prst="rect">
                      <a:avLst/>
                    </a:prstGeom>
                    <a:noFill/>
                    <a:ln>
                      <a:noFill/>
                    </a:ln>
                  </pic:spPr>
                </pic:pic>
              </a:graphicData>
            </a:graphic>
          </wp:inline>
        </w:drawing>
      </w:r>
    </w:p>
    <w:p w14:paraId="03BB4274">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8</w:t>
      </w:r>
      <w:r>
        <w:fldChar w:fldCharType="end"/>
      </w:r>
      <w:r>
        <w:t xml:space="preserve"> </w:t>
      </w:r>
      <w:r>
        <w:rPr>
          <w:rFonts w:hint="eastAsia"/>
        </w:rPr>
        <w:t>吊笼顶部护栏安装示意图</w:t>
      </w:r>
    </w:p>
    <w:p w14:paraId="74B29814">
      <w:pPr>
        <w:pStyle w:val="70"/>
        <w:numPr>
          <w:ilvl w:val="0"/>
          <w:numId w:val="31"/>
        </w:numPr>
        <w:ind w:firstLineChars="0"/>
      </w:pPr>
      <w:r>
        <w:rPr>
          <w:rFonts w:hint="eastAsia"/>
        </w:rPr>
        <w:t>安装传动机构</w:t>
      </w:r>
    </w:p>
    <w:p w14:paraId="0281312E">
      <w:pPr>
        <w:pStyle w:val="70"/>
        <w:numPr>
          <w:ilvl w:val="0"/>
          <w:numId w:val="34"/>
        </w:numPr>
        <w:ind w:firstLineChars="0"/>
      </w:pPr>
      <w:r>
        <w:rPr>
          <w:rFonts w:hint="eastAsia"/>
        </w:rPr>
        <w:t>在地面将电机的制动器松开，将电机制动器手动释放杆向电机尾部推，再将螺栓如图顶紧手动释放杆，直至制动器松开可随意拨动制动盘为止。</w:t>
      </w:r>
    </w:p>
    <w:p w14:paraId="31485335">
      <w:pPr>
        <w:pStyle w:val="70"/>
        <w:numPr>
          <w:ilvl w:val="0"/>
          <w:numId w:val="34"/>
        </w:numPr>
        <w:ind w:firstLineChars="0"/>
      </w:pPr>
      <w:r>
        <w:rPr>
          <w:rFonts w:hint="eastAsia"/>
        </w:rPr>
        <w:t>专业安装作业人员在地面上先将钢丝绳一端挂在塔吊吊钩上，另一端与传动机构的两个吊耳采用卸扣连接。启动塔吊，将传动机构吊起就位，专业安装作业人员站在吊笼顶部，塔吊操作人员听从指令缓慢下放传动机构。</w:t>
      </w:r>
    </w:p>
    <w:p w14:paraId="34B45A70">
      <w:pPr>
        <w:pStyle w:val="70"/>
        <w:numPr>
          <w:ilvl w:val="0"/>
          <w:numId w:val="34"/>
        </w:numPr>
        <w:ind w:firstLineChars="0"/>
      </w:pPr>
      <w:r>
        <w:rPr>
          <w:rFonts w:hint="eastAsia"/>
        </w:rPr>
        <w:t>当传动机构上连接耳板距离吊笼的连接耳板400mm时松开驱动系统上电机的螺栓使制动器处于刹车状态，将传动机构与吊笼的连接耳板对接好，然后再穿入传感器销，并将止动槽向上，装上固定板，将制动器复位（旋紧螺母至原有位置，装上开口销）。塔吊缓慢落钩后，专业安装作业人员解除钢丝绳两端的连接。安装过程中专业安装作业人员需要将安全带挂在吊笼顶部的防护围栏等安全稳固的地方上。</w:t>
      </w:r>
    </w:p>
    <w:p w14:paraId="5DC76DB0">
      <w:pPr>
        <w:pStyle w:val="70"/>
        <w:numPr>
          <w:ilvl w:val="0"/>
          <w:numId w:val="31"/>
        </w:numPr>
        <w:ind w:firstLineChars="0"/>
      </w:pPr>
      <w:r>
        <w:rPr>
          <w:rFonts w:hint="eastAsia"/>
        </w:rPr>
        <w:t>吊笼安装完毕后的调整</w:t>
      </w:r>
    </w:p>
    <w:p w14:paraId="348984DB">
      <w:pPr>
        <w:ind w:firstLine="480"/>
      </w:pPr>
      <w:r>
        <w:rPr>
          <w:rFonts w:hint="eastAsia"/>
        </w:rPr>
        <w:t>检查所有用于运输的垫木或螺栓等是否全部除掉，传动机构安装后需调整吊笼导向轮及靠背轮，使其靠拢导轨架，传动齿轮与齿条应啮合。齿轮与齿条的啮合侧隙应保证0.2～0.5mm，导轨与齿条背面的间隙为0.5mm，各滚轮与标准节立管的间隙为0.5mm，所有门应开关灵活且缓冲弹簧均安装到位。</w:t>
      </w:r>
    </w:p>
    <w:p w14:paraId="597D46A6">
      <w:pPr>
        <w:pStyle w:val="5"/>
      </w:pPr>
      <w:r>
        <w:rPr>
          <w:rFonts w:hint="eastAsia"/>
        </w:rPr>
        <w:t>吊杆安装</w:t>
      </w:r>
    </w:p>
    <w:p w14:paraId="5F7B90C5">
      <w:pPr>
        <w:ind w:firstLine="480"/>
      </w:pPr>
      <w:r>
        <w:rPr>
          <w:rFonts w:hint="eastAsia"/>
        </w:rPr>
        <w:t>专业安装作业人员在地面上将吊杆组装好，将2根钢丝绳（6m长6×7</w:t>
      </w:r>
      <w:r>
        <w:t>+FC 1770</w:t>
      </w:r>
      <w:r>
        <w:rPr>
          <w:rFonts w:hint="eastAsia"/>
        </w:rPr>
        <w:t>-</w:t>
      </w:r>
      <w:r>
        <w:rPr>
          <w:rFonts w:hint="eastAsia" w:ascii="SJQY" w:hAnsi="SJQY" w:eastAsia="SJQY"/>
        </w:rPr>
        <w:t>A</w:t>
      </w:r>
      <w:r>
        <w:t>10</w:t>
      </w:r>
      <w:r>
        <w:rPr>
          <w:rFonts w:hint="eastAsia"/>
        </w:rPr>
        <w:t>mm）一端挂在塔吊吊钩上，另一端与吊杆采用卸扣（</w:t>
      </w:r>
      <w:r>
        <w:t>GB/T25854-6-DW1</w:t>
      </w:r>
      <w:r>
        <w:rPr>
          <w:rFonts w:hint="eastAsia"/>
        </w:rPr>
        <w:t>）进行捆绑连接。启动塔吊，将吊杆吊起就位，专业安装作业人员站在吊笼顶部，并将安全带系挂在吊笼顶部的围栏上。</w:t>
      </w:r>
    </w:p>
    <w:p w14:paraId="226DCEE1">
      <w:pPr>
        <w:ind w:firstLine="480"/>
      </w:pPr>
      <w:r>
        <w:rPr>
          <w:rFonts w:hint="eastAsia"/>
        </w:rPr>
        <w:t>塔吊操作人员听从指令缓慢下放吊杆，专业安装作业人员根据下降情况扶正吊杆，将吊杆准确定位放入吊笼顶部安装孔内（电动吊杆在吊装前接好电源线，并已加入润滑脂）。吊杆下放就位，塔吊缓慢落钩后，专业安装作业人员解除钢丝绳两端的连接。随后专业安装作业人员安装吊杆上的起升机构（包括电机以及起重钢丝绳等）。</w:t>
      </w:r>
    </w:p>
    <w:p w14:paraId="449C7045">
      <w:pPr>
        <w:pStyle w:val="5"/>
      </w:pPr>
      <w:r>
        <w:rPr>
          <w:rFonts w:hint="eastAsia"/>
        </w:rPr>
        <w:t>电控制系统及超载保护器安装</w:t>
      </w:r>
    </w:p>
    <w:p w14:paraId="66972530">
      <w:pPr>
        <w:ind w:firstLine="480"/>
      </w:pPr>
      <w:r>
        <w:rPr>
          <w:rFonts w:hint="eastAsia"/>
        </w:rPr>
        <w:t>电控系统包括底笼电源箱、配电箱、变频箱、操纵台、主电缆及各种限位开关等。</w:t>
      </w:r>
    </w:p>
    <w:p w14:paraId="4F7A7EAC">
      <w:pPr>
        <w:pStyle w:val="70"/>
        <w:numPr>
          <w:ilvl w:val="1"/>
          <w:numId w:val="35"/>
        </w:numPr>
        <w:ind w:firstLineChars="0"/>
      </w:pPr>
      <w:r>
        <w:rPr>
          <w:rFonts w:hint="eastAsia"/>
        </w:rPr>
        <w:t>专业安装作业人员依次将电控系统以及超载保护器安装就位，随后安装护栏电箱。</w:t>
      </w:r>
    </w:p>
    <w:p w14:paraId="295A7D54">
      <w:pPr>
        <w:pStyle w:val="70"/>
        <w:numPr>
          <w:ilvl w:val="1"/>
          <w:numId w:val="35"/>
        </w:numPr>
        <w:ind w:firstLineChars="0"/>
      </w:pPr>
      <w:r>
        <w:rPr>
          <w:rFonts w:hint="eastAsia"/>
        </w:rPr>
        <w:t>超载保护器安装时，专业安装作业人员在笼顶利用笼顶操作盒操作驱动系统上、下，对接传动小车与吊笼的连接耳板，穿入超载传感销，用螺栓通过轴端卡板将超载传感销与传动小车固定，将超载传感销的接线端与电控箱的接线端连接。</w:t>
      </w:r>
    </w:p>
    <w:p w14:paraId="0F86C820">
      <w:pPr>
        <w:pStyle w:val="70"/>
        <w:numPr>
          <w:ilvl w:val="1"/>
          <w:numId w:val="35"/>
        </w:numPr>
        <w:ind w:firstLineChars="0"/>
      </w:pPr>
      <w:r>
        <w:rPr>
          <w:rFonts w:hint="eastAsia"/>
        </w:rPr>
        <w:t>专业电工从三级配电箱中引出电缆接头，接至围栏电箱上的U、V、W、N、PE接线端子。专业电工然后从围栏电箱上引出另外一根电缆与底节导轨架上的滑触线进线接头相连接。</w:t>
      </w:r>
    </w:p>
    <w:p w14:paraId="40B8277A">
      <w:pPr>
        <w:pStyle w:val="70"/>
        <w:numPr>
          <w:ilvl w:val="1"/>
          <w:numId w:val="35"/>
        </w:numPr>
        <w:ind w:firstLineChars="0"/>
      </w:pPr>
      <w:r>
        <w:rPr>
          <w:rFonts w:hint="eastAsia"/>
        </w:rPr>
        <w:t>接通地面三级配电箱的电源开关，检查是否已接入相序正确电源，确保吊笼运行方向与操纵箱或操作盒上的标记，“向上”或“向下”一致。</w:t>
      </w:r>
    </w:p>
    <w:p w14:paraId="73CF4178">
      <w:pPr>
        <w:pStyle w:val="70"/>
        <w:numPr>
          <w:ilvl w:val="1"/>
          <w:numId w:val="35"/>
        </w:numPr>
        <w:ind w:firstLineChars="0"/>
      </w:pPr>
      <w:r>
        <w:rPr>
          <w:rFonts w:hint="eastAsia"/>
        </w:rPr>
        <w:t>检查各安全控制开关：包括吊笼门限位开关、吊笼顶盖限位开关、上、下限位开关、减速限位开关、极限开关、底笼门限位开关及断绳保护开关，均能反映灵敏，启闭自如。</w:t>
      </w:r>
    </w:p>
    <w:p w14:paraId="710F83BD">
      <w:pPr>
        <w:pStyle w:val="70"/>
        <w:numPr>
          <w:ilvl w:val="1"/>
          <w:numId w:val="35"/>
        </w:numPr>
        <w:ind w:firstLineChars="0"/>
      </w:pPr>
      <w:r>
        <w:rPr>
          <w:rFonts w:hint="eastAsia"/>
        </w:rPr>
        <w:t>按吊笼传动机构底板上各限位开关的实际位置，安装、调整导轨架底部各限位挡板、挡块。</w:t>
      </w:r>
    </w:p>
    <w:p w14:paraId="1FBFCFBD">
      <w:pPr>
        <w:pStyle w:val="70"/>
        <w:numPr>
          <w:ilvl w:val="1"/>
          <w:numId w:val="35"/>
        </w:numPr>
        <w:ind w:firstLineChars="0"/>
      </w:pPr>
      <w:r>
        <w:rPr>
          <w:rFonts w:hint="eastAsia"/>
        </w:rPr>
        <w:t>在整个电控系统的安装过程中都必须断开总电源，且护栏电箱安装时，必须确保其安装稳定牢固可靠。</w:t>
      </w:r>
    </w:p>
    <w:p w14:paraId="26AAAF8D">
      <w:pPr>
        <w:pStyle w:val="5"/>
      </w:pPr>
      <w:r>
        <w:rPr>
          <w:rFonts w:hint="eastAsia"/>
        </w:rPr>
        <w:t>滑触线安装</w:t>
      </w:r>
    </w:p>
    <w:p w14:paraId="7D1D70D6">
      <w:pPr>
        <w:ind w:firstLine="480"/>
      </w:pPr>
      <w:r>
        <w:rPr>
          <w:rFonts w:hint="eastAsia"/>
        </w:rPr>
        <w:t>滑触线为带电的绝缘导轨，沿导轨架全高度与导轨架连接，安装在吊笼上的导电头始终与带电导轨连接，从而实现了吊笼的上下运行。</w:t>
      </w:r>
    </w:p>
    <w:p w14:paraId="6D7EBFEB">
      <w:pPr>
        <w:ind w:firstLine="480"/>
      </w:pPr>
      <w:r>
        <w:rPr>
          <w:rFonts w:hint="eastAsia"/>
        </w:rPr>
        <w:t>专业安装作业人员在地面上将每节滑触线与导轨架连接成整体，跟随着导轨架的接高而加高。</w:t>
      </w:r>
    </w:p>
    <w:p w14:paraId="32959614">
      <w:pPr>
        <w:pStyle w:val="70"/>
        <w:numPr>
          <w:ilvl w:val="0"/>
          <w:numId w:val="36"/>
        </w:numPr>
        <w:ind w:firstLineChars="0"/>
      </w:pPr>
      <w:r>
        <w:rPr>
          <w:rFonts w:hint="eastAsia"/>
        </w:rPr>
        <w:t>滑触线固定件的安装</w:t>
      </w:r>
    </w:p>
    <w:p w14:paraId="2FAB52E9">
      <w:pPr>
        <w:ind w:firstLine="480"/>
      </w:pPr>
      <w:r>
        <w:rPr>
          <w:rFonts w:hint="eastAsia"/>
        </w:rPr>
        <w:t>专业安装作业人员在第1、2节标准节及第2、3节标准节连接处各安装一个滑触线固定件，安装应确保居中、水平。</w:t>
      </w:r>
    </w:p>
    <w:p w14:paraId="5A987FB9">
      <w:pPr>
        <w:pStyle w:val="70"/>
        <w:numPr>
          <w:ilvl w:val="0"/>
          <w:numId w:val="36"/>
        </w:numPr>
        <w:ind w:firstLineChars="0"/>
      </w:pPr>
      <w:r>
        <w:rPr>
          <w:rFonts w:hint="eastAsia"/>
        </w:rPr>
        <w:t>防坠装置安装</w:t>
      </w:r>
    </w:p>
    <w:p w14:paraId="2768B633">
      <w:pPr>
        <w:ind w:firstLine="480"/>
      </w:pPr>
      <w:r>
        <w:rPr>
          <w:rFonts w:hint="eastAsia"/>
        </w:rPr>
        <w:t>专业安装作业人员采用防坠装置的带钩螺栓固定在第一个标准节中间角钢中间位置，调节螺杆，使螺杆上的托架与固定板的距离30-50mm，把防坠滑触线槽置于托架上，再将进线滑触线置于防坠滑触线槽上端（应先套上进线滑触线与防坠滑触线槽之间的塑料接头）固定好（1、2）及（2、3）标准节滑触线内固定件。</w:t>
      </w:r>
    </w:p>
    <w:p w14:paraId="77227BC5">
      <w:pPr>
        <w:pStyle w:val="70"/>
        <w:numPr>
          <w:ilvl w:val="0"/>
          <w:numId w:val="36"/>
        </w:numPr>
        <w:ind w:firstLineChars="0"/>
      </w:pPr>
      <w:r>
        <w:rPr>
          <w:rFonts w:hint="eastAsia"/>
        </w:rPr>
        <w:t>总电源的连接</w:t>
      </w:r>
    </w:p>
    <w:p w14:paraId="00F32C15">
      <w:pPr>
        <w:ind w:firstLine="480"/>
      </w:pPr>
      <w:r>
        <w:rPr>
          <w:rFonts w:hint="eastAsia"/>
        </w:rPr>
        <w:t>专业安装作业人员松开调节螺杆，取下防坠滑触线槽，依照进线滑触线（A/B/C/N/PE）标志将电缆线鼻与进线铝排连接好，电缆线要在滑触线外侧，并与动力配电柜对应端子连接。将防坠滑触线恢复托架上，调节螺杆，使防坠滑触线槽顶住进线滑触线锁紧调节螺杆底部的螺母，最后再把电缆线的另一端与配电箱接通。</w:t>
      </w:r>
    </w:p>
    <w:p w14:paraId="0BEECA52">
      <w:pPr>
        <w:pStyle w:val="70"/>
        <w:numPr>
          <w:ilvl w:val="0"/>
          <w:numId w:val="36"/>
        </w:numPr>
        <w:ind w:firstLineChars="0"/>
      </w:pPr>
      <w:r>
        <w:rPr>
          <w:rFonts w:hint="eastAsia"/>
        </w:rPr>
        <w:t>集电器的安装</w:t>
      </w:r>
    </w:p>
    <w:p w14:paraId="62D4511A">
      <w:pPr>
        <w:ind w:firstLine="480"/>
      </w:pPr>
      <w:r>
        <w:rPr>
          <w:rFonts w:hint="eastAsia"/>
        </w:rPr>
        <w:t>检查各集电器内置碳刷等配件是否完整且安装到位、检查各碳刷弹簧压力是否均衡正常。确认无误后，将集电器分别套入左右两个滑线槽内，将导向器固定件固定在传动小车的安全钩上。通过调整集电器导向器上的螺母，调整好集电器导向器与集电器的相对位置，使集电器导向器前端安装区位于集电器伸出滑触线部分的中间位置。集电器导向器横向端安装区位于集电器中间，安装完成后应使集电器留有上下、左右摆动的空间，以保证集电器运动时的通畅性。</w:t>
      </w:r>
    </w:p>
    <w:p w14:paraId="06384953">
      <w:pPr>
        <w:pStyle w:val="70"/>
        <w:numPr>
          <w:ilvl w:val="0"/>
          <w:numId w:val="36"/>
        </w:numPr>
        <w:ind w:firstLineChars="0"/>
      </w:pPr>
      <w:r>
        <w:rPr>
          <w:rFonts w:hint="eastAsia"/>
        </w:rPr>
        <w:t>集电器接线</w:t>
      </w:r>
    </w:p>
    <w:p w14:paraId="38619C1E">
      <w:pPr>
        <w:ind w:firstLine="480"/>
      </w:pPr>
      <w:r>
        <w:rPr>
          <w:rFonts w:hint="eastAsia"/>
        </w:rPr>
        <w:t>专业安装作业人员打开接线盒，依照红、黄、绿对应A、B、C三相，蓝色为零线、黄绿双色线为地线的标识将集电器的端子与吊笼内的极限开关或配电柜接线端连接。</w:t>
      </w:r>
    </w:p>
    <w:p w14:paraId="13AEEFC3">
      <w:pPr>
        <w:pStyle w:val="70"/>
        <w:numPr>
          <w:ilvl w:val="0"/>
          <w:numId w:val="36"/>
        </w:numPr>
        <w:ind w:firstLineChars="0"/>
      </w:pPr>
      <w:r>
        <w:rPr>
          <w:rFonts w:hint="eastAsia"/>
        </w:rPr>
        <w:t>调试</w:t>
      </w:r>
    </w:p>
    <w:p w14:paraId="3930BC8B">
      <w:pPr>
        <w:ind w:firstLine="480"/>
      </w:pPr>
      <w:r>
        <w:rPr>
          <w:rFonts w:hint="eastAsia"/>
        </w:rPr>
        <w:t>通电前专业安装作业人员最后再仔细检查一遍各线路连接是否正确，确认无误后，调试人员进入操作岗位，其他人员撤离现场或进入安全地区。</w:t>
      </w:r>
    </w:p>
    <w:p w14:paraId="1DBDFCE3">
      <w:pPr>
        <w:ind w:firstLine="480"/>
      </w:pPr>
      <w:r>
        <w:rPr>
          <w:rFonts w:hint="eastAsia"/>
        </w:rPr>
        <w:t>接通电源后，调试人员不急于开动施工电梯，观察静态通电是否正常，检查相序是否正确，然后启动施工电梯，检查吊笼运行是否正常，上下运行几趟，应特别注意集电器导向器及导向器固定件与周边构件等有无碰擦，若发现下述情况，应立即纠正：</w:t>
      </w:r>
    </w:p>
    <w:p w14:paraId="1C9B4285">
      <w:pPr>
        <w:pStyle w:val="70"/>
        <w:numPr>
          <w:ilvl w:val="0"/>
          <w:numId w:val="37"/>
        </w:numPr>
        <w:ind w:firstLineChars="0"/>
      </w:pPr>
      <w:r>
        <w:rPr>
          <w:rFonts w:hint="eastAsia"/>
        </w:rPr>
        <w:t>滑触线有较大异动，应调整滑触线或修正集电器导向器。</w:t>
      </w:r>
    </w:p>
    <w:p w14:paraId="0B53A8AF">
      <w:pPr>
        <w:pStyle w:val="70"/>
        <w:numPr>
          <w:ilvl w:val="0"/>
          <w:numId w:val="37"/>
        </w:numPr>
        <w:ind w:firstLineChars="0"/>
      </w:pPr>
      <w:r>
        <w:rPr>
          <w:rFonts w:hint="eastAsia"/>
        </w:rPr>
        <w:t>集电器运行时有异常声响，应检查滑触线连接点是否平坦。</w:t>
      </w:r>
    </w:p>
    <w:p w14:paraId="237AF62D">
      <w:pPr>
        <w:pStyle w:val="70"/>
        <w:numPr>
          <w:ilvl w:val="0"/>
          <w:numId w:val="36"/>
        </w:numPr>
        <w:ind w:firstLineChars="0"/>
      </w:pPr>
      <w:r>
        <w:rPr>
          <w:rFonts w:hint="eastAsia"/>
        </w:rPr>
        <w:t>续接滑触线前的准备</w:t>
      </w:r>
    </w:p>
    <w:p w14:paraId="3F42E374">
      <w:pPr>
        <w:ind w:firstLine="480"/>
      </w:pPr>
      <w:r>
        <w:rPr>
          <w:rFonts w:hint="eastAsia"/>
        </w:rPr>
        <w:t>以上各步骤完成后，通电并将左右吊笼提升到一定位置（以安装人员能够得着安装第2节滑线高度为宜）先使左右吊笼的高度一致，再断开总电源。</w:t>
      </w:r>
    </w:p>
    <w:p w14:paraId="041CC172">
      <w:pPr>
        <w:ind w:firstLine="480"/>
      </w:pPr>
      <w:r>
        <w:rPr>
          <w:rFonts w:hint="eastAsia"/>
        </w:rPr>
        <w:t>确认两滑线导电体无电（断开总电源），方可进行下一步操作。</w:t>
      </w:r>
    </w:p>
    <w:p w14:paraId="5E35DFE5">
      <w:pPr>
        <w:pStyle w:val="70"/>
        <w:numPr>
          <w:ilvl w:val="0"/>
          <w:numId w:val="36"/>
        </w:numPr>
        <w:ind w:firstLineChars="0"/>
      </w:pPr>
      <w:r>
        <w:rPr>
          <w:rFonts w:hint="eastAsia"/>
        </w:rPr>
        <w:t>向上续接第2节滑触线</w:t>
      </w:r>
    </w:p>
    <w:p w14:paraId="53DB37D8">
      <w:pPr>
        <w:ind w:firstLine="480"/>
      </w:pPr>
      <w:r>
        <w:rPr>
          <w:rFonts w:hint="eastAsia"/>
        </w:rPr>
        <w:t>专业安装作业人员在两吊笼顶部铺放一块合适的厚木板便于操作，专业安装作业人员作业前将安全带固定连接在标准节架上。在3、4及4、5标准节的横档上分别先固定好两个滑触线固定件，固定时保证滑触线固定件居中、水平。</w:t>
      </w:r>
    </w:p>
    <w:p w14:paraId="1BFA49A4">
      <w:pPr>
        <w:ind w:firstLine="480"/>
      </w:pPr>
      <w:r>
        <w:rPr>
          <w:rFonts w:hint="eastAsia"/>
        </w:rPr>
        <w:t>专业安装作业人员将一根对应滑触线放入滑触线固定件的槽型架框内，将滑触线的一端与已经安装好的滑触线对插，再将另一根滑触线放入滑触线固定件的槽型架框内，将滑触线的一端与已经安装好的滑触线对插。两根滑触线都插好后，要求两根滑触线平行，与前一根已装好滑触线保持竖直，确认无误后，最后再将内滑触线固定件安装上，锁紧滑触线固定件上的螺母。</w:t>
      </w:r>
    </w:p>
    <w:p w14:paraId="6BE7C8D4">
      <w:pPr>
        <w:pStyle w:val="70"/>
        <w:numPr>
          <w:ilvl w:val="0"/>
          <w:numId w:val="36"/>
        </w:numPr>
        <w:ind w:firstLineChars="0"/>
      </w:pPr>
      <w:r>
        <w:rPr>
          <w:rFonts w:hint="eastAsia"/>
        </w:rPr>
        <w:t>向上续接更高的滑触线</w:t>
      </w:r>
    </w:p>
    <w:p w14:paraId="36106C52">
      <w:pPr>
        <w:ind w:firstLine="480"/>
      </w:pPr>
      <w:r>
        <w:rPr>
          <w:rFonts w:hint="eastAsia"/>
        </w:rPr>
        <w:t>再往上接时，应先打开总电源，将左右吊笼同步升高同样高度后，再断开总电源，重复以上步骤即可。</w:t>
      </w:r>
    </w:p>
    <w:p w14:paraId="2F1850A5">
      <w:pPr>
        <w:pStyle w:val="70"/>
        <w:numPr>
          <w:ilvl w:val="0"/>
          <w:numId w:val="36"/>
        </w:numPr>
        <w:ind w:firstLineChars="0"/>
      </w:pPr>
      <w:r>
        <w:rPr>
          <w:rFonts w:hint="eastAsia"/>
        </w:rPr>
        <w:t>防水盖的安装</w:t>
      </w:r>
    </w:p>
    <w:p w14:paraId="52DA8F06">
      <w:pPr>
        <w:ind w:firstLine="480"/>
      </w:pPr>
      <w:r>
        <w:rPr>
          <w:rFonts w:hint="eastAsia"/>
        </w:rPr>
        <w:t>全部滑触线安装完成后，应将防水盖套盖在滑触线最顶端。</w:t>
      </w:r>
    </w:p>
    <w:p w14:paraId="7DE66001">
      <w:pPr>
        <w:pStyle w:val="5"/>
      </w:pPr>
      <w:r>
        <w:rPr>
          <w:rFonts w:hint="eastAsia"/>
        </w:rPr>
        <w:t>调试及试验</w:t>
      </w:r>
    </w:p>
    <w:p w14:paraId="1703DE86">
      <w:pPr>
        <w:numPr>
          <w:ilvl w:val="0"/>
          <w:numId w:val="38"/>
        </w:numPr>
      </w:pPr>
      <w:r>
        <w:rPr>
          <w:rFonts w:hint="eastAsia"/>
        </w:rPr>
        <w:t>通电调试运转</w:t>
      </w:r>
    </w:p>
    <w:p w14:paraId="4FD0E1D6">
      <w:pPr>
        <w:ind w:firstLine="480"/>
      </w:pPr>
      <w:r>
        <w:rPr>
          <w:rFonts w:hint="eastAsia"/>
        </w:rPr>
        <w:t>升降机主机就位后，此时导轨架高度安装至</w:t>
      </w:r>
      <w:r>
        <w:t>15</w:t>
      </w:r>
      <w:r>
        <w:rPr>
          <w:rFonts w:hint="eastAsia"/>
        </w:rPr>
        <w:t>m，应进行通电调试运转检查。首先，确认工地电源功率是否充足，然后检查电机旋转方向及启制动是否正常，错相保护、急停、极限、上下限位、减速限位、各门限位开关是否正常。升降机的安装必须按说明书“升降机安装”章节进行，每安装一道附墙必须检查导轨架的安装是否符合要求。</w:t>
      </w:r>
    </w:p>
    <w:p w14:paraId="47E5F1DB">
      <w:pPr>
        <w:numPr>
          <w:ilvl w:val="0"/>
          <w:numId w:val="39"/>
        </w:numPr>
        <w:ind w:firstLineChars="0"/>
      </w:pPr>
      <w:r>
        <w:rPr>
          <w:rFonts w:hint="eastAsia"/>
        </w:rPr>
        <w:t>确认吊笼、传动机构及电气、控制系统正确无误的安装后，做如下升降试车：按通电源，由专职操作员在笼顶谨慎地操作手柄，使吊笼空载沿着导轨架上、下运行数次，行程高度不得大于5m。要求吊笼运行平稳、无跳动、无异响等故障，制动器工作正常，同时进一步检查各导向滚轮与导轨架的接触情况，齿轮齿条的啮合情况。升降试车需在吊笼顶部通过操作手柄实现，因导轨架上未安装上限位挡板和上极限挡板，操作需要谨慎。</w:t>
      </w:r>
    </w:p>
    <w:p w14:paraId="5B7C3181">
      <w:pPr>
        <w:numPr>
          <w:ilvl w:val="0"/>
          <w:numId w:val="39"/>
        </w:numPr>
        <w:ind w:firstLineChars="0"/>
      </w:pPr>
      <w:r>
        <w:rPr>
          <w:rFonts w:hint="eastAsia"/>
        </w:rPr>
        <w:t>空载运行一切正常后，在吊笼内安装额定载重量的载荷进行带载运行，并检查电动机、减速器的发热情况</w:t>
      </w:r>
    </w:p>
    <w:p w14:paraId="4683FEA0">
      <w:pPr>
        <w:numPr>
          <w:ilvl w:val="0"/>
          <w:numId w:val="39"/>
        </w:numPr>
        <w:ind w:firstLineChars="0"/>
      </w:pPr>
      <w:r>
        <w:rPr>
          <w:rFonts w:hint="eastAsia"/>
        </w:rPr>
        <w:t>检查时需始终按下急停按钮或者关闭电源，专职操作员站在吊笼顶部时，必须将安全带系挂在吊笼顶部围栏的可靠处。</w:t>
      </w:r>
    </w:p>
    <w:p w14:paraId="40DE972F">
      <w:pPr>
        <w:numPr>
          <w:ilvl w:val="0"/>
          <w:numId w:val="38"/>
        </w:numPr>
      </w:pPr>
      <w:r>
        <w:rPr>
          <w:rFonts w:hint="eastAsia"/>
        </w:rPr>
        <w:t>整机检测及调试</w:t>
      </w:r>
    </w:p>
    <w:p w14:paraId="33280865">
      <w:pPr>
        <w:ind w:firstLine="480"/>
      </w:pPr>
      <w:r>
        <w:rPr>
          <w:rFonts w:hint="eastAsia"/>
        </w:rPr>
        <w:t>升降机的导轨架加高完毕后，立即进行整机检测及调试，调试内容如下：</w:t>
      </w:r>
    </w:p>
    <w:p w14:paraId="382E05B8">
      <w:pPr>
        <w:numPr>
          <w:ilvl w:val="0"/>
          <w:numId w:val="40"/>
        </w:numPr>
        <w:ind w:firstLineChars="0"/>
      </w:pPr>
      <w:r>
        <w:rPr>
          <w:rFonts w:hint="eastAsia"/>
        </w:rPr>
        <w:t>导向滚轮的间隙调整</w:t>
      </w:r>
    </w:p>
    <w:p w14:paraId="589E2DA6">
      <w:pPr>
        <w:ind w:firstLine="480"/>
      </w:pPr>
      <w:r>
        <w:rPr>
          <w:rFonts w:hint="eastAsia"/>
        </w:rPr>
        <w:t>调整传动机构及吊笼的滚轮偏心轴，使吊笼两个立柱及驱动系统立柱相对于标准节对称放置，各滚轮与标准节立管间隙0.3～0.5mm。调整后必须紧固所有螺栓。</w:t>
      </w:r>
    </w:p>
    <w:p w14:paraId="474A0FEC">
      <w:pPr>
        <w:numPr>
          <w:ilvl w:val="0"/>
          <w:numId w:val="40"/>
        </w:numPr>
        <w:ind w:firstLineChars="0"/>
      </w:pPr>
      <w:r>
        <w:rPr>
          <w:rFonts w:hint="eastAsia"/>
        </w:rPr>
        <w:t>齿轮与齿条的啮合间隙调整</w:t>
      </w:r>
    </w:p>
    <w:p w14:paraId="7F51A9AC">
      <w:pPr>
        <w:ind w:firstLine="480"/>
      </w:pPr>
      <w:r>
        <w:rPr>
          <w:rFonts w:hint="eastAsia"/>
        </w:rPr>
        <w:t>用压铅法检查所有齿轮与齿条的啮合间隙，要求间隙0.2～0.5mm，否则应采用楔铁调整驱动板和安全器板位置，以调整齿轮与齿条的啮合间隙，调整后应紧固相关的螺栓，间隔15-20天巡检一次。</w:t>
      </w:r>
    </w:p>
    <w:p w14:paraId="3836FB5C">
      <w:pPr>
        <w:pStyle w:val="109"/>
      </w:pPr>
      <w:r>
        <w:drawing>
          <wp:inline distT="0" distB="0" distL="114300" distR="114300">
            <wp:extent cx="5222240" cy="2494280"/>
            <wp:effectExtent l="0" t="0" r="5080" b="5080"/>
            <wp:docPr id="2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pic:cNvPicPr>
                      <a:picLocks noChangeAspect="1"/>
                    </pic:cNvPicPr>
                  </pic:nvPicPr>
                  <pic:blipFill>
                    <a:blip r:embed="rId57"/>
                    <a:stretch>
                      <a:fillRect/>
                    </a:stretch>
                  </pic:blipFill>
                  <pic:spPr>
                    <a:xfrm>
                      <a:off x="0" y="0"/>
                      <a:ext cx="5222240" cy="2494280"/>
                    </a:xfrm>
                    <a:prstGeom prst="rect">
                      <a:avLst/>
                    </a:prstGeom>
                    <a:noFill/>
                    <a:ln>
                      <a:noFill/>
                    </a:ln>
                  </pic:spPr>
                </pic:pic>
              </a:graphicData>
            </a:graphic>
          </wp:inline>
        </w:drawing>
      </w:r>
    </w:p>
    <w:p w14:paraId="3C187AB7">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10</w:t>
      </w:r>
      <w:r>
        <w:fldChar w:fldCharType="end"/>
      </w:r>
      <w:r>
        <w:t xml:space="preserve"> </w:t>
      </w:r>
      <w:r>
        <w:rPr>
          <w:rFonts w:hint="eastAsia"/>
        </w:rPr>
        <w:t>齿条啮合图示</w:t>
      </w:r>
    </w:p>
    <w:p w14:paraId="65A25B0C">
      <w:pPr>
        <w:numPr>
          <w:ilvl w:val="0"/>
          <w:numId w:val="40"/>
        </w:numPr>
        <w:ind w:firstLineChars="0"/>
      </w:pPr>
      <w:r>
        <w:rPr>
          <w:rFonts w:hint="eastAsia"/>
        </w:rPr>
        <w:t>背轮与齿条的间隙调整</w:t>
      </w:r>
    </w:p>
    <w:p w14:paraId="208BC250">
      <w:pPr>
        <w:ind w:firstLine="480"/>
      </w:pPr>
      <w:r>
        <w:rPr>
          <w:rFonts w:hint="eastAsia"/>
        </w:rPr>
        <w:t>用塞尺检查所有背轮与齿条背面的间隙，要求间隙为0.5mm，否则应调试背轮偏心套，以调整背轮与齿条的间隙，然后紧固导轮螺栓。</w:t>
      </w:r>
    </w:p>
    <w:p w14:paraId="2CAA4092">
      <w:pPr>
        <w:numPr>
          <w:ilvl w:val="0"/>
          <w:numId w:val="40"/>
        </w:numPr>
        <w:ind w:firstLineChars="0"/>
      </w:pPr>
      <w:r>
        <w:rPr>
          <w:rFonts w:hint="eastAsia"/>
        </w:rPr>
        <w:t>下限位碰铁安装</w:t>
      </w:r>
    </w:p>
    <w:p w14:paraId="1A7BDBC9">
      <w:pPr>
        <w:ind w:firstLine="480"/>
      </w:pPr>
      <w:r>
        <w:rPr>
          <w:rFonts w:hint="eastAsia"/>
        </w:rPr>
        <w:t>专业安装作业人员在笼内操作，在低速档下将升降机（装载额定载重量）开到吊笼底与外笼门槛平齐，按下急停按钮，人工安装下限位碰铁及极限开关碰铁（下限位碰铁及极限开关碰铁均用钩形螺栓紧固在导轨架标准节的框架上；极限开关碰铁的安装位置必须保证吊笼在碰到缓冲弹簧之前动作）。施工升降机碰铁安装位置为减速限位的下端面低于下限位的上端面约200mm。</w:t>
      </w:r>
    </w:p>
    <w:p w14:paraId="1CAB7115">
      <w:pPr>
        <w:numPr>
          <w:ilvl w:val="0"/>
          <w:numId w:val="40"/>
        </w:numPr>
        <w:ind w:firstLineChars="0"/>
      </w:pPr>
      <w:r>
        <w:rPr>
          <w:rFonts w:hint="eastAsia"/>
        </w:rPr>
        <w:t>上限位碰铁及减速限位碰铁安装</w:t>
      </w:r>
    </w:p>
    <w:p w14:paraId="781DFBE8">
      <w:pPr>
        <w:ind w:firstLine="480"/>
      </w:pPr>
      <w:r>
        <w:rPr>
          <w:rFonts w:hint="eastAsia"/>
        </w:rPr>
        <w:t>导轨架加高完成以后，安装上限位开关碰铁、极限位开关碰铁，安装方法与下限位碰铁相同，极限开关碰铁的安装位置满足以下要求：</w:t>
      </w:r>
    </w:p>
    <w:p w14:paraId="3155E5D9">
      <w:pPr>
        <w:ind w:firstLine="480"/>
      </w:pPr>
      <w:r>
        <w:rPr>
          <w:rFonts w:hint="eastAsia"/>
        </w:rPr>
        <w:t>当额定速度小于或等于0.85m/s时，极限开关碰铁的安装位置应保证极限开关触发碰铁后，吊笼顶部还应至少有1.8m的安全距离，此外，吊笼上任何高过吊笼的部件和设备，其上方应有至少0.3m的安全距离；</w:t>
      </w:r>
    </w:p>
    <w:p w14:paraId="475F8555">
      <w:pPr>
        <w:ind w:firstLine="480"/>
      </w:pPr>
      <w:r>
        <w:rPr>
          <w:rFonts w:hint="eastAsia"/>
        </w:rPr>
        <w:t>当额定速度大于0.85m/s时，极限开关碰铁的安装位置应保证极限开关触发碰铁后，吊笼顶部还应至少有1.8m+0.1V</w:t>
      </w:r>
      <w:r>
        <w:rPr>
          <w:rFonts w:hint="eastAsia"/>
          <w:vertAlign w:val="superscript"/>
        </w:rPr>
        <w:t>2</w:t>
      </w:r>
      <w:r>
        <w:rPr>
          <w:rFonts w:hint="eastAsia"/>
        </w:rPr>
        <w:t>（V为额定速度）的安全距离，此外，吊笼上任何高过吊笼的部件和设备，其上方应有至少0.3m的安全距离；</w:t>
      </w:r>
    </w:p>
    <w:p w14:paraId="368ADD01">
      <w:pPr>
        <w:ind w:firstLine="480"/>
      </w:pPr>
      <w:r>
        <w:rPr>
          <w:rFonts w:hint="eastAsia"/>
        </w:rPr>
        <w:t>上限位开关碰铁的安装位置应满足以下要求：在正常工作状态下，上限位开关触发上限位碰铁后，极限开关的臂杆与极限开关碰铁下端距离为150mm；</w:t>
      </w:r>
    </w:p>
    <w:p w14:paraId="084D4203">
      <w:pPr>
        <w:ind w:firstLine="480"/>
      </w:pPr>
      <w:r>
        <w:rPr>
          <w:rFonts w:hint="eastAsia"/>
        </w:rPr>
        <w:t>减速限位碰铁安装位置为：减速限位碰铁上端面高于上限位碰铁下端面约200mm。</w:t>
      </w:r>
    </w:p>
    <w:p w14:paraId="5CEB9A8E">
      <w:pPr>
        <w:numPr>
          <w:ilvl w:val="0"/>
          <w:numId w:val="40"/>
        </w:numPr>
        <w:ind w:firstLineChars="0"/>
      </w:pPr>
      <w:r>
        <w:rPr>
          <w:rFonts w:hint="eastAsia"/>
        </w:rPr>
        <w:t>坠落试验</w:t>
      </w:r>
    </w:p>
    <w:p w14:paraId="5984B1F6">
      <w:pPr>
        <w:ind w:firstLine="480"/>
      </w:pPr>
      <w:r>
        <w:rPr>
          <w:rFonts w:hint="eastAsia"/>
        </w:rPr>
        <w:t>凡新安装的升降机,都应进行吊笼额定载荷的坠落试验，以后至少每三个月进行一次坠落试验或按当地有关规定定期进行。坠落试验时，吊笼内不得载人，确认升降机各个部件无故障时方可进行。</w:t>
      </w:r>
    </w:p>
    <w:p w14:paraId="52AC04BB">
      <w:pPr>
        <w:ind w:firstLine="480"/>
      </w:pPr>
      <w:r>
        <w:rPr>
          <w:rFonts w:hint="eastAsia"/>
        </w:rPr>
        <w:t>根据中国国家标准，安全器在出厂一年后（按标牌或试验报告上的日期）必须送厂检测（包括一年内未曾使用过），经检验合格后，方可继续使用。安全器的寿命为五年。</w:t>
      </w:r>
    </w:p>
    <w:p w14:paraId="2C3E5606">
      <w:pPr>
        <w:ind w:firstLine="480"/>
      </w:pPr>
      <w:r>
        <w:rPr>
          <w:rFonts w:hint="eastAsia"/>
        </w:rPr>
        <w:t>坠落试验方法：</w:t>
      </w:r>
    </w:p>
    <w:p w14:paraId="6E76E0B8">
      <w:pPr>
        <w:pStyle w:val="70"/>
        <w:numPr>
          <w:ilvl w:val="0"/>
          <w:numId w:val="41"/>
        </w:numPr>
        <w:ind w:firstLineChars="0"/>
      </w:pPr>
      <w:r>
        <w:rPr>
          <w:rFonts w:hint="eastAsia"/>
        </w:rPr>
        <w:t>将吊笼内装载额定重量；</w:t>
      </w:r>
    </w:p>
    <w:p w14:paraId="6197EA0E">
      <w:pPr>
        <w:pStyle w:val="70"/>
        <w:numPr>
          <w:ilvl w:val="0"/>
          <w:numId w:val="41"/>
        </w:numPr>
        <w:ind w:firstLineChars="0"/>
      </w:pPr>
      <w:r>
        <w:rPr>
          <w:rFonts w:hint="eastAsia"/>
        </w:rPr>
        <w:t>切断主电源，将坠落试验按钮盒接入电控箱内接线端子上，并锁紧；</w:t>
      </w:r>
    </w:p>
    <w:p w14:paraId="1BFAF4A1">
      <w:pPr>
        <w:pStyle w:val="70"/>
        <w:numPr>
          <w:ilvl w:val="0"/>
          <w:numId w:val="41"/>
        </w:numPr>
        <w:ind w:firstLineChars="0"/>
      </w:pPr>
      <w:r>
        <w:rPr>
          <w:rFonts w:hint="eastAsia"/>
        </w:rPr>
        <w:t>将坠落试验按钮盒通过门放到地面，要确保坠落试验时，电缆不会被卡住，并关闭所有门；</w:t>
      </w:r>
    </w:p>
    <w:p w14:paraId="05877A4A">
      <w:pPr>
        <w:ind w:left="480" w:firstLine="0" w:firstLineChars="0"/>
      </w:pPr>
      <w:r>
        <w:rPr>
          <w:rFonts w:hint="eastAsia"/>
        </w:rPr>
        <w:t>特别注意：坠落试验过程中，吊笼内严禁有人。</w:t>
      </w:r>
    </w:p>
    <w:p w14:paraId="396B2C65">
      <w:pPr>
        <w:pStyle w:val="70"/>
        <w:numPr>
          <w:ilvl w:val="0"/>
          <w:numId w:val="41"/>
        </w:numPr>
        <w:ind w:firstLineChars="0"/>
      </w:pPr>
      <w:r>
        <w:rPr>
          <w:rFonts w:hint="eastAsia"/>
        </w:rPr>
        <w:t>合上总电源开关；</w:t>
      </w:r>
    </w:p>
    <w:p w14:paraId="5F92EB6B">
      <w:pPr>
        <w:pStyle w:val="70"/>
        <w:numPr>
          <w:ilvl w:val="0"/>
          <w:numId w:val="41"/>
        </w:numPr>
        <w:ind w:firstLineChars="0"/>
      </w:pPr>
      <w:r>
        <w:rPr>
          <w:rFonts w:hint="eastAsia"/>
        </w:rPr>
        <w:t>按“坠落按钮盒”上的“上行”按钮，使吊升高到距地面约10米左右；</w:t>
      </w:r>
    </w:p>
    <w:p w14:paraId="225E41B6">
      <w:pPr>
        <w:pStyle w:val="70"/>
        <w:numPr>
          <w:ilvl w:val="0"/>
          <w:numId w:val="41"/>
        </w:numPr>
        <w:ind w:firstLineChars="0"/>
      </w:pPr>
      <w:r>
        <w:rPr>
          <w:rFonts w:hint="eastAsia"/>
        </w:rPr>
        <w:t>按“坠落”按钮不要松开，吊笼将自由下落，正常情况下时吊笼制动距离为下表规定范围。表中防坠安全器制动距离数据出自中华人民共和国国家标准《吊笼有垂直导向的人货两用施工升降机》GB/26557-2011。</w:t>
      </w:r>
    </w:p>
    <w:p w14:paraId="565CB427">
      <w:pPr>
        <w:ind w:firstLine="480"/>
      </w:pPr>
      <w:r>
        <w:rPr>
          <w:rFonts w:hint="eastAsia"/>
        </w:rPr>
        <w:t>制动距离应从听见“哐啷”声音后算起，安全器使吊笼制动的同时能通过机电联锁切断电源。</w:t>
      </w:r>
    </w:p>
    <w:p w14:paraId="3D782E49">
      <w:pPr>
        <w:pStyle w:val="70"/>
        <w:numPr>
          <w:ilvl w:val="0"/>
          <w:numId w:val="41"/>
        </w:numPr>
        <w:ind w:firstLineChars="0"/>
      </w:pPr>
      <w:r>
        <w:rPr>
          <w:rFonts w:hint="eastAsia"/>
        </w:rPr>
        <w:t>同时应检查：</w:t>
      </w:r>
    </w:p>
    <w:p w14:paraId="4694727F">
      <w:pPr>
        <w:ind w:left="480" w:firstLine="0" w:firstLineChars="0"/>
      </w:pPr>
      <w:r>
        <w:rPr>
          <w:rFonts w:hint="eastAsia"/>
        </w:rPr>
        <w:t>a</w:t>
      </w:r>
      <w:r>
        <w:t>.</w:t>
      </w:r>
      <w:r>
        <w:rPr>
          <w:rFonts w:hint="eastAsia"/>
        </w:rPr>
        <w:t xml:space="preserve">结构及连接有无损坏及永久变形； </w:t>
      </w:r>
    </w:p>
    <w:p w14:paraId="47F95305">
      <w:pPr>
        <w:ind w:left="480" w:firstLine="0" w:firstLineChars="0"/>
      </w:pPr>
      <w:r>
        <w:rPr>
          <w:rFonts w:hint="eastAsia"/>
        </w:rPr>
        <w:t>b</w:t>
      </w:r>
      <w:r>
        <w:t>.</w:t>
      </w:r>
      <w:r>
        <w:rPr>
          <w:rFonts w:hint="eastAsia"/>
        </w:rPr>
        <w:t>吊笼底板在各个方向的水平度偏差值改变值应符合GB26557-2011要求；</w:t>
      </w:r>
    </w:p>
    <w:p w14:paraId="42F2BB56">
      <w:pPr>
        <w:ind w:firstLine="480"/>
      </w:pPr>
      <w:r>
        <w:rPr>
          <w:rFonts w:hint="eastAsia"/>
        </w:rPr>
        <w:t>注意：如果吊笼自由下落距地面3m左右仍未停止时，应立即松开按钮使吊笼制动，然后点动“坠落”按钮，使吊笼缓缓落至地面，查清原因。每次点动吊笼下滑距离不可超过0.2m否则安全器将再次动作。</w:t>
      </w:r>
    </w:p>
    <w:p w14:paraId="7509A7E2">
      <w:pPr>
        <w:pStyle w:val="70"/>
        <w:numPr>
          <w:ilvl w:val="0"/>
          <w:numId w:val="41"/>
        </w:numPr>
        <w:ind w:firstLineChars="0"/>
      </w:pPr>
      <w:r>
        <w:rPr>
          <w:rFonts w:hint="eastAsia"/>
        </w:rPr>
        <w:t>防坠器检查日期：</w:t>
      </w:r>
    </w:p>
    <w:p w14:paraId="0E7A7A8C">
      <w:pPr>
        <w:pStyle w:val="70"/>
        <w:ind w:left="480" w:firstLine="0" w:firstLineChars="0"/>
      </w:pPr>
      <w:r>
        <w:rPr>
          <w:rFonts w:hint="eastAsia"/>
        </w:rPr>
        <w:t>a</w:t>
      </w:r>
      <w:r>
        <w:t>.</w:t>
      </w:r>
      <w:r>
        <w:rPr>
          <w:rFonts w:hint="eastAsia"/>
        </w:rPr>
        <w:t>有效使用年限为  年  月  日至  年  月  日。</w:t>
      </w:r>
    </w:p>
    <w:p w14:paraId="0BBC00A3">
      <w:pPr>
        <w:ind w:firstLine="480" w:firstLineChars="0"/>
      </w:pPr>
      <w:r>
        <w:rPr>
          <w:rFonts w:hint="eastAsia"/>
        </w:rPr>
        <w:t>b</w:t>
      </w:r>
      <w:r>
        <w:t>.</w:t>
      </w:r>
      <w:r>
        <w:rPr>
          <w:rFonts w:hint="eastAsia"/>
        </w:rPr>
        <w:t>下次检定时间为  年  月  日</w:t>
      </w:r>
    </w:p>
    <w:p w14:paraId="46713466">
      <w:pPr>
        <w:pStyle w:val="70"/>
        <w:ind w:left="480" w:firstLine="0" w:firstLineChars="0"/>
      </w:pPr>
      <w:r>
        <w:rPr>
          <w:rFonts w:hint="eastAsia"/>
        </w:rPr>
        <w:t>c</w:t>
      </w:r>
      <w:r>
        <w:t>.</w:t>
      </w:r>
      <w:r>
        <w:rPr>
          <w:rFonts w:hint="eastAsia"/>
        </w:rPr>
        <w:t>检测内容</w:t>
      </w:r>
    </w:p>
    <w:p w14:paraId="7FF3F5F5">
      <w:pPr>
        <w:pStyle w:val="15"/>
      </w:pPr>
      <w:r>
        <w:rPr>
          <w:rFonts w:hint="eastAsia"/>
        </w:rPr>
        <w:t>表</w:t>
      </w:r>
      <w:r>
        <w:fldChar w:fldCharType="begin"/>
      </w:r>
      <w:r>
        <w:instrText xml:space="preserve"> STYLEREF 3 \s </w:instrText>
      </w:r>
      <w:r>
        <w:fldChar w:fldCharType="separate"/>
      </w:r>
      <w:r>
        <w:t>4.5.1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2</w:t>
      </w:r>
      <w:r>
        <w:fldChar w:fldCharType="end"/>
      </w:r>
      <w:r>
        <w:t xml:space="preserve"> 坠落</w:t>
      </w:r>
      <w:r>
        <w:rPr>
          <w:rFonts w:hint="eastAsia"/>
        </w:rPr>
        <w:t>试验检测内容</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6"/>
        <w:gridCol w:w="2378"/>
        <w:gridCol w:w="5628"/>
      </w:tblGrid>
      <w:tr w14:paraId="3275F1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4D2FAE17">
            <w:pPr>
              <w:pStyle w:val="16"/>
            </w:pPr>
            <w:r>
              <w:rPr>
                <w:rFonts w:hint="eastAsia"/>
              </w:rPr>
              <w:t>1</w:t>
            </w:r>
          </w:p>
        </w:tc>
        <w:tc>
          <w:tcPr>
            <w:tcW w:w="1395" w:type="pct"/>
            <w:shd w:val="clear" w:color="auto" w:fill="auto"/>
            <w:vAlign w:val="center"/>
          </w:tcPr>
          <w:p w14:paraId="39368C63">
            <w:pPr>
              <w:pStyle w:val="16"/>
            </w:pPr>
            <w:r>
              <w:rPr>
                <w:rFonts w:hint="eastAsia"/>
              </w:rPr>
              <w:t>强度</w:t>
            </w:r>
          </w:p>
        </w:tc>
        <w:tc>
          <w:tcPr>
            <w:tcW w:w="3302" w:type="pct"/>
            <w:shd w:val="clear" w:color="auto" w:fill="auto"/>
            <w:vAlign w:val="center"/>
          </w:tcPr>
          <w:p w14:paraId="7CB4783F">
            <w:pPr>
              <w:pStyle w:val="16"/>
            </w:pPr>
            <w:r>
              <w:rPr>
                <w:rFonts w:hint="eastAsia"/>
              </w:rPr>
              <w:t>壳体和齿轮等无裂纹等损伤</w:t>
            </w:r>
          </w:p>
        </w:tc>
      </w:tr>
      <w:tr w14:paraId="6E3AC4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71B5723A">
            <w:pPr>
              <w:pStyle w:val="16"/>
            </w:pPr>
            <w:r>
              <w:rPr>
                <w:rFonts w:hint="eastAsia"/>
              </w:rPr>
              <w:t>2</w:t>
            </w:r>
          </w:p>
        </w:tc>
        <w:tc>
          <w:tcPr>
            <w:tcW w:w="1395" w:type="pct"/>
            <w:shd w:val="clear" w:color="auto" w:fill="auto"/>
            <w:vAlign w:val="center"/>
          </w:tcPr>
          <w:p w14:paraId="58EC0192">
            <w:pPr>
              <w:pStyle w:val="16"/>
            </w:pPr>
            <w:r>
              <w:rPr>
                <w:rFonts w:hint="eastAsia"/>
              </w:rPr>
              <w:t>齿轮转动</w:t>
            </w:r>
          </w:p>
        </w:tc>
        <w:tc>
          <w:tcPr>
            <w:tcW w:w="3302" w:type="pct"/>
            <w:shd w:val="clear" w:color="auto" w:fill="auto"/>
            <w:vAlign w:val="center"/>
          </w:tcPr>
          <w:p w14:paraId="71052A75">
            <w:pPr>
              <w:pStyle w:val="16"/>
            </w:pPr>
            <w:r>
              <w:rPr>
                <w:rFonts w:hint="eastAsia"/>
              </w:rPr>
              <w:t>灵活</w:t>
            </w:r>
          </w:p>
        </w:tc>
      </w:tr>
      <w:tr w14:paraId="307A27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5F8AFE91">
            <w:pPr>
              <w:pStyle w:val="16"/>
            </w:pPr>
            <w:r>
              <w:rPr>
                <w:rFonts w:hint="eastAsia"/>
              </w:rPr>
              <w:t>3</w:t>
            </w:r>
          </w:p>
        </w:tc>
        <w:tc>
          <w:tcPr>
            <w:tcW w:w="1395" w:type="pct"/>
            <w:shd w:val="clear" w:color="auto" w:fill="auto"/>
            <w:vAlign w:val="center"/>
          </w:tcPr>
          <w:p w14:paraId="7254ED18">
            <w:pPr>
              <w:pStyle w:val="16"/>
            </w:pPr>
            <w:r>
              <w:rPr>
                <w:rFonts w:hint="eastAsia"/>
              </w:rPr>
              <w:t>安全开关</w:t>
            </w:r>
          </w:p>
        </w:tc>
        <w:tc>
          <w:tcPr>
            <w:tcW w:w="3302" w:type="pct"/>
            <w:shd w:val="clear" w:color="auto" w:fill="auto"/>
            <w:vAlign w:val="center"/>
          </w:tcPr>
          <w:p w14:paraId="3F18AB8D">
            <w:pPr>
              <w:pStyle w:val="16"/>
            </w:pPr>
            <w:r>
              <w:rPr>
                <w:rFonts w:hint="eastAsia"/>
              </w:rPr>
              <w:t>切断控制线路</w:t>
            </w:r>
          </w:p>
        </w:tc>
      </w:tr>
      <w:tr w14:paraId="479774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594C1234">
            <w:pPr>
              <w:pStyle w:val="16"/>
            </w:pPr>
            <w:r>
              <w:rPr>
                <w:rFonts w:hint="eastAsia"/>
              </w:rPr>
              <w:t>4</w:t>
            </w:r>
          </w:p>
        </w:tc>
        <w:tc>
          <w:tcPr>
            <w:tcW w:w="1395" w:type="pct"/>
            <w:shd w:val="clear" w:color="auto" w:fill="auto"/>
            <w:vAlign w:val="center"/>
          </w:tcPr>
          <w:p w14:paraId="566347C1">
            <w:pPr>
              <w:pStyle w:val="16"/>
            </w:pPr>
            <w:r>
              <w:rPr>
                <w:rFonts w:hint="eastAsia"/>
              </w:rPr>
              <w:t>动作速度</w:t>
            </w:r>
          </w:p>
        </w:tc>
        <w:tc>
          <w:tcPr>
            <w:tcW w:w="3302" w:type="pct"/>
            <w:shd w:val="clear" w:color="auto" w:fill="auto"/>
            <w:vAlign w:val="center"/>
          </w:tcPr>
          <w:p w14:paraId="39C4A269">
            <w:pPr>
              <w:pStyle w:val="16"/>
            </w:pPr>
            <w:r>
              <w:rPr>
                <w:rFonts w:hint="eastAsia"/>
              </w:rPr>
              <w:t>≦9%</w:t>
            </w:r>
          </w:p>
        </w:tc>
      </w:tr>
      <w:tr w14:paraId="11B43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303" w:type="pct"/>
            <w:shd w:val="clear" w:color="auto" w:fill="auto"/>
            <w:vAlign w:val="center"/>
          </w:tcPr>
          <w:p w14:paraId="1850E0FB">
            <w:pPr>
              <w:pStyle w:val="16"/>
            </w:pPr>
            <w:r>
              <w:rPr>
                <w:rFonts w:hint="eastAsia"/>
              </w:rPr>
              <w:t>5</w:t>
            </w:r>
          </w:p>
        </w:tc>
        <w:tc>
          <w:tcPr>
            <w:tcW w:w="1395" w:type="pct"/>
            <w:shd w:val="clear" w:color="auto" w:fill="auto"/>
            <w:vAlign w:val="center"/>
          </w:tcPr>
          <w:p w14:paraId="71D3AF9C">
            <w:pPr>
              <w:pStyle w:val="16"/>
            </w:pPr>
            <w:r>
              <w:rPr>
                <w:rFonts w:hint="eastAsia"/>
              </w:rPr>
              <w:t>超载制动试验</w:t>
            </w:r>
          </w:p>
        </w:tc>
        <w:tc>
          <w:tcPr>
            <w:tcW w:w="3302" w:type="pct"/>
            <w:shd w:val="clear" w:color="auto" w:fill="auto"/>
            <w:vAlign w:val="center"/>
          </w:tcPr>
          <w:p w14:paraId="6104D6E0">
            <w:pPr>
              <w:pStyle w:val="16"/>
            </w:pPr>
            <w:r>
              <w:rPr>
                <w:rFonts w:hint="eastAsia"/>
              </w:rPr>
              <w:t>制动距离符合GB/T34025-2017标准</w:t>
            </w:r>
          </w:p>
        </w:tc>
      </w:tr>
    </w:tbl>
    <w:p w14:paraId="6A1E3626">
      <w:pPr>
        <w:numPr>
          <w:ilvl w:val="0"/>
          <w:numId w:val="40"/>
        </w:numPr>
        <w:ind w:firstLineChars="0"/>
      </w:pPr>
      <w:r>
        <w:rPr>
          <w:rFonts w:hint="eastAsia"/>
        </w:rPr>
        <w:t>超载保护器</w:t>
      </w:r>
    </w:p>
    <w:p w14:paraId="24103ABB">
      <w:pPr>
        <w:ind w:firstLine="480"/>
      </w:pPr>
      <w:r>
        <w:rPr>
          <w:rFonts w:hint="eastAsia"/>
        </w:rPr>
        <w:t>按《施工升降机使用说明书》的要求进行零点调整及吊重显示调整。</w:t>
      </w:r>
    </w:p>
    <w:p w14:paraId="1DA9D321">
      <w:pPr>
        <w:numPr>
          <w:ilvl w:val="0"/>
          <w:numId w:val="40"/>
        </w:numPr>
        <w:ind w:firstLineChars="0"/>
      </w:pPr>
      <w:r>
        <w:rPr>
          <w:rFonts w:hint="eastAsia"/>
        </w:rPr>
        <w:t>升降机的检查</w:t>
      </w:r>
    </w:p>
    <w:p w14:paraId="3475DF52">
      <w:pPr>
        <w:ind w:firstLine="480"/>
      </w:pPr>
      <w:r>
        <w:rPr>
          <w:rFonts w:hint="eastAsia"/>
        </w:rPr>
        <w:t>按《施工升降机使用说明书》的要求进行检查，发现有问题立即调试或更换零部件。</w:t>
      </w:r>
    </w:p>
    <w:p w14:paraId="7C63609B">
      <w:pPr>
        <w:pStyle w:val="5"/>
      </w:pPr>
      <w:r>
        <w:rPr>
          <w:rFonts w:hint="eastAsia"/>
        </w:rPr>
        <w:t>导轨架加高安装</w:t>
      </w:r>
    </w:p>
    <w:p w14:paraId="57B0211A">
      <w:pPr>
        <w:ind w:firstLine="480"/>
      </w:pPr>
      <w:r>
        <w:rPr>
          <w:rFonts w:hint="eastAsia"/>
        </w:rPr>
        <w:t>在完成以上安装调试过程，额定安装载重量状态下“坠落试验”合格验收，合格后方能加高导轨架。</w:t>
      </w:r>
    </w:p>
    <w:p w14:paraId="1851E717">
      <w:pPr>
        <w:pStyle w:val="70"/>
        <w:numPr>
          <w:ilvl w:val="0"/>
          <w:numId w:val="42"/>
        </w:numPr>
        <w:ind w:firstLineChars="0"/>
      </w:pPr>
      <w:r>
        <w:rPr>
          <w:rFonts w:hint="eastAsia"/>
        </w:rPr>
        <w:t>在现场没有其他起重设备配合的情况下，安装步骤如下：</w:t>
      </w:r>
    </w:p>
    <w:p w14:paraId="191B2B22">
      <w:pPr>
        <w:pStyle w:val="70"/>
        <w:numPr>
          <w:ilvl w:val="0"/>
          <w:numId w:val="43"/>
        </w:numPr>
        <w:ind w:firstLineChars="0"/>
      </w:pPr>
      <w:r>
        <w:rPr>
          <w:rFonts w:hint="eastAsia"/>
        </w:rPr>
        <w:t>将吊杆的插头插入司机室的插座上，将吊杆的吊钩放下。</w:t>
      </w:r>
    </w:p>
    <w:p w14:paraId="42527FA8">
      <w:pPr>
        <w:pStyle w:val="70"/>
        <w:numPr>
          <w:ilvl w:val="0"/>
          <w:numId w:val="43"/>
        </w:numPr>
        <w:ind w:firstLineChars="0"/>
      </w:pPr>
      <w:r>
        <w:rPr>
          <w:rFonts w:hint="eastAsia"/>
        </w:rPr>
        <w:t>专业安装作业人员通过配备的专用爬梯，通过吊笼内部打开顶部顶盖，然后攀登至吊笼顶部后，专业安装作业人员将安全带系挂吊笼的顶部围栏上。</w:t>
      </w:r>
    </w:p>
    <w:p w14:paraId="71F834BB">
      <w:pPr>
        <w:pStyle w:val="70"/>
        <w:numPr>
          <w:ilvl w:val="0"/>
          <w:numId w:val="43"/>
        </w:numPr>
        <w:ind w:firstLineChars="0"/>
      </w:pPr>
      <w:r>
        <w:rPr>
          <w:rFonts w:hint="eastAsia"/>
        </w:rPr>
        <w:t>专业安装作业人员操作吊杆控制器放下吊钩，使用1根2m长的6×7+FC 1770-A10mm钢丝绳配置2个GB/T25854-6-DW1卸扣将标准节顶部的两侧螺栓孔对称连接固定。专业安装作业人员通过控制器起升吊杆吊钩，将钢丝绳与吊钩连接，将标准节（每次起吊1节）吊至吊笼顶部，放稳（注意带锥套的一端向下）；每次在吊笼顶部最多允许放置3个标准节。</w:t>
      </w:r>
    </w:p>
    <w:p w14:paraId="5A0BEEEE">
      <w:pPr>
        <w:pStyle w:val="70"/>
        <w:numPr>
          <w:ilvl w:val="0"/>
          <w:numId w:val="43"/>
        </w:numPr>
        <w:ind w:firstLineChars="0"/>
      </w:pPr>
      <w:r>
        <w:rPr>
          <w:rFonts w:hint="eastAsia"/>
        </w:rPr>
        <w:t>专职操作员启动施工升降机，当驱动系统最顶端升至接近导轨架顶部时，改为点动行驶，直至吊笼顶部距导轨架顶部约300mm左右时停止，按下紧急停机按钮，防止意外。</w:t>
      </w:r>
    </w:p>
    <w:p w14:paraId="16DA0A30">
      <w:pPr>
        <w:pStyle w:val="70"/>
        <w:numPr>
          <w:ilvl w:val="0"/>
          <w:numId w:val="43"/>
        </w:numPr>
        <w:ind w:firstLineChars="0"/>
      </w:pPr>
      <w:r>
        <w:rPr>
          <w:rFonts w:hint="eastAsia"/>
        </w:rPr>
        <w:t>专业安装作业人员操作吊杆控制器吊起单节标准节，将标准节两端管子接头处及齿条销子处擦拭干净，并加少量润滑脂；专业安装作业人员根据下降情况扶正标准节，对准下面标准节立管和齿条上的销孔，缓慢放下吊钩，用螺栓紧固；松开吊钩，将吊杆转回，专业安装作业人员用不小于300N</w:t>
      </w:r>
      <w:r>
        <w:t>·</w:t>
      </w:r>
      <w:r>
        <w:rPr>
          <w:rFonts w:hint="eastAsia"/>
        </w:rPr>
        <w:t>m的拧紧力紧固全部螺栓。</w:t>
      </w:r>
    </w:p>
    <w:p w14:paraId="45C5923A">
      <w:pPr>
        <w:pStyle w:val="70"/>
        <w:numPr>
          <w:ilvl w:val="0"/>
          <w:numId w:val="43"/>
        </w:numPr>
        <w:ind w:firstLineChars="0"/>
      </w:pPr>
      <w:r>
        <w:rPr>
          <w:rFonts w:hint="eastAsia"/>
        </w:rPr>
        <w:t>专职操作员驱动吊笼上升1.5m左右，再安装下一节标准节，直至3节标准节装完，再驱动吊笼下降返回钢平台处。</w:t>
      </w:r>
    </w:p>
    <w:p w14:paraId="47879D27">
      <w:pPr>
        <w:pStyle w:val="70"/>
        <w:numPr>
          <w:ilvl w:val="0"/>
          <w:numId w:val="43"/>
        </w:numPr>
        <w:ind w:firstLineChars="0"/>
      </w:pPr>
      <w:r>
        <w:rPr>
          <w:rFonts w:hint="eastAsia"/>
        </w:rPr>
        <w:t>按上述方法将标准节依次连接直至达到所需高度为止，随着导轨架的不断接长，应同时安装附墙架。</w:t>
      </w:r>
    </w:p>
    <w:p w14:paraId="38A4B217">
      <w:pPr>
        <w:pStyle w:val="70"/>
        <w:numPr>
          <w:ilvl w:val="0"/>
          <w:numId w:val="42"/>
        </w:numPr>
        <w:ind w:firstLineChars="0"/>
      </w:pPr>
      <w:r>
        <w:rPr>
          <w:rFonts w:hint="eastAsia"/>
        </w:rPr>
        <w:t>在现场有其它起重设备（如塔吊等）的配合情况下的安装：</w:t>
      </w:r>
    </w:p>
    <w:p w14:paraId="2150FCCA">
      <w:pPr>
        <w:pStyle w:val="70"/>
        <w:numPr>
          <w:ilvl w:val="0"/>
          <w:numId w:val="44"/>
        </w:numPr>
        <w:ind w:firstLineChars="0"/>
      </w:pPr>
      <w:r>
        <w:rPr>
          <w:rFonts w:hint="eastAsia"/>
        </w:rPr>
        <w:t>在地面将4～6节标准节（≤1t）连成一组（标准节两端管子接头处及齿条销子处擦拭干净，并加少量润滑脂）。</w:t>
      </w:r>
    </w:p>
    <w:p w14:paraId="3AFEA275">
      <w:pPr>
        <w:pStyle w:val="70"/>
        <w:numPr>
          <w:ilvl w:val="0"/>
          <w:numId w:val="44"/>
        </w:numPr>
        <w:ind w:firstLineChars="0"/>
      </w:pPr>
      <w:r>
        <w:rPr>
          <w:rFonts w:hint="eastAsia"/>
        </w:rPr>
        <w:t>专业安装作业人员在地面上使用2根6m长的6×7+FC 1770-A10mm钢丝绳配置2个GB/T25854-6-DW1卸扣与标准节顶部的吊装孔连接固定，钢丝绳另外一端与塔吊吊钩连接，缓慢起吊至待安装位置上方。</w:t>
      </w:r>
    </w:p>
    <w:p w14:paraId="55AB2A82">
      <w:pPr>
        <w:pStyle w:val="70"/>
        <w:numPr>
          <w:ilvl w:val="0"/>
          <w:numId w:val="44"/>
        </w:numPr>
        <w:ind w:firstLineChars="0"/>
      </w:pPr>
      <w:r>
        <w:rPr>
          <w:rFonts w:hint="eastAsia"/>
        </w:rPr>
        <w:t>下方专职操作员同时将吊笼升至导轨架顶部以下300mm处，专业安装作业人员通过配备的专用爬梯，通过吊笼内部打开顶部顶盖，然后攀登至吊笼顶部后，专业安装作业人员将安全带系挂吊笼的顶部围栏上。</w:t>
      </w:r>
    </w:p>
    <w:p w14:paraId="228AAC6C">
      <w:pPr>
        <w:pStyle w:val="70"/>
        <w:numPr>
          <w:ilvl w:val="0"/>
          <w:numId w:val="44"/>
        </w:numPr>
        <w:ind w:firstLineChars="0"/>
      </w:pPr>
      <w:r>
        <w:rPr>
          <w:rFonts w:hint="eastAsia"/>
        </w:rPr>
        <w:t>塔吊操作人员听从指令缓慢下放标准节，专业安装作业人员根据下降情况扶正标准节，使标准节能够准确对位。标准节下放就位，及时安装连接螺栓并用不小于300N</w:t>
      </w:r>
      <w:r>
        <w:t>·</w:t>
      </w:r>
      <w:r>
        <w:rPr>
          <w:rFonts w:hint="eastAsia"/>
        </w:rPr>
        <w:t>m的拧紧力紧固；随后塔吊缓慢落钩，专业安装作业人员解除钢丝绳与塔吊吊钩的连接，驱动吊笼上升至接高后的导轨架顶部以下300mm处，专业安装作业人员再次解除钢丝绳与顶部标准节之间的卸扣连接。</w:t>
      </w:r>
    </w:p>
    <w:p w14:paraId="2D3DCBCE">
      <w:pPr>
        <w:pStyle w:val="70"/>
        <w:numPr>
          <w:ilvl w:val="0"/>
          <w:numId w:val="42"/>
        </w:numPr>
        <w:ind w:firstLineChars="0"/>
      </w:pPr>
      <w:r>
        <w:rPr>
          <w:rFonts w:hint="eastAsia"/>
        </w:rPr>
        <w:t>导轨架每加高10m左右，测量人员用全站仪在2个垂直方向上检查导轨架整体的倾斜度偏差。标准节对接时，确保上、下标准节立柱管对接处的错位阶差≤0.5mm。</w:t>
      </w:r>
    </w:p>
    <w:p w14:paraId="5460A957">
      <w:pPr>
        <w:pStyle w:val="15"/>
        <w:rPr>
          <w:rFonts w:hint="eastAsia"/>
        </w:rPr>
      </w:pPr>
      <w:r>
        <w:rPr>
          <w:rFonts w:hint="eastAsia"/>
        </w:rPr>
        <w:t>表</w:t>
      </w:r>
      <w:r>
        <w:fldChar w:fldCharType="begin"/>
      </w:r>
      <w:r>
        <w:instrText xml:space="preserve"> STYLEREF 3 \s </w:instrText>
      </w:r>
      <w:r>
        <w:fldChar w:fldCharType="separate"/>
      </w:r>
      <w:r>
        <w:t>4.5.1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3</w:t>
      </w:r>
      <w:r>
        <w:fldChar w:fldCharType="end"/>
      </w:r>
      <w:r>
        <w:t xml:space="preserve"> </w:t>
      </w:r>
      <w:r>
        <w:rPr>
          <w:rFonts w:hint="eastAsia"/>
        </w:rPr>
        <w:t>导轨架倾斜度允许偏差表</w:t>
      </w:r>
    </w:p>
    <w:p w14:paraId="5A304787">
      <w:pPr>
        <w:pStyle w:val="16"/>
      </w:pPr>
      <w:r>
        <w:drawing>
          <wp:inline distT="0" distB="0" distL="114300" distR="114300">
            <wp:extent cx="5269230" cy="728980"/>
            <wp:effectExtent l="0" t="0" r="7620" b="13970"/>
            <wp:docPr id="3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7"/>
                    <pic:cNvPicPr>
                      <a:picLocks noChangeAspect="1"/>
                    </pic:cNvPicPr>
                  </pic:nvPicPr>
                  <pic:blipFill>
                    <a:blip r:embed="rId58"/>
                    <a:stretch>
                      <a:fillRect/>
                    </a:stretch>
                  </pic:blipFill>
                  <pic:spPr>
                    <a:xfrm>
                      <a:off x="0" y="0"/>
                      <a:ext cx="5269230" cy="728980"/>
                    </a:xfrm>
                    <a:prstGeom prst="rect">
                      <a:avLst/>
                    </a:prstGeom>
                    <a:noFill/>
                    <a:ln>
                      <a:noFill/>
                    </a:ln>
                  </pic:spPr>
                </pic:pic>
              </a:graphicData>
            </a:graphic>
          </wp:inline>
        </w:drawing>
      </w:r>
    </w:p>
    <w:p w14:paraId="0D7208CE">
      <w:pPr>
        <w:pStyle w:val="5"/>
      </w:pPr>
      <w:r>
        <w:rPr>
          <w:rFonts w:hint="eastAsia"/>
        </w:rPr>
        <w:t>附墙架安装</w:t>
      </w:r>
    </w:p>
    <w:p w14:paraId="084567EB">
      <w:pPr>
        <w:ind w:firstLine="480"/>
      </w:pPr>
      <w:r>
        <w:rPr>
          <w:rFonts w:hint="eastAsia"/>
        </w:rPr>
        <w:t>为了保证吊笼运行的稳定性，间隔6m左右设置一道附墙架，塔吊使用2根6m长6×7</w:t>
      </w:r>
      <w:r>
        <w:t>+FC 1770</w:t>
      </w:r>
      <w:r>
        <w:rPr>
          <w:rFonts w:hint="eastAsia"/>
        </w:rPr>
        <w:t>-A</w:t>
      </w:r>
      <w:r>
        <w:t>10</w:t>
      </w:r>
      <w:r>
        <w:rPr>
          <w:rFonts w:hint="eastAsia"/>
        </w:rPr>
        <w:t>mm钢丝绳捆绑起吊附墙架。</w:t>
      </w:r>
    </w:p>
    <w:p w14:paraId="44522F9C">
      <w:pPr>
        <w:pStyle w:val="109"/>
      </w:pPr>
      <w:r>
        <w:drawing>
          <wp:inline distT="0" distB="0" distL="114300" distR="114300">
            <wp:extent cx="4867275" cy="2571750"/>
            <wp:effectExtent l="0" t="0" r="9525" b="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8"/>
                    <pic:cNvPicPr>
                      <a:picLocks noChangeAspect="1"/>
                    </pic:cNvPicPr>
                  </pic:nvPicPr>
                  <pic:blipFill>
                    <a:blip r:embed="rId59"/>
                    <a:stretch>
                      <a:fillRect/>
                    </a:stretch>
                  </pic:blipFill>
                  <pic:spPr>
                    <a:xfrm>
                      <a:off x="0" y="0"/>
                      <a:ext cx="4867275" cy="2571750"/>
                    </a:xfrm>
                    <a:prstGeom prst="rect">
                      <a:avLst/>
                    </a:prstGeom>
                    <a:noFill/>
                    <a:ln>
                      <a:noFill/>
                    </a:ln>
                  </pic:spPr>
                </pic:pic>
              </a:graphicData>
            </a:graphic>
          </wp:inline>
        </w:drawing>
      </w:r>
    </w:p>
    <w:p w14:paraId="2F753315">
      <w:pPr>
        <w:pStyle w:val="108"/>
      </w:pPr>
      <w:bookmarkStart w:id="100" w:name="_Ref130892266"/>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11</w:t>
      </w:r>
      <w:r>
        <w:fldChar w:fldCharType="end"/>
      </w:r>
      <w:bookmarkEnd w:id="100"/>
      <w:r>
        <w:t xml:space="preserve"> </w:t>
      </w:r>
      <w:r>
        <w:rPr>
          <w:rFonts w:hint="eastAsia"/>
        </w:rPr>
        <w:t>标准附墙件构造总图</w:t>
      </w:r>
    </w:p>
    <w:p w14:paraId="47C1AC3B">
      <w:pPr>
        <w:pStyle w:val="70"/>
        <w:numPr>
          <w:ilvl w:val="0"/>
          <w:numId w:val="45"/>
        </w:numPr>
        <w:ind w:firstLineChars="0"/>
      </w:pPr>
      <w:r>
        <w:rPr>
          <w:rFonts w:hint="eastAsia"/>
        </w:rPr>
        <w:t>附墙架安装</w:t>
      </w:r>
    </w:p>
    <w:p w14:paraId="092812B7">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附着架安装之前，先将各预埋件螺栓孔清理干净，使螺栓能正常拧入，需特殊处理的预埋件也要提前准备好，然后将附着杆、标准件、工具、安装板以及钢丝缆锁等对象放到吊笼内，按下述步骤进行安装： </w:t>
      </w:r>
    </w:p>
    <w:p w14:paraId="1BC0C512">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（1） 将吊笼开至一定高度，使吊笼底与预埋件位置高度相当，按下“急停”按钮。 </w:t>
      </w:r>
    </w:p>
    <w:p w14:paraId="1935FFF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2）打开吊笼出口门，先用一标尺测量导轨架内侧主弦杆到建筑物外表面的垂直距离，如果距离不合适，应在架设导轨架时通过垫片来调整。然后将附着装置的联接角钢联到预埋件螺栓上，先不要拧紧，以便于调整角钢的旋转角度。 </w:t>
      </w:r>
    </w:p>
    <w:p w14:paraId="49B8240F">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（3）将附着装置的联接柱用 U 型螺栓联接到导轨架的内侧弦杆上，位置应满足该处与预埋件的连线和导轨架相垂直，然后将 U 型螺栓预紧。 </w:t>
      </w:r>
    </w:p>
    <w:p w14:paraId="115D369E">
      <w:pPr>
        <w:keepNext w:val="0"/>
        <w:keepLines w:val="0"/>
        <w:widowControl/>
        <w:suppressLineNumbers w:val="0"/>
        <w:jc w:val="left"/>
      </w:pPr>
      <w:r>
        <w:rPr>
          <w:rFonts w:hint="eastAsia" w:ascii="宋体" w:hAnsi="宋体" w:eastAsia="宋体" w:cs="宋体"/>
          <w:color w:val="000000"/>
          <w:kern w:val="0"/>
          <w:sz w:val="24"/>
          <w:szCs w:val="24"/>
          <w:lang w:val="en-US" w:eastAsia="zh-CN" w:bidi="ar"/>
        </w:rPr>
        <w:t xml:space="preserve">（4）将伸缩管的两端分别与联接柱及预埋件上的角钢联好。调整伸缩管的角度和长度使其处于受力最佳状态位置。用经纬仪测量导轨架的垂直度，如不合适，需通过调整各伸缩管长度校正。用工具将所有螺栓拧好，力矩不小于 15Kg.m。 </w:t>
      </w:r>
    </w:p>
    <w:p w14:paraId="5F08CBBF">
      <w:pPr>
        <w:keepNext w:val="0"/>
        <w:keepLines w:val="0"/>
        <w:widowControl/>
        <w:suppressLineNumbers w:val="0"/>
        <w:jc w:val="left"/>
      </w:pPr>
      <w:r>
        <w:rPr>
          <w:rFonts w:hint="eastAsia" w:ascii="宋体" w:hAnsi="宋体" w:eastAsia="宋体" w:cs="宋体"/>
          <w:color w:val="000000"/>
          <w:kern w:val="0"/>
          <w:sz w:val="24"/>
          <w:szCs w:val="24"/>
          <w:lang w:val="en-US" w:eastAsia="zh-CN" w:bidi="ar"/>
        </w:rPr>
        <w:t>（5）操作员回到吊笼内，关好门。向上开吊笼至下一安装位置，按上述过程安装下一附墙</w:t>
      </w:r>
      <w:bookmarkStart w:id="211" w:name="_GoBack"/>
      <w:bookmarkEnd w:id="211"/>
      <w:r>
        <w:rPr>
          <w:rFonts w:hint="eastAsia" w:ascii="宋体" w:hAnsi="宋体" w:eastAsia="宋体" w:cs="宋体"/>
          <w:color w:val="000000"/>
          <w:kern w:val="0"/>
          <w:sz w:val="24"/>
          <w:szCs w:val="24"/>
          <w:lang w:val="en-US" w:eastAsia="zh-CN" w:bidi="ar"/>
        </w:rPr>
        <w:t>架，每隔 6 米附着一次。</w:t>
      </w:r>
    </w:p>
    <w:p w14:paraId="4D202BE0">
      <w:pPr>
        <w:pStyle w:val="70"/>
        <w:numPr>
          <w:numId w:val="0"/>
        </w:numPr>
        <w:ind w:left="480" w:leftChars="0"/>
      </w:pPr>
    </w:p>
    <w:p w14:paraId="347F4173">
      <w:pPr>
        <w:pStyle w:val="109"/>
      </w:pPr>
      <w:r>
        <w:drawing>
          <wp:inline distT="0" distB="0" distL="114300" distR="114300">
            <wp:extent cx="5274310" cy="5234940"/>
            <wp:effectExtent l="0" t="0" r="2540" b="3810"/>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pic:cNvPicPr>
                      <a:picLocks noChangeAspect="1"/>
                    </pic:cNvPicPr>
                  </pic:nvPicPr>
                  <pic:blipFill>
                    <a:blip r:embed="rId60"/>
                    <a:stretch>
                      <a:fillRect/>
                    </a:stretch>
                  </pic:blipFill>
                  <pic:spPr>
                    <a:xfrm>
                      <a:off x="0" y="0"/>
                      <a:ext cx="5274310" cy="5234940"/>
                    </a:xfrm>
                    <a:prstGeom prst="rect">
                      <a:avLst/>
                    </a:prstGeom>
                    <a:noFill/>
                    <a:ln>
                      <a:noFill/>
                    </a:ln>
                  </pic:spPr>
                </pic:pic>
              </a:graphicData>
            </a:graphic>
          </wp:inline>
        </w:drawing>
      </w:r>
      <w:r>
        <w:drawing>
          <wp:inline distT="0" distB="0" distL="114300" distR="114300">
            <wp:extent cx="3162300" cy="7439025"/>
            <wp:effectExtent l="0" t="0" r="0" b="9525"/>
            <wp:docPr id="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9"/>
                    <pic:cNvPicPr>
                      <a:picLocks noChangeAspect="1"/>
                    </pic:cNvPicPr>
                  </pic:nvPicPr>
                  <pic:blipFill>
                    <a:blip r:embed="rId61"/>
                    <a:stretch>
                      <a:fillRect/>
                    </a:stretch>
                  </pic:blipFill>
                  <pic:spPr>
                    <a:xfrm>
                      <a:off x="0" y="0"/>
                      <a:ext cx="3162300" cy="7439025"/>
                    </a:xfrm>
                    <a:prstGeom prst="rect">
                      <a:avLst/>
                    </a:prstGeom>
                    <a:noFill/>
                    <a:ln>
                      <a:noFill/>
                    </a:ln>
                  </pic:spPr>
                </pic:pic>
              </a:graphicData>
            </a:graphic>
          </wp:inline>
        </w:drawing>
      </w:r>
    </w:p>
    <w:p w14:paraId="2BD4DA59">
      <w:pPr>
        <w:pStyle w:val="108"/>
      </w:pPr>
      <w:r>
        <w:rPr>
          <w:rFonts w:hint="eastAsia"/>
        </w:rPr>
        <w:t>图</w:t>
      </w:r>
      <w:r>
        <w:fldChar w:fldCharType="begin"/>
      </w:r>
      <w:r>
        <w:instrText xml:space="preserve"> </w:instrText>
      </w:r>
      <w:r>
        <w:rPr>
          <w:rFonts w:hint="eastAsia"/>
        </w:rPr>
        <w:instrText xml:space="preserve">STYLEREF </w:instrText>
      </w:r>
      <w:r>
        <w:instrText xml:space="preserve">3</w:instrText>
      </w:r>
      <w:r>
        <w:rPr>
          <w:rFonts w:hint="eastAsia"/>
        </w:rPr>
        <w:instrText xml:space="preserve"> \s</w:instrText>
      </w:r>
      <w:r>
        <w:instrText xml:space="preserve"> </w:instrText>
      </w:r>
      <w:r>
        <w:fldChar w:fldCharType="separate"/>
      </w:r>
      <w:r>
        <w:t>4.5.1</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3 </w:instrText>
      </w:r>
      <w:r>
        <w:fldChar w:fldCharType="separate"/>
      </w:r>
      <w:r>
        <w:t>22</w:t>
      </w:r>
      <w:r>
        <w:fldChar w:fldCharType="end"/>
      </w:r>
      <w:r>
        <w:t xml:space="preserve"> </w:t>
      </w:r>
      <w:r>
        <w:rPr>
          <w:rFonts w:hint="eastAsia"/>
        </w:rPr>
        <w:t>施工升降机附着立面示意图（mm）</w:t>
      </w:r>
    </w:p>
    <w:p w14:paraId="2FE3E7D8">
      <w:pPr>
        <w:pStyle w:val="4"/>
      </w:pPr>
      <w:commentRangeStart w:id="0"/>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拆除方法</w:t>
      </w:r>
      <w:commentRangeEnd w:id="0"/>
      <w:r>
        <w:rPr>
          <w:rStyle w:val="41"/>
          <w:rFonts w:cs="Times New Roman"/>
          <w:b w:val="0"/>
          <w:bCs w:val="0"/>
        </w:rPr>
        <w:commentReference w:id="0"/>
      </w:r>
    </w:p>
    <w:p w14:paraId="62BDC44E">
      <w:pPr>
        <w:ind w:firstLine="480"/>
      </w:pPr>
      <w:r>
        <w:rPr>
          <w:rFonts w:hint="eastAsia"/>
        </w:rPr>
        <w:t>拆除方法与安装方法流程相反，因此本节仅简要介绍拆除方法。若实际拆除工况与本方案不符则应在拆除施工前单独编制拆除方案。</w:t>
      </w:r>
    </w:p>
    <w:p w14:paraId="67E77FD1">
      <w:pPr>
        <w:ind w:firstLine="480"/>
      </w:pPr>
      <w:r>
        <w:rPr>
          <w:rFonts w:hint="eastAsia"/>
        </w:rPr>
        <w:t>在主塔施工完成，斜拉索施工完成后拆卸施工升降机，使用</w:t>
      </w:r>
      <w:r>
        <w:t>1</w:t>
      </w:r>
      <w:r>
        <w:rPr>
          <w:rFonts w:hint="eastAsia"/>
        </w:rPr>
        <w:t>台</w:t>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型号</w:instrText>
      </w:r>
      <w:r>
        <w:instrText xml:space="preserve"> \h  \* MERGEFORMAT </w:instrText>
      </w:r>
      <w:r>
        <w:fldChar w:fldCharType="separate"/>
      </w:r>
      <w:r>
        <w:rPr>
          <w:rFonts w:hint="eastAsia"/>
          <w:lang w:eastAsia="zh-CN"/>
        </w:rPr>
        <w:t>XGT8040A-25</w:t>
      </w:r>
      <w:r>
        <w:fldChar w:fldCharType="end"/>
      </w:r>
      <w:r>
        <w:fldChar w:fldCharType="begin"/>
      </w:r>
      <w:r>
        <w:instrText xml:space="preserve"> REF </w:instrText>
      </w:r>
      <w:r>
        <w:rPr>
          <w:rFonts w:hint="eastAsia"/>
        </w:rPr>
        <w:instrText xml:space="preserve">起重设备</w:instrText>
      </w:r>
      <w:r>
        <w:instrText xml:space="preserve">1</w:instrText>
      </w:r>
      <w:r>
        <w:rPr>
          <w:rFonts w:hint="eastAsia"/>
        </w:rPr>
        <w:instrText xml:space="preserve">类型</w:instrText>
      </w:r>
      <w:r>
        <w:instrText xml:space="preserve"> \h  \* MERGEFORMAT </w:instrText>
      </w:r>
      <w:r>
        <w:fldChar w:fldCharType="separate"/>
      </w:r>
      <w:r>
        <w:rPr>
          <w:rFonts w:hint="eastAsia"/>
        </w:rPr>
        <w:t>塔式起重机</w:t>
      </w:r>
      <w:r>
        <w:fldChar w:fldCharType="end"/>
      </w:r>
      <w:r>
        <w:rPr>
          <w:rFonts w:hint="eastAsia"/>
        </w:rPr>
        <w:t>拆除施工升降机。将拆除后的施工升降机部件至于桥面上。</w:t>
      </w:r>
    </w:p>
    <w:p w14:paraId="088ABBEE">
      <w:pPr>
        <w:pStyle w:val="70"/>
        <w:numPr>
          <w:ilvl w:val="0"/>
          <w:numId w:val="46"/>
        </w:numPr>
        <w:ind w:firstLineChars="0"/>
      </w:pPr>
      <w:r>
        <w:rPr>
          <w:rFonts w:hint="eastAsia"/>
        </w:rPr>
        <w:t>拆卸前的准备</w:t>
      </w:r>
    </w:p>
    <w:p w14:paraId="4B75F4D3">
      <w:pPr>
        <w:ind w:firstLine="480"/>
      </w:pPr>
      <w:r>
        <w:rPr>
          <w:rFonts w:hint="eastAsia"/>
        </w:rPr>
        <w:t>拆卸作业人员除按照前述提到的安装前的准备中相关要求准备外还需要注意：</w:t>
      </w:r>
    </w:p>
    <w:p w14:paraId="073E2C74">
      <w:pPr>
        <w:pStyle w:val="70"/>
        <w:numPr>
          <w:ilvl w:val="0"/>
          <w:numId w:val="47"/>
        </w:numPr>
        <w:ind w:firstLineChars="0"/>
      </w:pPr>
      <w:r>
        <w:rPr>
          <w:rFonts w:hint="eastAsia"/>
        </w:rPr>
        <w:t>设备拆卸前必须在相关单位办理拆卸告知。</w:t>
      </w:r>
    </w:p>
    <w:p w14:paraId="773C23E5">
      <w:pPr>
        <w:pStyle w:val="70"/>
        <w:numPr>
          <w:ilvl w:val="0"/>
          <w:numId w:val="47"/>
        </w:numPr>
        <w:ind w:firstLineChars="0"/>
      </w:pPr>
      <w:r>
        <w:rPr>
          <w:rFonts w:hint="eastAsia"/>
        </w:rPr>
        <w:t>拆卸前必须进行一次升降机的坠落试验。</w:t>
      </w:r>
    </w:p>
    <w:p w14:paraId="593A0C83">
      <w:pPr>
        <w:pStyle w:val="70"/>
        <w:numPr>
          <w:ilvl w:val="0"/>
          <w:numId w:val="46"/>
        </w:numPr>
        <w:ind w:firstLineChars="0"/>
      </w:pPr>
      <w:r>
        <w:rPr>
          <w:rFonts w:hint="eastAsia"/>
        </w:rPr>
        <w:t>拆卸的安全要求</w:t>
      </w:r>
    </w:p>
    <w:p w14:paraId="22FEF567">
      <w:pPr>
        <w:pStyle w:val="70"/>
        <w:numPr>
          <w:ilvl w:val="0"/>
          <w:numId w:val="48"/>
        </w:numPr>
        <w:ind w:firstLineChars="0"/>
      </w:pPr>
      <w:r>
        <w:rPr>
          <w:rFonts w:hint="eastAsia"/>
        </w:rPr>
        <w:t>拆卸人员必需经过培训，并具有相关操作资格证。</w:t>
      </w:r>
    </w:p>
    <w:p w14:paraId="2A1934E7">
      <w:pPr>
        <w:pStyle w:val="70"/>
        <w:numPr>
          <w:ilvl w:val="0"/>
          <w:numId w:val="48"/>
        </w:numPr>
        <w:ind w:firstLineChars="0"/>
      </w:pPr>
      <w:r>
        <w:rPr>
          <w:rFonts w:hint="eastAsia"/>
        </w:rPr>
        <w:t>拆卸场地应清理干净，并有标志杆围起来，禁止非工作人员入内。</w:t>
      </w:r>
    </w:p>
    <w:p w14:paraId="240F5C82">
      <w:pPr>
        <w:pStyle w:val="70"/>
        <w:numPr>
          <w:ilvl w:val="0"/>
          <w:numId w:val="48"/>
        </w:numPr>
        <w:ind w:firstLineChars="0"/>
      </w:pPr>
      <w:r>
        <w:rPr>
          <w:rFonts w:hint="eastAsia"/>
        </w:rPr>
        <w:t>防止拆卸地点上方掉落物体，必要时加安全网。</w:t>
      </w:r>
    </w:p>
    <w:p w14:paraId="7C5CB1DA">
      <w:pPr>
        <w:pStyle w:val="70"/>
        <w:numPr>
          <w:ilvl w:val="0"/>
          <w:numId w:val="48"/>
        </w:numPr>
        <w:ind w:firstLineChars="0"/>
      </w:pPr>
      <w:r>
        <w:rPr>
          <w:rFonts w:hint="eastAsia"/>
        </w:rPr>
        <w:t>拆卸过来程中必须有专人负责统一指挥。</w:t>
      </w:r>
    </w:p>
    <w:p w14:paraId="0B1FF51B">
      <w:pPr>
        <w:pStyle w:val="70"/>
        <w:numPr>
          <w:ilvl w:val="0"/>
          <w:numId w:val="48"/>
        </w:numPr>
        <w:ind w:firstLineChars="0"/>
      </w:pPr>
      <w:r>
        <w:rPr>
          <w:rFonts w:hint="eastAsia"/>
        </w:rPr>
        <w:t>拆卸作业人应按高空作业安全要求，包括必须戴安全帽、系安全带、穿防滑鞋等，不要穿过宽松的衣服，应穿工作服，以免被卷入运行中的部件中，发生安全事故。</w:t>
      </w:r>
    </w:p>
    <w:p w14:paraId="640AB87D">
      <w:pPr>
        <w:pStyle w:val="70"/>
        <w:numPr>
          <w:ilvl w:val="0"/>
          <w:numId w:val="48"/>
        </w:numPr>
        <w:ind w:firstLineChars="0"/>
      </w:pPr>
      <w:r>
        <w:rPr>
          <w:rFonts w:hint="eastAsia"/>
        </w:rPr>
        <w:t>雷雨天、雪天或风速超过13m/s的恶劣天气下不能进行拆卸作业。</w:t>
      </w:r>
    </w:p>
    <w:p w14:paraId="0A548FA5">
      <w:pPr>
        <w:pStyle w:val="70"/>
        <w:numPr>
          <w:ilvl w:val="0"/>
          <w:numId w:val="48"/>
        </w:numPr>
        <w:ind w:firstLineChars="0"/>
      </w:pPr>
      <w:r>
        <w:rPr>
          <w:rFonts w:hint="eastAsia"/>
        </w:rPr>
        <w:t>严禁夜间或酒后进行拆卸作业。</w:t>
      </w:r>
    </w:p>
    <w:p w14:paraId="6917668F">
      <w:pPr>
        <w:pStyle w:val="70"/>
        <w:numPr>
          <w:ilvl w:val="0"/>
          <w:numId w:val="48"/>
        </w:numPr>
        <w:ind w:firstLineChars="0"/>
      </w:pPr>
      <w:r>
        <w:rPr>
          <w:rFonts w:hint="eastAsia"/>
        </w:rPr>
        <w:t>拆卸前，检查升降机保护接地装置，确保接地电阻≤4Ω。</w:t>
      </w:r>
    </w:p>
    <w:p w14:paraId="41C66FF0">
      <w:pPr>
        <w:pStyle w:val="70"/>
        <w:numPr>
          <w:ilvl w:val="0"/>
          <w:numId w:val="48"/>
        </w:numPr>
        <w:ind w:firstLineChars="0"/>
      </w:pPr>
      <w:r>
        <w:rPr>
          <w:rFonts w:hint="eastAsia"/>
        </w:rPr>
        <w:t>吊笼启动前应先进行全面检查，确保升降机运行通道无障碍，消除所有不安全隐患。</w:t>
      </w:r>
    </w:p>
    <w:p w14:paraId="74C12AEB">
      <w:pPr>
        <w:pStyle w:val="70"/>
        <w:numPr>
          <w:ilvl w:val="0"/>
          <w:numId w:val="48"/>
        </w:numPr>
        <w:ind w:firstLineChars="0"/>
      </w:pPr>
      <w:r>
        <w:rPr>
          <w:rFonts w:hint="eastAsia"/>
        </w:rPr>
        <w:t>拆卸人员及物品不得倚靠在围栏上。</w:t>
      </w:r>
    </w:p>
    <w:p w14:paraId="31986651">
      <w:pPr>
        <w:pStyle w:val="70"/>
        <w:numPr>
          <w:ilvl w:val="0"/>
          <w:numId w:val="48"/>
        </w:numPr>
        <w:ind w:firstLineChars="0"/>
      </w:pPr>
      <w:r>
        <w:rPr>
          <w:rFonts w:hint="eastAsia"/>
        </w:rPr>
        <w:t>吊笼顶上的零部件必须放置平稳，不得露出安全围栏外。</w:t>
      </w:r>
    </w:p>
    <w:p w14:paraId="3E9A0F76">
      <w:pPr>
        <w:pStyle w:val="70"/>
        <w:numPr>
          <w:ilvl w:val="0"/>
          <w:numId w:val="48"/>
        </w:numPr>
        <w:ind w:firstLineChars="0"/>
      </w:pPr>
      <w:r>
        <w:rPr>
          <w:rFonts w:hint="eastAsia"/>
        </w:rPr>
        <w:t>升降机运行时，人员的头，手绝不能伸出安全围栏外。</w:t>
      </w:r>
    </w:p>
    <w:p w14:paraId="374FFA22">
      <w:pPr>
        <w:pStyle w:val="70"/>
        <w:numPr>
          <w:ilvl w:val="0"/>
          <w:numId w:val="48"/>
        </w:numPr>
        <w:ind w:firstLineChars="0"/>
      </w:pPr>
      <w:r>
        <w:rPr>
          <w:rFonts w:hint="eastAsia"/>
        </w:rPr>
        <w:t>拆卸运行时，绝对不允许超过额定拆卸载重量。</w:t>
      </w:r>
    </w:p>
    <w:p w14:paraId="123BC325">
      <w:pPr>
        <w:pStyle w:val="70"/>
        <w:numPr>
          <w:ilvl w:val="0"/>
          <w:numId w:val="48"/>
        </w:numPr>
        <w:ind w:firstLineChars="0"/>
      </w:pPr>
      <w:r>
        <w:rPr>
          <w:rFonts w:hint="eastAsia"/>
        </w:rPr>
        <w:t>拆卸过程中，必须在笼顶操作，不允许笼内操作。</w:t>
      </w:r>
    </w:p>
    <w:p w14:paraId="19BA1F49">
      <w:pPr>
        <w:pStyle w:val="70"/>
        <w:numPr>
          <w:ilvl w:val="0"/>
          <w:numId w:val="48"/>
        </w:numPr>
        <w:ind w:firstLineChars="0"/>
      </w:pPr>
      <w:r>
        <w:rPr>
          <w:rFonts w:hint="eastAsia"/>
        </w:rPr>
        <w:t>如果有人在导轨架上或附墙架上工作时，绝对不允许开动升降机，当吊笼运行时严禁进入外笼内。</w:t>
      </w:r>
    </w:p>
    <w:p w14:paraId="144EF9E1">
      <w:pPr>
        <w:pStyle w:val="70"/>
        <w:numPr>
          <w:ilvl w:val="0"/>
          <w:numId w:val="48"/>
        </w:numPr>
        <w:ind w:firstLineChars="0"/>
      </w:pPr>
      <w:r>
        <w:rPr>
          <w:rFonts w:hint="eastAsia"/>
        </w:rPr>
        <w:t>利用吊杆进行拆卸时，不允许超载，吊杆只可用来安装和拆卸升降机的零部件，不得用于其他用途。</w:t>
      </w:r>
    </w:p>
    <w:p w14:paraId="34D4F5B8">
      <w:pPr>
        <w:pStyle w:val="70"/>
        <w:numPr>
          <w:ilvl w:val="0"/>
          <w:numId w:val="48"/>
        </w:numPr>
        <w:ind w:firstLineChars="0"/>
      </w:pPr>
      <w:r>
        <w:rPr>
          <w:rFonts w:hint="eastAsia"/>
        </w:rPr>
        <w:t>吊杆上有悬挂物时，不得开动吊笼。</w:t>
      </w:r>
    </w:p>
    <w:p w14:paraId="68E36A89">
      <w:pPr>
        <w:pStyle w:val="70"/>
        <w:numPr>
          <w:ilvl w:val="0"/>
          <w:numId w:val="48"/>
        </w:numPr>
        <w:ind w:firstLineChars="0"/>
      </w:pPr>
      <w:r>
        <w:rPr>
          <w:rFonts w:hint="eastAsia"/>
        </w:rPr>
        <w:t>拆卸前必须进行一次安全器坠落试验。</w:t>
      </w:r>
    </w:p>
    <w:p w14:paraId="2106EF94">
      <w:pPr>
        <w:pStyle w:val="70"/>
        <w:numPr>
          <w:ilvl w:val="0"/>
          <w:numId w:val="46"/>
        </w:numPr>
        <w:ind w:firstLineChars="0"/>
      </w:pPr>
      <w:r>
        <w:rPr>
          <w:rFonts w:hint="eastAsia"/>
        </w:rPr>
        <w:t>将吊笼开到笼底，拆下滑触线</w:t>
      </w:r>
    </w:p>
    <w:p w14:paraId="2221CDF2">
      <w:pPr>
        <w:pStyle w:val="70"/>
        <w:numPr>
          <w:ilvl w:val="0"/>
          <w:numId w:val="46"/>
        </w:numPr>
        <w:ind w:firstLineChars="0"/>
      </w:pPr>
      <w:r>
        <w:rPr>
          <w:rFonts w:hint="eastAsia"/>
        </w:rPr>
        <w:t>导轨架及附墙架的拆卸</w:t>
      </w:r>
    </w:p>
    <w:p w14:paraId="05E673D7">
      <w:pPr>
        <w:pStyle w:val="70"/>
        <w:numPr>
          <w:ilvl w:val="0"/>
          <w:numId w:val="49"/>
        </w:numPr>
        <w:ind w:firstLineChars="0"/>
      </w:pPr>
      <w:r>
        <w:rPr>
          <w:rFonts w:hint="eastAsia"/>
        </w:rPr>
        <w:t>先将吊杆安装在吊笼顶的吊杆孔内。</w:t>
      </w:r>
    </w:p>
    <w:p w14:paraId="74F6B80C">
      <w:pPr>
        <w:pStyle w:val="70"/>
        <w:numPr>
          <w:ilvl w:val="0"/>
          <w:numId w:val="49"/>
        </w:numPr>
        <w:ind w:firstLineChars="0"/>
      </w:pPr>
      <w:r>
        <w:rPr>
          <w:rFonts w:hint="eastAsia"/>
        </w:rPr>
        <w:t>利用吊杆将标准节逐节提起，从上往下逐节拆卸导轨架及附墙架，直至中间挑线架处。</w:t>
      </w:r>
    </w:p>
    <w:p w14:paraId="37FFA65C">
      <w:pPr>
        <w:pStyle w:val="70"/>
        <w:numPr>
          <w:ilvl w:val="0"/>
          <w:numId w:val="49"/>
        </w:numPr>
        <w:ind w:firstLineChars="0"/>
      </w:pPr>
      <w:r>
        <w:rPr>
          <w:rFonts w:hint="eastAsia"/>
        </w:rPr>
        <w:t>拆卸中间挑线架。</w:t>
      </w:r>
    </w:p>
    <w:p w14:paraId="659DF6F4">
      <w:pPr>
        <w:pStyle w:val="70"/>
        <w:numPr>
          <w:ilvl w:val="0"/>
          <w:numId w:val="49"/>
        </w:numPr>
        <w:ind w:firstLineChars="0"/>
      </w:pPr>
      <w:r>
        <w:rPr>
          <w:rFonts w:hint="eastAsia"/>
        </w:rPr>
        <w:t>按上述方式拆卸其余导轨架、附墙架，直至仅剩3~4节标准节。</w:t>
      </w:r>
    </w:p>
    <w:p w14:paraId="7817DF2E">
      <w:pPr>
        <w:pStyle w:val="70"/>
        <w:numPr>
          <w:ilvl w:val="0"/>
          <w:numId w:val="49"/>
        </w:numPr>
        <w:ind w:firstLineChars="0"/>
      </w:pPr>
      <w:r>
        <w:rPr>
          <w:rFonts w:hint="eastAsia"/>
        </w:rPr>
        <w:t>拆卸现场如有起重设备配合，可先拆下最顶部一道附墙，再用起重设备将顶部标准节吊住，每4~6节标准节为一体拆掉。</w:t>
      </w:r>
    </w:p>
    <w:p w14:paraId="46D9E12B">
      <w:pPr>
        <w:pStyle w:val="70"/>
        <w:numPr>
          <w:ilvl w:val="0"/>
          <w:numId w:val="46"/>
        </w:numPr>
        <w:ind w:firstLineChars="0"/>
      </w:pPr>
      <w:r>
        <w:rPr>
          <w:rFonts w:hint="eastAsia"/>
        </w:rPr>
        <w:t>拆卸导轨架及附墙架时需注意的问题：</w:t>
      </w:r>
    </w:p>
    <w:p w14:paraId="2FA01965">
      <w:pPr>
        <w:pStyle w:val="70"/>
        <w:numPr>
          <w:ilvl w:val="0"/>
          <w:numId w:val="50"/>
        </w:numPr>
        <w:ind w:firstLineChars="0"/>
      </w:pPr>
      <w:r>
        <w:rPr>
          <w:rFonts w:hint="eastAsia"/>
        </w:rPr>
        <w:t>在拆除上限位碰铁和上极限限位碰铁后，每次将吊笼开至接近导轨架顶上时，要减慢速度，注意不能让吊笼超出导轨架。</w:t>
      </w:r>
    </w:p>
    <w:p w14:paraId="2BFB0B50">
      <w:pPr>
        <w:pStyle w:val="70"/>
        <w:numPr>
          <w:ilvl w:val="0"/>
          <w:numId w:val="50"/>
        </w:numPr>
        <w:ind w:firstLineChars="0"/>
      </w:pPr>
      <w:r>
        <w:rPr>
          <w:rFonts w:hint="eastAsia"/>
        </w:rPr>
        <w:t>拆卸时，每次用吊车吊起的标准节不超过6节。</w:t>
      </w:r>
    </w:p>
    <w:p w14:paraId="58EDCAD0">
      <w:pPr>
        <w:pStyle w:val="70"/>
        <w:numPr>
          <w:ilvl w:val="0"/>
          <w:numId w:val="50"/>
        </w:numPr>
        <w:ind w:firstLineChars="0"/>
      </w:pPr>
      <w:r>
        <w:rPr>
          <w:rFonts w:hint="eastAsia"/>
        </w:rPr>
        <w:t>从吊笼上平面到最顶部未拆下的附墙的距离不得大于9m。</w:t>
      </w:r>
    </w:p>
    <w:p w14:paraId="358A63BB">
      <w:pPr>
        <w:pStyle w:val="70"/>
        <w:numPr>
          <w:ilvl w:val="0"/>
          <w:numId w:val="50"/>
        </w:numPr>
        <w:ind w:firstLineChars="0"/>
      </w:pPr>
      <w:r>
        <w:rPr>
          <w:rFonts w:hint="eastAsia"/>
        </w:rPr>
        <w:t>拆卸时的载重量不得大于该升降机额定拆卸载重量。</w:t>
      </w:r>
    </w:p>
    <w:p w14:paraId="1920D26E">
      <w:pPr>
        <w:pStyle w:val="70"/>
        <w:numPr>
          <w:ilvl w:val="0"/>
          <w:numId w:val="50"/>
        </w:numPr>
        <w:ind w:firstLineChars="0"/>
      </w:pPr>
      <w:r>
        <w:rPr>
          <w:rFonts w:hint="eastAsia"/>
        </w:rPr>
        <w:t>拆卸时必须随时注意电缆，防止电缆挂在别的零部件上而拉断电缆。</w:t>
      </w:r>
    </w:p>
    <w:p w14:paraId="1B35831B">
      <w:pPr>
        <w:pStyle w:val="70"/>
        <w:numPr>
          <w:ilvl w:val="0"/>
          <w:numId w:val="46"/>
        </w:numPr>
        <w:ind w:firstLineChars="0"/>
      </w:pPr>
      <w:r>
        <w:rPr>
          <w:rFonts w:hint="eastAsia"/>
        </w:rPr>
        <w:t>传动小车及吊笼的拆卸</w:t>
      </w:r>
    </w:p>
    <w:p w14:paraId="6EF35EAC">
      <w:pPr>
        <w:pStyle w:val="70"/>
        <w:numPr>
          <w:ilvl w:val="0"/>
          <w:numId w:val="51"/>
        </w:numPr>
        <w:ind w:firstLineChars="0"/>
      </w:pPr>
      <w:r>
        <w:rPr>
          <w:rFonts w:hint="eastAsia"/>
        </w:rPr>
        <w:t>将吊笼开到最底部，切断总电源，并拆卸随行电缆。</w:t>
      </w:r>
    </w:p>
    <w:p w14:paraId="0983F1B6">
      <w:pPr>
        <w:pStyle w:val="70"/>
        <w:numPr>
          <w:ilvl w:val="0"/>
          <w:numId w:val="51"/>
        </w:numPr>
        <w:ind w:firstLineChars="0"/>
      </w:pPr>
      <w:r>
        <w:rPr>
          <w:rFonts w:hint="eastAsia"/>
        </w:rPr>
        <w:t>拆卸传动小车与吊笼连接的传感销；并松开电机制动器。</w:t>
      </w:r>
    </w:p>
    <w:p w14:paraId="25DC8519">
      <w:pPr>
        <w:pStyle w:val="70"/>
        <w:numPr>
          <w:ilvl w:val="0"/>
          <w:numId w:val="51"/>
        </w:numPr>
        <w:ind w:firstLineChars="0"/>
      </w:pPr>
      <w:r>
        <w:rPr>
          <w:rFonts w:hint="eastAsia"/>
        </w:rPr>
        <w:t>用起重设备分别将传动小车和吊笼吊出。</w:t>
      </w:r>
    </w:p>
    <w:p w14:paraId="17EAC97B">
      <w:pPr>
        <w:pStyle w:val="70"/>
        <w:numPr>
          <w:ilvl w:val="0"/>
          <w:numId w:val="51"/>
        </w:numPr>
        <w:ind w:firstLineChars="0"/>
      </w:pPr>
      <w:r>
        <w:rPr>
          <w:rFonts w:hint="eastAsia"/>
        </w:rPr>
        <w:t>拆卸其余标准节。</w:t>
      </w:r>
    </w:p>
    <w:p w14:paraId="25402C68">
      <w:pPr>
        <w:pStyle w:val="70"/>
        <w:numPr>
          <w:ilvl w:val="0"/>
          <w:numId w:val="46"/>
        </w:numPr>
        <w:ind w:firstLineChars="0"/>
      </w:pPr>
      <w:r>
        <w:rPr>
          <w:rFonts w:hint="eastAsia"/>
        </w:rPr>
        <w:t>外笼的拆卸</w:t>
      </w:r>
    </w:p>
    <w:p w14:paraId="29F45884">
      <w:pPr>
        <w:pStyle w:val="70"/>
        <w:numPr>
          <w:ilvl w:val="0"/>
          <w:numId w:val="52"/>
        </w:numPr>
        <w:ind w:firstLineChars="0"/>
      </w:pPr>
      <w:r>
        <w:rPr>
          <w:rFonts w:hint="eastAsia"/>
        </w:rPr>
        <w:t>拆卸所有外笼围栏和外笼附件。</w:t>
      </w:r>
    </w:p>
    <w:p w14:paraId="1DF4856A">
      <w:pPr>
        <w:pStyle w:val="70"/>
        <w:numPr>
          <w:ilvl w:val="0"/>
          <w:numId w:val="52"/>
        </w:numPr>
        <w:ind w:firstLineChars="0"/>
      </w:pPr>
      <w:r>
        <w:rPr>
          <w:rFonts w:hint="eastAsia"/>
        </w:rPr>
        <w:t>拆卸底盘。</w:t>
      </w:r>
    </w:p>
    <w:p w14:paraId="48AEF598">
      <w:pPr>
        <w:pStyle w:val="70"/>
        <w:numPr>
          <w:ilvl w:val="0"/>
          <w:numId w:val="52"/>
        </w:numPr>
        <w:ind w:firstLineChars="0"/>
      </w:pPr>
      <w:r>
        <w:rPr>
          <w:rFonts w:hint="eastAsia"/>
        </w:rPr>
        <w:t>如有钢筋混凝土基础板和预埋基础座，则根据现场情况可考虑拆除或不拆除。</w:t>
      </w:r>
    </w:p>
    <w:p w14:paraId="7B10A9FF">
      <w:pPr>
        <w:pStyle w:val="70"/>
        <w:numPr>
          <w:ilvl w:val="0"/>
          <w:numId w:val="46"/>
        </w:numPr>
        <w:ind w:firstLineChars="0"/>
      </w:pPr>
      <w:r>
        <w:rPr>
          <w:rFonts w:hint="eastAsia"/>
        </w:rPr>
        <w:t>清理现场</w:t>
      </w:r>
    </w:p>
    <w:p w14:paraId="49569D6A">
      <w:pPr>
        <w:ind w:firstLine="480"/>
      </w:pPr>
      <w:r>
        <w:rPr>
          <w:rFonts w:hint="eastAsia"/>
        </w:rPr>
        <w:t>拆卸完毕后，应当清理现场，将各零部件分类，整齐放置；清除安全隐患。对于需要维修保养的零部件，在入库前要做好维修保养工作。</w:t>
      </w:r>
    </w:p>
    <w:p w14:paraId="08715E64">
      <w:pPr>
        <w:pStyle w:val="3"/>
      </w:pPr>
      <w:bookmarkStart w:id="101" w:name="_Toc16392"/>
      <w:r>
        <w:rPr>
          <w:rFonts w:hint="eastAsia"/>
        </w:rPr>
        <w:t>检查要求</w:t>
      </w:r>
      <w:bookmarkEnd w:id="101"/>
    </w:p>
    <w:p w14:paraId="507E8642">
      <w:pPr>
        <w:pStyle w:val="4"/>
      </w:pPr>
      <w:r>
        <w:rPr>
          <w:rFonts w:hint="eastAsia"/>
        </w:rPr>
        <w:t>验收标准</w:t>
      </w:r>
    </w:p>
    <w:p w14:paraId="6A2E33B5">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安装验收标准依据详见</w:t>
      </w:r>
      <w:r>
        <w:fldChar w:fldCharType="begin"/>
      </w:r>
      <w:r>
        <w:instrText xml:space="preserve"> </w:instrText>
      </w:r>
      <w:r>
        <w:rPr>
          <w:rFonts w:hint="eastAsia"/>
        </w:rPr>
        <w:instrText xml:space="preserve">REF _Ref124236063 \h</w:instrText>
      </w:r>
      <w:r>
        <w:instrText xml:space="preserve"> </w:instrText>
      </w:r>
      <w:r>
        <w:fldChar w:fldCharType="separate"/>
      </w:r>
      <w:r>
        <w:rPr>
          <w:rFonts w:hint="eastAsia"/>
        </w:rPr>
        <w:t>表</w:t>
      </w:r>
      <w:r>
        <w:t>4.6.1-1</w:t>
      </w:r>
      <w:r>
        <w:fldChar w:fldCharType="end"/>
      </w:r>
      <w:r>
        <w:rPr>
          <w:rFonts w:hint="eastAsia"/>
        </w:rPr>
        <w:t>所示。</w:t>
      </w:r>
    </w:p>
    <w:p w14:paraId="70C954CA">
      <w:pPr>
        <w:pStyle w:val="15"/>
      </w:pPr>
      <w:bookmarkStart w:id="102" w:name="_Ref124236063"/>
      <w:r>
        <w:rPr>
          <w:rFonts w:hint="eastAsia"/>
        </w:rPr>
        <w:t>表</w:t>
      </w:r>
      <w:r>
        <w:fldChar w:fldCharType="begin"/>
      </w:r>
      <w:r>
        <w:instrText xml:space="preserve"> STYLEREF 3 \s </w:instrText>
      </w:r>
      <w:r>
        <w:fldChar w:fldCharType="separate"/>
      </w:r>
      <w:r>
        <w:t>4.6.1</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02"/>
      <w:r>
        <w:t xml:space="preserve"> </w:t>
      </w:r>
      <w:r>
        <w:rPr>
          <w:rFonts w:hint="eastAsia"/>
        </w:rPr>
        <w:t>验收标准</w:t>
      </w:r>
    </w:p>
    <w:tbl>
      <w:tblPr>
        <w:tblStyle w:val="13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2"/>
        <w:gridCol w:w="1897"/>
        <w:gridCol w:w="5241"/>
        <w:gridCol w:w="692"/>
      </w:tblGrid>
      <w:tr w14:paraId="1E5FA2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blHeader/>
        </w:trPr>
        <w:tc>
          <w:tcPr>
            <w:tcW w:w="406" w:type="pct"/>
            <w:vAlign w:val="center"/>
          </w:tcPr>
          <w:p w14:paraId="209EDEA1">
            <w:pPr>
              <w:pStyle w:val="16"/>
              <w:rPr>
                <w:b/>
              </w:rPr>
            </w:pPr>
            <w:r>
              <w:rPr>
                <w:rFonts w:hint="eastAsia"/>
                <w:b/>
              </w:rPr>
              <w:t>序号</w:t>
            </w:r>
          </w:p>
        </w:tc>
        <w:tc>
          <w:tcPr>
            <w:tcW w:w="1113" w:type="pct"/>
            <w:vAlign w:val="center"/>
          </w:tcPr>
          <w:p w14:paraId="09CF9671">
            <w:pPr>
              <w:pStyle w:val="16"/>
              <w:rPr>
                <w:b/>
              </w:rPr>
            </w:pPr>
            <w:r>
              <w:rPr>
                <w:rFonts w:hint="eastAsia"/>
                <w:b/>
              </w:rPr>
              <w:t>标准号</w:t>
            </w:r>
          </w:p>
        </w:tc>
        <w:tc>
          <w:tcPr>
            <w:tcW w:w="3075" w:type="pct"/>
            <w:vAlign w:val="center"/>
          </w:tcPr>
          <w:p w14:paraId="7BCB1941">
            <w:pPr>
              <w:pStyle w:val="16"/>
              <w:rPr>
                <w:b/>
              </w:rPr>
            </w:pPr>
            <w:r>
              <w:rPr>
                <w:rFonts w:hint="eastAsia"/>
                <w:b/>
              </w:rPr>
              <w:t>标准（文件）名称</w:t>
            </w:r>
          </w:p>
        </w:tc>
        <w:tc>
          <w:tcPr>
            <w:tcW w:w="406" w:type="pct"/>
            <w:vAlign w:val="center"/>
          </w:tcPr>
          <w:p w14:paraId="3994D943">
            <w:pPr>
              <w:pStyle w:val="16"/>
              <w:rPr>
                <w:b/>
              </w:rPr>
            </w:pPr>
            <w:r>
              <w:rPr>
                <w:rFonts w:hint="eastAsia"/>
                <w:b/>
              </w:rPr>
              <w:t>备注</w:t>
            </w:r>
          </w:p>
        </w:tc>
      </w:tr>
      <w:tr w14:paraId="6A993E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55EBD270">
            <w:pPr>
              <w:pStyle w:val="16"/>
              <w:numPr>
                <w:ilvl w:val="0"/>
                <w:numId w:val="53"/>
              </w:numPr>
            </w:pPr>
          </w:p>
        </w:tc>
        <w:tc>
          <w:tcPr>
            <w:tcW w:w="1113" w:type="pct"/>
            <w:vAlign w:val="center"/>
          </w:tcPr>
          <w:p w14:paraId="52F4FD03">
            <w:pPr>
              <w:pStyle w:val="16"/>
            </w:pPr>
            <w:r>
              <w:rPr>
                <w:rFonts w:hint="eastAsia"/>
              </w:rPr>
              <w:t>GB</w:t>
            </w:r>
            <w:r>
              <w:t xml:space="preserve"> </w:t>
            </w:r>
            <w:r>
              <w:rPr>
                <w:rFonts w:hint="eastAsia"/>
              </w:rPr>
              <w:t>50278-2010</w:t>
            </w:r>
          </w:p>
        </w:tc>
        <w:tc>
          <w:tcPr>
            <w:tcW w:w="3075" w:type="pct"/>
            <w:vAlign w:val="center"/>
          </w:tcPr>
          <w:p w14:paraId="1B9B2C44">
            <w:pPr>
              <w:pStyle w:val="16"/>
            </w:pPr>
            <w:r>
              <w:rPr>
                <w:rFonts w:hint="eastAsia"/>
              </w:rPr>
              <w:t>起重设备安装工程施工及验收规范</w:t>
            </w:r>
          </w:p>
        </w:tc>
        <w:tc>
          <w:tcPr>
            <w:tcW w:w="406" w:type="pct"/>
            <w:vAlign w:val="center"/>
          </w:tcPr>
          <w:p w14:paraId="2AFDEDD1">
            <w:pPr>
              <w:pStyle w:val="16"/>
            </w:pPr>
          </w:p>
        </w:tc>
      </w:tr>
      <w:tr w14:paraId="4569E8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140CCF18">
            <w:pPr>
              <w:pStyle w:val="16"/>
              <w:numPr>
                <w:ilvl w:val="0"/>
                <w:numId w:val="53"/>
              </w:numPr>
            </w:pPr>
          </w:p>
        </w:tc>
        <w:tc>
          <w:tcPr>
            <w:tcW w:w="1113" w:type="pct"/>
            <w:vAlign w:val="center"/>
          </w:tcPr>
          <w:p w14:paraId="4A719167">
            <w:pPr>
              <w:pStyle w:val="16"/>
            </w:pPr>
            <w:r>
              <w:rPr>
                <w:rFonts w:hint="eastAsia"/>
              </w:rPr>
              <w:t>GB 50231-2009</w:t>
            </w:r>
          </w:p>
        </w:tc>
        <w:tc>
          <w:tcPr>
            <w:tcW w:w="3075" w:type="pct"/>
            <w:vAlign w:val="center"/>
          </w:tcPr>
          <w:p w14:paraId="01E3F36A">
            <w:pPr>
              <w:pStyle w:val="16"/>
            </w:pPr>
            <w:r>
              <w:rPr>
                <w:rFonts w:hint="eastAsia"/>
              </w:rPr>
              <w:t>机械设备安装工程施工及验收通用规范</w:t>
            </w:r>
          </w:p>
        </w:tc>
        <w:tc>
          <w:tcPr>
            <w:tcW w:w="406" w:type="pct"/>
            <w:vAlign w:val="center"/>
          </w:tcPr>
          <w:p w14:paraId="20FDD891">
            <w:pPr>
              <w:pStyle w:val="16"/>
            </w:pPr>
          </w:p>
        </w:tc>
      </w:tr>
      <w:tr w14:paraId="12997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467F1DE5">
            <w:pPr>
              <w:pStyle w:val="16"/>
              <w:numPr>
                <w:ilvl w:val="0"/>
                <w:numId w:val="53"/>
              </w:numPr>
            </w:pPr>
          </w:p>
        </w:tc>
        <w:tc>
          <w:tcPr>
            <w:tcW w:w="1113" w:type="pct"/>
            <w:vAlign w:val="center"/>
          </w:tcPr>
          <w:p w14:paraId="15AAB23C">
            <w:pPr>
              <w:pStyle w:val="16"/>
            </w:pPr>
            <w:r>
              <w:rPr>
                <w:rFonts w:hint="eastAsia"/>
              </w:rPr>
              <w:t>GB 50256-2014</w:t>
            </w:r>
          </w:p>
        </w:tc>
        <w:tc>
          <w:tcPr>
            <w:tcW w:w="3075" w:type="pct"/>
            <w:vAlign w:val="center"/>
          </w:tcPr>
          <w:p w14:paraId="50846BAE">
            <w:pPr>
              <w:pStyle w:val="16"/>
            </w:pPr>
            <w:r>
              <w:rPr>
                <w:rFonts w:hint="eastAsia"/>
              </w:rPr>
              <w:t>电气装置安装工程起重机电气装置施工及验收规范</w:t>
            </w:r>
          </w:p>
        </w:tc>
        <w:tc>
          <w:tcPr>
            <w:tcW w:w="406" w:type="pct"/>
            <w:vAlign w:val="center"/>
          </w:tcPr>
          <w:p w14:paraId="0323E1C8">
            <w:pPr>
              <w:pStyle w:val="16"/>
            </w:pPr>
          </w:p>
        </w:tc>
      </w:tr>
      <w:tr w14:paraId="1D7C2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06" w:type="pct"/>
            <w:vAlign w:val="center"/>
          </w:tcPr>
          <w:p w14:paraId="35647DD4">
            <w:pPr>
              <w:pStyle w:val="16"/>
              <w:numPr>
                <w:ilvl w:val="0"/>
                <w:numId w:val="53"/>
              </w:numPr>
            </w:pPr>
          </w:p>
        </w:tc>
        <w:tc>
          <w:tcPr>
            <w:tcW w:w="1113" w:type="pct"/>
            <w:vAlign w:val="center"/>
          </w:tcPr>
          <w:p w14:paraId="6B3BF0D9">
            <w:pPr>
              <w:pStyle w:val="16"/>
            </w:pPr>
            <w:r>
              <w:t>GB/</w:t>
            </w:r>
            <w:r>
              <w:rPr>
                <w:rFonts w:hint="eastAsia"/>
              </w:rPr>
              <w:t>T 33640-2017</w:t>
            </w:r>
          </w:p>
        </w:tc>
        <w:tc>
          <w:tcPr>
            <w:tcW w:w="3075" w:type="pct"/>
            <w:vAlign w:val="center"/>
          </w:tcPr>
          <w:p w14:paraId="7593B5EE">
            <w:pPr>
              <w:pStyle w:val="16"/>
            </w:pPr>
            <w:r>
              <w:rPr>
                <w:rFonts w:hint="eastAsia"/>
              </w:rPr>
              <w:t>齿轮齿条式人货两用施工升降机安装质量检验规程</w:t>
            </w:r>
          </w:p>
        </w:tc>
        <w:tc>
          <w:tcPr>
            <w:tcW w:w="406" w:type="pct"/>
            <w:vAlign w:val="center"/>
          </w:tcPr>
          <w:p w14:paraId="3EB76A77">
            <w:pPr>
              <w:pStyle w:val="16"/>
            </w:pPr>
          </w:p>
        </w:tc>
      </w:tr>
    </w:tbl>
    <w:p w14:paraId="06183552">
      <w:pPr>
        <w:pStyle w:val="4"/>
      </w:pPr>
      <w:r>
        <w:rPr>
          <w:rFonts w:hint="eastAsia"/>
        </w:rPr>
        <w:t>验收程序</w:t>
      </w:r>
    </w:p>
    <w:p w14:paraId="2E4368F4">
      <w:pPr>
        <w:numPr>
          <w:ilvl w:val="0"/>
          <w:numId w:val="54"/>
        </w:numPr>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安装自检验收</w:t>
      </w:r>
    </w:p>
    <w:p w14:paraId="69C24ADA">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安装完成后，及时组织本单位施工负责人、质检人员、技术人员、安全人员、安装人员对</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进行安装验收。</w:t>
      </w:r>
    </w:p>
    <w:p w14:paraId="7D98C368">
      <w:pPr>
        <w:numPr>
          <w:ilvl w:val="0"/>
          <w:numId w:val="54"/>
        </w:numPr>
      </w:pPr>
      <w:r>
        <w:rPr>
          <w:rFonts w:hint="eastAsia"/>
        </w:rPr>
        <w:t>委托第三方检验机构检验</w:t>
      </w:r>
    </w:p>
    <w:p w14:paraId="5DBE72A6">
      <w:pPr>
        <w:ind w:firstLine="480"/>
      </w:pPr>
      <w:r>
        <w:rPr>
          <w:rFonts w:hint="eastAsia"/>
        </w:rPr>
        <w:t>检测单位检测完成之后，出具的检测报告是应是整机合格，但可能存在部分项目不合格的情况，</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供应方与安装单位应对不合格项目进行整改，并出具整改报告。</w:t>
      </w:r>
    </w:p>
    <w:p w14:paraId="561478CF">
      <w:pPr>
        <w:numPr>
          <w:ilvl w:val="0"/>
          <w:numId w:val="54"/>
        </w:numPr>
      </w:pPr>
      <w:r>
        <w:rPr>
          <w:rFonts w:hint="eastAsia"/>
        </w:rPr>
        <w:t>安装资料送审</w:t>
      </w:r>
    </w:p>
    <w:p w14:paraId="6E4121E5">
      <w:pPr>
        <w:ind w:firstLine="480"/>
      </w:pPr>
      <w:r>
        <w:rPr>
          <w:rFonts w:hint="eastAsia"/>
        </w:rPr>
        <w:t>将</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安装相关资料原件报送项目部审核，参与项目部组织的联合验收。</w:t>
      </w:r>
    </w:p>
    <w:p w14:paraId="10ED0318">
      <w:pPr>
        <w:numPr>
          <w:ilvl w:val="0"/>
          <w:numId w:val="54"/>
        </w:numPr>
      </w:pPr>
      <w:r>
        <w:rPr>
          <w:rFonts w:hint="eastAsia"/>
        </w:rPr>
        <w:t>参与</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安装联合验收</w:t>
      </w:r>
    </w:p>
    <w:p w14:paraId="53BE34FE">
      <w:pPr>
        <w:ind w:firstLine="480"/>
      </w:pPr>
      <w:r>
        <w:rPr>
          <w:rFonts w:hint="eastAsia"/>
        </w:rPr>
        <w:t>参与项目部组织的</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安装联合验收。</w:t>
      </w:r>
    </w:p>
    <w:p w14:paraId="1625DF36">
      <w:pPr>
        <w:numPr>
          <w:ilvl w:val="0"/>
          <w:numId w:val="54"/>
        </w:numPr>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取证</w:t>
      </w:r>
    </w:p>
    <w:p w14:paraId="4303D634">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安装联合验收通过后，根据合同约定进行</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取证。</w:t>
      </w:r>
    </w:p>
    <w:p w14:paraId="053D723E">
      <w:pPr>
        <w:pStyle w:val="4"/>
      </w:pPr>
      <w:r>
        <w:rPr>
          <w:rFonts w:hint="eastAsia"/>
        </w:rPr>
        <w:t>验收人员</w:t>
      </w:r>
    </w:p>
    <w:p w14:paraId="6E3BAED6">
      <w:pPr>
        <w:ind w:firstLine="480"/>
      </w:pPr>
      <w:r>
        <w:rPr>
          <w:rFonts w:hint="eastAsia"/>
        </w:rPr>
        <w:t>参与</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安装自检验收主要人员包括：本单位施工负责人、质检人员、技术人员、安全人员、安装人员等。</w:t>
      </w:r>
    </w:p>
    <w:p w14:paraId="215476D6">
      <w:pPr>
        <w:ind w:firstLine="480"/>
      </w:pPr>
      <w:r>
        <w:rPr>
          <w:rFonts w:hint="eastAsia"/>
        </w:rPr>
        <w:t>参与</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安装联合验收主要人员包括：本单位施工负责人。</w:t>
      </w:r>
    </w:p>
    <w:p w14:paraId="405FC011">
      <w:pPr>
        <w:pStyle w:val="4"/>
      </w:pPr>
      <w:r>
        <w:rPr>
          <w:rFonts w:hint="eastAsia"/>
        </w:rPr>
        <w:t>验收内容</w:t>
      </w:r>
    </w:p>
    <w:p w14:paraId="417AAA98">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安装验收内容见方案</w:t>
      </w:r>
      <w:r>
        <w:fldChar w:fldCharType="begin"/>
      </w:r>
      <w:r>
        <w:instrText xml:space="preserve"> </w:instrText>
      </w:r>
      <w:r>
        <w:rPr>
          <w:rFonts w:hint="eastAsia"/>
        </w:rPr>
        <w:instrText xml:space="preserve">REF _Ref153349200 \n \h</w:instrText>
      </w:r>
      <w:r>
        <w:instrText xml:space="preserve"> </w:instrText>
      </w:r>
      <w:r>
        <w:fldChar w:fldCharType="separate"/>
      </w:r>
      <w:r>
        <w:rPr>
          <w:rFonts w:hint="eastAsia"/>
        </w:rPr>
        <w:t>附件5：</w:t>
      </w:r>
      <w:r>
        <w:fldChar w:fldCharType="end"/>
      </w:r>
      <w:r>
        <w:fldChar w:fldCharType="begin"/>
      </w:r>
      <w:r>
        <w:instrText xml:space="preserve"> REF _Ref153349200 \h </w:instrText>
      </w:r>
      <w:r>
        <w:fldChar w:fldCharType="separate"/>
      </w:r>
      <w:r>
        <w:rPr>
          <w:rFonts w:hint="eastAsia"/>
        </w:rPr>
        <w:t>施工升降机安装自检表</w:t>
      </w:r>
      <w:r>
        <w:fldChar w:fldCharType="end"/>
      </w:r>
      <w:r>
        <w:rPr>
          <w:rFonts w:hint="eastAsia"/>
        </w:rPr>
        <w:t>。</w:t>
      </w:r>
    </w:p>
    <w:p w14:paraId="34581B3A">
      <w:pPr>
        <w:ind w:firstLine="480"/>
      </w:pPr>
      <w:r>
        <w:br w:type="page"/>
      </w:r>
    </w:p>
    <w:p w14:paraId="751A43EB">
      <w:pPr>
        <w:pStyle w:val="2"/>
      </w:pPr>
      <w:bookmarkStart w:id="103" w:name="_Toc2349"/>
      <w:bookmarkStart w:id="104" w:name="_Toc7060"/>
      <w:bookmarkStart w:id="105" w:name="_Toc40778442"/>
      <w:bookmarkStart w:id="106" w:name="_Toc24330"/>
      <w:r>
        <w:rPr>
          <w:rFonts w:hint="eastAsia"/>
        </w:rPr>
        <w:t>质量管理</w:t>
      </w:r>
      <w:r>
        <w:t>措施</w:t>
      </w:r>
      <w:bookmarkEnd w:id="103"/>
      <w:bookmarkEnd w:id="104"/>
    </w:p>
    <w:p w14:paraId="0BAC93AC">
      <w:pPr>
        <w:pStyle w:val="3"/>
      </w:pPr>
      <w:bookmarkStart w:id="107" w:name="_Toc10656"/>
      <w:bookmarkStart w:id="108" w:name="_Toc10176"/>
      <w:r>
        <w:rPr>
          <w:rFonts w:hint="eastAsia"/>
        </w:rPr>
        <w:t>质量管理组织机构</w:t>
      </w:r>
      <w:bookmarkEnd w:id="107"/>
      <w:bookmarkEnd w:id="108"/>
    </w:p>
    <w:p w14:paraId="41805217">
      <w:pPr>
        <w:ind w:firstLine="480"/>
      </w:pPr>
      <w:r>
        <w:rPr>
          <w:rFonts w:hint="eastAsia"/>
        </w:rPr>
        <w:t>根据本施工工程成立质量管理组织机构，其人员组成、工作职责详见</w:t>
      </w:r>
      <w:r>
        <w:fldChar w:fldCharType="begin"/>
      </w:r>
      <w:r>
        <w:instrText xml:space="preserve"> </w:instrText>
      </w:r>
      <w:r>
        <w:rPr>
          <w:rFonts w:hint="eastAsia"/>
        </w:rPr>
        <w:instrText xml:space="preserve">REF _Ref124510114 \h</w:instrText>
      </w:r>
      <w:r>
        <w:instrText xml:space="preserve"> </w:instrText>
      </w:r>
      <w:r>
        <w:fldChar w:fldCharType="separate"/>
      </w:r>
      <w:r>
        <w:rPr>
          <w:rFonts w:hint="eastAsia"/>
        </w:rPr>
        <w:t>表</w:t>
      </w:r>
      <w:r>
        <w:t>5.1</w:t>
      </w:r>
      <w:r>
        <w:rPr>
          <w:rFonts w:hint="eastAsia"/>
        </w:rPr>
        <w:t>-</w:t>
      </w:r>
      <w:r>
        <w:t>1</w:t>
      </w:r>
      <w:r>
        <w:fldChar w:fldCharType="end"/>
      </w:r>
      <w:r>
        <w:rPr>
          <w:rFonts w:hint="eastAsia"/>
        </w:rPr>
        <w:t>所示。</w:t>
      </w:r>
    </w:p>
    <w:p w14:paraId="6DC9648C">
      <w:pPr>
        <w:pStyle w:val="15"/>
      </w:pPr>
      <w:bookmarkStart w:id="109" w:name="_Ref124510114"/>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5.1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09"/>
      <w:r>
        <w:rPr>
          <w:rFonts w:hint="eastAsia"/>
        </w:rPr>
        <w:t xml:space="preserve"> 质量管理组织机构</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1023"/>
        <w:gridCol w:w="4672"/>
        <w:gridCol w:w="801"/>
      </w:tblGrid>
      <w:tr w14:paraId="7E5419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shd w:val="clear" w:color="auto" w:fill="auto"/>
            <w:vAlign w:val="center"/>
          </w:tcPr>
          <w:p w14:paraId="622348B1">
            <w:pPr>
              <w:pStyle w:val="16"/>
              <w:rPr>
                <w:b/>
              </w:rPr>
            </w:pPr>
            <w:r>
              <w:rPr>
                <w:rFonts w:hint="eastAsia"/>
                <w:b/>
              </w:rPr>
              <w:t>序号</w:t>
            </w:r>
          </w:p>
        </w:tc>
        <w:tc>
          <w:tcPr>
            <w:tcW w:w="770" w:type="pct"/>
            <w:shd w:val="clear" w:color="auto" w:fill="auto"/>
            <w:vAlign w:val="center"/>
          </w:tcPr>
          <w:p w14:paraId="7EA895A0">
            <w:pPr>
              <w:pStyle w:val="16"/>
              <w:rPr>
                <w:b/>
              </w:rPr>
            </w:pPr>
            <w:r>
              <w:rPr>
                <w:rFonts w:hint="eastAsia"/>
                <w:b/>
              </w:rPr>
              <w:t>岗位</w:t>
            </w:r>
          </w:p>
        </w:tc>
        <w:tc>
          <w:tcPr>
            <w:tcW w:w="600" w:type="pct"/>
            <w:shd w:val="clear" w:color="auto" w:fill="auto"/>
            <w:vAlign w:val="center"/>
          </w:tcPr>
          <w:p w14:paraId="24810779">
            <w:pPr>
              <w:pStyle w:val="16"/>
              <w:rPr>
                <w:b/>
              </w:rPr>
            </w:pPr>
            <w:r>
              <w:rPr>
                <w:rFonts w:hint="eastAsia"/>
                <w:b/>
              </w:rPr>
              <w:t>姓名</w:t>
            </w:r>
          </w:p>
        </w:tc>
        <w:tc>
          <w:tcPr>
            <w:tcW w:w="2741" w:type="pct"/>
            <w:shd w:val="clear" w:color="auto" w:fill="auto"/>
            <w:vAlign w:val="center"/>
          </w:tcPr>
          <w:p w14:paraId="0508799D">
            <w:pPr>
              <w:pStyle w:val="16"/>
              <w:rPr>
                <w:b/>
              </w:rPr>
            </w:pPr>
            <w:r>
              <w:rPr>
                <w:rFonts w:hint="eastAsia"/>
                <w:b/>
              </w:rPr>
              <w:t>工作职责</w:t>
            </w:r>
          </w:p>
        </w:tc>
        <w:tc>
          <w:tcPr>
            <w:tcW w:w="470" w:type="pct"/>
            <w:shd w:val="clear" w:color="auto" w:fill="auto"/>
            <w:vAlign w:val="center"/>
          </w:tcPr>
          <w:p w14:paraId="52D6324A">
            <w:pPr>
              <w:pStyle w:val="16"/>
              <w:rPr>
                <w:b/>
              </w:rPr>
            </w:pPr>
            <w:r>
              <w:rPr>
                <w:rFonts w:hint="eastAsia"/>
                <w:b/>
              </w:rPr>
              <w:t>备注</w:t>
            </w:r>
          </w:p>
        </w:tc>
      </w:tr>
      <w:tr w14:paraId="413C7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7B725E4C">
            <w:pPr>
              <w:pStyle w:val="16"/>
              <w:numPr>
                <w:ilvl w:val="0"/>
                <w:numId w:val="55"/>
              </w:numPr>
            </w:pPr>
          </w:p>
        </w:tc>
        <w:tc>
          <w:tcPr>
            <w:tcW w:w="770" w:type="pct"/>
            <w:shd w:val="clear" w:color="auto" w:fill="auto"/>
            <w:vAlign w:val="center"/>
          </w:tcPr>
          <w:p w14:paraId="6D989067">
            <w:pPr>
              <w:pStyle w:val="16"/>
            </w:pPr>
            <w:r>
              <w:rPr>
                <w:rFonts w:hint="eastAsia"/>
              </w:rPr>
              <w:t>现场负责人</w:t>
            </w:r>
          </w:p>
        </w:tc>
        <w:tc>
          <w:tcPr>
            <w:tcW w:w="600" w:type="pct"/>
            <w:shd w:val="clear" w:color="auto" w:fill="auto"/>
            <w:vAlign w:val="center"/>
          </w:tcPr>
          <w:p w14:paraId="10E8B6EF">
            <w:pPr>
              <w:pStyle w:val="16"/>
            </w:pPr>
            <w:r>
              <w:rPr>
                <w:rFonts w:hint="eastAsia"/>
                <w:color w:val="000000" w:themeColor="text1"/>
                <w14:textFill>
                  <w14:solidFill>
                    <w14:schemeClr w14:val="tx1"/>
                  </w14:solidFill>
                </w14:textFill>
              </w:rPr>
              <w:t>吕士昌</w:t>
            </w:r>
          </w:p>
        </w:tc>
        <w:tc>
          <w:tcPr>
            <w:tcW w:w="2741" w:type="pct"/>
            <w:shd w:val="clear" w:color="auto" w:fill="auto"/>
            <w:vAlign w:val="center"/>
          </w:tcPr>
          <w:p w14:paraId="4ABE9783">
            <w:pPr>
              <w:pStyle w:val="16"/>
              <w:jc w:val="left"/>
            </w:pPr>
            <w:r>
              <w:rPr>
                <w:rFonts w:hint="eastAsia"/>
              </w:rPr>
              <w:t>负责设备安装组织、实施及安全</w:t>
            </w:r>
          </w:p>
        </w:tc>
        <w:tc>
          <w:tcPr>
            <w:tcW w:w="470" w:type="pct"/>
            <w:shd w:val="clear" w:color="auto" w:fill="auto"/>
            <w:vAlign w:val="center"/>
          </w:tcPr>
          <w:p w14:paraId="542C4413">
            <w:pPr>
              <w:pStyle w:val="16"/>
            </w:pPr>
          </w:p>
        </w:tc>
      </w:tr>
      <w:tr w14:paraId="54B8E2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46EAA56D">
            <w:pPr>
              <w:pStyle w:val="16"/>
              <w:numPr>
                <w:ilvl w:val="0"/>
                <w:numId w:val="55"/>
              </w:numPr>
            </w:pPr>
          </w:p>
        </w:tc>
        <w:tc>
          <w:tcPr>
            <w:tcW w:w="770" w:type="pct"/>
            <w:shd w:val="clear" w:color="auto" w:fill="auto"/>
            <w:vAlign w:val="center"/>
          </w:tcPr>
          <w:p w14:paraId="32D91FC3">
            <w:pPr>
              <w:pStyle w:val="16"/>
            </w:pPr>
            <w:r>
              <w:rPr>
                <w:rFonts w:hint="eastAsia"/>
              </w:rPr>
              <w:t>设备安拆工</w:t>
            </w:r>
          </w:p>
        </w:tc>
        <w:tc>
          <w:tcPr>
            <w:tcW w:w="600" w:type="pct"/>
            <w:shd w:val="clear" w:color="auto" w:fill="auto"/>
            <w:vAlign w:val="center"/>
          </w:tcPr>
          <w:p w14:paraId="4EA45B86">
            <w:pPr>
              <w:pStyle w:val="16"/>
            </w:pPr>
            <w:r>
              <w:rPr>
                <w:rFonts w:hint="eastAsia"/>
                <w:color w:val="000000" w:themeColor="text1"/>
                <w14:textFill>
                  <w14:solidFill>
                    <w14:schemeClr w14:val="tx1"/>
                  </w14:solidFill>
                </w14:textFill>
              </w:rPr>
              <w:t>何小兵</w:t>
            </w:r>
          </w:p>
        </w:tc>
        <w:tc>
          <w:tcPr>
            <w:tcW w:w="2741" w:type="pct"/>
            <w:shd w:val="clear" w:color="auto" w:fill="auto"/>
            <w:vAlign w:val="center"/>
          </w:tcPr>
          <w:p w14:paraId="1257FBCC">
            <w:pPr>
              <w:pStyle w:val="16"/>
              <w:jc w:val="left"/>
            </w:pPr>
            <w:r>
              <w:rPr>
                <w:rFonts w:hint="eastAsia"/>
              </w:rPr>
              <w:t>负责设备安装技术工作以及安全工作</w:t>
            </w:r>
          </w:p>
        </w:tc>
        <w:tc>
          <w:tcPr>
            <w:tcW w:w="470" w:type="pct"/>
            <w:shd w:val="clear" w:color="auto" w:fill="auto"/>
            <w:vAlign w:val="center"/>
          </w:tcPr>
          <w:p w14:paraId="09FD47D1">
            <w:pPr>
              <w:pStyle w:val="16"/>
            </w:pPr>
          </w:p>
        </w:tc>
      </w:tr>
      <w:tr w14:paraId="7CBA86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53D771CB">
            <w:pPr>
              <w:pStyle w:val="16"/>
              <w:numPr>
                <w:ilvl w:val="0"/>
                <w:numId w:val="55"/>
              </w:numPr>
            </w:pPr>
          </w:p>
        </w:tc>
        <w:tc>
          <w:tcPr>
            <w:tcW w:w="770" w:type="pct"/>
            <w:shd w:val="clear" w:color="auto" w:fill="auto"/>
            <w:vAlign w:val="center"/>
          </w:tcPr>
          <w:p w14:paraId="0B35524A">
            <w:pPr>
              <w:pStyle w:val="16"/>
            </w:pPr>
            <w:r>
              <w:rPr>
                <w:rFonts w:hint="eastAsia"/>
              </w:rPr>
              <w:t>设备安拆工</w:t>
            </w:r>
          </w:p>
        </w:tc>
        <w:tc>
          <w:tcPr>
            <w:tcW w:w="600" w:type="pct"/>
            <w:shd w:val="clear" w:color="auto" w:fill="auto"/>
            <w:vAlign w:val="center"/>
          </w:tcPr>
          <w:p w14:paraId="17A296AF">
            <w:pPr>
              <w:pStyle w:val="16"/>
            </w:pPr>
            <w:r>
              <w:rPr>
                <w:rFonts w:hint="eastAsia"/>
                <w:color w:val="000000" w:themeColor="text1"/>
                <w14:textFill>
                  <w14:solidFill>
                    <w14:schemeClr w14:val="tx1"/>
                  </w14:solidFill>
                </w14:textFill>
              </w:rPr>
              <w:t>罗乾龙</w:t>
            </w:r>
          </w:p>
        </w:tc>
        <w:tc>
          <w:tcPr>
            <w:tcW w:w="2741" w:type="pct"/>
            <w:shd w:val="clear" w:color="auto" w:fill="auto"/>
            <w:vAlign w:val="center"/>
          </w:tcPr>
          <w:p w14:paraId="537B7B15">
            <w:pPr>
              <w:pStyle w:val="16"/>
              <w:jc w:val="left"/>
            </w:pPr>
            <w:r>
              <w:rPr>
                <w:rFonts w:hint="eastAsia"/>
              </w:rPr>
              <w:t>负责现场的安全组织、检查、监督、纠正</w:t>
            </w:r>
          </w:p>
        </w:tc>
        <w:tc>
          <w:tcPr>
            <w:tcW w:w="470" w:type="pct"/>
            <w:shd w:val="clear" w:color="auto" w:fill="auto"/>
            <w:vAlign w:val="center"/>
          </w:tcPr>
          <w:p w14:paraId="4E53B7AF">
            <w:pPr>
              <w:pStyle w:val="16"/>
            </w:pPr>
          </w:p>
        </w:tc>
      </w:tr>
      <w:tr w14:paraId="17309E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ABCF847">
            <w:pPr>
              <w:pStyle w:val="16"/>
              <w:numPr>
                <w:ilvl w:val="0"/>
                <w:numId w:val="55"/>
              </w:numPr>
            </w:pPr>
          </w:p>
        </w:tc>
        <w:tc>
          <w:tcPr>
            <w:tcW w:w="770" w:type="pct"/>
            <w:shd w:val="clear" w:color="auto" w:fill="auto"/>
            <w:vAlign w:val="center"/>
          </w:tcPr>
          <w:p w14:paraId="5E8D8A17">
            <w:pPr>
              <w:pStyle w:val="16"/>
            </w:pPr>
            <w:r>
              <w:rPr>
                <w:rFonts w:hint="eastAsia"/>
              </w:rPr>
              <w:t>设备安拆工</w:t>
            </w:r>
          </w:p>
        </w:tc>
        <w:tc>
          <w:tcPr>
            <w:tcW w:w="600" w:type="pct"/>
            <w:shd w:val="clear" w:color="auto" w:fill="auto"/>
            <w:vAlign w:val="center"/>
          </w:tcPr>
          <w:p w14:paraId="76F78D70">
            <w:pPr>
              <w:pStyle w:val="16"/>
            </w:pPr>
            <w:r>
              <w:rPr>
                <w:rFonts w:hint="eastAsia"/>
                <w:color w:val="000000" w:themeColor="text1"/>
                <w14:textFill>
                  <w14:solidFill>
                    <w14:schemeClr w14:val="tx1"/>
                  </w14:solidFill>
                </w14:textFill>
              </w:rPr>
              <w:t>刘云祥</w:t>
            </w:r>
          </w:p>
        </w:tc>
        <w:tc>
          <w:tcPr>
            <w:tcW w:w="2741" w:type="pct"/>
            <w:shd w:val="clear" w:color="auto" w:fill="auto"/>
            <w:vAlign w:val="center"/>
          </w:tcPr>
          <w:p w14:paraId="3F20F5AE">
            <w:pPr>
              <w:pStyle w:val="16"/>
              <w:jc w:val="left"/>
            </w:pPr>
            <w:r>
              <w:rPr>
                <w:rFonts w:hint="eastAsia"/>
              </w:rPr>
              <w:t>负责设备安装的人员设备组织、协调</w:t>
            </w:r>
          </w:p>
          <w:p w14:paraId="11F9EFE9">
            <w:pPr>
              <w:pStyle w:val="16"/>
              <w:jc w:val="left"/>
            </w:pPr>
            <w:r>
              <w:rPr>
                <w:rFonts w:hint="eastAsia"/>
              </w:rPr>
              <w:t>检查吊具、索具安全性，保证吊点正确，物件平稳，指挥信号清晰、明确。</w:t>
            </w:r>
          </w:p>
        </w:tc>
        <w:tc>
          <w:tcPr>
            <w:tcW w:w="470" w:type="pct"/>
            <w:shd w:val="clear" w:color="auto" w:fill="auto"/>
            <w:vAlign w:val="center"/>
          </w:tcPr>
          <w:p w14:paraId="01A0F701">
            <w:pPr>
              <w:pStyle w:val="16"/>
            </w:pPr>
          </w:p>
        </w:tc>
      </w:tr>
      <w:tr w14:paraId="7E4C02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3F34FD7C">
            <w:pPr>
              <w:pStyle w:val="16"/>
              <w:numPr>
                <w:ilvl w:val="0"/>
                <w:numId w:val="55"/>
              </w:numPr>
            </w:pPr>
          </w:p>
        </w:tc>
        <w:tc>
          <w:tcPr>
            <w:tcW w:w="770" w:type="pct"/>
            <w:shd w:val="clear" w:color="auto" w:fill="auto"/>
            <w:vAlign w:val="center"/>
          </w:tcPr>
          <w:p w14:paraId="6EED4E68">
            <w:pPr>
              <w:pStyle w:val="16"/>
            </w:pPr>
            <w:r>
              <w:rPr>
                <w:rFonts w:hint="eastAsia"/>
              </w:rPr>
              <w:t>电工</w:t>
            </w:r>
          </w:p>
        </w:tc>
        <w:tc>
          <w:tcPr>
            <w:tcW w:w="600" w:type="pct"/>
            <w:shd w:val="clear" w:color="auto" w:fill="auto"/>
            <w:vAlign w:val="center"/>
          </w:tcPr>
          <w:p w14:paraId="20E5D189">
            <w:pPr>
              <w:pStyle w:val="16"/>
            </w:pPr>
            <w:r>
              <w:rPr>
                <w:rFonts w:hint="eastAsia"/>
                <w:color w:val="000000" w:themeColor="text1"/>
                <w14:textFill>
                  <w14:solidFill>
                    <w14:schemeClr w14:val="tx1"/>
                  </w14:solidFill>
                </w14:textFill>
              </w:rPr>
              <w:t>吴强</w:t>
            </w:r>
          </w:p>
        </w:tc>
        <w:tc>
          <w:tcPr>
            <w:tcW w:w="2741" w:type="pct"/>
            <w:shd w:val="clear" w:color="auto" w:fill="auto"/>
            <w:vAlign w:val="center"/>
          </w:tcPr>
          <w:p w14:paraId="2BA44206">
            <w:pPr>
              <w:pStyle w:val="16"/>
              <w:jc w:val="left"/>
            </w:pPr>
            <w:r>
              <w:rPr>
                <w:rFonts w:hint="eastAsia"/>
              </w:rPr>
              <w:t>负责现场设备的电气安装、恢复、调试</w:t>
            </w:r>
          </w:p>
        </w:tc>
        <w:tc>
          <w:tcPr>
            <w:tcW w:w="470" w:type="pct"/>
            <w:shd w:val="clear" w:color="auto" w:fill="auto"/>
            <w:vAlign w:val="center"/>
          </w:tcPr>
          <w:p w14:paraId="3C0DF3BA">
            <w:pPr>
              <w:pStyle w:val="16"/>
            </w:pPr>
          </w:p>
        </w:tc>
      </w:tr>
    </w:tbl>
    <w:p w14:paraId="28ABBC4F">
      <w:pPr>
        <w:pStyle w:val="3"/>
      </w:pPr>
      <w:bookmarkStart w:id="110" w:name="_Toc2033"/>
      <w:r>
        <w:rPr>
          <w:rFonts w:hint="eastAsia"/>
        </w:rPr>
        <w:t>质量保证措施</w:t>
      </w:r>
      <w:bookmarkEnd w:id="110"/>
    </w:p>
    <w:p w14:paraId="0B52C860">
      <w:pPr>
        <w:pStyle w:val="4"/>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部件质量控制措施</w:t>
      </w:r>
    </w:p>
    <w:p w14:paraId="657019FE">
      <w:pPr>
        <w:pStyle w:val="70"/>
        <w:numPr>
          <w:ilvl w:val="0"/>
          <w:numId w:val="56"/>
        </w:numPr>
        <w:ind w:firstLineChars="0"/>
      </w:pPr>
      <w:r>
        <w:rPr>
          <w:rFonts w:hint="eastAsia"/>
        </w:rPr>
        <w:t>原材料严格执行国家现行制作验收规范和施工图设计要求及</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说明书提出的有关要求，安装单位拟定相应质量计划并规范操作。</w:t>
      </w:r>
    </w:p>
    <w:p w14:paraId="18A20C14">
      <w:pPr>
        <w:pStyle w:val="70"/>
        <w:numPr>
          <w:ilvl w:val="0"/>
          <w:numId w:val="56"/>
        </w:numPr>
        <w:ind w:firstLineChars="0"/>
      </w:pPr>
      <w:r>
        <w:rPr>
          <w:rFonts w:hint="eastAsia"/>
        </w:rPr>
        <w:t>原材料进场各施工队进行专检、工序检、复检确认，行使质量否决权。施工队兼职质量员进行现场施工质量监督控制，并负责本队自检、互检工作。</w:t>
      </w:r>
    </w:p>
    <w:p w14:paraId="1BB616D6">
      <w:pPr>
        <w:pStyle w:val="70"/>
        <w:numPr>
          <w:ilvl w:val="0"/>
          <w:numId w:val="56"/>
        </w:numPr>
        <w:ind w:firstLineChars="0"/>
      </w:pPr>
      <w:r>
        <w:rPr>
          <w:rFonts w:hint="eastAsia"/>
        </w:rPr>
        <w:t>实行施工全过程的质量控制。在工程开工前，确定关键工序停工检验点，一般工序实行工序交叉检，上道工序不合格，不得转入下道工序。</w:t>
      </w:r>
    </w:p>
    <w:p w14:paraId="3396D2BB">
      <w:pPr>
        <w:pStyle w:val="70"/>
        <w:numPr>
          <w:ilvl w:val="0"/>
          <w:numId w:val="56"/>
        </w:numPr>
        <w:ind w:firstLineChars="0"/>
      </w:pPr>
      <w:r>
        <w:rPr>
          <w:rFonts w:hint="eastAsia"/>
        </w:rPr>
        <w:t>施工队详细填写安装质量验收检查表，以保证质量施工原始记录的及时、完整和准确。</w:t>
      </w:r>
    </w:p>
    <w:p w14:paraId="75046DD3">
      <w:pPr>
        <w:pStyle w:val="4"/>
      </w:pPr>
      <w:r>
        <w:rPr>
          <w:rFonts w:hint="eastAsia"/>
        </w:rPr>
        <w:t>过程质量控制措施</w:t>
      </w:r>
    </w:p>
    <w:p w14:paraId="39B0441E">
      <w:pPr>
        <w:pStyle w:val="70"/>
        <w:numPr>
          <w:ilvl w:val="1"/>
          <w:numId w:val="57"/>
        </w:numPr>
        <w:ind w:firstLineChars="0"/>
      </w:pPr>
      <w:r>
        <w:rPr>
          <w:rFonts w:hint="eastAsia"/>
        </w:rPr>
        <w:t>安装单位按使用单位提供图纸及实测数据，编制施工方案或技术措施，施工前向施工人员作详细的技术交底。</w:t>
      </w:r>
    </w:p>
    <w:p w14:paraId="3A320C24">
      <w:pPr>
        <w:pStyle w:val="70"/>
        <w:numPr>
          <w:ilvl w:val="1"/>
          <w:numId w:val="57"/>
        </w:numPr>
        <w:ind w:firstLineChars="0"/>
      </w:pPr>
      <w:r>
        <w:rPr>
          <w:rFonts w:hint="eastAsia"/>
        </w:rPr>
        <w:t>施工使用的水准仪、经纬仪与盒尺等检验器具，必须严格按国家有关要求定期校验和核查，未经检验或过期、失准的计量器具严禁使用。</w:t>
      </w:r>
    </w:p>
    <w:p w14:paraId="2D08815E">
      <w:pPr>
        <w:pStyle w:val="70"/>
        <w:numPr>
          <w:ilvl w:val="1"/>
          <w:numId w:val="57"/>
        </w:numPr>
        <w:ind w:firstLineChars="0"/>
      </w:pPr>
      <w:r>
        <w:rPr>
          <w:rFonts w:hint="eastAsia"/>
        </w:rPr>
        <w:t>各种</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的交接、验收、保管、存放应按有关要求进行。拆卸应视实际情况采取相关措施，保证</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安全。存放保管应按</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说明书要求进行，认真核对名称、型号、规格、数量。</w:t>
      </w:r>
    </w:p>
    <w:p w14:paraId="7B2E8377">
      <w:pPr>
        <w:pStyle w:val="4"/>
      </w:pPr>
      <w:r>
        <w:rPr>
          <w:rFonts w:hint="eastAsia"/>
        </w:rPr>
        <w:t>质量通病及防治措施</w:t>
      </w:r>
    </w:p>
    <w:p w14:paraId="04F8D821">
      <w:pPr>
        <w:ind w:firstLine="480"/>
      </w:pPr>
      <w:r>
        <w:fldChar w:fldCharType="begin"/>
      </w:r>
      <w:r>
        <w:instrText xml:space="preserve"> REF 设备类型 \h  \* MERGEFORMAT </w:instrText>
      </w:r>
      <w:r>
        <w:fldChar w:fldCharType="separate"/>
      </w:r>
      <w:r>
        <w:rPr>
          <w:rFonts w:hint="eastAsia"/>
        </w:rPr>
        <w:t>施工升降机</w:t>
      </w:r>
      <w:r>
        <w:fldChar w:fldCharType="end"/>
      </w:r>
      <w:r>
        <w:rPr>
          <w:rFonts w:hint="eastAsia"/>
        </w:rPr>
        <w:t>安装质量通病及防治措施详见</w:t>
      </w:r>
      <w:r>
        <w:fldChar w:fldCharType="begin"/>
      </w:r>
      <w:r>
        <w:instrText xml:space="preserve"> </w:instrText>
      </w:r>
      <w:r>
        <w:rPr>
          <w:rFonts w:hint="eastAsia"/>
        </w:rPr>
        <w:instrText xml:space="preserve">REF _Ref128146945 \h</w:instrText>
      </w:r>
      <w:r>
        <w:instrText xml:space="preserve"> </w:instrText>
      </w:r>
      <w:r>
        <w:fldChar w:fldCharType="separate"/>
      </w:r>
      <w:r>
        <w:rPr>
          <w:rFonts w:hint="eastAsia"/>
        </w:rPr>
        <w:t>表</w:t>
      </w:r>
      <w:r>
        <w:t>5.2.3-1</w:t>
      </w:r>
      <w:r>
        <w:fldChar w:fldCharType="end"/>
      </w:r>
      <w:r>
        <w:rPr>
          <w:rFonts w:hint="eastAsia"/>
        </w:rPr>
        <w:t>所示。</w:t>
      </w:r>
    </w:p>
    <w:p w14:paraId="59880F9A">
      <w:pPr>
        <w:pStyle w:val="15"/>
      </w:pPr>
      <w:bookmarkStart w:id="111" w:name="_Ref128146945"/>
      <w:r>
        <w:rPr>
          <w:rFonts w:hint="eastAsia"/>
        </w:rPr>
        <w:t>表</w:t>
      </w:r>
      <w:r>
        <w:fldChar w:fldCharType="begin"/>
      </w:r>
      <w:r>
        <w:instrText xml:space="preserve"> STYLEREF 3 \s </w:instrText>
      </w:r>
      <w:r>
        <w:fldChar w:fldCharType="separate"/>
      </w:r>
      <w:r>
        <w:t>5.2.3</w:t>
      </w:r>
      <w:r>
        <w:fldChar w:fldCharType="end"/>
      </w:r>
      <w:r>
        <w:t>-</w:t>
      </w:r>
      <w:r>
        <w:fldChar w:fldCharType="begin"/>
      </w:r>
      <w:r>
        <w:instrText xml:space="preserve"> SEQ </w:instrText>
      </w:r>
      <w:r>
        <w:rPr>
          <w:rFonts w:hint="eastAsia"/>
        </w:rPr>
        <w:instrText xml:space="preserve">表</w:instrText>
      </w:r>
      <w:r>
        <w:instrText xml:space="preserve"> \* ARABIC \s 3 </w:instrText>
      </w:r>
      <w:r>
        <w:fldChar w:fldCharType="separate"/>
      </w:r>
      <w:r>
        <w:t>1</w:t>
      </w:r>
      <w:r>
        <w:fldChar w:fldCharType="end"/>
      </w:r>
      <w:bookmarkEnd w:id="111"/>
      <w:r>
        <w:rPr>
          <w:rFonts w:hint="eastAsia"/>
        </w:rPr>
        <w:t xml:space="preserve"> 质量通病及防治措施</w:t>
      </w:r>
    </w:p>
    <w:tbl>
      <w:tblPr>
        <w:tblStyle w:val="36"/>
        <w:tblW w:w="5000" w:type="pct"/>
        <w:jc w:val="center"/>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autofit"/>
        <w:tblCellMar>
          <w:top w:w="0" w:type="dxa"/>
          <w:left w:w="108" w:type="dxa"/>
          <w:bottom w:w="0" w:type="dxa"/>
          <w:right w:w="108" w:type="dxa"/>
        </w:tblCellMar>
      </w:tblPr>
      <w:tblGrid>
        <w:gridCol w:w="714"/>
        <w:gridCol w:w="1606"/>
        <w:gridCol w:w="6202"/>
      </w:tblGrid>
      <w:tr w14:paraId="44739A96">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12" w:space="0"/>
              <w:left w:val="single" w:color="000000" w:sz="12" w:space="0"/>
              <w:bottom w:val="single" w:color="000000" w:sz="4" w:space="0"/>
              <w:right w:val="single" w:color="000000" w:sz="4" w:space="0"/>
            </w:tcBorders>
            <w:shd w:val="clear" w:color="auto" w:fill="FFFFFF"/>
            <w:vAlign w:val="center"/>
          </w:tcPr>
          <w:p w14:paraId="53CB67D4">
            <w:pPr>
              <w:pStyle w:val="16"/>
              <w:rPr>
                <w:b/>
                <w:bCs/>
              </w:rPr>
            </w:pPr>
            <w:r>
              <w:rPr>
                <w:b/>
                <w:bCs/>
              </w:rPr>
              <w:t>项次</w:t>
            </w:r>
          </w:p>
        </w:tc>
        <w:tc>
          <w:tcPr>
            <w:tcW w:w="942" w:type="pct"/>
            <w:tcBorders>
              <w:top w:val="single" w:color="000000" w:sz="12" w:space="0"/>
              <w:left w:val="single" w:color="000000" w:sz="4" w:space="0"/>
              <w:bottom w:val="single" w:color="000000" w:sz="4" w:space="0"/>
              <w:right w:val="single" w:color="000000" w:sz="4" w:space="0"/>
            </w:tcBorders>
            <w:shd w:val="clear" w:color="auto" w:fill="FFFFFF"/>
            <w:vAlign w:val="center"/>
          </w:tcPr>
          <w:p w14:paraId="3D5B0489">
            <w:pPr>
              <w:pStyle w:val="16"/>
              <w:rPr>
                <w:b/>
                <w:bCs/>
              </w:rPr>
            </w:pPr>
            <w:r>
              <w:rPr>
                <w:b/>
                <w:bCs/>
              </w:rPr>
              <w:t>质量通病</w:t>
            </w:r>
          </w:p>
        </w:tc>
        <w:tc>
          <w:tcPr>
            <w:tcW w:w="3639" w:type="pct"/>
            <w:tcBorders>
              <w:top w:val="single" w:color="000000" w:sz="12" w:space="0"/>
              <w:left w:val="single" w:color="000000" w:sz="4" w:space="0"/>
              <w:bottom w:val="single" w:color="000000" w:sz="4" w:space="0"/>
              <w:right w:val="single" w:color="000000" w:sz="12" w:space="0"/>
            </w:tcBorders>
            <w:shd w:val="clear" w:color="auto" w:fill="FFFFFF"/>
            <w:vAlign w:val="center"/>
          </w:tcPr>
          <w:p w14:paraId="67C9D169">
            <w:pPr>
              <w:pStyle w:val="16"/>
              <w:rPr>
                <w:b/>
                <w:bCs/>
              </w:rPr>
            </w:pPr>
            <w:r>
              <w:rPr>
                <w:b/>
                <w:bCs/>
              </w:rPr>
              <w:t>预防措施</w:t>
            </w:r>
          </w:p>
        </w:tc>
      </w:tr>
      <w:tr w14:paraId="21BEA3AB">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1FE467C">
            <w:pPr>
              <w:pStyle w:val="16"/>
              <w:numPr>
                <w:ilvl w:val="0"/>
                <w:numId w:val="58"/>
              </w:num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2E2BC4B">
            <w:pPr>
              <w:pStyle w:val="16"/>
            </w:pPr>
            <w:r>
              <w:t>安装</w:t>
            </w:r>
            <w:r>
              <w:rPr>
                <w:rFonts w:hint="eastAsia"/>
              </w:rPr>
              <w:t>、拆除</w:t>
            </w:r>
            <w:r>
              <w:t>作业前未对设备进行全面检查</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3F5E5A65">
            <w:pPr>
              <w:pStyle w:val="16"/>
              <w:jc w:val="left"/>
            </w:pPr>
            <w:r>
              <w:t>在对</w:t>
            </w:r>
            <w:r>
              <w:rPr>
                <w:rFonts w:hint="eastAsia"/>
              </w:rPr>
              <w:t>设备</w:t>
            </w:r>
            <w:r>
              <w:t>进行</w:t>
            </w:r>
            <w:r>
              <w:rPr>
                <w:rFonts w:hint="eastAsia"/>
              </w:rPr>
              <w:t>施工</w:t>
            </w:r>
            <w:r>
              <w:t>作</w:t>
            </w:r>
            <w:r>
              <w:rPr>
                <w:rFonts w:hint="eastAsia"/>
              </w:rPr>
              <w:t>业</w:t>
            </w:r>
            <w:r>
              <w:t>前，</w:t>
            </w:r>
            <w:r>
              <w:rPr>
                <w:rFonts w:hint="eastAsia"/>
              </w:rPr>
              <w:t>施工</w:t>
            </w:r>
            <w:r>
              <w:t>人员，尤其是</w:t>
            </w:r>
            <w:r>
              <w:rPr>
                <w:rFonts w:hint="eastAsia"/>
              </w:rPr>
              <w:t>施工</w:t>
            </w:r>
            <w:r>
              <w:t>队的负责人应对</w:t>
            </w:r>
            <w:r>
              <w:rPr>
                <w:rFonts w:hint="eastAsia"/>
              </w:rPr>
              <w:t>设备</w:t>
            </w:r>
            <w:r>
              <w:t>进行全面的检查，确保钢结构无裂纹及不可恢复的塑性变形，焊缝无开裂现象，各安全装置齐全、有效，如发现问题应及时地采取措施，以免在</w:t>
            </w:r>
            <w:r>
              <w:rPr>
                <w:rFonts w:hint="eastAsia"/>
              </w:rPr>
              <w:t>设备施工</w:t>
            </w:r>
            <w:r>
              <w:t>作</w:t>
            </w:r>
            <w:r>
              <w:rPr>
                <w:rFonts w:hint="eastAsia"/>
              </w:rPr>
              <w:t>业</w:t>
            </w:r>
            <w:r>
              <w:t>过程中发生事故。</w:t>
            </w:r>
          </w:p>
        </w:tc>
      </w:tr>
      <w:tr w14:paraId="791F8739">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4" w:space="0"/>
              <w:right w:val="single" w:color="000000" w:sz="4" w:space="0"/>
            </w:tcBorders>
            <w:shd w:val="clear" w:color="auto" w:fill="FFFFFF"/>
            <w:vAlign w:val="center"/>
          </w:tcPr>
          <w:p w14:paraId="29999BD5">
            <w:pPr>
              <w:pStyle w:val="16"/>
              <w:numPr>
                <w:ilvl w:val="0"/>
                <w:numId w:val="58"/>
              </w:numPr>
            </w:pPr>
          </w:p>
        </w:tc>
        <w:tc>
          <w:tcPr>
            <w:tcW w:w="94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4FC0383">
            <w:pPr>
              <w:pStyle w:val="16"/>
            </w:pPr>
            <w:r>
              <w:rPr>
                <w:rFonts w:hint="eastAsia"/>
              </w:rPr>
              <w:t>拆除、</w:t>
            </w:r>
            <w:r>
              <w:t>安装过程进行监督</w:t>
            </w:r>
          </w:p>
        </w:tc>
        <w:tc>
          <w:tcPr>
            <w:tcW w:w="3639" w:type="pct"/>
            <w:tcBorders>
              <w:top w:val="single" w:color="000000" w:sz="4" w:space="0"/>
              <w:left w:val="single" w:color="000000" w:sz="4" w:space="0"/>
              <w:bottom w:val="single" w:color="000000" w:sz="4" w:space="0"/>
              <w:right w:val="single" w:color="000000" w:sz="12" w:space="0"/>
            </w:tcBorders>
            <w:shd w:val="clear" w:color="auto" w:fill="FFFFFF"/>
            <w:vAlign w:val="center"/>
          </w:tcPr>
          <w:p w14:paraId="531F76DB">
            <w:pPr>
              <w:pStyle w:val="16"/>
              <w:jc w:val="left"/>
            </w:pPr>
            <w:r>
              <w:t>在对整机进行</w:t>
            </w:r>
            <w:r>
              <w:rPr>
                <w:rFonts w:hint="eastAsia"/>
              </w:rPr>
              <w:t>施工</w:t>
            </w:r>
            <w:r>
              <w:t>过程中，现场管理人员及</w:t>
            </w:r>
            <w:r>
              <w:rPr>
                <w:rFonts w:hint="eastAsia"/>
              </w:rPr>
              <w:t>施工</w:t>
            </w:r>
            <w:r>
              <w:t>队伍负责人应对</w:t>
            </w:r>
            <w:r>
              <w:rPr>
                <w:rFonts w:hint="eastAsia"/>
              </w:rPr>
              <w:t>施工</w:t>
            </w:r>
            <w:r>
              <w:t>过程进行</w:t>
            </w:r>
            <w:r>
              <w:rPr>
                <w:rFonts w:hint="eastAsia"/>
              </w:rPr>
              <w:t>监督</w:t>
            </w:r>
            <w:r>
              <w:t>检查，上道工序未验收通过，下道工序不得进行，确保</w:t>
            </w:r>
            <w:r>
              <w:rPr>
                <w:rFonts w:hint="eastAsia"/>
              </w:rPr>
              <w:t>设备</w:t>
            </w:r>
            <w:r>
              <w:t>的安装的精度及偏移，保证整体钢结构无变形裂纹，焊接质量满足规范要求，发现问题及时制止采取措施，避免在</w:t>
            </w:r>
            <w:r>
              <w:rPr>
                <w:rFonts w:hint="eastAsia"/>
              </w:rPr>
              <w:t>设备</w:t>
            </w:r>
            <w:r>
              <w:t>安装出现质量事故及安全事故。</w:t>
            </w:r>
          </w:p>
        </w:tc>
      </w:tr>
      <w:tr w14:paraId="51298929">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trHeight w:val="20" w:hRule="atLeast"/>
          <w:jc w:val="center"/>
        </w:trPr>
        <w:tc>
          <w:tcPr>
            <w:tcW w:w="419" w:type="pct"/>
            <w:tcBorders>
              <w:top w:val="single" w:color="000000" w:sz="4" w:space="0"/>
              <w:left w:val="single" w:color="000000" w:sz="12" w:space="0"/>
              <w:bottom w:val="single" w:color="000000" w:sz="12" w:space="0"/>
              <w:right w:val="single" w:color="000000" w:sz="4" w:space="0"/>
            </w:tcBorders>
            <w:shd w:val="clear" w:color="auto" w:fill="FFFFFF"/>
            <w:vAlign w:val="center"/>
          </w:tcPr>
          <w:p w14:paraId="4993837A">
            <w:pPr>
              <w:pStyle w:val="16"/>
              <w:numPr>
                <w:ilvl w:val="0"/>
                <w:numId w:val="58"/>
              </w:numPr>
            </w:pPr>
          </w:p>
        </w:tc>
        <w:tc>
          <w:tcPr>
            <w:tcW w:w="942" w:type="pct"/>
            <w:tcBorders>
              <w:top w:val="single" w:color="000000" w:sz="4" w:space="0"/>
              <w:left w:val="single" w:color="000000" w:sz="4" w:space="0"/>
              <w:bottom w:val="single" w:color="000000" w:sz="12" w:space="0"/>
              <w:right w:val="single" w:color="000000" w:sz="4" w:space="0"/>
            </w:tcBorders>
            <w:shd w:val="clear" w:color="auto" w:fill="FFFFFF"/>
            <w:vAlign w:val="center"/>
          </w:tcPr>
          <w:p w14:paraId="3B27BD35">
            <w:pPr>
              <w:pStyle w:val="16"/>
            </w:pPr>
            <w:r>
              <w:t>安装结束验收</w:t>
            </w:r>
          </w:p>
        </w:tc>
        <w:tc>
          <w:tcPr>
            <w:tcW w:w="3639" w:type="pct"/>
            <w:tcBorders>
              <w:top w:val="single" w:color="000000" w:sz="4" w:space="0"/>
              <w:left w:val="single" w:color="000000" w:sz="4" w:space="0"/>
              <w:bottom w:val="single" w:color="000000" w:sz="12" w:space="0"/>
              <w:right w:val="single" w:color="000000" w:sz="12" w:space="0"/>
            </w:tcBorders>
            <w:shd w:val="clear" w:color="auto" w:fill="FFFFFF"/>
            <w:vAlign w:val="center"/>
          </w:tcPr>
          <w:p w14:paraId="7E926494">
            <w:pPr>
              <w:pStyle w:val="16"/>
              <w:jc w:val="left"/>
            </w:pPr>
            <w:r>
              <w:t>整机安装结束后，组织联合验收，对</w:t>
            </w:r>
            <w:r>
              <w:rPr>
                <w:rFonts w:hint="eastAsia"/>
              </w:rPr>
              <w:t>设备</w:t>
            </w:r>
            <w:r>
              <w:t>的结构尺寸、焊接质量、安装精度等容易出现问题的地方进行相关数据验收，并按照相关要求进行荷载试验，确保</w:t>
            </w:r>
            <w:r>
              <w:rPr>
                <w:rFonts w:hint="eastAsia"/>
              </w:rPr>
              <w:t>设备</w:t>
            </w:r>
            <w:r>
              <w:t>验收合格后能投入使用。</w:t>
            </w:r>
          </w:p>
        </w:tc>
      </w:tr>
    </w:tbl>
    <w:p w14:paraId="5558826A">
      <w:pPr>
        <w:ind w:firstLine="480"/>
      </w:pPr>
      <w:r>
        <w:rPr>
          <w:rFonts w:hint="eastAsia"/>
        </w:rPr>
        <w:br w:type="page"/>
      </w:r>
    </w:p>
    <w:bookmarkEnd w:id="105"/>
    <w:bookmarkEnd w:id="106"/>
    <w:p w14:paraId="3C68195C">
      <w:pPr>
        <w:pStyle w:val="2"/>
      </w:pPr>
      <w:bookmarkStart w:id="112" w:name="_Toc18267"/>
      <w:bookmarkStart w:id="113" w:name="_Toc30160"/>
      <w:r>
        <w:rPr>
          <w:rFonts w:hint="eastAsia"/>
        </w:rPr>
        <w:t>施工</w:t>
      </w:r>
      <w:bookmarkEnd w:id="112"/>
      <w:r>
        <w:rPr>
          <w:rFonts w:hint="eastAsia"/>
        </w:rPr>
        <w:t>风险源辨识及安全保障措施</w:t>
      </w:r>
      <w:bookmarkEnd w:id="113"/>
    </w:p>
    <w:p w14:paraId="00A1BD23">
      <w:pPr>
        <w:pStyle w:val="3"/>
      </w:pPr>
      <w:bookmarkStart w:id="114" w:name="_Toc31316"/>
      <w:bookmarkStart w:id="115" w:name="_Toc29268"/>
      <w:r>
        <w:rPr>
          <w:rFonts w:hint="eastAsia"/>
        </w:rPr>
        <w:t>风险源辨识及分析</w:t>
      </w:r>
      <w:bookmarkEnd w:id="114"/>
    </w:p>
    <w:p w14:paraId="5260EC8D">
      <w:pPr>
        <w:pStyle w:val="4"/>
      </w:pPr>
      <w:r>
        <w:rPr>
          <w:rFonts w:hint="eastAsia"/>
        </w:rPr>
        <w:t>风险源辨识与评价</w:t>
      </w:r>
    </w:p>
    <w:p w14:paraId="2E01974C">
      <w:pPr>
        <w:ind w:firstLine="480"/>
      </w:pPr>
      <w:r>
        <w:rPr>
          <w:rFonts w:hint="eastAsia"/>
        </w:rPr>
        <w:t>危险因素分析、识别表见</w:t>
      </w:r>
      <w:r>
        <w:fldChar w:fldCharType="begin"/>
      </w:r>
      <w:r>
        <w:instrText xml:space="preserve"> </w:instrText>
      </w:r>
      <w:r>
        <w:rPr>
          <w:rFonts w:hint="eastAsia"/>
        </w:rPr>
        <w:instrText xml:space="preserve">REF _Ref77863896 \h</w:instrText>
      </w:r>
      <w:r>
        <w:instrText xml:space="preserve"> </w:instrText>
      </w:r>
      <w:r>
        <w:fldChar w:fldCharType="separate"/>
      </w:r>
      <w:r>
        <w:rPr>
          <w:rFonts w:hint="eastAsia"/>
        </w:rPr>
        <w:t>表</w:t>
      </w:r>
      <w:r>
        <w:t>6.1.1</w:t>
      </w:r>
      <w:r>
        <w:rPr>
          <w:rFonts w:hint="eastAsia"/>
        </w:rPr>
        <w:t>-</w:t>
      </w:r>
      <w:r>
        <w:t>1</w:t>
      </w:r>
      <w:r>
        <w:fldChar w:fldCharType="end"/>
      </w:r>
      <w:r>
        <w:rPr>
          <w:rFonts w:hint="eastAsia"/>
        </w:rPr>
        <w:t>所示。</w:t>
      </w:r>
    </w:p>
    <w:p w14:paraId="5DEE24EC">
      <w:pPr>
        <w:pStyle w:val="15"/>
      </w:pPr>
      <w:bookmarkStart w:id="116" w:name="_Ref77863896"/>
      <w:r>
        <w:rPr>
          <w:rFonts w:hint="eastAsia"/>
        </w:rPr>
        <w:t>表</w:t>
      </w:r>
      <w:r>
        <w:fldChar w:fldCharType="begin"/>
      </w:r>
      <w:r>
        <w:instrText xml:space="preserve"> </w:instrText>
      </w:r>
      <w:r>
        <w:rPr>
          <w:rFonts w:hint="eastAsia"/>
        </w:rPr>
        <w:instrText xml:space="preserve">STYLEREF</w:instrText>
      </w:r>
      <w:r>
        <w:instrText xml:space="preserve"> 3</w:instrText>
      </w:r>
      <w:r>
        <w:rPr>
          <w:rFonts w:hint="eastAsia"/>
        </w:rPr>
        <w:instrText xml:space="preserve"> \s</w:instrText>
      </w:r>
      <w:r>
        <w:instrText xml:space="preserve"> </w:instrText>
      </w:r>
      <w:r>
        <w:fldChar w:fldCharType="separate"/>
      </w:r>
      <w:r>
        <w:t>6.1.1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3 </w:instrText>
      </w:r>
      <w:r>
        <w:fldChar w:fldCharType="separate"/>
      </w:r>
      <w:r>
        <w:t>1</w:t>
      </w:r>
      <w:r>
        <w:fldChar w:fldCharType="end"/>
      </w:r>
      <w:bookmarkEnd w:id="116"/>
      <w:r>
        <w:t xml:space="preserve"> </w:t>
      </w:r>
      <w:r>
        <w:rPr>
          <w:rFonts w:hint="eastAsia"/>
        </w:rPr>
        <w:t>风险因素分析、识别表</w:t>
      </w:r>
    </w:p>
    <w:tbl>
      <w:tblPr>
        <w:tblStyle w:val="1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190"/>
        <w:gridCol w:w="4961"/>
        <w:gridCol w:w="1487"/>
      </w:tblGrid>
      <w:tr w14:paraId="6160DE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tblHeader/>
          <w:jc w:val="center"/>
        </w:trPr>
        <w:tc>
          <w:tcPr>
            <w:tcW w:w="0" w:type="auto"/>
            <w:shd w:val="clear" w:color="auto" w:fill="auto"/>
            <w:noWrap/>
            <w:vAlign w:val="center"/>
          </w:tcPr>
          <w:p w14:paraId="140B5252">
            <w:pPr>
              <w:pStyle w:val="16"/>
              <w:rPr>
                <w:b/>
                <w:bCs/>
              </w:rPr>
            </w:pPr>
            <w:r>
              <w:rPr>
                <w:rFonts w:hint="eastAsia"/>
                <w:b/>
                <w:bCs/>
              </w:rPr>
              <w:t>序号</w:t>
            </w:r>
          </w:p>
        </w:tc>
        <w:tc>
          <w:tcPr>
            <w:tcW w:w="1190" w:type="dxa"/>
            <w:shd w:val="clear" w:color="auto" w:fill="auto"/>
            <w:vAlign w:val="center"/>
          </w:tcPr>
          <w:p w14:paraId="1161CC70">
            <w:pPr>
              <w:pStyle w:val="16"/>
              <w:rPr>
                <w:b/>
                <w:bCs/>
              </w:rPr>
            </w:pPr>
            <w:r>
              <w:rPr>
                <w:rFonts w:hint="eastAsia"/>
                <w:b/>
                <w:bCs/>
              </w:rPr>
              <w:t>活动内容</w:t>
            </w:r>
          </w:p>
        </w:tc>
        <w:tc>
          <w:tcPr>
            <w:tcW w:w="4961" w:type="dxa"/>
            <w:shd w:val="clear" w:color="auto" w:fill="auto"/>
            <w:vAlign w:val="center"/>
          </w:tcPr>
          <w:p w14:paraId="6FECA473">
            <w:pPr>
              <w:pStyle w:val="16"/>
              <w:rPr>
                <w:b/>
                <w:bCs/>
              </w:rPr>
            </w:pPr>
            <w:r>
              <w:rPr>
                <w:rFonts w:hint="eastAsia"/>
                <w:b/>
                <w:bCs/>
              </w:rPr>
              <w:t>危害因素</w:t>
            </w:r>
          </w:p>
        </w:tc>
        <w:tc>
          <w:tcPr>
            <w:tcW w:w="1487" w:type="dxa"/>
            <w:shd w:val="clear" w:color="auto" w:fill="auto"/>
            <w:vAlign w:val="center"/>
          </w:tcPr>
          <w:p w14:paraId="646DBFB8">
            <w:pPr>
              <w:pStyle w:val="16"/>
              <w:rPr>
                <w:b/>
                <w:bCs/>
              </w:rPr>
            </w:pPr>
            <w:r>
              <w:rPr>
                <w:rFonts w:hint="eastAsia"/>
                <w:b/>
                <w:bCs/>
              </w:rPr>
              <w:t>潜在事故类型</w:t>
            </w:r>
          </w:p>
        </w:tc>
      </w:tr>
      <w:tr w14:paraId="0124EC0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C34256A">
            <w:pPr>
              <w:pStyle w:val="16"/>
              <w:numPr>
                <w:ilvl w:val="0"/>
                <w:numId w:val="59"/>
              </w:numPr>
            </w:pPr>
          </w:p>
        </w:tc>
        <w:tc>
          <w:tcPr>
            <w:tcW w:w="1190" w:type="dxa"/>
            <w:vMerge w:val="restart"/>
            <w:shd w:val="clear" w:color="auto" w:fill="auto"/>
            <w:vAlign w:val="center"/>
          </w:tcPr>
          <w:p w14:paraId="578C3B48">
            <w:pPr>
              <w:pStyle w:val="16"/>
            </w:pPr>
            <w:r>
              <w:rPr>
                <w:rFonts w:hint="eastAsia"/>
              </w:rPr>
              <w:t>施工准备</w:t>
            </w:r>
          </w:p>
        </w:tc>
        <w:tc>
          <w:tcPr>
            <w:tcW w:w="4961" w:type="dxa"/>
            <w:shd w:val="clear" w:color="auto" w:fill="auto"/>
            <w:vAlign w:val="center"/>
          </w:tcPr>
          <w:p w14:paraId="39CB28F3">
            <w:pPr>
              <w:pStyle w:val="16"/>
            </w:pPr>
            <w:r>
              <w:rPr>
                <w:rFonts w:hint="eastAsia"/>
              </w:rPr>
              <w:t>作业人员进场未进行安全培训教育和风险告知；未对作业人员进行安全技术交底或交底不充分</w:t>
            </w:r>
          </w:p>
        </w:tc>
        <w:tc>
          <w:tcPr>
            <w:tcW w:w="1487" w:type="dxa"/>
            <w:vMerge w:val="restart"/>
            <w:shd w:val="clear" w:color="auto" w:fill="auto"/>
            <w:vAlign w:val="center"/>
          </w:tcPr>
          <w:p w14:paraId="41EECC6B">
            <w:pPr>
              <w:pStyle w:val="16"/>
            </w:pPr>
            <w:r>
              <w:rPr>
                <w:rFonts w:hint="eastAsia"/>
              </w:rPr>
              <w:t>物体打击、起重伤害、高处坠落、车辆伤害、触电等</w:t>
            </w:r>
          </w:p>
        </w:tc>
      </w:tr>
      <w:tr w14:paraId="1DADCD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0809DFF">
            <w:pPr>
              <w:pStyle w:val="16"/>
              <w:numPr>
                <w:ilvl w:val="0"/>
                <w:numId w:val="59"/>
              </w:numPr>
            </w:pPr>
          </w:p>
        </w:tc>
        <w:tc>
          <w:tcPr>
            <w:tcW w:w="1190" w:type="dxa"/>
            <w:vMerge w:val="continue"/>
            <w:shd w:val="clear" w:color="auto" w:fill="auto"/>
            <w:vAlign w:val="center"/>
          </w:tcPr>
          <w:p w14:paraId="6139E8FF">
            <w:pPr>
              <w:pStyle w:val="16"/>
            </w:pPr>
          </w:p>
        </w:tc>
        <w:tc>
          <w:tcPr>
            <w:tcW w:w="4961" w:type="dxa"/>
            <w:shd w:val="clear" w:color="auto" w:fill="auto"/>
            <w:vAlign w:val="center"/>
          </w:tcPr>
          <w:p w14:paraId="05AC6E2B">
            <w:pPr>
              <w:pStyle w:val="16"/>
              <w:rPr>
                <w:bCs/>
              </w:rPr>
            </w:pPr>
            <w:r>
              <w:rPr>
                <w:rFonts w:hint="eastAsia"/>
                <w:bCs/>
              </w:rPr>
              <w:t>作业人员未进行体检或带病作业</w:t>
            </w:r>
          </w:p>
        </w:tc>
        <w:tc>
          <w:tcPr>
            <w:tcW w:w="1487" w:type="dxa"/>
            <w:vMerge w:val="continue"/>
            <w:shd w:val="clear" w:color="auto" w:fill="auto"/>
            <w:vAlign w:val="center"/>
          </w:tcPr>
          <w:p w14:paraId="430B2596">
            <w:pPr>
              <w:pStyle w:val="16"/>
            </w:pPr>
          </w:p>
        </w:tc>
      </w:tr>
      <w:tr w14:paraId="0D4313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0" w:type="auto"/>
            <w:shd w:val="clear" w:color="auto" w:fill="auto"/>
            <w:noWrap/>
            <w:vAlign w:val="center"/>
          </w:tcPr>
          <w:p w14:paraId="2FB73132">
            <w:pPr>
              <w:pStyle w:val="16"/>
              <w:numPr>
                <w:ilvl w:val="0"/>
                <w:numId w:val="59"/>
              </w:numPr>
            </w:pPr>
          </w:p>
        </w:tc>
        <w:tc>
          <w:tcPr>
            <w:tcW w:w="1190" w:type="dxa"/>
            <w:vMerge w:val="continue"/>
            <w:shd w:val="clear" w:color="auto" w:fill="auto"/>
            <w:vAlign w:val="center"/>
          </w:tcPr>
          <w:p w14:paraId="21E7277A">
            <w:pPr>
              <w:pStyle w:val="16"/>
            </w:pPr>
          </w:p>
        </w:tc>
        <w:tc>
          <w:tcPr>
            <w:tcW w:w="4961" w:type="dxa"/>
            <w:shd w:val="clear" w:color="auto" w:fill="auto"/>
            <w:vAlign w:val="center"/>
          </w:tcPr>
          <w:p w14:paraId="3BE244C5">
            <w:pPr>
              <w:pStyle w:val="16"/>
              <w:rPr>
                <w:bCs/>
              </w:rPr>
            </w:pPr>
            <w:r>
              <w:rPr>
                <w:rFonts w:hint="eastAsia"/>
                <w:bCs/>
              </w:rPr>
              <w:t>作业人员未正确佩戴和使用安全防护用品</w:t>
            </w:r>
          </w:p>
        </w:tc>
        <w:tc>
          <w:tcPr>
            <w:tcW w:w="1487" w:type="dxa"/>
            <w:vMerge w:val="continue"/>
            <w:shd w:val="clear" w:color="auto" w:fill="auto"/>
            <w:vAlign w:val="center"/>
          </w:tcPr>
          <w:p w14:paraId="7274FE0C">
            <w:pPr>
              <w:pStyle w:val="16"/>
            </w:pPr>
          </w:p>
        </w:tc>
      </w:tr>
      <w:tr w14:paraId="6E9558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148AEC4">
            <w:pPr>
              <w:pStyle w:val="16"/>
              <w:numPr>
                <w:ilvl w:val="0"/>
                <w:numId w:val="59"/>
              </w:numPr>
            </w:pPr>
          </w:p>
        </w:tc>
        <w:tc>
          <w:tcPr>
            <w:tcW w:w="1190" w:type="dxa"/>
            <w:vMerge w:val="continue"/>
            <w:shd w:val="clear" w:color="auto" w:fill="auto"/>
            <w:vAlign w:val="center"/>
          </w:tcPr>
          <w:p w14:paraId="3C6572B7">
            <w:pPr>
              <w:pStyle w:val="16"/>
            </w:pPr>
          </w:p>
        </w:tc>
        <w:tc>
          <w:tcPr>
            <w:tcW w:w="4961" w:type="dxa"/>
            <w:shd w:val="clear" w:color="auto" w:fill="auto"/>
            <w:vAlign w:val="center"/>
          </w:tcPr>
          <w:p w14:paraId="1AEEA455">
            <w:pPr>
              <w:pStyle w:val="16"/>
            </w:pPr>
            <w:r>
              <w:rPr>
                <w:rFonts w:hint="eastAsia"/>
              </w:rPr>
              <w:t>特种作业人员未持证上岗或证件过期</w:t>
            </w:r>
          </w:p>
        </w:tc>
        <w:tc>
          <w:tcPr>
            <w:tcW w:w="1487" w:type="dxa"/>
            <w:vMerge w:val="continue"/>
            <w:shd w:val="clear" w:color="auto" w:fill="auto"/>
            <w:vAlign w:val="center"/>
          </w:tcPr>
          <w:p w14:paraId="50232027">
            <w:pPr>
              <w:pStyle w:val="16"/>
            </w:pPr>
          </w:p>
        </w:tc>
      </w:tr>
      <w:tr w14:paraId="0768487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0" w:type="auto"/>
            <w:shd w:val="clear" w:color="auto" w:fill="auto"/>
            <w:noWrap/>
            <w:vAlign w:val="center"/>
          </w:tcPr>
          <w:p w14:paraId="727A9CC2">
            <w:pPr>
              <w:pStyle w:val="16"/>
              <w:numPr>
                <w:ilvl w:val="0"/>
                <w:numId w:val="59"/>
              </w:numPr>
            </w:pPr>
          </w:p>
        </w:tc>
        <w:tc>
          <w:tcPr>
            <w:tcW w:w="1190" w:type="dxa"/>
            <w:vMerge w:val="continue"/>
            <w:shd w:val="clear" w:color="auto" w:fill="auto"/>
            <w:vAlign w:val="center"/>
          </w:tcPr>
          <w:p w14:paraId="64DCA49A">
            <w:pPr>
              <w:pStyle w:val="16"/>
            </w:pPr>
          </w:p>
        </w:tc>
        <w:tc>
          <w:tcPr>
            <w:tcW w:w="4961" w:type="dxa"/>
            <w:shd w:val="clear" w:color="auto" w:fill="auto"/>
            <w:vAlign w:val="center"/>
          </w:tcPr>
          <w:p w14:paraId="7FA397F6">
            <w:pPr>
              <w:pStyle w:val="16"/>
            </w:pPr>
            <w:r>
              <w:rPr>
                <w:rFonts w:hint="eastAsia"/>
              </w:rPr>
              <w:t>材料、设备不合格，存在缺陷</w:t>
            </w:r>
          </w:p>
        </w:tc>
        <w:tc>
          <w:tcPr>
            <w:tcW w:w="1487" w:type="dxa"/>
            <w:vMerge w:val="continue"/>
            <w:shd w:val="clear" w:color="auto" w:fill="auto"/>
            <w:vAlign w:val="center"/>
          </w:tcPr>
          <w:p w14:paraId="4209A769">
            <w:pPr>
              <w:pStyle w:val="16"/>
            </w:pPr>
          </w:p>
        </w:tc>
      </w:tr>
      <w:tr w14:paraId="37D350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6B14849">
            <w:pPr>
              <w:pStyle w:val="16"/>
              <w:numPr>
                <w:ilvl w:val="0"/>
                <w:numId w:val="59"/>
              </w:numPr>
            </w:pPr>
          </w:p>
        </w:tc>
        <w:tc>
          <w:tcPr>
            <w:tcW w:w="1190" w:type="dxa"/>
            <w:vMerge w:val="continue"/>
            <w:shd w:val="clear" w:color="auto" w:fill="auto"/>
            <w:vAlign w:val="center"/>
          </w:tcPr>
          <w:p w14:paraId="1A2EFBCD">
            <w:pPr>
              <w:pStyle w:val="16"/>
            </w:pPr>
          </w:p>
        </w:tc>
        <w:tc>
          <w:tcPr>
            <w:tcW w:w="4961" w:type="dxa"/>
            <w:shd w:val="clear" w:color="auto" w:fill="auto"/>
            <w:vAlign w:val="center"/>
          </w:tcPr>
          <w:p w14:paraId="177EB4CD">
            <w:pPr>
              <w:pStyle w:val="16"/>
            </w:pPr>
            <w:r>
              <w:rPr>
                <w:rFonts w:hint="eastAsia"/>
              </w:rPr>
              <w:t>气象跟踪不及时，恶劣天气施工</w:t>
            </w:r>
          </w:p>
        </w:tc>
        <w:tc>
          <w:tcPr>
            <w:tcW w:w="1487" w:type="dxa"/>
            <w:vMerge w:val="continue"/>
            <w:shd w:val="clear" w:color="auto" w:fill="auto"/>
            <w:vAlign w:val="center"/>
          </w:tcPr>
          <w:p w14:paraId="72EAE154">
            <w:pPr>
              <w:pStyle w:val="16"/>
            </w:pPr>
          </w:p>
        </w:tc>
      </w:tr>
      <w:tr w14:paraId="730599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0" w:type="auto"/>
            <w:shd w:val="clear" w:color="auto" w:fill="auto"/>
            <w:noWrap/>
            <w:vAlign w:val="center"/>
          </w:tcPr>
          <w:p w14:paraId="40D53073">
            <w:pPr>
              <w:pStyle w:val="16"/>
              <w:numPr>
                <w:ilvl w:val="0"/>
                <w:numId w:val="59"/>
              </w:numPr>
            </w:pPr>
          </w:p>
        </w:tc>
        <w:tc>
          <w:tcPr>
            <w:tcW w:w="1190" w:type="dxa"/>
            <w:vMerge w:val="continue"/>
            <w:shd w:val="clear" w:color="auto" w:fill="auto"/>
            <w:vAlign w:val="center"/>
          </w:tcPr>
          <w:p w14:paraId="4DB09221">
            <w:pPr>
              <w:pStyle w:val="16"/>
            </w:pPr>
          </w:p>
        </w:tc>
        <w:tc>
          <w:tcPr>
            <w:tcW w:w="4961" w:type="dxa"/>
            <w:shd w:val="clear" w:color="auto" w:fill="auto"/>
            <w:vAlign w:val="center"/>
          </w:tcPr>
          <w:p w14:paraId="09E2DA7A">
            <w:pPr>
              <w:pStyle w:val="16"/>
            </w:pPr>
            <w:r>
              <w:rPr>
                <w:rFonts w:hint="eastAsia"/>
              </w:rPr>
              <w:t>辅助钢管附墙未安装或者安装不牢靠</w:t>
            </w:r>
          </w:p>
        </w:tc>
        <w:tc>
          <w:tcPr>
            <w:tcW w:w="1487" w:type="dxa"/>
            <w:shd w:val="clear" w:color="auto" w:fill="auto"/>
            <w:vAlign w:val="center"/>
          </w:tcPr>
          <w:p w14:paraId="5EE42FAB">
            <w:pPr>
              <w:pStyle w:val="16"/>
            </w:pPr>
            <w:r>
              <w:rPr>
                <w:rFonts w:hint="eastAsia"/>
              </w:rPr>
              <w:t>高处坠落</w:t>
            </w:r>
          </w:p>
        </w:tc>
      </w:tr>
      <w:tr w14:paraId="009374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0" w:type="auto"/>
            <w:shd w:val="clear" w:color="auto" w:fill="auto"/>
            <w:noWrap/>
            <w:vAlign w:val="center"/>
          </w:tcPr>
          <w:p w14:paraId="38E07550">
            <w:pPr>
              <w:pStyle w:val="16"/>
              <w:numPr>
                <w:ilvl w:val="0"/>
                <w:numId w:val="59"/>
              </w:numPr>
            </w:pPr>
          </w:p>
        </w:tc>
        <w:tc>
          <w:tcPr>
            <w:tcW w:w="1190" w:type="dxa"/>
            <w:vMerge w:val="continue"/>
            <w:shd w:val="clear" w:color="auto" w:fill="auto"/>
            <w:vAlign w:val="center"/>
          </w:tcPr>
          <w:p w14:paraId="160155CE">
            <w:pPr>
              <w:pStyle w:val="16"/>
            </w:pPr>
          </w:p>
        </w:tc>
        <w:tc>
          <w:tcPr>
            <w:tcW w:w="4961" w:type="dxa"/>
            <w:shd w:val="clear" w:color="auto" w:fill="auto"/>
            <w:vAlign w:val="center"/>
          </w:tcPr>
          <w:p w14:paraId="4C458E36">
            <w:pPr>
              <w:pStyle w:val="16"/>
              <w:rPr>
                <w:bCs/>
              </w:rPr>
            </w:pPr>
            <w:r>
              <w:rPr>
                <w:rFonts w:hint="eastAsia"/>
                <w:bCs/>
              </w:rPr>
              <w:t>未设置附墙安拆时的施工操作平台</w:t>
            </w:r>
          </w:p>
          <w:p w14:paraId="236D874F">
            <w:pPr>
              <w:pStyle w:val="16"/>
              <w:rPr>
                <w:bCs/>
              </w:rPr>
            </w:pPr>
            <w:r>
              <w:rPr>
                <w:rFonts w:hint="eastAsia"/>
                <w:bCs/>
              </w:rPr>
              <w:t>或操作平台不牢靠</w:t>
            </w:r>
          </w:p>
        </w:tc>
        <w:tc>
          <w:tcPr>
            <w:tcW w:w="1487" w:type="dxa"/>
            <w:shd w:val="clear" w:color="auto" w:fill="auto"/>
            <w:vAlign w:val="center"/>
          </w:tcPr>
          <w:p w14:paraId="3BECA56F">
            <w:pPr>
              <w:pStyle w:val="16"/>
              <w:rPr>
                <w:bCs/>
              </w:rPr>
            </w:pPr>
            <w:r>
              <w:rPr>
                <w:rFonts w:hint="eastAsia"/>
                <w:bCs/>
              </w:rPr>
              <w:t>高处坠落</w:t>
            </w:r>
          </w:p>
        </w:tc>
      </w:tr>
      <w:tr w14:paraId="0F5289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3FAA87B">
            <w:pPr>
              <w:pStyle w:val="16"/>
              <w:numPr>
                <w:ilvl w:val="0"/>
                <w:numId w:val="59"/>
              </w:numPr>
            </w:pPr>
          </w:p>
        </w:tc>
        <w:tc>
          <w:tcPr>
            <w:tcW w:w="1190" w:type="dxa"/>
            <w:vMerge w:val="continue"/>
            <w:shd w:val="clear" w:color="auto" w:fill="auto"/>
            <w:vAlign w:val="center"/>
          </w:tcPr>
          <w:p w14:paraId="321E497B">
            <w:pPr>
              <w:pStyle w:val="16"/>
            </w:pPr>
          </w:p>
        </w:tc>
        <w:tc>
          <w:tcPr>
            <w:tcW w:w="4961" w:type="dxa"/>
            <w:shd w:val="clear" w:color="auto" w:fill="auto"/>
            <w:vAlign w:val="center"/>
          </w:tcPr>
          <w:p w14:paraId="4EF5CE02">
            <w:pPr>
              <w:pStyle w:val="16"/>
            </w:pPr>
            <w:r>
              <w:rPr>
                <w:rFonts w:hint="eastAsia"/>
              </w:rPr>
              <w:t>施工升降机安装或拆卸队伍无资质证书或不符合要求</w:t>
            </w:r>
          </w:p>
        </w:tc>
        <w:tc>
          <w:tcPr>
            <w:tcW w:w="1487" w:type="dxa"/>
            <w:shd w:val="clear" w:color="auto" w:fill="auto"/>
            <w:vAlign w:val="center"/>
          </w:tcPr>
          <w:p w14:paraId="46ED0E83">
            <w:pPr>
              <w:pStyle w:val="16"/>
            </w:pPr>
            <w:r>
              <w:rPr>
                <w:rFonts w:hint="eastAsia"/>
              </w:rPr>
              <w:t>高处坠落、物体打击</w:t>
            </w:r>
          </w:p>
        </w:tc>
      </w:tr>
      <w:tr w14:paraId="0C1EEB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C6E6878">
            <w:pPr>
              <w:pStyle w:val="16"/>
              <w:numPr>
                <w:ilvl w:val="0"/>
                <w:numId w:val="59"/>
              </w:numPr>
            </w:pPr>
          </w:p>
        </w:tc>
        <w:tc>
          <w:tcPr>
            <w:tcW w:w="1190" w:type="dxa"/>
            <w:vMerge w:val="restart"/>
            <w:shd w:val="clear" w:color="auto" w:fill="auto"/>
            <w:vAlign w:val="center"/>
          </w:tcPr>
          <w:p w14:paraId="62AAAFF0">
            <w:pPr>
              <w:pStyle w:val="16"/>
            </w:pPr>
            <w:r>
              <w:rPr>
                <w:rFonts w:hint="eastAsia"/>
              </w:rPr>
              <w:t>底架及标准节安装</w:t>
            </w:r>
          </w:p>
        </w:tc>
        <w:tc>
          <w:tcPr>
            <w:tcW w:w="4961" w:type="dxa"/>
            <w:shd w:val="clear" w:color="auto" w:fill="auto"/>
            <w:vAlign w:val="center"/>
          </w:tcPr>
          <w:p w14:paraId="492C7D34">
            <w:pPr>
              <w:pStyle w:val="16"/>
              <w:rPr>
                <w:bCs/>
              </w:rPr>
            </w:pPr>
            <w:r>
              <w:rPr>
                <w:rFonts w:hint="eastAsia"/>
                <w:bCs/>
              </w:rPr>
              <w:t>底架固定不牢固、底架底部脱空、底架安装</w:t>
            </w:r>
          </w:p>
          <w:p w14:paraId="4ACC06C3">
            <w:pPr>
              <w:pStyle w:val="16"/>
              <w:rPr>
                <w:bCs/>
              </w:rPr>
            </w:pPr>
            <w:r>
              <w:rPr>
                <w:rFonts w:hint="eastAsia"/>
                <w:bCs/>
              </w:rPr>
              <w:t>角度以及平面位置偏差较大</w:t>
            </w:r>
          </w:p>
        </w:tc>
        <w:tc>
          <w:tcPr>
            <w:tcW w:w="1487" w:type="dxa"/>
            <w:shd w:val="clear" w:color="auto" w:fill="auto"/>
            <w:vAlign w:val="center"/>
          </w:tcPr>
          <w:p w14:paraId="102C3CA3">
            <w:pPr>
              <w:pStyle w:val="16"/>
              <w:rPr>
                <w:bCs/>
              </w:rPr>
            </w:pPr>
            <w:r>
              <w:rPr>
                <w:rFonts w:hint="eastAsia"/>
                <w:bCs/>
              </w:rPr>
              <w:t>坍塌</w:t>
            </w:r>
          </w:p>
        </w:tc>
      </w:tr>
      <w:tr w14:paraId="2381F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94B7566">
            <w:pPr>
              <w:pStyle w:val="16"/>
              <w:numPr>
                <w:ilvl w:val="0"/>
                <w:numId w:val="59"/>
              </w:numPr>
            </w:pPr>
          </w:p>
        </w:tc>
        <w:tc>
          <w:tcPr>
            <w:tcW w:w="1190" w:type="dxa"/>
            <w:vMerge w:val="continue"/>
            <w:shd w:val="clear" w:color="auto" w:fill="auto"/>
            <w:vAlign w:val="center"/>
          </w:tcPr>
          <w:p w14:paraId="7EE3840C">
            <w:pPr>
              <w:pStyle w:val="16"/>
            </w:pPr>
          </w:p>
        </w:tc>
        <w:tc>
          <w:tcPr>
            <w:tcW w:w="4961" w:type="dxa"/>
            <w:shd w:val="clear" w:color="auto" w:fill="auto"/>
            <w:vAlign w:val="center"/>
          </w:tcPr>
          <w:p w14:paraId="794DB0D3">
            <w:pPr>
              <w:pStyle w:val="16"/>
            </w:pPr>
            <w:r>
              <w:rPr>
                <w:rFonts w:hint="eastAsia"/>
              </w:rPr>
              <w:t>标准节型号不对、标准节安装连接螺栓未拧紧到位</w:t>
            </w:r>
          </w:p>
          <w:p w14:paraId="34858138">
            <w:pPr>
              <w:pStyle w:val="16"/>
            </w:pPr>
            <w:r>
              <w:rPr>
                <w:rFonts w:hint="eastAsia"/>
              </w:rPr>
              <w:t>或者螺栓数量不足</w:t>
            </w:r>
          </w:p>
        </w:tc>
        <w:tc>
          <w:tcPr>
            <w:tcW w:w="1487" w:type="dxa"/>
            <w:shd w:val="clear" w:color="auto" w:fill="auto"/>
            <w:vAlign w:val="center"/>
          </w:tcPr>
          <w:p w14:paraId="00BB10D9">
            <w:pPr>
              <w:pStyle w:val="16"/>
            </w:pPr>
            <w:r>
              <w:rPr>
                <w:rFonts w:hint="eastAsia"/>
              </w:rPr>
              <w:t>坍塌</w:t>
            </w:r>
          </w:p>
        </w:tc>
      </w:tr>
      <w:tr w14:paraId="0684AD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CEA82DE">
            <w:pPr>
              <w:pStyle w:val="16"/>
              <w:numPr>
                <w:ilvl w:val="0"/>
                <w:numId w:val="59"/>
              </w:numPr>
            </w:pPr>
          </w:p>
        </w:tc>
        <w:tc>
          <w:tcPr>
            <w:tcW w:w="1190" w:type="dxa"/>
            <w:vMerge w:val="continue"/>
            <w:shd w:val="clear" w:color="auto" w:fill="auto"/>
            <w:vAlign w:val="center"/>
          </w:tcPr>
          <w:p w14:paraId="5BAB4B09">
            <w:pPr>
              <w:pStyle w:val="16"/>
            </w:pPr>
          </w:p>
        </w:tc>
        <w:tc>
          <w:tcPr>
            <w:tcW w:w="4961" w:type="dxa"/>
            <w:shd w:val="clear" w:color="auto" w:fill="auto"/>
            <w:vAlign w:val="center"/>
          </w:tcPr>
          <w:p w14:paraId="556A8C42">
            <w:pPr>
              <w:pStyle w:val="16"/>
              <w:rPr>
                <w:bCs/>
              </w:rPr>
            </w:pPr>
            <w:r>
              <w:rPr>
                <w:rFonts w:hint="eastAsia"/>
                <w:bCs/>
              </w:rPr>
              <w:t>标准节有可见裂纹、严重锈蚀、严重磨损、整体</w:t>
            </w:r>
          </w:p>
          <w:p w14:paraId="7393A0B5">
            <w:pPr>
              <w:pStyle w:val="16"/>
              <w:rPr>
                <w:bCs/>
              </w:rPr>
            </w:pPr>
            <w:r>
              <w:rPr>
                <w:rFonts w:hint="eastAsia"/>
                <w:bCs/>
              </w:rPr>
              <w:t>或局部变形</w:t>
            </w:r>
          </w:p>
        </w:tc>
        <w:tc>
          <w:tcPr>
            <w:tcW w:w="1487" w:type="dxa"/>
            <w:shd w:val="clear" w:color="auto" w:fill="auto"/>
            <w:vAlign w:val="center"/>
          </w:tcPr>
          <w:p w14:paraId="01892CB4">
            <w:pPr>
              <w:pStyle w:val="16"/>
              <w:rPr>
                <w:bCs/>
              </w:rPr>
            </w:pPr>
            <w:r>
              <w:rPr>
                <w:rFonts w:hint="eastAsia"/>
                <w:bCs/>
              </w:rPr>
              <w:t>坍塌</w:t>
            </w:r>
          </w:p>
        </w:tc>
      </w:tr>
      <w:tr w14:paraId="0AD0A3C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AF01715">
            <w:pPr>
              <w:pStyle w:val="16"/>
              <w:numPr>
                <w:ilvl w:val="0"/>
                <w:numId w:val="59"/>
              </w:numPr>
            </w:pPr>
          </w:p>
        </w:tc>
        <w:tc>
          <w:tcPr>
            <w:tcW w:w="1190" w:type="dxa"/>
            <w:vMerge w:val="continue"/>
            <w:shd w:val="clear" w:color="auto" w:fill="auto"/>
            <w:vAlign w:val="center"/>
          </w:tcPr>
          <w:p w14:paraId="57B23E8D">
            <w:pPr>
              <w:pStyle w:val="16"/>
            </w:pPr>
          </w:p>
        </w:tc>
        <w:tc>
          <w:tcPr>
            <w:tcW w:w="4961" w:type="dxa"/>
            <w:shd w:val="clear" w:color="auto" w:fill="auto"/>
            <w:vAlign w:val="center"/>
          </w:tcPr>
          <w:p w14:paraId="6C16916E">
            <w:pPr>
              <w:pStyle w:val="16"/>
            </w:pPr>
            <w:r>
              <w:rPr>
                <w:rFonts w:hint="eastAsia"/>
              </w:rPr>
              <w:t>当需安装导轨架加厚标准节时，没有确保普通标准节和加厚标准节的安装部位正确，存在用普通标准节替代加厚标准节现象。</w:t>
            </w:r>
          </w:p>
        </w:tc>
        <w:tc>
          <w:tcPr>
            <w:tcW w:w="1487" w:type="dxa"/>
            <w:shd w:val="clear" w:color="auto" w:fill="auto"/>
            <w:vAlign w:val="center"/>
          </w:tcPr>
          <w:p w14:paraId="38D62831">
            <w:pPr>
              <w:pStyle w:val="16"/>
            </w:pPr>
            <w:r>
              <w:rPr>
                <w:rFonts w:hint="eastAsia"/>
              </w:rPr>
              <w:t>坍塌</w:t>
            </w:r>
          </w:p>
        </w:tc>
      </w:tr>
      <w:tr w14:paraId="6777B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1274004">
            <w:pPr>
              <w:pStyle w:val="16"/>
              <w:numPr>
                <w:ilvl w:val="0"/>
                <w:numId w:val="59"/>
              </w:numPr>
            </w:pPr>
          </w:p>
        </w:tc>
        <w:tc>
          <w:tcPr>
            <w:tcW w:w="1190" w:type="dxa"/>
            <w:vMerge w:val="continue"/>
            <w:shd w:val="clear" w:color="auto" w:fill="auto"/>
            <w:vAlign w:val="center"/>
          </w:tcPr>
          <w:p w14:paraId="59CF9A91">
            <w:pPr>
              <w:pStyle w:val="16"/>
            </w:pPr>
          </w:p>
        </w:tc>
        <w:tc>
          <w:tcPr>
            <w:tcW w:w="4961" w:type="dxa"/>
            <w:shd w:val="clear" w:color="auto" w:fill="auto"/>
            <w:vAlign w:val="center"/>
          </w:tcPr>
          <w:p w14:paraId="0C69809A">
            <w:pPr>
              <w:pStyle w:val="16"/>
              <w:rPr>
                <w:bCs/>
              </w:rPr>
            </w:pPr>
            <w:r>
              <w:rPr>
                <w:rFonts w:hint="eastAsia"/>
                <w:bCs/>
              </w:rPr>
              <w:t>导轨架与底座连接不牢固</w:t>
            </w:r>
          </w:p>
        </w:tc>
        <w:tc>
          <w:tcPr>
            <w:tcW w:w="1487" w:type="dxa"/>
            <w:shd w:val="clear" w:color="auto" w:fill="auto"/>
            <w:vAlign w:val="center"/>
          </w:tcPr>
          <w:p w14:paraId="46773D4E">
            <w:pPr>
              <w:pStyle w:val="16"/>
              <w:rPr>
                <w:bCs/>
              </w:rPr>
            </w:pPr>
            <w:r>
              <w:rPr>
                <w:rFonts w:hint="eastAsia"/>
                <w:bCs/>
              </w:rPr>
              <w:t>坍塌</w:t>
            </w:r>
          </w:p>
        </w:tc>
      </w:tr>
      <w:tr w14:paraId="28F1D6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7A8856E">
            <w:pPr>
              <w:pStyle w:val="16"/>
              <w:numPr>
                <w:ilvl w:val="0"/>
                <w:numId w:val="59"/>
              </w:numPr>
            </w:pPr>
          </w:p>
        </w:tc>
        <w:tc>
          <w:tcPr>
            <w:tcW w:w="1190" w:type="dxa"/>
            <w:vMerge w:val="restart"/>
            <w:shd w:val="clear" w:color="auto" w:fill="auto"/>
            <w:vAlign w:val="center"/>
          </w:tcPr>
          <w:p w14:paraId="1713B557">
            <w:pPr>
              <w:pStyle w:val="16"/>
            </w:pPr>
            <w:r>
              <w:rPr>
                <w:rFonts w:hint="eastAsia"/>
              </w:rPr>
              <w:t>外笼安装</w:t>
            </w:r>
          </w:p>
        </w:tc>
        <w:tc>
          <w:tcPr>
            <w:tcW w:w="4961" w:type="dxa"/>
            <w:shd w:val="clear" w:color="auto" w:fill="auto"/>
            <w:vAlign w:val="center"/>
          </w:tcPr>
          <w:p w14:paraId="6A207F21">
            <w:pPr>
              <w:pStyle w:val="16"/>
            </w:pPr>
            <w:r>
              <w:rPr>
                <w:rFonts w:hint="eastAsia"/>
              </w:rPr>
              <w:t>外笼分片安装时，未加临时支撑，或支撑不牢靠</w:t>
            </w:r>
          </w:p>
        </w:tc>
        <w:tc>
          <w:tcPr>
            <w:tcW w:w="1487" w:type="dxa"/>
            <w:shd w:val="clear" w:color="auto" w:fill="auto"/>
            <w:vAlign w:val="center"/>
          </w:tcPr>
          <w:p w14:paraId="7BB9FB7D">
            <w:pPr>
              <w:pStyle w:val="16"/>
            </w:pPr>
            <w:r>
              <w:rPr>
                <w:rFonts w:hint="eastAsia"/>
              </w:rPr>
              <w:t>坍塌</w:t>
            </w:r>
          </w:p>
        </w:tc>
      </w:tr>
      <w:tr w14:paraId="02EA05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0CB7CEC">
            <w:pPr>
              <w:pStyle w:val="16"/>
              <w:numPr>
                <w:ilvl w:val="0"/>
                <w:numId w:val="59"/>
              </w:numPr>
            </w:pPr>
          </w:p>
        </w:tc>
        <w:tc>
          <w:tcPr>
            <w:tcW w:w="1190" w:type="dxa"/>
            <w:vMerge w:val="continue"/>
            <w:shd w:val="clear" w:color="auto" w:fill="auto"/>
            <w:vAlign w:val="center"/>
          </w:tcPr>
          <w:p w14:paraId="798457E0">
            <w:pPr>
              <w:pStyle w:val="16"/>
            </w:pPr>
          </w:p>
        </w:tc>
        <w:tc>
          <w:tcPr>
            <w:tcW w:w="4961" w:type="dxa"/>
            <w:shd w:val="clear" w:color="auto" w:fill="auto"/>
            <w:vAlign w:val="center"/>
          </w:tcPr>
          <w:p w14:paraId="652C2D06">
            <w:pPr>
              <w:pStyle w:val="16"/>
            </w:pPr>
            <w:r>
              <w:rPr>
                <w:rFonts w:hint="eastAsia"/>
              </w:rPr>
              <w:t>外笼分片安装时，未及时将相邻其连成整体</w:t>
            </w:r>
          </w:p>
          <w:p w14:paraId="6AC83ABC">
            <w:pPr>
              <w:pStyle w:val="16"/>
            </w:pPr>
            <w:r>
              <w:rPr>
                <w:rFonts w:hint="eastAsia"/>
              </w:rPr>
              <w:t>或连接不牢靠</w:t>
            </w:r>
          </w:p>
        </w:tc>
        <w:tc>
          <w:tcPr>
            <w:tcW w:w="1487" w:type="dxa"/>
            <w:shd w:val="clear" w:color="auto" w:fill="auto"/>
            <w:vAlign w:val="center"/>
          </w:tcPr>
          <w:p w14:paraId="1E822C4B">
            <w:pPr>
              <w:pStyle w:val="16"/>
            </w:pPr>
            <w:r>
              <w:rPr>
                <w:rFonts w:hint="eastAsia"/>
              </w:rPr>
              <w:t>坍塌</w:t>
            </w:r>
          </w:p>
        </w:tc>
      </w:tr>
      <w:tr w14:paraId="5B91B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6E59BF1">
            <w:pPr>
              <w:pStyle w:val="16"/>
              <w:numPr>
                <w:ilvl w:val="0"/>
                <w:numId w:val="59"/>
              </w:numPr>
            </w:pPr>
          </w:p>
        </w:tc>
        <w:tc>
          <w:tcPr>
            <w:tcW w:w="1190" w:type="dxa"/>
            <w:vMerge w:val="restart"/>
            <w:shd w:val="clear" w:color="auto" w:fill="auto"/>
            <w:vAlign w:val="center"/>
          </w:tcPr>
          <w:p w14:paraId="119C52D5">
            <w:pPr>
              <w:pStyle w:val="16"/>
            </w:pPr>
            <w:r>
              <w:rPr>
                <w:rFonts w:hint="eastAsia"/>
              </w:rPr>
              <w:t>吊笼及其顶部围栏及传动机构安装</w:t>
            </w:r>
          </w:p>
        </w:tc>
        <w:tc>
          <w:tcPr>
            <w:tcW w:w="4961" w:type="dxa"/>
            <w:shd w:val="clear" w:color="auto" w:fill="auto"/>
            <w:vAlign w:val="center"/>
          </w:tcPr>
          <w:p w14:paraId="35227D89">
            <w:pPr>
              <w:pStyle w:val="16"/>
            </w:pPr>
            <w:r>
              <w:rPr>
                <w:rFonts w:hint="eastAsia"/>
              </w:rPr>
              <w:t>吊笼导轮未准确卡入导轨内</w:t>
            </w:r>
          </w:p>
        </w:tc>
        <w:tc>
          <w:tcPr>
            <w:tcW w:w="1487" w:type="dxa"/>
            <w:shd w:val="clear" w:color="auto" w:fill="auto"/>
            <w:vAlign w:val="center"/>
          </w:tcPr>
          <w:p w14:paraId="0736C78A">
            <w:pPr>
              <w:pStyle w:val="16"/>
            </w:pPr>
            <w:r>
              <w:rPr>
                <w:rFonts w:hint="eastAsia"/>
              </w:rPr>
              <w:t>坍塌</w:t>
            </w:r>
          </w:p>
        </w:tc>
      </w:tr>
      <w:tr w14:paraId="3DAC2C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08BD7D8">
            <w:pPr>
              <w:pStyle w:val="16"/>
              <w:numPr>
                <w:ilvl w:val="0"/>
                <w:numId w:val="59"/>
              </w:numPr>
            </w:pPr>
          </w:p>
        </w:tc>
        <w:tc>
          <w:tcPr>
            <w:tcW w:w="1190" w:type="dxa"/>
            <w:vMerge w:val="continue"/>
            <w:shd w:val="clear" w:color="auto" w:fill="auto"/>
            <w:vAlign w:val="center"/>
          </w:tcPr>
          <w:p w14:paraId="0FE43856">
            <w:pPr>
              <w:pStyle w:val="16"/>
            </w:pPr>
          </w:p>
        </w:tc>
        <w:tc>
          <w:tcPr>
            <w:tcW w:w="4961" w:type="dxa"/>
            <w:shd w:val="clear" w:color="auto" w:fill="auto"/>
            <w:vAlign w:val="center"/>
          </w:tcPr>
          <w:p w14:paraId="4151FDEE">
            <w:pPr>
              <w:pStyle w:val="16"/>
            </w:pPr>
            <w:r>
              <w:rPr>
                <w:rFonts w:hint="eastAsia"/>
              </w:rPr>
              <w:t>安装围栏时，作业人员未系挂安全带</w:t>
            </w:r>
          </w:p>
          <w:p w14:paraId="01876BC5">
            <w:pPr>
              <w:pStyle w:val="16"/>
            </w:pPr>
            <w:r>
              <w:rPr>
                <w:rFonts w:hint="eastAsia"/>
              </w:rPr>
              <w:t>或者将安全带系挂在不稳固处</w:t>
            </w:r>
          </w:p>
        </w:tc>
        <w:tc>
          <w:tcPr>
            <w:tcW w:w="1487" w:type="dxa"/>
            <w:shd w:val="clear" w:color="auto" w:fill="auto"/>
            <w:vAlign w:val="center"/>
          </w:tcPr>
          <w:p w14:paraId="433E0755">
            <w:pPr>
              <w:pStyle w:val="16"/>
            </w:pPr>
            <w:r>
              <w:rPr>
                <w:rFonts w:hint="eastAsia"/>
              </w:rPr>
              <w:t>坍塌</w:t>
            </w:r>
          </w:p>
        </w:tc>
      </w:tr>
      <w:tr w14:paraId="3130A6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1345A5C">
            <w:pPr>
              <w:pStyle w:val="16"/>
              <w:numPr>
                <w:ilvl w:val="0"/>
                <w:numId w:val="59"/>
              </w:numPr>
            </w:pPr>
          </w:p>
        </w:tc>
        <w:tc>
          <w:tcPr>
            <w:tcW w:w="1190" w:type="dxa"/>
            <w:vMerge w:val="continue"/>
            <w:shd w:val="clear" w:color="auto" w:fill="auto"/>
            <w:vAlign w:val="center"/>
          </w:tcPr>
          <w:p w14:paraId="207B3AD0">
            <w:pPr>
              <w:pStyle w:val="16"/>
            </w:pPr>
          </w:p>
        </w:tc>
        <w:tc>
          <w:tcPr>
            <w:tcW w:w="4961" w:type="dxa"/>
            <w:shd w:val="clear" w:color="auto" w:fill="auto"/>
            <w:vAlign w:val="center"/>
          </w:tcPr>
          <w:p w14:paraId="328C0AAA">
            <w:pPr>
              <w:pStyle w:val="16"/>
            </w:pPr>
            <w:r>
              <w:rPr>
                <w:rFonts w:hint="eastAsia"/>
              </w:rPr>
              <w:t>吊笼顶部的耳板锈蚀、变形严重</w:t>
            </w:r>
          </w:p>
        </w:tc>
        <w:tc>
          <w:tcPr>
            <w:tcW w:w="1487" w:type="dxa"/>
            <w:shd w:val="clear" w:color="auto" w:fill="auto"/>
            <w:vAlign w:val="center"/>
          </w:tcPr>
          <w:p w14:paraId="4181F213">
            <w:pPr>
              <w:pStyle w:val="16"/>
            </w:pPr>
            <w:r>
              <w:rPr>
                <w:rFonts w:hint="eastAsia"/>
              </w:rPr>
              <w:t>高处坠落</w:t>
            </w:r>
          </w:p>
        </w:tc>
      </w:tr>
      <w:tr w14:paraId="14BE0C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269E625">
            <w:pPr>
              <w:pStyle w:val="16"/>
              <w:numPr>
                <w:ilvl w:val="0"/>
                <w:numId w:val="59"/>
              </w:numPr>
            </w:pPr>
          </w:p>
        </w:tc>
        <w:tc>
          <w:tcPr>
            <w:tcW w:w="1190" w:type="dxa"/>
            <w:vMerge w:val="continue"/>
            <w:shd w:val="clear" w:color="auto" w:fill="auto"/>
            <w:vAlign w:val="center"/>
          </w:tcPr>
          <w:p w14:paraId="23AED60F">
            <w:pPr>
              <w:pStyle w:val="16"/>
            </w:pPr>
          </w:p>
        </w:tc>
        <w:tc>
          <w:tcPr>
            <w:tcW w:w="4961" w:type="dxa"/>
            <w:shd w:val="clear" w:color="auto" w:fill="auto"/>
            <w:vAlign w:val="center"/>
          </w:tcPr>
          <w:p w14:paraId="0556D545">
            <w:pPr>
              <w:pStyle w:val="16"/>
            </w:pPr>
            <w:r>
              <w:rPr>
                <w:rFonts w:hint="eastAsia"/>
              </w:rPr>
              <w:t>未使用配备的专用爬梯，或者爬梯未安装稳固</w:t>
            </w:r>
          </w:p>
        </w:tc>
        <w:tc>
          <w:tcPr>
            <w:tcW w:w="1487" w:type="dxa"/>
            <w:shd w:val="clear" w:color="auto" w:fill="auto"/>
            <w:vAlign w:val="center"/>
          </w:tcPr>
          <w:p w14:paraId="6F40670B">
            <w:pPr>
              <w:pStyle w:val="16"/>
            </w:pPr>
            <w:r>
              <w:rPr>
                <w:rFonts w:hint="eastAsia"/>
              </w:rPr>
              <w:t>坍塌</w:t>
            </w:r>
          </w:p>
        </w:tc>
      </w:tr>
      <w:tr w14:paraId="381A1E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A02CAB8">
            <w:pPr>
              <w:pStyle w:val="16"/>
              <w:numPr>
                <w:ilvl w:val="0"/>
                <w:numId w:val="59"/>
              </w:numPr>
            </w:pPr>
          </w:p>
        </w:tc>
        <w:tc>
          <w:tcPr>
            <w:tcW w:w="1190" w:type="dxa"/>
            <w:vMerge w:val="continue"/>
            <w:shd w:val="clear" w:color="auto" w:fill="auto"/>
            <w:vAlign w:val="center"/>
          </w:tcPr>
          <w:p w14:paraId="3827E0E4">
            <w:pPr>
              <w:pStyle w:val="16"/>
            </w:pPr>
          </w:p>
        </w:tc>
        <w:tc>
          <w:tcPr>
            <w:tcW w:w="4961" w:type="dxa"/>
            <w:shd w:val="clear" w:color="auto" w:fill="auto"/>
            <w:vAlign w:val="center"/>
          </w:tcPr>
          <w:p w14:paraId="6CEB61D1">
            <w:pPr>
              <w:pStyle w:val="16"/>
            </w:pPr>
            <w:r>
              <w:rPr>
                <w:rFonts w:hint="eastAsia"/>
              </w:rPr>
              <w:t>吊笼安装时，倾斜导轨架发生倾覆</w:t>
            </w:r>
          </w:p>
        </w:tc>
        <w:tc>
          <w:tcPr>
            <w:tcW w:w="1487" w:type="dxa"/>
            <w:shd w:val="clear" w:color="auto" w:fill="auto"/>
            <w:vAlign w:val="center"/>
          </w:tcPr>
          <w:p w14:paraId="1D148AB6">
            <w:pPr>
              <w:pStyle w:val="16"/>
            </w:pPr>
            <w:r>
              <w:rPr>
                <w:rFonts w:hint="eastAsia"/>
              </w:rPr>
              <w:t>坍塌</w:t>
            </w:r>
          </w:p>
        </w:tc>
      </w:tr>
      <w:tr w14:paraId="017C89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D08E33C">
            <w:pPr>
              <w:pStyle w:val="16"/>
              <w:numPr>
                <w:ilvl w:val="0"/>
                <w:numId w:val="59"/>
              </w:numPr>
            </w:pPr>
          </w:p>
        </w:tc>
        <w:tc>
          <w:tcPr>
            <w:tcW w:w="1190" w:type="dxa"/>
            <w:vMerge w:val="restart"/>
            <w:shd w:val="clear" w:color="auto" w:fill="auto"/>
            <w:vAlign w:val="center"/>
          </w:tcPr>
          <w:p w14:paraId="39025348">
            <w:pPr>
              <w:pStyle w:val="16"/>
            </w:pPr>
            <w:r>
              <w:rPr>
                <w:rFonts w:hint="eastAsia"/>
              </w:rPr>
              <w:t>吊杆安装</w:t>
            </w:r>
          </w:p>
        </w:tc>
        <w:tc>
          <w:tcPr>
            <w:tcW w:w="4961" w:type="dxa"/>
            <w:shd w:val="clear" w:color="auto" w:fill="auto"/>
            <w:vAlign w:val="center"/>
          </w:tcPr>
          <w:p w14:paraId="2941CCDF">
            <w:pPr>
              <w:pStyle w:val="16"/>
            </w:pPr>
            <w:r>
              <w:rPr>
                <w:rFonts w:hint="eastAsia"/>
              </w:rPr>
              <w:t>吊杆对接偏位或者连接处不牢靠</w:t>
            </w:r>
          </w:p>
        </w:tc>
        <w:tc>
          <w:tcPr>
            <w:tcW w:w="1487" w:type="dxa"/>
            <w:shd w:val="clear" w:color="auto" w:fill="auto"/>
            <w:vAlign w:val="center"/>
          </w:tcPr>
          <w:p w14:paraId="5C5D4713">
            <w:pPr>
              <w:pStyle w:val="16"/>
            </w:pPr>
            <w:r>
              <w:rPr>
                <w:rFonts w:hint="eastAsia"/>
              </w:rPr>
              <w:t>坍塌</w:t>
            </w:r>
          </w:p>
        </w:tc>
      </w:tr>
      <w:tr w14:paraId="543AE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0" w:type="auto"/>
            <w:shd w:val="clear" w:color="auto" w:fill="auto"/>
            <w:noWrap/>
            <w:vAlign w:val="center"/>
          </w:tcPr>
          <w:p w14:paraId="21AE3FA7">
            <w:pPr>
              <w:pStyle w:val="16"/>
              <w:numPr>
                <w:ilvl w:val="0"/>
                <w:numId w:val="59"/>
              </w:numPr>
            </w:pPr>
          </w:p>
        </w:tc>
        <w:tc>
          <w:tcPr>
            <w:tcW w:w="1190" w:type="dxa"/>
            <w:vMerge w:val="continue"/>
            <w:shd w:val="clear" w:color="auto" w:fill="auto"/>
            <w:vAlign w:val="center"/>
          </w:tcPr>
          <w:p w14:paraId="34CCAA1C">
            <w:pPr>
              <w:pStyle w:val="16"/>
            </w:pPr>
          </w:p>
        </w:tc>
        <w:tc>
          <w:tcPr>
            <w:tcW w:w="4961" w:type="dxa"/>
            <w:shd w:val="clear" w:color="auto" w:fill="auto"/>
            <w:vAlign w:val="center"/>
          </w:tcPr>
          <w:p w14:paraId="2AA6BB3E">
            <w:pPr>
              <w:pStyle w:val="16"/>
            </w:pPr>
            <w:r>
              <w:rPr>
                <w:rFonts w:hint="eastAsia"/>
              </w:rPr>
              <w:t>吊杆质量不合格</w:t>
            </w:r>
          </w:p>
        </w:tc>
        <w:tc>
          <w:tcPr>
            <w:tcW w:w="1487" w:type="dxa"/>
            <w:shd w:val="clear" w:color="auto" w:fill="auto"/>
            <w:vAlign w:val="center"/>
          </w:tcPr>
          <w:p w14:paraId="596A0B28">
            <w:pPr>
              <w:pStyle w:val="16"/>
            </w:pPr>
            <w:r>
              <w:rPr>
                <w:rFonts w:hint="eastAsia"/>
              </w:rPr>
              <w:t>坍塌</w:t>
            </w:r>
          </w:p>
        </w:tc>
      </w:tr>
      <w:tr w14:paraId="0E7220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2AE1EE7">
            <w:pPr>
              <w:pStyle w:val="16"/>
              <w:numPr>
                <w:ilvl w:val="0"/>
                <w:numId w:val="59"/>
              </w:numPr>
            </w:pPr>
          </w:p>
        </w:tc>
        <w:tc>
          <w:tcPr>
            <w:tcW w:w="1190" w:type="dxa"/>
            <w:vMerge w:val="restart"/>
            <w:shd w:val="clear" w:color="auto" w:fill="auto"/>
            <w:vAlign w:val="center"/>
          </w:tcPr>
          <w:p w14:paraId="1CE46627">
            <w:pPr>
              <w:pStyle w:val="16"/>
            </w:pPr>
            <w:r>
              <w:rPr>
                <w:rFonts w:hint="eastAsia"/>
              </w:rPr>
              <w:t>电气设备和控制系统安装</w:t>
            </w:r>
          </w:p>
        </w:tc>
        <w:tc>
          <w:tcPr>
            <w:tcW w:w="4961" w:type="dxa"/>
            <w:shd w:val="clear" w:color="auto" w:fill="auto"/>
            <w:vAlign w:val="center"/>
          </w:tcPr>
          <w:p w14:paraId="012F9EBE">
            <w:pPr>
              <w:pStyle w:val="16"/>
            </w:pPr>
            <w:r>
              <w:rPr>
                <w:rFonts w:hint="eastAsia"/>
              </w:rPr>
              <w:t>各类安全控制开关质量不合格</w:t>
            </w:r>
          </w:p>
        </w:tc>
        <w:tc>
          <w:tcPr>
            <w:tcW w:w="1487" w:type="dxa"/>
            <w:shd w:val="clear" w:color="auto" w:fill="auto"/>
            <w:vAlign w:val="center"/>
          </w:tcPr>
          <w:p w14:paraId="1AE997D2">
            <w:pPr>
              <w:pStyle w:val="16"/>
            </w:pPr>
            <w:r>
              <w:rPr>
                <w:rFonts w:hint="eastAsia"/>
              </w:rPr>
              <w:t>高处坠落</w:t>
            </w:r>
          </w:p>
        </w:tc>
      </w:tr>
      <w:tr w14:paraId="038010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B687D1D">
            <w:pPr>
              <w:pStyle w:val="16"/>
              <w:numPr>
                <w:ilvl w:val="0"/>
                <w:numId w:val="59"/>
              </w:numPr>
            </w:pPr>
          </w:p>
        </w:tc>
        <w:tc>
          <w:tcPr>
            <w:tcW w:w="1190" w:type="dxa"/>
            <w:vMerge w:val="continue"/>
            <w:shd w:val="clear" w:color="auto" w:fill="auto"/>
            <w:vAlign w:val="center"/>
          </w:tcPr>
          <w:p w14:paraId="029492A6">
            <w:pPr>
              <w:pStyle w:val="16"/>
            </w:pPr>
          </w:p>
        </w:tc>
        <w:tc>
          <w:tcPr>
            <w:tcW w:w="4961" w:type="dxa"/>
            <w:shd w:val="clear" w:color="auto" w:fill="auto"/>
            <w:vAlign w:val="center"/>
          </w:tcPr>
          <w:p w14:paraId="18CAA2A7">
            <w:pPr>
              <w:pStyle w:val="16"/>
            </w:pPr>
            <w:r>
              <w:rPr>
                <w:rFonts w:hint="eastAsia"/>
              </w:rPr>
              <w:t>部分安全控制开关或者控制系统漏安或者缺失</w:t>
            </w:r>
          </w:p>
        </w:tc>
        <w:tc>
          <w:tcPr>
            <w:tcW w:w="1487" w:type="dxa"/>
            <w:shd w:val="clear" w:color="auto" w:fill="auto"/>
            <w:vAlign w:val="center"/>
          </w:tcPr>
          <w:p w14:paraId="30CEAAED">
            <w:pPr>
              <w:pStyle w:val="16"/>
            </w:pPr>
            <w:r>
              <w:rPr>
                <w:rFonts w:hint="eastAsia"/>
              </w:rPr>
              <w:t>高处坠落</w:t>
            </w:r>
          </w:p>
        </w:tc>
      </w:tr>
      <w:tr w14:paraId="36DCFB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31165FB">
            <w:pPr>
              <w:pStyle w:val="16"/>
              <w:numPr>
                <w:ilvl w:val="0"/>
                <w:numId w:val="59"/>
              </w:numPr>
            </w:pPr>
          </w:p>
        </w:tc>
        <w:tc>
          <w:tcPr>
            <w:tcW w:w="1190" w:type="dxa"/>
            <w:vMerge w:val="continue"/>
            <w:shd w:val="clear" w:color="auto" w:fill="auto"/>
            <w:vAlign w:val="center"/>
          </w:tcPr>
          <w:p w14:paraId="2D824266">
            <w:pPr>
              <w:pStyle w:val="16"/>
            </w:pPr>
          </w:p>
        </w:tc>
        <w:tc>
          <w:tcPr>
            <w:tcW w:w="4961" w:type="dxa"/>
            <w:shd w:val="clear" w:color="auto" w:fill="auto"/>
            <w:vAlign w:val="center"/>
          </w:tcPr>
          <w:p w14:paraId="793A1253">
            <w:pPr>
              <w:pStyle w:val="16"/>
            </w:pPr>
            <w:r>
              <w:rPr>
                <w:rFonts w:hint="eastAsia"/>
              </w:rPr>
              <w:t>施工升降机未安装超载保护装置。</w:t>
            </w:r>
          </w:p>
        </w:tc>
        <w:tc>
          <w:tcPr>
            <w:tcW w:w="1487" w:type="dxa"/>
            <w:shd w:val="clear" w:color="auto" w:fill="auto"/>
            <w:vAlign w:val="center"/>
          </w:tcPr>
          <w:p w14:paraId="43DE0119">
            <w:pPr>
              <w:pStyle w:val="16"/>
            </w:pPr>
            <w:r>
              <w:rPr>
                <w:rFonts w:hint="eastAsia"/>
              </w:rPr>
              <w:t>高处坠落</w:t>
            </w:r>
          </w:p>
        </w:tc>
      </w:tr>
      <w:tr w14:paraId="4AE33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69C675A">
            <w:pPr>
              <w:pStyle w:val="16"/>
              <w:numPr>
                <w:ilvl w:val="0"/>
                <w:numId w:val="59"/>
              </w:numPr>
            </w:pPr>
          </w:p>
        </w:tc>
        <w:tc>
          <w:tcPr>
            <w:tcW w:w="1190" w:type="dxa"/>
            <w:vMerge w:val="restart"/>
            <w:shd w:val="clear" w:color="auto" w:fill="auto"/>
            <w:vAlign w:val="center"/>
          </w:tcPr>
          <w:p w14:paraId="4935D384">
            <w:pPr>
              <w:pStyle w:val="16"/>
            </w:pPr>
            <w:r>
              <w:rPr>
                <w:rFonts w:hint="eastAsia"/>
              </w:rPr>
              <w:t>导轨架加高以及附墙架安装</w:t>
            </w:r>
          </w:p>
        </w:tc>
        <w:tc>
          <w:tcPr>
            <w:tcW w:w="4961" w:type="dxa"/>
            <w:shd w:val="clear" w:color="auto" w:fill="auto"/>
            <w:vAlign w:val="center"/>
          </w:tcPr>
          <w:p w14:paraId="31005768">
            <w:pPr>
              <w:pStyle w:val="16"/>
            </w:pPr>
            <w:r>
              <w:rPr>
                <w:rFonts w:hint="eastAsia"/>
              </w:rPr>
              <w:t>导轨架间连接不牢固</w:t>
            </w:r>
          </w:p>
        </w:tc>
        <w:tc>
          <w:tcPr>
            <w:tcW w:w="1487" w:type="dxa"/>
            <w:shd w:val="clear" w:color="auto" w:fill="auto"/>
            <w:vAlign w:val="center"/>
          </w:tcPr>
          <w:p w14:paraId="7525EC32">
            <w:pPr>
              <w:pStyle w:val="16"/>
            </w:pPr>
            <w:r>
              <w:rPr>
                <w:rFonts w:hint="eastAsia"/>
              </w:rPr>
              <w:t>高处坠落</w:t>
            </w:r>
          </w:p>
        </w:tc>
      </w:tr>
      <w:tr w14:paraId="0ADD831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A7F571C">
            <w:pPr>
              <w:pStyle w:val="16"/>
              <w:numPr>
                <w:ilvl w:val="0"/>
                <w:numId w:val="59"/>
              </w:numPr>
            </w:pPr>
          </w:p>
        </w:tc>
        <w:tc>
          <w:tcPr>
            <w:tcW w:w="1190" w:type="dxa"/>
            <w:vMerge w:val="continue"/>
            <w:shd w:val="clear" w:color="auto" w:fill="auto"/>
            <w:vAlign w:val="center"/>
          </w:tcPr>
          <w:p w14:paraId="523D7662">
            <w:pPr>
              <w:pStyle w:val="16"/>
            </w:pPr>
          </w:p>
        </w:tc>
        <w:tc>
          <w:tcPr>
            <w:tcW w:w="4961" w:type="dxa"/>
            <w:shd w:val="clear" w:color="auto" w:fill="auto"/>
            <w:vAlign w:val="center"/>
          </w:tcPr>
          <w:p w14:paraId="1AF363B2">
            <w:pPr>
              <w:pStyle w:val="16"/>
            </w:pPr>
            <w:r>
              <w:rPr>
                <w:rFonts w:hint="eastAsia"/>
              </w:rPr>
              <w:t>附墙未按要求进行验算或计算取值不合理</w:t>
            </w:r>
          </w:p>
        </w:tc>
        <w:tc>
          <w:tcPr>
            <w:tcW w:w="1487" w:type="dxa"/>
            <w:shd w:val="clear" w:color="auto" w:fill="auto"/>
            <w:vAlign w:val="center"/>
          </w:tcPr>
          <w:p w14:paraId="06447231">
            <w:pPr>
              <w:pStyle w:val="16"/>
            </w:pPr>
            <w:r>
              <w:rPr>
                <w:rFonts w:hint="eastAsia"/>
              </w:rPr>
              <w:t>坍塌</w:t>
            </w:r>
          </w:p>
        </w:tc>
      </w:tr>
      <w:tr w14:paraId="2A4BF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EF9DEAB">
            <w:pPr>
              <w:pStyle w:val="16"/>
              <w:numPr>
                <w:ilvl w:val="0"/>
                <w:numId w:val="59"/>
              </w:numPr>
            </w:pPr>
          </w:p>
        </w:tc>
        <w:tc>
          <w:tcPr>
            <w:tcW w:w="1190" w:type="dxa"/>
            <w:vMerge w:val="continue"/>
            <w:shd w:val="clear" w:color="auto" w:fill="auto"/>
            <w:vAlign w:val="center"/>
          </w:tcPr>
          <w:p w14:paraId="02E02882">
            <w:pPr>
              <w:pStyle w:val="16"/>
            </w:pPr>
          </w:p>
        </w:tc>
        <w:tc>
          <w:tcPr>
            <w:tcW w:w="4961" w:type="dxa"/>
            <w:shd w:val="clear" w:color="auto" w:fill="auto"/>
            <w:vAlign w:val="center"/>
          </w:tcPr>
          <w:p w14:paraId="6C7EA35E">
            <w:pPr>
              <w:pStyle w:val="16"/>
            </w:pPr>
            <w:r>
              <w:rPr>
                <w:rFonts w:hint="eastAsia"/>
              </w:rPr>
              <w:t>附墙架附着点处的结构承载力不满足</w:t>
            </w:r>
          </w:p>
          <w:p w14:paraId="514E4A6E">
            <w:pPr>
              <w:pStyle w:val="16"/>
            </w:pPr>
            <w:r>
              <w:rPr>
                <w:rFonts w:hint="eastAsia"/>
              </w:rPr>
              <w:t>施工升降机使用说明书的要求。</w:t>
            </w:r>
          </w:p>
        </w:tc>
        <w:tc>
          <w:tcPr>
            <w:tcW w:w="1487" w:type="dxa"/>
            <w:shd w:val="clear" w:color="auto" w:fill="auto"/>
            <w:vAlign w:val="center"/>
          </w:tcPr>
          <w:p w14:paraId="438A437D">
            <w:pPr>
              <w:pStyle w:val="16"/>
            </w:pPr>
            <w:r>
              <w:rPr>
                <w:rFonts w:hint="eastAsia"/>
              </w:rPr>
              <w:t>高处坠落</w:t>
            </w:r>
          </w:p>
        </w:tc>
      </w:tr>
      <w:tr w14:paraId="6BCF23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E683CC6">
            <w:pPr>
              <w:pStyle w:val="16"/>
              <w:numPr>
                <w:ilvl w:val="0"/>
                <w:numId w:val="59"/>
              </w:numPr>
            </w:pPr>
          </w:p>
        </w:tc>
        <w:tc>
          <w:tcPr>
            <w:tcW w:w="1190" w:type="dxa"/>
            <w:vMerge w:val="continue"/>
            <w:shd w:val="clear" w:color="auto" w:fill="auto"/>
            <w:vAlign w:val="center"/>
          </w:tcPr>
          <w:p w14:paraId="3FF05A3C">
            <w:pPr>
              <w:pStyle w:val="16"/>
            </w:pPr>
          </w:p>
        </w:tc>
        <w:tc>
          <w:tcPr>
            <w:tcW w:w="4961" w:type="dxa"/>
            <w:shd w:val="clear" w:color="auto" w:fill="auto"/>
            <w:vAlign w:val="center"/>
          </w:tcPr>
          <w:p w14:paraId="02C295A1">
            <w:pPr>
              <w:pStyle w:val="16"/>
              <w:rPr>
                <w:bCs/>
              </w:rPr>
            </w:pPr>
            <w:r>
              <w:rPr>
                <w:rFonts w:hint="eastAsia"/>
                <w:bCs/>
              </w:rPr>
              <w:t>施工升降机的附墙架形式、附着高度、垂直间距、附着点水平距离、附墙架与水平面之间的夹角、导轨架自由端高度和导轨架与主体结构间水平距离等不符合使用说明书的要求。</w:t>
            </w:r>
          </w:p>
        </w:tc>
        <w:tc>
          <w:tcPr>
            <w:tcW w:w="1487" w:type="dxa"/>
            <w:shd w:val="clear" w:color="auto" w:fill="auto"/>
            <w:vAlign w:val="center"/>
          </w:tcPr>
          <w:p w14:paraId="7DF2EF31">
            <w:pPr>
              <w:pStyle w:val="16"/>
              <w:rPr>
                <w:bCs/>
              </w:rPr>
            </w:pPr>
            <w:r>
              <w:rPr>
                <w:rFonts w:hint="eastAsia"/>
                <w:bCs/>
              </w:rPr>
              <w:t>物体打击</w:t>
            </w:r>
          </w:p>
        </w:tc>
      </w:tr>
      <w:tr w14:paraId="68D96EF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48C7B3C">
            <w:pPr>
              <w:pStyle w:val="16"/>
              <w:numPr>
                <w:ilvl w:val="0"/>
                <w:numId w:val="59"/>
              </w:numPr>
            </w:pPr>
          </w:p>
        </w:tc>
        <w:tc>
          <w:tcPr>
            <w:tcW w:w="1190" w:type="dxa"/>
            <w:vMerge w:val="continue"/>
            <w:shd w:val="clear" w:color="auto" w:fill="auto"/>
            <w:vAlign w:val="center"/>
          </w:tcPr>
          <w:p w14:paraId="1C605530">
            <w:pPr>
              <w:pStyle w:val="16"/>
            </w:pPr>
          </w:p>
        </w:tc>
        <w:tc>
          <w:tcPr>
            <w:tcW w:w="4961" w:type="dxa"/>
            <w:shd w:val="clear" w:color="auto" w:fill="auto"/>
            <w:vAlign w:val="center"/>
          </w:tcPr>
          <w:p w14:paraId="36B0C23E">
            <w:pPr>
              <w:pStyle w:val="16"/>
              <w:rPr>
                <w:bCs/>
              </w:rPr>
            </w:pPr>
            <w:r>
              <w:rPr>
                <w:rFonts w:hint="eastAsia"/>
                <w:bCs/>
              </w:rPr>
              <w:t>施工升降机导轨架安装角度偏差不符合规定。</w:t>
            </w:r>
          </w:p>
        </w:tc>
        <w:tc>
          <w:tcPr>
            <w:tcW w:w="1487" w:type="dxa"/>
            <w:shd w:val="clear" w:color="auto" w:fill="auto"/>
            <w:vAlign w:val="center"/>
          </w:tcPr>
          <w:p w14:paraId="36189A04">
            <w:pPr>
              <w:pStyle w:val="16"/>
              <w:rPr>
                <w:bCs/>
              </w:rPr>
            </w:pPr>
            <w:r>
              <w:rPr>
                <w:rFonts w:hint="eastAsia"/>
                <w:bCs/>
              </w:rPr>
              <w:t>坍塌</w:t>
            </w:r>
          </w:p>
        </w:tc>
      </w:tr>
      <w:tr w14:paraId="51105A2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8828F3B">
            <w:pPr>
              <w:pStyle w:val="16"/>
              <w:numPr>
                <w:ilvl w:val="0"/>
                <w:numId w:val="59"/>
              </w:numPr>
            </w:pPr>
          </w:p>
        </w:tc>
        <w:tc>
          <w:tcPr>
            <w:tcW w:w="1190" w:type="dxa"/>
            <w:vMerge w:val="continue"/>
            <w:shd w:val="clear" w:color="auto" w:fill="auto"/>
            <w:vAlign w:val="center"/>
          </w:tcPr>
          <w:p w14:paraId="43BDCFA8">
            <w:pPr>
              <w:pStyle w:val="16"/>
            </w:pPr>
          </w:p>
        </w:tc>
        <w:tc>
          <w:tcPr>
            <w:tcW w:w="4961" w:type="dxa"/>
            <w:shd w:val="clear" w:color="auto" w:fill="auto"/>
            <w:vAlign w:val="center"/>
          </w:tcPr>
          <w:p w14:paraId="63D4385F">
            <w:pPr>
              <w:pStyle w:val="16"/>
            </w:pPr>
            <w:r>
              <w:rPr>
                <w:rFonts w:hint="eastAsia"/>
              </w:rPr>
              <w:t>接高导轨架标准节时，未按使用说明书的规定进行附墙连接。</w:t>
            </w:r>
          </w:p>
        </w:tc>
        <w:tc>
          <w:tcPr>
            <w:tcW w:w="1487" w:type="dxa"/>
            <w:shd w:val="clear" w:color="auto" w:fill="auto"/>
            <w:vAlign w:val="center"/>
          </w:tcPr>
          <w:p w14:paraId="5F837445">
            <w:pPr>
              <w:pStyle w:val="16"/>
            </w:pPr>
            <w:r>
              <w:rPr>
                <w:rFonts w:hint="eastAsia"/>
              </w:rPr>
              <w:t>坍塌</w:t>
            </w:r>
          </w:p>
        </w:tc>
      </w:tr>
      <w:tr w14:paraId="3FC1A5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B5F50E6">
            <w:pPr>
              <w:pStyle w:val="16"/>
              <w:numPr>
                <w:ilvl w:val="0"/>
                <w:numId w:val="59"/>
              </w:numPr>
            </w:pPr>
          </w:p>
        </w:tc>
        <w:tc>
          <w:tcPr>
            <w:tcW w:w="1190" w:type="dxa"/>
            <w:vMerge w:val="continue"/>
            <w:shd w:val="clear" w:color="auto" w:fill="auto"/>
            <w:vAlign w:val="center"/>
          </w:tcPr>
          <w:p w14:paraId="12AF7361">
            <w:pPr>
              <w:pStyle w:val="16"/>
            </w:pPr>
          </w:p>
        </w:tc>
        <w:tc>
          <w:tcPr>
            <w:tcW w:w="4961" w:type="dxa"/>
            <w:shd w:val="clear" w:color="auto" w:fill="auto"/>
            <w:vAlign w:val="center"/>
          </w:tcPr>
          <w:p w14:paraId="6FEA1266">
            <w:pPr>
              <w:pStyle w:val="16"/>
            </w:pPr>
            <w:r>
              <w:rPr>
                <w:rFonts w:hint="eastAsia"/>
              </w:rPr>
              <w:t>施工升降机、笼梯安装时未及时安装附墙杆</w:t>
            </w:r>
          </w:p>
        </w:tc>
        <w:tc>
          <w:tcPr>
            <w:tcW w:w="1487" w:type="dxa"/>
            <w:shd w:val="clear" w:color="auto" w:fill="auto"/>
            <w:vAlign w:val="center"/>
          </w:tcPr>
          <w:p w14:paraId="01D0BBCF">
            <w:pPr>
              <w:pStyle w:val="16"/>
            </w:pPr>
            <w:r>
              <w:rPr>
                <w:rFonts w:hint="eastAsia"/>
              </w:rPr>
              <w:t>高处坠落、物体打击</w:t>
            </w:r>
          </w:p>
        </w:tc>
      </w:tr>
      <w:tr w14:paraId="6A8B85B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2EE6DAA">
            <w:pPr>
              <w:pStyle w:val="16"/>
              <w:numPr>
                <w:ilvl w:val="0"/>
                <w:numId w:val="59"/>
              </w:numPr>
            </w:pPr>
          </w:p>
        </w:tc>
        <w:tc>
          <w:tcPr>
            <w:tcW w:w="1190" w:type="dxa"/>
            <w:vMerge w:val="continue"/>
            <w:shd w:val="clear" w:color="auto" w:fill="auto"/>
            <w:vAlign w:val="center"/>
          </w:tcPr>
          <w:p w14:paraId="0FF1C736">
            <w:pPr>
              <w:pStyle w:val="16"/>
            </w:pPr>
          </w:p>
        </w:tc>
        <w:tc>
          <w:tcPr>
            <w:tcW w:w="4961" w:type="dxa"/>
            <w:shd w:val="clear" w:color="auto" w:fill="auto"/>
            <w:vAlign w:val="center"/>
          </w:tcPr>
          <w:p w14:paraId="49741BCA">
            <w:pPr>
              <w:pStyle w:val="16"/>
            </w:pPr>
            <w:r>
              <w:rPr>
                <w:rFonts w:hint="eastAsia"/>
              </w:rPr>
              <w:t>附墙架安装作业时，未设置操作平台或平台不合理</w:t>
            </w:r>
          </w:p>
        </w:tc>
        <w:tc>
          <w:tcPr>
            <w:tcW w:w="1487" w:type="dxa"/>
            <w:shd w:val="clear" w:color="auto" w:fill="auto"/>
            <w:vAlign w:val="center"/>
          </w:tcPr>
          <w:p w14:paraId="065AF592">
            <w:pPr>
              <w:pStyle w:val="16"/>
            </w:pPr>
            <w:r>
              <w:rPr>
                <w:rFonts w:hint="eastAsia"/>
              </w:rPr>
              <w:t>高处坠落、物体打击</w:t>
            </w:r>
          </w:p>
        </w:tc>
      </w:tr>
      <w:tr w14:paraId="79D12A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59535EB">
            <w:pPr>
              <w:pStyle w:val="16"/>
              <w:numPr>
                <w:ilvl w:val="0"/>
                <w:numId w:val="59"/>
              </w:numPr>
            </w:pPr>
          </w:p>
        </w:tc>
        <w:tc>
          <w:tcPr>
            <w:tcW w:w="1190" w:type="dxa"/>
            <w:vMerge w:val="restart"/>
            <w:shd w:val="clear" w:color="auto" w:fill="auto"/>
            <w:vAlign w:val="center"/>
          </w:tcPr>
          <w:p w14:paraId="48421E96">
            <w:pPr>
              <w:pStyle w:val="16"/>
            </w:pPr>
            <w:r>
              <w:rPr>
                <w:rFonts w:hint="eastAsia"/>
              </w:rPr>
              <w:t>电缆导向装置安装</w:t>
            </w:r>
          </w:p>
        </w:tc>
        <w:tc>
          <w:tcPr>
            <w:tcW w:w="4961" w:type="dxa"/>
            <w:shd w:val="clear" w:color="auto" w:fill="auto"/>
            <w:vAlign w:val="center"/>
          </w:tcPr>
          <w:p w14:paraId="2B9C2C65">
            <w:pPr>
              <w:pStyle w:val="16"/>
            </w:pPr>
            <w:r>
              <w:rPr>
                <w:rFonts w:hint="eastAsia"/>
              </w:rPr>
              <w:t>滑触线质量不合格</w:t>
            </w:r>
          </w:p>
        </w:tc>
        <w:tc>
          <w:tcPr>
            <w:tcW w:w="1487" w:type="dxa"/>
            <w:shd w:val="clear" w:color="auto" w:fill="auto"/>
            <w:vAlign w:val="center"/>
          </w:tcPr>
          <w:p w14:paraId="215FF89C">
            <w:pPr>
              <w:pStyle w:val="16"/>
            </w:pPr>
            <w:r>
              <w:rPr>
                <w:rFonts w:hint="eastAsia"/>
              </w:rPr>
              <w:t>触电</w:t>
            </w:r>
          </w:p>
        </w:tc>
      </w:tr>
      <w:tr w14:paraId="68762E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869818B">
            <w:pPr>
              <w:pStyle w:val="16"/>
              <w:numPr>
                <w:ilvl w:val="0"/>
                <w:numId w:val="59"/>
              </w:numPr>
            </w:pPr>
          </w:p>
        </w:tc>
        <w:tc>
          <w:tcPr>
            <w:tcW w:w="1190" w:type="dxa"/>
            <w:vMerge w:val="continue"/>
            <w:shd w:val="clear" w:color="auto" w:fill="auto"/>
            <w:vAlign w:val="center"/>
          </w:tcPr>
          <w:p w14:paraId="329BA69C">
            <w:pPr>
              <w:pStyle w:val="16"/>
            </w:pPr>
          </w:p>
        </w:tc>
        <w:tc>
          <w:tcPr>
            <w:tcW w:w="4961" w:type="dxa"/>
            <w:shd w:val="clear" w:color="auto" w:fill="auto"/>
            <w:vAlign w:val="center"/>
          </w:tcPr>
          <w:p w14:paraId="185384D8">
            <w:pPr>
              <w:pStyle w:val="16"/>
            </w:pPr>
            <w:r>
              <w:rPr>
                <w:rFonts w:hint="eastAsia"/>
              </w:rPr>
              <w:t>滑触线接头质量不合格、间隙过大</w:t>
            </w:r>
          </w:p>
        </w:tc>
        <w:tc>
          <w:tcPr>
            <w:tcW w:w="1487" w:type="dxa"/>
            <w:shd w:val="clear" w:color="auto" w:fill="auto"/>
            <w:vAlign w:val="center"/>
          </w:tcPr>
          <w:p w14:paraId="571C0199">
            <w:pPr>
              <w:pStyle w:val="16"/>
            </w:pPr>
            <w:r>
              <w:rPr>
                <w:rFonts w:hint="eastAsia"/>
              </w:rPr>
              <w:t>触电</w:t>
            </w:r>
          </w:p>
        </w:tc>
      </w:tr>
      <w:tr w14:paraId="7E6D93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8D2E43A">
            <w:pPr>
              <w:pStyle w:val="16"/>
              <w:numPr>
                <w:ilvl w:val="0"/>
                <w:numId w:val="59"/>
              </w:numPr>
            </w:pPr>
          </w:p>
        </w:tc>
        <w:tc>
          <w:tcPr>
            <w:tcW w:w="1190" w:type="dxa"/>
            <w:vMerge w:val="continue"/>
            <w:shd w:val="clear" w:color="auto" w:fill="auto"/>
            <w:vAlign w:val="center"/>
          </w:tcPr>
          <w:p w14:paraId="6D8A3D90">
            <w:pPr>
              <w:pStyle w:val="16"/>
            </w:pPr>
          </w:p>
        </w:tc>
        <w:tc>
          <w:tcPr>
            <w:tcW w:w="4961" w:type="dxa"/>
            <w:shd w:val="clear" w:color="auto" w:fill="auto"/>
            <w:vAlign w:val="center"/>
          </w:tcPr>
          <w:p w14:paraId="6B68BBDD">
            <w:pPr>
              <w:pStyle w:val="16"/>
            </w:pPr>
            <w:r>
              <w:rPr>
                <w:rFonts w:hint="eastAsia"/>
              </w:rPr>
              <w:t>滑触线接头及进线接头与标准节的斜撑相互干涉</w:t>
            </w:r>
          </w:p>
        </w:tc>
        <w:tc>
          <w:tcPr>
            <w:tcW w:w="1487" w:type="dxa"/>
            <w:shd w:val="clear" w:color="auto" w:fill="auto"/>
            <w:vAlign w:val="center"/>
          </w:tcPr>
          <w:p w14:paraId="2BFC058C">
            <w:pPr>
              <w:pStyle w:val="16"/>
            </w:pPr>
            <w:r>
              <w:rPr>
                <w:rFonts w:hint="eastAsia"/>
              </w:rPr>
              <w:t>高处坠落、物体打击</w:t>
            </w:r>
          </w:p>
        </w:tc>
      </w:tr>
      <w:tr w14:paraId="32259B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0" w:type="auto"/>
            <w:shd w:val="clear" w:color="auto" w:fill="auto"/>
            <w:noWrap/>
            <w:vAlign w:val="center"/>
          </w:tcPr>
          <w:p w14:paraId="4CCE747A">
            <w:pPr>
              <w:pStyle w:val="16"/>
              <w:numPr>
                <w:ilvl w:val="0"/>
                <w:numId w:val="59"/>
              </w:numPr>
            </w:pPr>
          </w:p>
        </w:tc>
        <w:tc>
          <w:tcPr>
            <w:tcW w:w="1190" w:type="dxa"/>
            <w:vMerge w:val="continue"/>
            <w:shd w:val="clear" w:color="auto" w:fill="auto"/>
            <w:vAlign w:val="center"/>
          </w:tcPr>
          <w:p w14:paraId="27575B71">
            <w:pPr>
              <w:pStyle w:val="16"/>
            </w:pPr>
          </w:p>
        </w:tc>
        <w:tc>
          <w:tcPr>
            <w:tcW w:w="4961" w:type="dxa"/>
            <w:shd w:val="clear" w:color="auto" w:fill="auto"/>
            <w:vAlign w:val="center"/>
          </w:tcPr>
          <w:p w14:paraId="5D5BBFD6">
            <w:pPr>
              <w:pStyle w:val="16"/>
            </w:pPr>
            <w:r>
              <w:rPr>
                <w:rFonts w:hint="eastAsia"/>
              </w:rPr>
              <w:t>未及时安装防坠挂件</w:t>
            </w:r>
          </w:p>
        </w:tc>
        <w:tc>
          <w:tcPr>
            <w:tcW w:w="1487" w:type="dxa"/>
            <w:shd w:val="clear" w:color="auto" w:fill="auto"/>
            <w:vAlign w:val="center"/>
          </w:tcPr>
          <w:p w14:paraId="23DB6104">
            <w:pPr>
              <w:pStyle w:val="16"/>
            </w:pPr>
            <w:r>
              <w:rPr>
                <w:rFonts w:hint="eastAsia"/>
              </w:rPr>
              <w:t>物体打击</w:t>
            </w:r>
          </w:p>
        </w:tc>
      </w:tr>
      <w:tr w14:paraId="31706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7DE01F7">
            <w:pPr>
              <w:pStyle w:val="16"/>
              <w:numPr>
                <w:ilvl w:val="0"/>
                <w:numId w:val="59"/>
              </w:numPr>
            </w:pPr>
          </w:p>
        </w:tc>
        <w:tc>
          <w:tcPr>
            <w:tcW w:w="1190" w:type="dxa"/>
            <w:vMerge w:val="restart"/>
            <w:shd w:val="clear" w:color="auto" w:fill="auto"/>
            <w:noWrap/>
            <w:vAlign w:val="center"/>
          </w:tcPr>
          <w:p w14:paraId="4AFE3E64">
            <w:pPr>
              <w:pStyle w:val="16"/>
            </w:pPr>
            <w:r>
              <w:rPr>
                <w:rFonts w:hint="eastAsia"/>
              </w:rPr>
              <w:t>升降机运行作业</w:t>
            </w:r>
          </w:p>
        </w:tc>
        <w:tc>
          <w:tcPr>
            <w:tcW w:w="4961" w:type="dxa"/>
            <w:shd w:val="clear" w:color="auto" w:fill="auto"/>
            <w:vAlign w:val="center"/>
          </w:tcPr>
          <w:p w14:paraId="16AC5E1E">
            <w:pPr>
              <w:pStyle w:val="16"/>
            </w:pPr>
            <w:r>
              <w:rPr>
                <w:rFonts w:hint="eastAsia"/>
              </w:rPr>
              <w:t>施工升降机运行通道内有障碍物</w:t>
            </w:r>
          </w:p>
        </w:tc>
        <w:tc>
          <w:tcPr>
            <w:tcW w:w="1487" w:type="dxa"/>
            <w:shd w:val="clear" w:color="auto" w:fill="auto"/>
            <w:vAlign w:val="center"/>
          </w:tcPr>
          <w:p w14:paraId="6DA36BEE">
            <w:pPr>
              <w:pStyle w:val="16"/>
            </w:pPr>
            <w:r>
              <w:rPr>
                <w:rFonts w:hint="eastAsia"/>
              </w:rPr>
              <w:t>物体打击</w:t>
            </w:r>
          </w:p>
        </w:tc>
      </w:tr>
      <w:tr w14:paraId="053D694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0BDC5CA">
            <w:pPr>
              <w:pStyle w:val="16"/>
              <w:numPr>
                <w:ilvl w:val="0"/>
                <w:numId w:val="59"/>
              </w:numPr>
            </w:pPr>
          </w:p>
        </w:tc>
        <w:tc>
          <w:tcPr>
            <w:tcW w:w="1190" w:type="dxa"/>
            <w:vMerge w:val="continue"/>
            <w:shd w:val="clear" w:color="auto" w:fill="auto"/>
            <w:vAlign w:val="center"/>
          </w:tcPr>
          <w:p w14:paraId="4B599A44">
            <w:pPr>
              <w:pStyle w:val="16"/>
            </w:pPr>
          </w:p>
        </w:tc>
        <w:tc>
          <w:tcPr>
            <w:tcW w:w="4961" w:type="dxa"/>
            <w:shd w:val="clear" w:color="auto" w:fill="auto"/>
            <w:vAlign w:val="center"/>
          </w:tcPr>
          <w:p w14:paraId="47801245">
            <w:pPr>
              <w:pStyle w:val="16"/>
            </w:pPr>
            <w:r>
              <w:rPr>
                <w:rFonts w:hint="eastAsia"/>
              </w:rPr>
              <w:t>施工升降机额定载重量、额定乘员数标牌未置于吊笼醒目位置。</w:t>
            </w:r>
          </w:p>
        </w:tc>
        <w:tc>
          <w:tcPr>
            <w:tcW w:w="1487" w:type="dxa"/>
            <w:shd w:val="clear" w:color="auto" w:fill="auto"/>
            <w:vAlign w:val="center"/>
          </w:tcPr>
          <w:p w14:paraId="1749CCAB">
            <w:pPr>
              <w:pStyle w:val="16"/>
            </w:pPr>
            <w:r>
              <w:rPr>
                <w:rFonts w:hint="eastAsia"/>
              </w:rPr>
              <w:t>高处坠落</w:t>
            </w:r>
          </w:p>
        </w:tc>
      </w:tr>
      <w:tr w14:paraId="46A0AD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FFD9D1F">
            <w:pPr>
              <w:pStyle w:val="16"/>
              <w:numPr>
                <w:ilvl w:val="0"/>
                <w:numId w:val="59"/>
              </w:numPr>
            </w:pPr>
          </w:p>
        </w:tc>
        <w:tc>
          <w:tcPr>
            <w:tcW w:w="1190" w:type="dxa"/>
            <w:vMerge w:val="continue"/>
            <w:shd w:val="clear" w:color="auto" w:fill="auto"/>
            <w:vAlign w:val="center"/>
          </w:tcPr>
          <w:p w14:paraId="5F81622F">
            <w:pPr>
              <w:pStyle w:val="16"/>
            </w:pPr>
          </w:p>
        </w:tc>
        <w:tc>
          <w:tcPr>
            <w:tcW w:w="4961" w:type="dxa"/>
            <w:shd w:val="clear" w:color="auto" w:fill="auto"/>
            <w:vAlign w:val="center"/>
          </w:tcPr>
          <w:p w14:paraId="01A0A08F">
            <w:pPr>
              <w:pStyle w:val="16"/>
            </w:pPr>
            <w:r>
              <w:rPr>
                <w:rFonts w:hint="eastAsia"/>
              </w:rPr>
              <w:t>施工升降机作业范围内未设置明显的安全警示标志</w:t>
            </w:r>
          </w:p>
        </w:tc>
        <w:tc>
          <w:tcPr>
            <w:tcW w:w="1487" w:type="dxa"/>
            <w:shd w:val="clear" w:color="auto" w:fill="auto"/>
            <w:vAlign w:val="center"/>
          </w:tcPr>
          <w:p w14:paraId="0A3C4E9E">
            <w:pPr>
              <w:pStyle w:val="16"/>
            </w:pPr>
            <w:r>
              <w:rPr>
                <w:rFonts w:hint="eastAsia"/>
              </w:rPr>
              <w:t>物体打击</w:t>
            </w:r>
          </w:p>
        </w:tc>
      </w:tr>
      <w:tr w14:paraId="53DD423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D2D3CB7">
            <w:pPr>
              <w:pStyle w:val="16"/>
              <w:numPr>
                <w:ilvl w:val="0"/>
                <w:numId w:val="59"/>
              </w:numPr>
            </w:pPr>
          </w:p>
        </w:tc>
        <w:tc>
          <w:tcPr>
            <w:tcW w:w="1190" w:type="dxa"/>
            <w:vMerge w:val="continue"/>
            <w:shd w:val="clear" w:color="auto" w:fill="auto"/>
            <w:vAlign w:val="center"/>
          </w:tcPr>
          <w:p w14:paraId="6B7F0A99">
            <w:pPr>
              <w:pStyle w:val="16"/>
            </w:pPr>
          </w:p>
        </w:tc>
        <w:tc>
          <w:tcPr>
            <w:tcW w:w="4961" w:type="dxa"/>
            <w:shd w:val="clear" w:color="auto" w:fill="auto"/>
            <w:vAlign w:val="center"/>
          </w:tcPr>
          <w:p w14:paraId="03C692C9">
            <w:pPr>
              <w:pStyle w:val="16"/>
              <w:rPr>
                <w:bCs/>
              </w:rPr>
            </w:pPr>
            <w:r>
              <w:rPr>
                <w:rFonts w:hint="eastAsia"/>
                <w:bCs/>
              </w:rPr>
              <w:t>施工升降机运行过程中脱离轨道</w:t>
            </w:r>
          </w:p>
        </w:tc>
        <w:tc>
          <w:tcPr>
            <w:tcW w:w="1487" w:type="dxa"/>
            <w:shd w:val="clear" w:color="auto" w:fill="auto"/>
            <w:vAlign w:val="center"/>
          </w:tcPr>
          <w:p w14:paraId="73F9DE97">
            <w:pPr>
              <w:pStyle w:val="16"/>
            </w:pPr>
            <w:r>
              <w:rPr>
                <w:rFonts w:hint="eastAsia"/>
              </w:rPr>
              <w:t>高处坠落</w:t>
            </w:r>
          </w:p>
        </w:tc>
      </w:tr>
      <w:tr w14:paraId="47E273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A4104AD">
            <w:pPr>
              <w:pStyle w:val="16"/>
              <w:numPr>
                <w:ilvl w:val="0"/>
                <w:numId w:val="59"/>
              </w:numPr>
            </w:pPr>
          </w:p>
        </w:tc>
        <w:tc>
          <w:tcPr>
            <w:tcW w:w="1190" w:type="dxa"/>
            <w:vMerge w:val="continue"/>
            <w:shd w:val="clear" w:color="auto" w:fill="auto"/>
            <w:vAlign w:val="center"/>
          </w:tcPr>
          <w:p w14:paraId="5B5D4780">
            <w:pPr>
              <w:pStyle w:val="16"/>
            </w:pPr>
          </w:p>
        </w:tc>
        <w:tc>
          <w:tcPr>
            <w:tcW w:w="4961" w:type="dxa"/>
            <w:shd w:val="clear" w:color="auto" w:fill="auto"/>
            <w:vAlign w:val="center"/>
          </w:tcPr>
          <w:p w14:paraId="248CCD7F">
            <w:pPr>
              <w:pStyle w:val="16"/>
              <w:rPr>
                <w:bCs/>
              </w:rPr>
            </w:pPr>
            <w:r>
              <w:rPr>
                <w:rFonts w:hint="eastAsia"/>
                <w:bCs/>
              </w:rPr>
              <w:t>施工升降机地面通道上方未搭设防护棚（安全通道），或者安全通道长度不足。</w:t>
            </w:r>
          </w:p>
        </w:tc>
        <w:tc>
          <w:tcPr>
            <w:tcW w:w="1487" w:type="dxa"/>
            <w:shd w:val="clear" w:color="auto" w:fill="auto"/>
            <w:vAlign w:val="center"/>
          </w:tcPr>
          <w:p w14:paraId="48B44C5D">
            <w:pPr>
              <w:pStyle w:val="16"/>
              <w:rPr>
                <w:bCs/>
              </w:rPr>
            </w:pPr>
            <w:r>
              <w:rPr>
                <w:rFonts w:hint="eastAsia"/>
                <w:bCs/>
              </w:rPr>
              <w:t>物体打击</w:t>
            </w:r>
          </w:p>
        </w:tc>
      </w:tr>
      <w:tr w14:paraId="0A6EAC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57DE47C">
            <w:pPr>
              <w:pStyle w:val="16"/>
              <w:numPr>
                <w:ilvl w:val="0"/>
                <w:numId w:val="59"/>
              </w:numPr>
            </w:pPr>
          </w:p>
        </w:tc>
        <w:tc>
          <w:tcPr>
            <w:tcW w:w="1190" w:type="dxa"/>
            <w:vMerge w:val="restart"/>
            <w:shd w:val="clear" w:color="auto" w:fill="auto"/>
            <w:vAlign w:val="center"/>
          </w:tcPr>
          <w:p w14:paraId="59B33AF1">
            <w:pPr>
              <w:pStyle w:val="16"/>
            </w:pPr>
            <w:r>
              <w:rPr>
                <w:rFonts w:hint="eastAsia"/>
              </w:rPr>
              <w:t>施工升降机拆除准备工作</w:t>
            </w:r>
          </w:p>
        </w:tc>
        <w:tc>
          <w:tcPr>
            <w:tcW w:w="4961" w:type="dxa"/>
            <w:shd w:val="clear" w:color="auto" w:fill="auto"/>
            <w:vAlign w:val="center"/>
          </w:tcPr>
          <w:p w14:paraId="4BE91DD8">
            <w:pPr>
              <w:pStyle w:val="16"/>
            </w:pPr>
            <w:r>
              <w:rPr>
                <w:rFonts w:hint="eastAsia"/>
              </w:rPr>
              <w:t>未设置施工升降机专用堆放场地或者堆放超高</w:t>
            </w:r>
          </w:p>
        </w:tc>
        <w:tc>
          <w:tcPr>
            <w:tcW w:w="1487" w:type="dxa"/>
            <w:shd w:val="clear" w:color="auto" w:fill="auto"/>
            <w:vAlign w:val="center"/>
          </w:tcPr>
          <w:p w14:paraId="492ACFB2">
            <w:pPr>
              <w:pStyle w:val="16"/>
            </w:pPr>
            <w:r>
              <w:rPr>
                <w:rFonts w:hint="eastAsia"/>
              </w:rPr>
              <w:t>物体打击</w:t>
            </w:r>
          </w:p>
        </w:tc>
      </w:tr>
      <w:tr w14:paraId="3FAB36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2DE11E8">
            <w:pPr>
              <w:pStyle w:val="16"/>
              <w:numPr>
                <w:ilvl w:val="0"/>
                <w:numId w:val="59"/>
              </w:numPr>
            </w:pPr>
          </w:p>
        </w:tc>
        <w:tc>
          <w:tcPr>
            <w:tcW w:w="1190" w:type="dxa"/>
            <w:vMerge w:val="continue"/>
            <w:shd w:val="clear" w:color="auto" w:fill="auto"/>
            <w:vAlign w:val="center"/>
          </w:tcPr>
          <w:p w14:paraId="2C61E113">
            <w:pPr>
              <w:pStyle w:val="16"/>
            </w:pPr>
          </w:p>
        </w:tc>
        <w:tc>
          <w:tcPr>
            <w:tcW w:w="4961" w:type="dxa"/>
            <w:shd w:val="clear" w:color="auto" w:fill="auto"/>
            <w:vAlign w:val="center"/>
          </w:tcPr>
          <w:p w14:paraId="4204700B">
            <w:pPr>
              <w:pStyle w:val="16"/>
            </w:pPr>
            <w:r>
              <w:rPr>
                <w:rFonts w:hint="eastAsia"/>
              </w:rPr>
              <w:t>拆卸过程中为准备专用工具和设备</w:t>
            </w:r>
          </w:p>
        </w:tc>
        <w:tc>
          <w:tcPr>
            <w:tcW w:w="1487" w:type="dxa"/>
            <w:shd w:val="clear" w:color="auto" w:fill="auto"/>
            <w:vAlign w:val="center"/>
          </w:tcPr>
          <w:p w14:paraId="3F4B1D2E">
            <w:pPr>
              <w:pStyle w:val="16"/>
            </w:pPr>
            <w:r>
              <w:rPr>
                <w:rFonts w:hint="eastAsia"/>
              </w:rPr>
              <w:t>物体打击</w:t>
            </w:r>
          </w:p>
        </w:tc>
      </w:tr>
      <w:tr w14:paraId="1C07A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65B1B20">
            <w:pPr>
              <w:pStyle w:val="16"/>
              <w:numPr>
                <w:ilvl w:val="0"/>
                <w:numId w:val="59"/>
              </w:numPr>
            </w:pPr>
          </w:p>
        </w:tc>
        <w:tc>
          <w:tcPr>
            <w:tcW w:w="1190" w:type="dxa"/>
            <w:vMerge w:val="continue"/>
            <w:shd w:val="clear" w:color="auto" w:fill="auto"/>
            <w:vAlign w:val="center"/>
          </w:tcPr>
          <w:p w14:paraId="102C584B">
            <w:pPr>
              <w:pStyle w:val="16"/>
            </w:pPr>
          </w:p>
        </w:tc>
        <w:tc>
          <w:tcPr>
            <w:tcW w:w="4961" w:type="dxa"/>
            <w:shd w:val="clear" w:color="auto" w:fill="auto"/>
            <w:vAlign w:val="center"/>
          </w:tcPr>
          <w:p w14:paraId="1043FB88">
            <w:pPr>
              <w:pStyle w:val="16"/>
            </w:pPr>
            <w:r>
              <w:rPr>
                <w:rFonts w:hint="eastAsia"/>
              </w:rPr>
              <w:t>吊笼未拆除之前，有非拆卸作业人员在地面防护围栏内、施工升降机运行通道内、导轨架内以及附墙架上等区域活动。</w:t>
            </w:r>
          </w:p>
        </w:tc>
        <w:tc>
          <w:tcPr>
            <w:tcW w:w="1487" w:type="dxa"/>
            <w:shd w:val="clear" w:color="auto" w:fill="auto"/>
            <w:vAlign w:val="center"/>
          </w:tcPr>
          <w:p w14:paraId="1B15526C">
            <w:pPr>
              <w:pStyle w:val="16"/>
            </w:pPr>
            <w:r>
              <w:rPr>
                <w:rFonts w:hint="eastAsia"/>
              </w:rPr>
              <w:t>机械伤害</w:t>
            </w:r>
          </w:p>
        </w:tc>
      </w:tr>
      <w:tr w14:paraId="16BEBB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D9EF21B">
            <w:pPr>
              <w:pStyle w:val="16"/>
              <w:numPr>
                <w:ilvl w:val="0"/>
                <w:numId w:val="59"/>
              </w:numPr>
            </w:pPr>
          </w:p>
        </w:tc>
        <w:tc>
          <w:tcPr>
            <w:tcW w:w="1190" w:type="dxa"/>
            <w:vMerge w:val="restart"/>
            <w:shd w:val="clear" w:color="auto" w:fill="auto"/>
            <w:vAlign w:val="center"/>
          </w:tcPr>
          <w:p w14:paraId="05BAE65B">
            <w:pPr>
              <w:pStyle w:val="16"/>
            </w:pPr>
            <w:r>
              <w:rPr>
                <w:rFonts w:hint="eastAsia"/>
              </w:rPr>
              <w:t>导轨架以及附墙架拆除</w:t>
            </w:r>
          </w:p>
        </w:tc>
        <w:tc>
          <w:tcPr>
            <w:tcW w:w="4961" w:type="dxa"/>
            <w:shd w:val="clear" w:color="auto" w:fill="auto"/>
            <w:vAlign w:val="center"/>
          </w:tcPr>
          <w:p w14:paraId="6E23DDF0">
            <w:pPr>
              <w:pStyle w:val="16"/>
            </w:pPr>
            <w:r>
              <w:rPr>
                <w:rFonts w:hint="eastAsia"/>
              </w:rPr>
              <w:t>待拆除节段与底下导轨架节段之间的连接未解除，进行拆除吊装作业</w:t>
            </w:r>
          </w:p>
        </w:tc>
        <w:tc>
          <w:tcPr>
            <w:tcW w:w="1487" w:type="dxa"/>
            <w:shd w:val="clear" w:color="auto" w:fill="auto"/>
            <w:vAlign w:val="center"/>
          </w:tcPr>
          <w:p w14:paraId="710638D2">
            <w:pPr>
              <w:pStyle w:val="16"/>
            </w:pPr>
            <w:r>
              <w:rPr>
                <w:rFonts w:hint="eastAsia"/>
              </w:rPr>
              <w:t>高处坠落、物体打击</w:t>
            </w:r>
          </w:p>
        </w:tc>
      </w:tr>
      <w:tr w14:paraId="75F21F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E20E840">
            <w:pPr>
              <w:pStyle w:val="16"/>
              <w:numPr>
                <w:ilvl w:val="0"/>
                <w:numId w:val="59"/>
              </w:numPr>
            </w:pPr>
          </w:p>
        </w:tc>
        <w:tc>
          <w:tcPr>
            <w:tcW w:w="1190" w:type="dxa"/>
            <w:vMerge w:val="continue"/>
            <w:shd w:val="clear" w:color="auto" w:fill="auto"/>
            <w:vAlign w:val="center"/>
          </w:tcPr>
          <w:p w14:paraId="3F7AACBA">
            <w:pPr>
              <w:pStyle w:val="16"/>
            </w:pPr>
          </w:p>
        </w:tc>
        <w:tc>
          <w:tcPr>
            <w:tcW w:w="4961" w:type="dxa"/>
            <w:shd w:val="clear" w:color="auto" w:fill="auto"/>
            <w:vAlign w:val="center"/>
          </w:tcPr>
          <w:p w14:paraId="60412E5D">
            <w:pPr>
              <w:pStyle w:val="16"/>
            </w:pPr>
            <w:r>
              <w:rPr>
                <w:rFonts w:hint="eastAsia"/>
              </w:rPr>
              <w:t>拆除时，导轨架悬臂自由长度过长</w:t>
            </w:r>
          </w:p>
        </w:tc>
        <w:tc>
          <w:tcPr>
            <w:tcW w:w="1487" w:type="dxa"/>
            <w:shd w:val="clear" w:color="auto" w:fill="auto"/>
            <w:vAlign w:val="center"/>
          </w:tcPr>
          <w:p w14:paraId="3F9C9AF9">
            <w:pPr>
              <w:pStyle w:val="16"/>
            </w:pPr>
            <w:r>
              <w:rPr>
                <w:rFonts w:hint="eastAsia"/>
              </w:rPr>
              <w:t>高处坠落、物体打击</w:t>
            </w:r>
          </w:p>
        </w:tc>
      </w:tr>
      <w:tr w14:paraId="5B1C17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4B2DB97">
            <w:pPr>
              <w:pStyle w:val="16"/>
              <w:numPr>
                <w:ilvl w:val="0"/>
                <w:numId w:val="59"/>
              </w:numPr>
            </w:pPr>
          </w:p>
        </w:tc>
        <w:tc>
          <w:tcPr>
            <w:tcW w:w="1190" w:type="dxa"/>
            <w:vMerge w:val="continue"/>
            <w:shd w:val="clear" w:color="auto" w:fill="auto"/>
            <w:vAlign w:val="center"/>
          </w:tcPr>
          <w:p w14:paraId="3C9F13E3">
            <w:pPr>
              <w:pStyle w:val="16"/>
            </w:pPr>
          </w:p>
        </w:tc>
        <w:tc>
          <w:tcPr>
            <w:tcW w:w="4961" w:type="dxa"/>
            <w:shd w:val="clear" w:color="auto" w:fill="auto"/>
            <w:vAlign w:val="center"/>
          </w:tcPr>
          <w:p w14:paraId="3DCAB1BF">
            <w:pPr>
              <w:pStyle w:val="16"/>
            </w:pPr>
            <w:r>
              <w:rPr>
                <w:rFonts w:hint="eastAsia"/>
              </w:rPr>
              <w:t>与基础相连的导轨架在最后一个附墙架拆除后，不能保持各方向的稳定性。</w:t>
            </w:r>
          </w:p>
        </w:tc>
        <w:tc>
          <w:tcPr>
            <w:tcW w:w="1487" w:type="dxa"/>
            <w:shd w:val="clear" w:color="auto" w:fill="auto"/>
            <w:vAlign w:val="center"/>
          </w:tcPr>
          <w:p w14:paraId="2411D4C4">
            <w:pPr>
              <w:pStyle w:val="16"/>
            </w:pPr>
            <w:r>
              <w:rPr>
                <w:rFonts w:hint="eastAsia"/>
              </w:rPr>
              <w:t>坍塌</w:t>
            </w:r>
          </w:p>
        </w:tc>
      </w:tr>
      <w:tr w14:paraId="1C7A21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FC44133">
            <w:pPr>
              <w:pStyle w:val="16"/>
              <w:numPr>
                <w:ilvl w:val="0"/>
                <w:numId w:val="59"/>
              </w:numPr>
            </w:pPr>
          </w:p>
        </w:tc>
        <w:tc>
          <w:tcPr>
            <w:tcW w:w="1190" w:type="dxa"/>
            <w:vMerge w:val="continue"/>
            <w:shd w:val="clear" w:color="auto" w:fill="auto"/>
            <w:vAlign w:val="center"/>
          </w:tcPr>
          <w:p w14:paraId="07063213">
            <w:pPr>
              <w:pStyle w:val="16"/>
            </w:pPr>
          </w:p>
        </w:tc>
        <w:tc>
          <w:tcPr>
            <w:tcW w:w="4961" w:type="dxa"/>
            <w:shd w:val="clear" w:color="auto" w:fill="auto"/>
            <w:vAlign w:val="center"/>
          </w:tcPr>
          <w:p w14:paraId="13BBAFA3">
            <w:pPr>
              <w:pStyle w:val="16"/>
            </w:pPr>
            <w:r>
              <w:rPr>
                <w:rFonts w:hint="eastAsia"/>
              </w:rPr>
              <w:t>当拆卸作业不能连续完成时，未根据拆卸状态采取相应的安全措施。</w:t>
            </w:r>
          </w:p>
        </w:tc>
        <w:tc>
          <w:tcPr>
            <w:tcW w:w="1487" w:type="dxa"/>
            <w:shd w:val="clear" w:color="auto" w:fill="auto"/>
            <w:vAlign w:val="center"/>
          </w:tcPr>
          <w:p w14:paraId="224DC48D">
            <w:pPr>
              <w:pStyle w:val="16"/>
            </w:pPr>
            <w:r>
              <w:rPr>
                <w:rFonts w:hint="eastAsia"/>
              </w:rPr>
              <w:t>机械伤害</w:t>
            </w:r>
          </w:p>
        </w:tc>
      </w:tr>
      <w:tr w14:paraId="3B9B5E4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4726140">
            <w:pPr>
              <w:pStyle w:val="16"/>
              <w:numPr>
                <w:ilvl w:val="0"/>
                <w:numId w:val="59"/>
              </w:numPr>
            </w:pPr>
          </w:p>
        </w:tc>
        <w:tc>
          <w:tcPr>
            <w:tcW w:w="1190" w:type="dxa"/>
            <w:vMerge w:val="continue"/>
            <w:shd w:val="clear" w:color="auto" w:fill="auto"/>
            <w:vAlign w:val="center"/>
          </w:tcPr>
          <w:p w14:paraId="030983AF">
            <w:pPr>
              <w:pStyle w:val="16"/>
            </w:pPr>
          </w:p>
        </w:tc>
        <w:tc>
          <w:tcPr>
            <w:tcW w:w="4961" w:type="dxa"/>
            <w:shd w:val="clear" w:color="auto" w:fill="auto"/>
            <w:vAlign w:val="center"/>
          </w:tcPr>
          <w:p w14:paraId="1F0D833A">
            <w:pPr>
              <w:pStyle w:val="16"/>
            </w:pPr>
            <w:r>
              <w:rPr>
                <w:rFonts w:hint="eastAsia"/>
              </w:rPr>
              <w:t>夜间进行施工升降机的拆卸作业。</w:t>
            </w:r>
          </w:p>
        </w:tc>
        <w:tc>
          <w:tcPr>
            <w:tcW w:w="1487" w:type="dxa"/>
            <w:shd w:val="clear" w:color="auto" w:fill="auto"/>
            <w:vAlign w:val="center"/>
          </w:tcPr>
          <w:p w14:paraId="647019D1">
            <w:pPr>
              <w:pStyle w:val="16"/>
            </w:pPr>
            <w:r>
              <w:rPr>
                <w:rFonts w:hint="eastAsia"/>
              </w:rPr>
              <w:t>高处坠落</w:t>
            </w:r>
          </w:p>
        </w:tc>
      </w:tr>
      <w:tr w14:paraId="4641D3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27CFDEB">
            <w:pPr>
              <w:pStyle w:val="16"/>
              <w:numPr>
                <w:ilvl w:val="0"/>
                <w:numId w:val="59"/>
              </w:numPr>
            </w:pPr>
          </w:p>
        </w:tc>
        <w:tc>
          <w:tcPr>
            <w:tcW w:w="1190" w:type="dxa"/>
            <w:vMerge w:val="restart"/>
            <w:shd w:val="clear" w:color="auto" w:fill="auto"/>
            <w:vAlign w:val="center"/>
          </w:tcPr>
          <w:p w14:paraId="202613B0">
            <w:pPr>
              <w:pStyle w:val="16"/>
            </w:pPr>
            <w:r>
              <w:rPr>
                <w:rFonts w:hint="eastAsia"/>
              </w:rPr>
              <w:t>临时用电</w:t>
            </w:r>
          </w:p>
        </w:tc>
        <w:tc>
          <w:tcPr>
            <w:tcW w:w="4961" w:type="dxa"/>
            <w:shd w:val="clear" w:color="auto" w:fill="auto"/>
            <w:vAlign w:val="center"/>
          </w:tcPr>
          <w:p w14:paraId="6FCE0F51">
            <w:pPr>
              <w:pStyle w:val="16"/>
            </w:pPr>
            <w:r>
              <w:rPr>
                <w:rFonts w:hint="eastAsia"/>
              </w:rPr>
              <w:t>配电箱配置不符合要求，固定不牢</w:t>
            </w:r>
          </w:p>
        </w:tc>
        <w:tc>
          <w:tcPr>
            <w:tcW w:w="1487" w:type="dxa"/>
            <w:shd w:val="clear" w:color="auto" w:fill="auto"/>
            <w:vAlign w:val="center"/>
          </w:tcPr>
          <w:p w14:paraId="4F2E8219">
            <w:pPr>
              <w:pStyle w:val="16"/>
            </w:pPr>
            <w:r>
              <w:rPr>
                <w:rFonts w:hint="eastAsia"/>
              </w:rPr>
              <w:t>触电</w:t>
            </w:r>
          </w:p>
        </w:tc>
      </w:tr>
      <w:tr w14:paraId="5B9826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662381C">
            <w:pPr>
              <w:pStyle w:val="16"/>
              <w:numPr>
                <w:ilvl w:val="0"/>
                <w:numId w:val="59"/>
              </w:numPr>
            </w:pPr>
          </w:p>
        </w:tc>
        <w:tc>
          <w:tcPr>
            <w:tcW w:w="1190" w:type="dxa"/>
            <w:vMerge w:val="continue"/>
            <w:shd w:val="clear" w:color="auto" w:fill="auto"/>
            <w:vAlign w:val="center"/>
          </w:tcPr>
          <w:p w14:paraId="610F8713">
            <w:pPr>
              <w:pStyle w:val="16"/>
            </w:pPr>
          </w:p>
        </w:tc>
        <w:tc>
          <w:tcPr>
            <w:tcW w:w="4961" w:type="dxa"/>
            <w:shd w:val="clear" w:color="auto" w:fill="auto"/>
            <w:vAlign w:val="center"/>
          </w:tcPr>
          <w:p w14:paraId="2BBDDC3D">
            <w:pPr>
              <w:pStyle w:val="16"/>
            </w:pPr>
            <w:r>
              <w:rPr>
                <w:rFonts w:hint="eastAsia"/>
              </w:rPr>
              <w:t>配电系统未按</w:t>
            </w:r>
            <w:r>
              <w:t>“</w:t>
            </w:r>
            <w:r>
              <w:rPr>
                <w:rFonts w:hint="eastAsia"/>
              </w:rPr>
              <w:t>三级配电、二级防护</w:t>
            </w:r>
            <w:r>
              <w:t>”</w:t>
            </w:r>
            <w:r>
              <w:rPr>
                <w:rFonts w:hint="eastAsia"/>
              </w:rPr>
              <w:t>进行设置</w:t>
            </w:r>
          </w:p>
        </w:tc>
        <w:tc>
          <w:tcPr>
            <w:tcW w:w="1487" w:type="dxa"/>
            <w:shd w:val="clear" w:color="auto" w:fill="auto"/>
            <w:vAlign w:val="center"/>
          </w:tcPr>
          <w:p w14:paraId="2DB6DF10">
            <w:pPr>
              <w:pStyle w:val="16"/>
            </w:pPr>
            <w:r>
              <w:rPr>
                <w:rFonts w:hint="eastAsia"/>
              </w:rPr>
              <w:t>触电</w:t>
            </w:r>
          </w:p>
        </w:tc>
      </w:tr>
      <w:tr w14:paraId="7D871F7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70BE2D5">
            <w:pPr>
              <w:pStyle w:val="16"/>
              <w:numPr>
                <w:ilvl w:val="0"/>
                <w:numId w:val="59"/>
              </w:numPr>
            </w:pPr>
          </w:p>
        </w:tc>
        <w:tc>
          <w:tcPr>
            <w:tcW w:w="1190" w:type="dxa"/>
            <w:vMerge w:val="continue"/>
            <w:shd w:val="clear" w:color="auto" w:fill="auto"/>
            <w:vAlign w:val="center"/>
          </w:tcPr>
          <w:p w14:paraId="1E0A1000">
            <w:pPr>
              <w:pStyle w:val="16"/>
            </w:pPr>
          </w:p>
        </w:tc>
        <w:tc>
          <w:tcPr>
            <w:tcW w:w="4961" w:type="dxa"/>
            <w:shd w:val="clear" w:color="auto" w:fill="auto"/>
            <w:vAlign w:val="center"/>
          </w:tcPr>
          <w:p w14:paraId="031484FA">
            <w:pPr>
              <w:pStyle w:val="16"/>
            </w:pPr>
            <w:r>
              <w:rPr>
                <w:rFonts w:hint="eastAsia"/>
              </w:rPr>
              <w:t>用电设备未做到</w:t>
            </w:r>
            <w:r>
              <w:t>“</w:t>
            </w:r>
            <w:r>
              <w:rPr>
                <w:rFonts w:hint="eastAsia"/>
              </w:rPr>
              <w:t>一机一闸一漏一箱</w:t>
            </w:r>
            <w:r>
              <w:t>”</w:t>
            </w:r>
          </w:p>
        </w:tc>
        <w:tc>
          <w:tcPr>
            <w:tcW w:w="1487" w:type="dxa"/>
            <w:shd w:val="clear" w:color="auto" w:fill="auto"/>
            <w:vAlign w:val="center"/>
          </w:tcPr>
          <w:p w14:paraId="453E2E68">
            <w:pPr>
              <w:pStyle w:val="16"/>
            </w:pPr>
            <w:r>
              <w:rPr>
                <w:rFonts w:hint="eastAsia"/>
              </w:rPr>
              <w:t>触电</w:t>
            </w:r>
          </w:p>
        </w:tc>
      </w:tr>
      <w:tr w14:paraId="0999B5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3CF780B">
            <w:pPr>
              <w:pStyle w:val="16"/>
              <w:numPr>
                <w:ilvl w:val="0"/>
                <w:numId w:val="59"/>
              </w:numPr>
            </w:pPr>
          </w:p>
        </w:tc>
        <w:tc>
          <w:tcPr>
            <w:tcW w:w="1190" w:type="dxa"/>
            <w:vMerge w:val="continue"/>
            <w:shd w:val="clear" w:color="auto" w:fill="auto"/>
            <w:vAlign w:val="center"/>
          </w:tcPr>
          <w:p w14:paraId="093D070E">
            <w:pPr>
              <w:pStyle w:val="16"/>
            </w:pPr>
          </w:p>
        </w:tc>
        <w:tc>
          <w:tcPr>
            <w:tcW w:w="4961" w:type="dxa"/>
            <w:shd w:val="clear" w:color="auto" w:fill="auto"/>
            <w:vAlign w:val="center"/>
          </w:tcPr>
          <w:p w14:paraId="05445B63">
            <w:pPr>
              <w:pStyle w:val="16"/>
            </w:pPr>
            <w:r>
              <w:rPr>
                <w:rFonts w:hint="eastAsia"/>
              </w:rPr>
              <w:t>非专业电工进行操作</w:t>
            </w:r>
          </w:p>
        </w:tc>
        <w:tc>
          <w:tcPr>
            <w:tcW w:w="1487" w:type="dxa"/>
            <w:shd w:val="clear" w:color="auto" w:fill="auto"/>
            <w:vAlign w:val="center"/>
          </w:tcPr>
          <w:p w14:paraId="2A729A64">
            <w:pPr>
              <w:pStyle w:val="16"/>
            </w:pPr>
            <w:r>
              <w:rPr>
                <w:rFonts w:hint="eastAsia"/>
              </w:rPr>
              <w:t>触电</w:t>
            </w:r>
          </w:p>
        </w:tc>
      </w:tr>
      <w:tr w14:paraId="2BB31F3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8CF6BC0">
            <w:pPr>
              <w:pStyle w:val="16"/>
              <w:numPr>
                <w:ilvl w:val="0"/>
                <w:numId w:val="59"/>
              </w:numPr>
            </w:pPr>
          </w:p>
        </w:tc>
        <w:tc>
          <w:tcPr>
            <w:tcW w:w="1190" w:type="dxa"/>
            <w:vMerge w:val="continue"/>
            <w:shd w:val="clear" w:color="auto" w:fill="auto"/>
            <w:vAlign w:val="center"/>
          </w:tcPr>
          <w:p w14:paraId="7865A313">
            <w:pPr>
              <w:pStyle w:val="16"/>
            </w:pPr>
          </w:p>
        </w:tc>
        <w:tc>
          <w:tcPr>
            <w:tcW w:w="4961" w:type="dxa"/>
            <w:shd w:val="clear" w:color="auto" w:fill="auto"/>
            <w:vAlign w:val="center"/>
          </w:tcPr>
          <w:p w14:paraId="6E2E198B">
            <w:pPr>
              <w:pStyle w:val="16"/>
            </w:pPr>
            <w:r>
              <w:rPr>
                <w:rFonts w:hint="eastAsia"/>
              </w:rPr>
              <w:t>电路配置与用电设备功率不匹配；使用非标电缆线或电缆绝缘强度不够，线路老化或电缆线破损</w:t>
            </w:r>
          </w:p>
        </w:tc>
        <w:tc>
          <w:tcPr>
            <w:tcW w:w="1487" w:type="dxa"/>
            <w:shd w:val="clear" w:color="auto" w:fill="auto"/>
            <w:vAlign w:val="center"/>
          </w:tcPr>
          <w:p w14:paraId="7996DD42">
            <w:pPr>
              <w:pStyle w:val="16"/>
            </w:pPr>
            <w:r>
              <w:rPr>
                <w:rFonts w:hint="eastAsia"/>
              </w:rPr>
              <w:t>触电</w:t>
            </w:r>
          </w:p>
        </w:tc>
      </w:tr>
      <w:tr w14:paraId="3702CB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1C26784">
            <w:pPr>
              <w:pStyle w:val="16"/>
              <w:numPr>
                <w:ilvl w:val="0"/>
                <w:numId w:val="59"/>
              </w:numPr>
            </w:pPr>
          </w:p>
        </w:tc>
        <w:tc>
          <w:tcPr>
            <w:tcW w:w="1190" w:type="dxa"/>
            <w:vMerge w:val="continue"/>
            <w:shd w:val="clear" w:color="auto" w:fill="auto"/>
            <w:vAlign w:val="center"/>
          </w:tcPr>
          <w:p w14:paraId="6A09EC32">
            <w:pPr>
              <w:pStyle w:val="16"/>
            </w:pPr>
          </w:p>
        </w:tc>
        <w:tc>
          <w:tcPr>
            <w:tcW w:w="4961" w:type="dxa"/>
            <w:shd w:val="clear" w:color="auto" w:fill="auto"/>
            <w:vAlign w:val="center"/>
          </w:tcPr>
          <w:p w14:paraId="19B731AD">
            <w:pPr>
              <w:pStyle w:val="16"/>
            </w:pPr>
            <w:r>
              <w:rPr>
                <w:rFonts w:hint="eastAsia"/>
              </w:rPr>
              <w:t>电缆线未按规范要求敷设或架起；随意拖拽电缆，物料随意压盖电缆；用电设备雨天未防雨遮盖，雨后未检查就使用</w:t>
            </w:r>
          </w:p>
        </w:tc>
        <w:tc>
          <w:tcPr>
            <w:tcW w:w="1487" w:type="dxa"/>
            <w:shd w:val="clear" w:color="auto" w:fill="auto"/>
            <w:vAlign w:val="center"/>
          </w:tcPr>
          <w:p w14:paraId="23F988D3">
            <w:pPr>
              <w:pStyle w:val="16"/>
            </w:pPr>
            <w:r>
              <w:rPr>
                <w:rFonts w:hint="eastAsia"/>
              </w:rPr>
              <w:t>触电</w:t>
            </w:r>
          </w:p>
        </w:tc>
      </w:tr>
      <w:tr w14:paraId="3C99DA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14077EB">
            <w:pPr>
              <w:pStyle w:val="16"/>
              <w:numPr>
                <w:ilvl w:val="0"/>
                <w:numId w:val="59"/>
              </w:numPr>
            </w:pPr>
          </w:p>
        </w:tc>
        <w:tc>
          <w:tcPr>
            <w:tcW w:w="1190" w:type="dxa"/>
            <w:vMerge w:val="restart"/>
            <w:shd w:val="clear" w:color="auto" w:fill="auto"/>
            <w:vAlign w:val="center"/>
          </w:tcPr>
          <w:p w14:paraId="214530A4">
            <w:pPr>
              <w:pStyle w:val="16"/>
            </w:pPr>
            <w:r>
              <w:rPr>
                <w:rFonts w:hint="eastAsia"/>
              </w:rPr>
              <w:t>起重作业</w:t>
            </w:r>
          </w:p>
        </w:tc>
        <w:tc>
          <w:tcPr>
            <w:tcW w:w="4961" w:type="dxa"/>
            <w:shd w:val="clear" w:color="auto" w:fill="auto"/>
            <w:vAlign w:val="center"/>
          </w:tcPr>
          <w:p w14:paraId="7667B4E1">
            <w:pPr>
              <w:pStyle w:val="16"/>
            </w:pPr>
            <w:r>
              <w:rPr>
                <w:rFonts w:hint="eastAsia"/>
              </w:rPr>
              <w:t>起重作业无专人指挥</w:t>
            </w:r>
          </w:p>
        </w:tc>
        <w:tc>
          <w:tcPr>
            <w:tcW w:w="1487" w:type="dxa"/>
            <w:shd w:val="clear" w:color="auto" w:fill="auto"/>
            <w:vAlign w:val="center"/>
          </w:tcPr>
          <w:p w14:paraId="03931504">
            <w:pPr>
              <w:pStyle w:val="16"/>
            </w:pPr>
            <w:r>
              <w:rPr>
                <w:rFonts w:hint="eastAsia"/>
              </w:rPr>
              <w:t>起重伤害、物体打击</w:t>
            </w:r>
          </w:p>
        </w:tc>
      </w:tr>
      <w:tr w14:paraId="7DF9F2B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5587703">
            <w:pPr>
              <w:pStyle w:val="16"/>
              <w:numPr>
                <w:ilvl w:val="0"/>
                <w:numId w:val="59"/>
              </w:numPr>
            </w:pPr>
          </w:p>
        </w:tc>
        <w:tc>
          <w:tcPr>
            <w:tcW w:w="1190" w:type="dxa"/>
            <w:vMerge w:val="continue"/>
            <w:shd w:val="clear" w:color="auto" w:fill="auto"/>
            <w:vAlign w:val="center"/>
          </w:tcPr>
          <w:p w14:paraId="5DDAB363">
            <w:pPr>
              <w:pStyle w:val="16"/>
            </w:pPr>
          </w:p>
        </w:tc>
        <w:tc>
          <w:tcPr>
            <w:tcW w:w="4961" w:type="dxa"/>
            <w:shd w:val="clear" w:color="auto" w:fill="auto"/>
            <w:vAlign w:val="center"/>
          </w:tcPr>
          <w:p w14:paraId="2A20BC33">
            <w:pPr>
              <w:pStyle w:val="16"/>
            </w:pPr>
            <w:r>
              <w:rPr>
                <w:rFonts w:hint="eastAsia"/>
              </w:rPr>
              <w:t>起重吊装工索具选型有误、现场混用或连接不牢靠</w:t>
            </w:r>
          </w:p>
        </w:tc>
        <w:tc>
          <w:tcPr>
            <w:tcW w:w="1487" w:type="dxa"/>
            <w:shd w:val="clear" w:color="auto" w:fill="auto"/>
            <w:vAlign w:val="center"/>
          </w:tcPr>
          <w:p w14:paraId="44E0C532">
            <w:pPr>
              <w:pStyle w:val="16"/>
            </w:pPr>
            <w:r>
              <w:rPr>
                <w:rFonts w:hint="eastAsia"/>
              </w:rPr>
              <w:t>起重伤害、物体打击</w:t>
            </w:r>
          </w:p>
        </w:tc>
      </w:tr>
      <w:tr w14:paraId="56B7CAA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0" w:type="auto"/>
            <w:shd w:val="clear" w:color="auto" w:fill="auto"/>
            <w:noWrap/>
            <w:vAlign w:val="center"/>
          </w:tcPr>
          <w:p w14:paraId="78E24C38">
            <w:pPr>
              <w:pStyle w:val="16"/>
              <w:numPr>
                <w:ilvl w:val="0"/>
                <w:numId w:val="59"/>
              </w:numPr>
            </w:pPr>
          </w:p>
        </w:tc>
        <w:tc>
          <w:tcPr>
            <w:tcW w:w="1190" w:type="dxa"/>
            <w:vMerge w:val="continue"/>
            <w:shd w:val="clear" w:color="auto" w:fill="auto"/>
            <w:vAlign w:val="center"/>
          </w:tcPr>
          <w:p w14:paraId="1C930173">
            <w:pPr>
              <w:pStyle w:val="16"/>
            </w:pPr>
          </w:p>
        </w:tc>
        <w:tc>
          <w:tcPr>
            <w:tcW w:w="4961" w:type="dxa"/>
            <w:shd w:val="clear" w:color="auto" w:fill="auto"/>
            <w:vAlign w:val="center"/>
          </w:tcPr>
          <w:p w14:paraId="4EAB4B0E">
            <w:pPr>
              <w:pStyle w:val="16"/>
            </w:pPr>
            <w:r>
              <w:rPr>
                <w:rFonts w:hint="eastAsia"/>
              </w:rPr>
              <w:t>不同起重设备共同作业时，操作不协调</w:t>
            </w:r>
          </w:p>
        </w:tc>
        <w:tc>
          <w:tcPr>
            <w:tcW w:w="1487" w:type="dxa"/>
            <w:shd w:val="clear" w:color="auto" w:fill="auto"/>
            <w:vAlign w:val="center"/>
          </w:tcPr>
          <w:p w14:paraId="1C6B2D5B">
            <w:pPr>
              <w:pStyle w:val="16"/>
            </w:pPr>
            <w:r>
              <w:rPr>
                <w:rFonts w:hint="eastAsia"/>
              </w:rPr>
              <w:t>起重伤害</w:t>
            </w:r>
          </w:p>
        </w:tc>
      </w:tr>
      <w:tr w14:paraId="030AAE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3E67DA0">
            <w:pPr>
              <w:pStyle w:val="16"/>
              <w:numPr>
                <w:ilvl w:val="0"/>
                <w:numId w:val="59"/>
              </w:numPr>
            </w:pPr>
          </w:p>
        </w:tc>
        <w:tc>
          <w:tcPr>
            <w:tcW w:w="1190" w:type="dxa"/>
            <w:vMerge w:val="continue"/>
            <w:shd w:val="clear" w:color="auto" w:fill="auto"/>
            <w:vAlign w:val="center"/>
          </w:tcPr>
          <w:p w14:paraId="1C6E40DD">
            <w:pPr>
              <w:pStyle w:val="16"/>
            </w:pPr>
          </w:p>
        </w:tc>
        <w:tc>
          <w:tcPr>
            <w:tcW w:w="4961" w:type="dxa"/>
            <w:shd w:val="clear" w:color="auto" w:fill="auto"/>
            <w:vAlign w:val="center"/>
          </w:tcPr>
          <w:p w14:paraId="4CBB1AAD">
            <w:pPr>
              <w:pStyle w:val="16"/>
            </w:pPr>
            <w:r>
              <w:rPr>
                <w:rFonts w:hint="eastAsia"/>
              </w:rPr>
              <w:t>塔吊上部未装测风仪，</w:t>
            </w:r>
            <w:r>
              <w:t>6</w:t>
            </w:r>
            <w:r>
              <w:rPr>
                <w:rFonts w:hint="eastAsia"/>
              </w:rPr>
              <w:t>级以上风未停止作业</w:t>
            </w:r>
          </w:p>
        </w:tc>
        <w:tc>
          <w:tcPr>
            <w:tcW w:w="1487" w:type="dxa"/>
            <w:shd w:val="clear" w:color="auto" w:fill="auto"/>
            <w:vAlign w:val="center"/>
          </w:tcPr>
          <w:p w14:paraId="40FB481F">
            <w:pPr>
              <w:pStyle w:val="16"/>
            </w:pPr>
            <w:r>
              <w:rPr>
                <w:rFonts w:hint="eastAsia"/>
              </w:rPr>
              <w:t>起重伤害</w:t>
            </w:r>
          </w:p>
        </w:tc>
      </w:tr>
      <w:tr w14:paraId="1EFE2D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BE7348A">
            <w:pPr>
              <w:pStyle w:val="16"/>
              <w:numPr>
                <w:ilvl w:val="0"/>
                <w:numId w:val="59"/>
              </w:numPr>
            </w:pPr>
          </w:p>
        </w:tc>
        <w:tc>
          <w:tcPr>
            <w:tcW w:w="1190" w:type="dxa"/>
            <w:vMerge w:val="continue"/>
            <w:shd w:val="clear" w:color="auto" w:fill="auto"/>
            <w:vAlign w:val="center"/>
          </w:tcPr>
          <w:p w14:paraId="7FD760CE">
            <w:pPr>
              <w:pStyle w:val="16"/>
            </w:pPr>
          </w:p>
        </w:tc>
        <w:tc>
          <w:tcPr>
            <w:tcW w:w="4961" w:type="dxa"/>
            <w:shd w:val="clear" w:color="auto" w:fill="auto"/>
            <w:vAlign w:val="center"/>
          </w:tcPr>
          <w:p w14:paraId="04A9CB68">
            <w:pPr>
              <w:pStyle w:val="16"/>
            </w:pPr>
            <w:r>
              <w:rPr>
                <w:rFonts w:hint="eastAsia"/>
              </w:rPr>
              <w:t>未进行定期检查、维护、保养</w:t>
            </w:r>
          </w:p>
        </w:tc>
        <w:tc>
          <w:tcPr>
            <w:tcW w:w="1487" w:type="dxa"/>
            <w:shd w:val="clear" w:color="auto" w:fill="auto"/>
            <w:vAlign w:val="center"/>
          </w:tcPr>
          <w:p w14:paraId="00ECFEF8">
            <w:pPr>
              <w:pStyle w:val="16"/>
            </w:pPr>
            <w:r>
              <w:rPr>
                <w:rFonts w:hint="eastAsia"/>
              </w:rPr>
              <w:t>起重伤害</w:t>
            </w:r>
          </w:p>
        </w:tc>
      </w:tr>
      <w:tr w14:paraId="582EEA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82B7841">
            <w:pPr>
              <w:pStyle w:val="16"/>
              <w:numPr>
                <w:ilvl w:val="0"/>
                <w:numId w:val="59"/>
              </w:numPr>
            </w:pPr>
          </w:p>
        </w:tc>
        <w:tc>
          <w:tcPr>
            <w:tcW w:w="1190" w:type="dxa"/>
            <w:vMerge w:val="continue"/>
            <w:shd w:val="clear" w:color="auto" w:fill="auto"/>
            <w:vAlign w:val="center"/>
          </w:tcPr>
          <w:p w14:paraId="56B1273F">
            <w:pPr>
              <w:pStyle w:val="16"/>
            </w:pPr>
          </w:p>
        </w:tc>
        <w:tc>
          <w:tcPr>
            <w:tcW w:w="4961" w:type="dxa"/>
            <w:shd w:val="clear" w:color="auto" w:fill="auto"/>
            <w:vAlign w:val="center"/>
          </w:tcPr>
          <w:p w14:paraId="653B84F9">
            <w:pPr>
              <w:pStyle w:val="16"/>
            </w:pPr>
            <w:r>
              <w:rPr>
                <w:rFonts w:hint="eastAsia"/>
              </w:rPr>
              <w:t>起重设备未检验或检验证书过期</w:t>
            </w:r>
          </w:p>
        </w:tc>
        <w:tc>
          <w:tcPr>
            <w:tcW w:w="1487" w:type="dxa"/>
            <w:shd w:val="clear" w:color="auto" w:fill="auto"/>
            <w:vAlign w:val="center"/>
          </w:tcPr>
          <w:p w14:paraId="376927F6">
            <w:pPr>
              <w:pStyle w:val="16"/>
            </w:pPr>
            <w:r>
              <w:rPr>
                <w:rFonts w:hint="eastAsia"/>
              </w:rPr>
              <w:t>起重伤害</w:t>
            </w:r>
          </w:p>
        </w:tc>
      </w:tr>
      <w:tr w14:paraId="50A591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AEACE72">
            <w:pPr>
              <w:pStyle w:val="16"/>
              <w:numPr>
                <w:ilvl w:val="0"/>
                <w:numId w:val="59"/>
              </w:numPr>
            </w:pPr>
          </w:p>
        </w:tc>
        <w:tc>
          <w:tcPr>
            <w:tcW w:w="1190" w:type="dxa"/>
            <w:vMerge w:val="continue"/>
            <w:shd w:val="clear" w:color="auto" w:fill="auto"/>
            <w:vAlign w:val="center"/>
          </w:tcPr>
          <w:p w14:paraId="3CFE9D3E">
            <w:pPr>
              <w:pStyle w:val="16"/>
            </w:pPr>
          </w:p>
        </w:tc>
        <w:tc>
          <w:tcPr>
            <w:tcW w:w="4961" w:type="dxa"/>
            <w:shd w:val="clear" w:color="auto" w:fill="auto"/>
            <w:vAlign w:val="center"/>
          </w:tcPr>
          <w:p w14:paraId="0EE32559">
            <w:pPr>
              <w:pStyle w:val="16"/>
            </w:pPr>
            <w:r>
              <w:rPr>
                <w:rFonts w:hint="eastAsia"/>
              </w:rPr>
              <w:t>起重设备吊钩安全销损坏、吊钩限位器损坏、钢丝绳磨损或连接销轴松动</w:t>
            </w:r>
          </w:p>
        </w:tc>
        <w:tc>
          <w:tcPr>
            <w:tcW w:w="1487" w:type="dxa"/>
            <w:shd w:val="clear" w:color="auto" w:fill="auto"/>
            <w:vAlign w:val="center"/>
          </w:tcPr>
          <w:p w14:paraId="3B1C884C">
            <w:pPr>
              <w:pStyle w:val="16"/>
            </w:pPr>
            <w:r>
              <w:rPr>
                <w:rFonts w:hint="eastAsia"/>
              </w:rPr>
              <w:t>起重伤害</w:t>
            </w:r>
          </w:p>
        </w:tc>
      </w:tr>
      <w:tr w14:paraId="618832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0" w:type="auto"/>
            <w:shd w:val="clear" w:color="auto" w:fill="auto"/>
            <w:noWrap/>
            <w:vAlign w:val="center"/>
          </w:tcPr>
          <w:p w14:paraId="7ACF40B8">
            <w:pPr>
              <w:pStyle w:val="16"/>
              <w:numPr>
                <w:ilvl w:val="0"/>
                <w:numId w:val="59"/>
              </w:numPr>
            </w:pPr>
          </w:p>
        </w:tc>
        <w:tc>
          <w:tcPr>
            <w:tcW w:w="1190" w:type="dxa"/>
            <w:vMerge w:val="continue"/>
            <w:shd w:val="clear" w:color="auto" w:fill="auto"/>
            <w:vAlign w:val="center"/>
          </w:tcPr>
          <w:p w14:paraId="7BF2BE23">
            <w:pPr>
              <w:pStyle w:val="16"/>
            </w:pPr>
          </w:p>
        </w:tc>
        <w:tc>
          <w:tcPr>
            <w:tcW w:w="4961" w:type="dxa"/>
            <w:shd w:val="clear" w:color="auto" w:fill="auto"/>
            <w:vAlign w:val="center"/>
          </w:tcPr>
          <w:p w14:paraId="2A75491D">
            <w:pPr>
              <w:pStyle w:val="16"/>
              <w:rPr>
                <w:bCs/>
              </w:rPr>
            </w:pPr>
            <w:r>
              <w:rPr>
                <w:rFonts w:hint="eastAsia"/>
                <w:bCs/>
              </w:rPr>
              <w:t>起重指挥信号不明</w:t>
            </w:r>
          </w:p>
        </w:tc>
        <w:tc>
          <w:tcPr>
            <w:tcW w:w="1487" w:type="dxa"/>
            <w:shd w:val="clear" w:color="auto" w:fill="auto"/>
            <w:vAlign w:val="center"/>
          </w:tcPr>
          <w:p w14:paraId="7082B5DF">
            <w:pPr>
              <w:pStyle w:val="16"/>
              <w:rPr>
                <w:bCs/>
              </w:rPr>
            </w:pPr>
            <w:r>
              <w:rPr>
                <w:rFonts w:hint="eastAsia"/>
                <w:bCs/>
              </w:rPr>
              <w:t>起重伤害</w:t>
            </w:r>
          </w:p>
        </w:tc>
      </w:tr>
      <w:tr w14:paraId="12179C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0F82196">
            <w:pPr>
              <w:pStyle w:val="16"/>
              <w:numPr>
                <w:ilvl w:val="0"/>
                <w:numId w:val="59"/>
              </w:numPr>
            </w:pPr>
          </w:p>
        </w:tc>
        <w:tc>
          <w:tcPr>
            <w:tcW w:w="1190" w:type="dxa"/>
            <w:vMerge w:val="continue"/>
            <w:shd w:val="clear" w:color="auto" w:fill="auto"/>
            <w:vAlign w:val="center"/>
          </w:tcPr>
          <w:p w14:paraId="0A2D4C2A">
            <w:pPr>
              <w:pStyle w:val="16"/>
            </w:pPr>
          </w:p>
        </w:tc>
        <w:tc>
          <w:tcPr>
            <w:tcW w:w="4961" w:type="dxa"/>
            <w:shd w:val="clear" w:color="auto" w:fill="auto"/>
            <w:vAlign w:val="center"/>
          </w:tcPr>
          <w:p w14:paraId="06CFA47A">
            <w:pPr>
              <w:pStyle w:val="16"/>
              <w:rPr>
                <w:bCs/>
              </w:rPr>
            </w:pPr>
            <w:r>
              <w:rPr>
                <w:rFonts w:hint="eastAsia"/>
                <w:bCs/>
              </w:rPr>
              <w:t>起重违章指挥</w:t>
            </w:r>
          </w:p>
        </w:tc>
        <w:tc>
          <w:tcPr>
            <w:tcW w:w="1487" w:type="dxa"/>
            <w:shd w:val="clear" w:color="auto" w:fill="auto"/>
            <w:vAlign w:val="center"/>
          </w:tcPr>
          <w:p w14:paraId="66E59F28">
            <w:pPr>
              <w:pStyle w:val="16"/>
              <w:rPr>
                <w:bCs/>
              </w:rPr>
            </w:pPr>
            <w:r>
              <w:rPr>
                <w:rFonts w:hint="eastAsia"/>
                <w:bCs/>
              </w:rPr>
              <w:t>起重伤害</w:t>
            </w:r>
          </w:p>
        </w:tc>
      </w:tr>
      <w:tr w14:paraId="11ADB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ED2DBA2">
            <w:pPr>
              <w:pStyle w:val="16"/>
              <w:numPr>
                <w:ilvl w:val="0"/>
                <w:numId w:val="59"/>
              </w:numPr>
            </w:pPr>
          </w:p>
        </w:tc>
        <w:tc>
          <w:tcPr>
            <w:tcW w:w="1190" w:type="dxa"/>
            <w:vMerge w:val="continue"/>
            <w:shd w:val="clear" w:color="auto" w:fill="auto"/>
            <w:vAlign w:val="center"/>
          </w:tcPr>
          <w:p w14:paraId="6A40A426">
            <w:pPr>
              <w:pStyle w:val="16"/>
            </w:pPr>
          </w:p>
        </w:tc>
        <w:tc>
          <w:tcPr>
            <w:tcW w:w="4961" w:type="dxa"/>
            <w:shd w:val="clear" w:color="auto" w:fill="auto"/>
            <w:vAlign w:val="center"/>
          </w:tcPr>
          <w:p w14:paraId="4CE63EE3">
            <w:pPr>
              <w:pStyle w:val="16"/>
              <w:rPr>
                <w:bCs/>
              </w:rPr>
            </w:pPr>
            <w:r>
              <w:rPr>
                <w:rFonts w:hint="eastAsia"/>
                <w:bCs/>
              </w:rPr>
              <w:t>起重违章操作</w:t>
            </w:r>
          </w:p>
        </w:tc>
        <w:tc>
          <w:tcPr>
            <w:tcW w:w="1487" w:type="dxa"/>
            <w:shd w:val="clear" w:color="auto" w:fill="auto"/>
            <w:vAlign w:val="center"/>
          </w:tcPr>
          <w:p w14:paraId="380778AF">
            <w:pPr>
              <w:pStyle w:val="16"/>
              <w:rPr>
                <w:bCs/>
              </w:rPr>
            </w:pPr>
            <w:r>
              <w:rPr>
                <w:rFonts w:hint="eastAsia"/>
                <w:bCs/>
              </w:rPr>
              <w:t>起重伤害</w:t>
            </w:r>
          </w:p>
        </w:tc>
      </w:tr>
      <w:tr w14:paraId="309D5D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FB26660">
            <w:pPr>
              <w:pStyle w:val="16"/>
              <w:numPr>
                <w:ilvl w:val="0"/>
                <w:numId w:val="59"/>
              </w:numPr>
            </w:pPr>
          </w:p>
        </w:tc>
        <w:tc>
          <w:tcPr>
            <w:tcW w:w="1190" w:type="dxa"/>
            <w:vMerge w:val="continue"/>
            <w:shd w:val="clear" w:color="auto" w:fill="auto"/>
            <w:vAlign w:val="center"/>
          </w:tcPr>
          <w:p w14:paraId="0A0E5848">
            <w:pPr>
              <w:pStyle w:val="16"/>
            </w:pPr>
          </w:p>
        </w:tc>
        <w:tc>
          <w:tcPr>
            <w:tcW w:w="4961" w:type="dxa"/>
            <w:shd w:val="clear" w:color="auto" w:fill="auto"/>
            <w:vAlign w:val="center"/>
          </w:tcPr>
          <w:p w14:paraId="635D68BE">
            <w:pPr>
              <w:pStyle w:val="16"/>
            </w:pPr>
            <w:r>
              <w:rPr>
                <w:rFonts w:hint="eastAsia"/>
              </w:rPr>
              <w:t>起重吊装未设置警戒区，人员在起吊物、臂杆下方停留、作业</w:t>
            </w:r>
          </w:p>
        </w:tc>
        <w:tc>
          <w:tcPr>
            <w:tcW w:w="1487" w:type="dxa"/>
            <w:shd w:val="clear" w:color="auto" w:fill="auto"/>
            <w:vAlign w:val="center"/>
          </w:tcPr>
          <w:p w14:paraId="11882FC5">
            <w:pPr>
              <w:pStyle w:val="16"/>
            </w:pPr>
            <w:r>
              <w:rPr>
                <w:rFonts w:hint="eastAsia"/>
              </w:rPr>
              <w:t>起重伤害、物体打击</w:t>
            </w:r>
          </w:p>
        </w:tc>
      </w:tr>
      <w:tr w14:paraId="2C5FA2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202734E4">
            <w:pPr>
              <w:pStyle w:val="16"/>
              <w:numPr>
                <w:ilvl w:val="0"/>
                <w:numId w:val="59"/>
              </w:numPr>
            </w:pPr>
          </w:p>
        </w:tc>
        <w:tc>
          <w:tcPr>
            <w:tcW w:w="1190" w:type="dxa"/>
            <w:vMerge w:val="continue"/>
            <w:shd w:val="clear" w:color="auto" w:fill="auto"/>
            <w:vAlign w:val="center"/>
          </w:tcPr>
          <w:p w14:paraId="1B24D27E">
            <w:pPr>
              <w:pStyle w:val="16"/>
            </w:pPr>
          </w:p>
        </w:tc>
        <w:tc>
          <w:tcPr>
            <w:tcW w:w="4961" w:type="dxa"/>
            <w:shd w:val="clear" w:color="auto" w:fill="auto"/>
            <w:vAlign w:val="center"/>
          </w:tcPr>
          <w:p w14:paraId="6EABE012">
            <w:pPr>
              <w:pStyle w:val="16"/>
            </w:pPr>
            <w:r>
              <w:rPr>
                <w:rFonts w:hint="eastAsia"/>
              </w:rPr>
              <w:t>吊物捆扎或连接不牢固；</w:t>
            </w:r>
          </w:p>
        </w:tc>
        <w:tc>
          <w:tcPr>
            <w:tcW w:w="1487" w:type="dxa"/>
            <w:shd w:val="clear" w:color="auto" w:fill="auto"/>
            <w:vAlign w:val="center"/>
          </w:tcPr>
          <w:p w14:paraId="52C00A80">
            <w:pPr>
              <w:pStyle w:val="16"/>
            </w:pPr>
            <w:r>
              <w:rPr>
                <w:rFonts w:hint="eastAsia"/>
              </w:rPr>
              <w:t>起重伤害</w:t>
            </w:r>
          </w:p>
        </w:tc>
      </w:tr>
      <w:tr w14:paraId="48475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BFCE9F3">
            <w:pPr>
              <w:pStyle w:val="16"/>
              <w:numPr>
                <w:ilvl w:val="0"/>
                <w:numId w:val="59"/>
              </w:numPr>
            </w:pPr>
          </w:p>
        </w:tc>
        <w:tc>
          <w:tcPr>
            <w:tcW w:w="1190" w:type="dxa"/>
            <w:vMerge w:val="continue"/>
            <w:shd w:val="clear" w:color="auto" w:fill="auto"/>
            <w:vAlign w:val="center"/>
          </w:tcPr>
          <w:p w14:paraId="60A7FCE5">
            <w:pPr>
              <w:pStyle w:val="16"/>
            </w:pPr>
          </w:p>
        </w:tc>
        <w:tc>
          <w:tcPr>
            <w:tcW w:w="4961" w:type="dxa"/>
            <w:shd w:val="clear" w:color="auto" w:fill="auto"/>
            <w:vAlign w:val="center"/>
          </w:tcPr>
          <w:p w14:paraId="279DD381">
            <w:pPr>
              <w:pStyle w:val="16"/>
            </w:pPr>
            <w:r>
              <w:rPr>
                <w:rFonts w:hint="eastAsia"/>
              </w:rPr>
              <w:t>吊物未设置揽风绳固定；</w:t>
            </w:r>
          </w:p>
        </w:tc>
        <w:tc>
          <w:tcPr>
            <w:tcW w:w="1487" w:type="dxa"/>
            <w:shd w:val="clear" w:color="auto" w:fill="auto"/>
            <w:vAlign w:val="center"/>
          </w:tcPr>
          <w:p w14:paraId="6CC7CE6F">
            <w:pPr>
              <w:pStyle w:val="16"/>
            </w:pPr>
            <w:r>
              <w:rPr>
                <w:rFonts w:hint="eastAsia"/>
              </w:rPr>
              <w:t>起重伤害</w:t>
            </w:r>
          </w:p>
        </w:tc>
      </w:tr>
      <w:tr w14:paraId="03412F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41F1BE1">
            <w:pPr>
              <w:pStyle w:val="16"/>
              <w:numPr>
                <w:ilvl w:val="0"/>
                <w:numId w:val="59"/>
              </w:numPr>
            </w:pPr>
          </w:p>
        </w:tc>
        <w:tc>
          <w:tcPr>
            <w:tcW w:w="1190" w:type="dxa"/>
            <w:vMerge w:val="continue"/>
            <w:shd w:val="clear" w:color="auto" w:fill="auto"/>
            <w:vAlign w:val="center"/>
          </w:tcPr>
          <w:p w14:paraId="687D8451">
            <w:pPr>
              <w:pStyle w:val="16"/>
            </w:pPr>
          </w:p>
        </w:tc>
        <w:tc>
          <w:tcPr>
            <w:tcW w:w="4961" w:type="dxa"/>
            <w:shd w:val="clear" w:color="auto" w:fill="auto"/>
            <w:vAlign w:val="center"/>
          </w:tcPr>
          <w:p w14:paraId="324A01C0">
            <w:pPr>
              <w:pStyle w:val="16"/>
            </w:pPr>
            <w:r>
              <w:rPr>
                <w:rFonts w:hint="eastAsia"/>
              </w:rPr>
              <w:t>吊物重量不明或未进行试吊就直接吊装，起吊钢丝绳规格未经验算、超负荷起吊</w:t>
            </w:r>
          </w:p>
        </w:tc>
        <w:tc>
          <w:tcPr>
            <w:tcW w:w="1487" w:type="dxa"/>
            <w:shd w:val="clear" w:color="auto" w:fill="auto"/>
            <w:vAlign w:val="center"/>
          </w:tcPr>
          <w:p w14:paraId="5C31F2EC">
            <w:pPr>
              <w:pStyle w:val="16"/>
            </w:pPr>
            <w:r>
              <w:rPr>
                <w:rFonts w:hint="eastAsia"/>
              </w:rPr>
              <w:t>起重伤害</w:t>
            </w:r>
          </w:p>
        </w:tc>
      </w:tr>
      <w:tr w14:paraId="115E8B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6BCFE89">
            <w:pPr>
              <w:pStyle w:val="16"/>
              <w:numPr>
                <w:ilvl w:val="0"/>
                <w:numId w:val="59"/>
              </w:numPr>
            </w:pPr>
          </w:p>
        </w:tc>
        <w:tc>
          <w:tcPr>
            <w:tcW w:w="1190" w:type="dxa"/>
            <w:vMerge w:val="continue"/>
            <w:shd w:val="clear" w:color="auto" w:fill="auto"/>
            <w:vAlign w:val="center"/>
          </w:tcPr>
          <w:p w14:paraId="4B7DB865">
            <w:pPr>
              <w:pStyle w:val="16"/>
            </w:pPr>
          </w:p>
        </w:tc>
        <w:tc>
          <w:tcPr>
            <w:tcW w:w="4961" w:type="dxa"/>
            <w:shd w:val="clear" w:color="auto" w:fill="auto"/>
            <w:vAlign w:val="center"/>
          </w:tcPr>
          <w:p w14:paraId="3117D761">
            <w:pPr>
              <w:pStyle w:val="16"/>
            </w:pPr>
            <w:r>
              <w:rPr>
                <w:rFonts w:hint="eastAsia"/>
              </w:rPr>
              <w:t>起吊前未对钢丝绳及连接部位和吊具进行检查</w:t>
            </w:r>
          </w:p>
        </w:tc>
        <w:tc>
          <w:tcPr>
            <w:tcW w:w="1487" w:type="dxa"/>
            <w:shd w:val="clear" w:color="auto" w:fill="auto"/>
            <w:vAlign w:val="center"/>
          </w:tcPr>
          <w:p w14:paraId="7AAE7229">
            <w:pPr>
              <w:pStyle w:val="16"/>
            </w:pPr>
            <w:r>
              <w:rPr>
                <w:rFonts w:hint="eastAsia"/>
              </w:rPr>
              <w:t>起重伤害</w:t>
            </w:r>
          </w:p>
        </w:tc>
      </w:tr>
      <w:tr w14:paraId="3170ED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731A8A09">
            <w:pPr>
              <w:pStyle w:val="16"/>
              <w:numPr>
                <w:ilvl w:val="0"/>
                <w:numId w:val="59"/>
              </w:numPr>
            </w:pPr>
          </w:p>
        </w:tc>
        <w:tc>
          <w:tcPr>
            <w:tcW w:w="1190" w:type="dxa"/>
            <w:vMerge w:val="continue"/>
            <w:shd w:val="clear" w:color="auto" w:fill="auto"/>
            <w:vAlign w:val="center"/>
          </w:tcPr>
          <w:p w14:paraId="5C2E619F">
            <w:pPr>
              <w:pStyle w:val="16"/>
            </w:pPr>
          </w:p>
        </w:tc>
        <w:tc>
          <w:tcPr>
            <w:tcW w:w="4961" w:type="dxa"/>
            <w:shd w:val="clear" w:color="auto" w:fill="auto"/>
            <w:vAlign w:val="center"/>
          </w:tcPr>
          <w:p w14:paraId="7A63EF65">
            <w:pPr>
              <w:pStyle w:val="16"/>
            </w:pPr>
            <w:r>
              <w:rPr>
                <w:rFonts w:hint="eastAsia"/>
              </w:rPr>
              <w:t>大雨、雾、大雪及六级以上大风等恶劣天气</w:t>
            </w:r>
          </w:p>
          <w:p w14:paraId="66E3DF57">
            <w:pPr>
              <w:pStyle w:val="16"/>
            </w:pPr>
            <w:r>
              <w:rPr>
                <w:rFonts w:hint="eastAsia"/>
              </w:rPr>
              <w:t>进行吊装作业</w:t>
            </w:r>
          </w:p>
        </w:tc>
        <w:tc>
          <w:tcPr>
            <w:tcW w:w="1487" w:type="dxa"/>
            <w:shd w:val="clear" w:color="auto" w:fill="auto"/>
            <w:vAlign w:val="center"/>
          </w:tcPr>
          <w:p w14:paraId="4EFBEAF1">
            <w:pPr>
              <w:pStyle w:val="16"/>
            </w:pPr>
            <w:r>
              <w:rPr>
                <w:rFonts w:hint="eastAsia"/>
              </w:rPr>
              <w:t>起重伤害</w:t>
            </w:r>
          </w:p>
        </w:tc>
      </w:tr>
      <w:tr w14:paraId="77C032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44D77D2">
            <w:pPr>
              <w:pStyle w:val="16"/>
              <w:numPr>
                <w:ilvl w:val="0"/>
                <w:numId w:val="59"/>
              </w:numPr>
            </w:pPr>
          </w:p>
        </w:tc>
        <w:tc>
          <w:tcPr>
            <w:tcW w:w="1190" w:type="dxa"/>
            <w:vMerge w:val="continue"/>
            <w:shd w:val="clear" w:color="auto" w:fill="auto"/>
            <w:vAlign w:val="center"/>
          </w:tcPr>
          <w:p w14:paraId="3AFA97FE">
            <w:pPr>
              <w:pStyle w:val="16"/>
            </w:pPr>
          </w:p>
        </w:tc>
        <w:tc>
          <w:tcPr>
            <w:tcW w:w="4961" w:type="dxa"/>
            <w:shd w:val="clear" w:color="auto" w:fill="auto"/>
            <w:vAlign w:val="center"/>
          </w:tcPr>
          <w:p w14:paraId="3AA5C9E9">
            <w:pPr>
              <w:pStyle w:val="16"/>
            </w:pPr>
            <w:r>
              <w:rPr>
                <w:rFonts w:hint="eastAsia"/>
              </w:rPr>
              <w:t>起吊构件未解除连接，便开始起吊</w:t>
            </w:r>
          </w:p>
        </w:tc>
        <w:tc>
          <w:tcPr>
            <w:tcW w:w="1487" w:type="dxa"/>
            <w:shd w:val="clear" w:color="auto" w:fill="auto"/>
            <w:vAlign w:val="center"/>
          </w:tcPr>
          <w:p w14:paraId="053FB2EF">
            <w:pPr>
              <w:pStyle w:val="16"/>
            </w:pPr>
            <w:r>
              <w:rPr>
                <w:rFonts w:hint="eastAsia"/>
              </w:rPr>
              <w:t>起重伤害</w:t>
            </w:r>
          </w:p>
        </w:tc>
      </w:tr>
      <w:tr w14:paraId="48C886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20" w:hRule="atLeast"/>
          <w:jc w:val="center"/>
        </w:trPr>
        <w:tc>
          <w:tcPr>
            <w:tcW w:w="0" w:type="auto"/>
            <w:shd w:val="clear" w:color="auto" w:fill="auto"/>
            <w:noWrap/>
            <w:vAlign w:val="center"/>
          </w:tcPr>
          <w:p w14:paraId="2363CA25">
            <w:pPr>
              <w:pStyle w:val="16"/>
              <w:numPr>
                <w:ilvl w:val="0"/>
                <w:numId w:val="59"/>
              </w:numPr>
            </w:pPr>
          </w:p>
        </w:tc>
        <w:tc>
          <w:tcPr>
            <w:tcW w:w="1190" w:type="dxa"/>
            <w:vMerge w:val="continue"/>
            <w:shd w:val="clear" w:color="auto" w:fill="auto"/>
            <w:vAlign w:val="center"/>
          </w:tcPr>
          <w:p w14:paraId="464EBDFD">
            <w:pPr>
              <w:pStyle w:val="16"/>
            </w:pPr>
          </w:p>
        </w:tc>
        <w:tc>
          <w:tcPr>
            <w:tcW w:w="4961" w:type="dxa"/>
            <w:shd w:val="clear" w:color="auto" w:fill="auto"/>
            <w:vAlign w:val="center"/>
          </w:tcPr>
          <w:p w14:paraId="55DB76DD">
            <w:pPr>
              <w:pStyle w:val="16"/>
            </w:pPr>
            <w:r>
              <w:rPr>
                <w:rFonts w:hint="eastAsia"/>
              </w:rPr>
              <w:t>未按规定要求安装安全监控系统</w:t>
            </w:r>
          </w:p>
        </w:tc>
        <w:tc>
          <w:tcPr>
            <w:tcW w:w="1487" w:type="dxa"/>
            <w:shd w:val="clear" w:color="auto" w:fill="auto"/>
            <w:vAlign w:val="center"/>
          </w:tcPr>
          <w:p w14:paraId="5F6BE1F6">
            <w:pPr>
              <w:pStyle w:val="16"/>
            </w:pPr>
            <w:r>
              <w:rPr>
                <w:rFonts w:hint="eastAsia"/>
              </w:rPr>
              <w:t>起重伤害</w:t>
            </w:r>
          </w:p>
        </w:tc>
      </w:tr>
      <w:tr w14:paraId="50C669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FEAA6B9">
            <w:pPr>
              <w:pStyle w:val="16"/>
              <w:numPr>
                <w:ilvl w:val="0"/>
                <w:numId w:val="59"/>
              </w:numPr>
            </w:pPr>
          </w:p>
        </w:tc>
        <w:tc>
          <w:tcPr>
            <w:tcW w:w="1190" w:type="dxa"/>
            <w:vMerge w:val="continue"/>
            <w:shd w:val="clear" w:color="auto" w:fill="auto"/>
            <w:vAlign w:val="center"/>
          </w:tcPr>
          <w:p w14:paraId="780AEA42">
            <w:pPr>
              <w:pStyle w:val="16"/>
            </w:pPr>
          </w:p>
        </w:tc>
        <w:tc>
          <w:tcPr>
            <w:tcW w:w="4961" w:type="dxa"/>
            <w:shd w:val="clear" w:color="auto" w:fill="auto"/>
            <w:vAlign w:val="center"/>
          </w:tcPr>
          <w:p w14:paraId="55C9EB20">
            <w:pPr>
              <w:pStyle w:val="16"/>
            </w:pPr>
            <w:r>
              <w:rPr>
                <w:rFonts w:hint="eastAsia"/>
              </w:rPr>
              <w:t>单个主塔的两台塔吊吊装时相互之间的安全距离小于</w:t>
            </w:r>
            <w:r>
              <w:t>2</w:t>
            </w:r>
            <w:r>
              <w:rPr>
                <w:rFonts w:hint="eastAsia"/>
              </w:rPr>
              <w:t>米</w:t>
            </w:r>
          </w:p>
        </w:tc>
        <w:tc>
          <w:tcPr>
            <w:tcW w:w="1487" w:type="dxa"/>
            <w:shd w:val="clear" w:color="auto" w:fill="auto"/>
            <w:vAlign w:val="center"/>
          </w:tcPr>
          <w:p w14:paraId="3E4DFBEC">
            <w:pPr>
              <w:pStyle w:val="16"/>
            </w:pPr>
            <w:r>
              <w:rPr>
                <w:rFonts w:hint="eastAsia"/>
              </w:rPr>
              <w:t>起重伤害</w:t>
            </w:r>
          </w:p>
        </w:tc>
      </w:tr>
      <w:tr w14:paraId="7BA796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6CFC1C5">
            <w:pPr>
              <w:pStyle w:val="16"/>
              <w:numPr>
                <w:ilvl w:val="0"/>
                <w:numId w:val="59"/>
              </w:numPr>
            </w:pPr>
          </w:p>
        </w:tc>
        <w:tc>
          <w:tcPr>
            <w:tcW w:w="1190" w:type="dxa"/>
            <w:vMerge w:val="restart"/>
            <w:shd w:val="clear" w:color="auto" w:fill="auto"/>
            <w:vAlign w:val="center"/>
          </w:tcPr>
          <w:p w14:paraId="4B4992CF">
            <w:pPr>
              <w:pStyle w:val="16"/>
            </w:pPr>
            <w:r>
              <w:rPr>
                <w:rFonts w:hint="eastAsia"/>
              </w:rPr>
              <w:t>气割电焊作业</w:t>
            </w:r>
          </w:p>
        </w:tc>
        <w:tc>
          <w:tcPr>
            <w:tcW w:w="4961" w:type="dxa"/>
            <w:shd w:val="clear" w:color="auto" w:fill="auto"/>
            <w:vAlign w:val="center"/>
          </w:tcPr>
          <w:p w14:paraId="6091ECC8">
            <w:pPr>
              <w:pStyle w:val="16"/>
            </w:pPr>
            <w:r>
              <w:rPr>
                <w:rFonts w:hint="eastAsia"/>
              </w:rPr>
              <w:t>动火作业无审批手续</w:t>
            </w:r>
          </w:p>
        </w:tc>
        <w:tc>
          <w:tcPr>
            <w:tcW w:w="1487" w:type="dxa"/>
            <w:shd w:val="clear" w:color="auto" w:fill="auto"/>
            <w:vAlign w:val="center"/>
          </w:tcPr>
          <w:p w14:paraId="5935AFD6">
            <w:pPr>
              <w:pStyle w:val="16"/>
            </w:pPr>
            <w:r>
              <w:rPr>
                <w:rFonts w:hint="eastAsia"/>
              </w:rPr>
              <w:t>火灾等</w:t>
            </w:r>
          </w:p>
        </w:tc>
      </w:tr>
      <w:tr w14:paraId="1B7AC7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73C42EF">
            <w:pPr>
              <w:pStyle w:val="16"/>
              <w:numPr>
                <w:ilvl w:val="0"/>
                <w:numId w:val="59"/>
              </w:numPr>
            </w:pPr>
          </w:p>
        </w:tc>
        <w:tc>
          <w:tcPr>
            <w:tcW w:w="1190" w:type="dxa"/>
            <w:vMerge w:val="continue"/>
            <w:shd w:val="clear" w:color="auto" w:fill="auto"/>
            <w:vAlign w:val="center"/>
          </w:tcPr>
          <w:p w14:paraId="0DE0A677">
            <w:pPr>
              <w:pStyle w:val="16"/>
            </w:pPr>
          </w:p>
        </w:tc>
        <w:tc>
          <w:tcPr>
            <w:tcW w:w="4961" w:type="dxa"/>
            <w:shd w:val="clear" w:color="auto" w:fill="auto"/>
            <w:vAlign w:val="center"/>
          </w:tcPr>
          <w:p w14:paraId="7E5EDC53">
            <w:pPr>
              <w:pStyle w:val="16"/>
            </w:pPr>
            <w:r>
              <w:rPr>
                <w:rFonts w:hint="eastAsia"/>
              </w:rPr>
              <w:t>氧气、乙炔气瓶混放或安全间距不足，固定不牢固；在气瓶附近吸烟或动火</w:t>
            </w:r>
          </w:p>
        </w:tc>
        <w:tc>
          <w:tcPr>
            <w:tcW w:w="1487" w:type="dxa"/>
            <w:shd w:val="clear" w:color="auto" w:fill="auto"/>
            <w:vAlign w:val="center"/>
          </w:tcPr>
          <w:p w14:paraId="183745BB">
            <w:pPr>
              <w:pStyle w:val="16"/>
            </w:pPr>
            <w:r>
              <w:rPr>
                <w:rFonts w:hint="eastAsia"/>
              </w:rPr>
              <w:t>容器爆炸、火灾</w:t>
            </w:r>
          </w:p>
        </w:tc>
      </w:tr>
      <w:tr w14:paraId="779E6B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0523436">
            <w:pPr>
              <w:pStyle w:val="16"/>
              <w:numPr>
                <w:ilvl w:val="0"/>
                <w:numId w:val="59"/>
              </w:numPr>
            </w:pPr>
          </w:p>
        </w:tc>
        <w:tc>
          <w:tcPr>
            <w:tcW w:w="1190" w:type="dxa"/>
            <w:vMerge w:val="continue"/>
            <w:shd w:val="clear" w:color="auto" w:fill="auto"/>
            <w:vAlign w:val="center"/>
          </w:tcPr>
          <w:p w14:paraId="7CA9EE08">
            <w:pPr>
              <w:pStyle w:val="16"/>
            </w:pPr>
          </w:p>
        </w:tc>
        <w:tc>
          <w:tcPr>
            <w:tcW w:w="4961" w:type="dxa"/>
            <w:shd w:val="clear" w:color="auto" w:fill="auto"/>
            <w:vAlign w:val="center"/>
          </w:tcPr>
          <w:p w14:paraId="1E1D90C2">
            <w:pPr>
              <w:pStyle w:val="16"/>
            </w:pPr>
            <w:r>
              <w:rPr>
                <w:rFonts w:hint="eastAsia"/>
              </w:rPr>
              <w:t>气瓶未安装防回火装置或装置失效；</w:t>
            </w:r>
          </w:p>
          <w:p w14:paraId="6F473306">
            <w:pPr>
              <w:pStyle w:val="16"/>
            </w:pPr>
            <w:r>
              <w:rPr>
                <w:rFonts w:hint="eastAsia"/>
              </w:rPr>
              <w:t>高温天气气瓶未遮盖</w:t>
            </w:r>
          </w:p>
        </w:tc>
        <w:tc>
          <w:tcPr>
            <w:tcW w:w="1487" w:type="dxa"/>
            <w:shd w:val="clear" w:color="auto" w:fill="auto"/>
            <w:vAlign w:val="center"/>
          </w:tcPr>
          <w:p w14:paraId="197D5123">
            <w:pPr>
              <w:pStyle w:val="16"/>
            </w:pPr>
            <w:r>
              <w:rPr>
                <w:rFonts w:hint="eastAsia"/>
              </w:rPr>
              <w:t>容器爆炸</w:t>
            </w:r>
          </w:p>
        </w:tc>
      </w:tr>
      <w:tr w14:paraId="53B282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38297C9">
            <w:pPr>
              <w:pStyle w:val="16"/>
              <w:numPr>
                <w:ilvl w:val="0"/>
                <w:numId w:val="59"/>
              </w:numPr>
            </w:pPr>
          </w:p>
        </w:tc>
        <w:tc>
          <w:tcPr>
            <w:tcW w:w="1190" w:type="dxa"/>
            <w:vMerge w:val="continue"/>
            <w:shd w:val="clear" w:color="auto" w:fill="auto"/>
            <w:vAlign w:val="center"/>
          </w:tcPr>
          <w:p w14:paraId="1405A601">
            <w:pPr>
              <w:pStyle w:val="16"/>
            </w:pPr>
          </w:p>
        </w:tc>
        <w:tc>
          <w:tcPr>
            <w:tcW w:w="4961" w:type="dxa"/>
            <w:shd w:val="clear" w:color="auto" w:fill="auto"/>
            <w:vAlign w:val="center"/>
          </w:tcPr>
          <w:p w14:paraId="37BE3FBE">
            <w:pPr>
              <w:pStyle w:val="16"/>
            </w:pPr>
            <w:r>
              <w:rPr>
                <w:rFonts w:hint="eastAsia"/>
              </w:rPr>
              <w:t>气瓶阀门或压力表坏损</w:t>
            </w:r>
          </w:p>
        </w:tc>
        <w:tc>
          <w:tcPr>
            <w:tcW w:w="1487" w:type="dxa"/>
            <w:shd w:val="clear" w:color="auto" w:fill="auto"/>
            <w:vAlign w:val="center"/>
          </w:tcPr>
          <w:p w14:paraId="18A02B86">
            <w:pPr>
              <w:pStyle w:val="16"/>
            </w:pPr>
            <w:r>
              <w:rPr>
                <w:rFonts w:hint="eastAsia"/>
              </w:rPr>
              <w:t>容器爆炸、火灾</w:t>
            </w:r>
          </w:p>
        </w:tc>
      </w:tr>
      <w:tr w14:paraId="014FBD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250EB7C">
            <w:pPr>
              <w:pStyle w:val="16"/>
              <w:numPr>
                <w:ilvl w:val="0"/>
                <w:numId w:val="59"/>
              </w:numPr>
            </w:pPr>
          </w:p>
        </w:tc>
        <w:tc>
          <w:tcPr>
            <w:tcW w:w="1190" w:type="dxa"/>
            <w:vMerge w:val="continue"/>
            <w:shd w:val="clear" w:color="auto" w:fill="auto"/>
            <w:vAlign w:val="center"/>
          </w:tcPr>
          <w:p w14:paraId="7566B4EF">
            <w:pPr>
              <w:pStyle w:val="16"/>
            </w:pPr>
          </w:p>
        </w:tc>
        <w:tc>
          <w:tcPr>
            <w:tcW w:w="4961" w:type="dxa"/>
            <w:shd w:val="clear" w:color="auto" w:fill="auto"/>
            <w:vAlign w:val="center"/>
          </w:tcPr>
          <w:p w14:paraId="00381A35">
            <w:pPr>
              <w:pStyle w:val="16"/>
            </w:pPr>
            <w:r>
              <w:rPr>
                <w:rFonts w:hint="eastAsia"/>
              </w:rPr>
              <w:t>气割割枪或软管坏损、漏气</w:t>
            </w:r>
          </w:p>
        </w:tc>
        <w:tc>
          <w:tcPr>
            <w:tcW w:w="1487" w:type="dxa"/>
            <w:shd w:val="clear" w:color="auto" w:fill="auto"/>
            <w:vAlign w:val="center"/>
          </w:tcPr>
          <w:p w14:paraId="03522485">
            <w:pPr>
              <w:pStyle w:val="16"/>
            </w:pPr>
            <w:r>
              <w:rPr>
                <w:rFonts w:hint="eastAsia"/>
              </w:rPr>
              <w:t>火灾</w:t>
            </w:r>
          </w:p>
        </w:tc>
      </w:tr>
      <w:tr w14:paraId="2C676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B319EF4">
            <w:pPr>
              <w:pStyle w:val="16"/>
              <w:numPr>
                <w:ilvl w:val="0"/>
                <w:numId w:val="59"/>
              </w:numPr>
            </w:pPr>
          </w:p>
        </w:tc>
        <w:tc>
          <w:tcPr>
            <w:tcW w:w="1190" w:type="dxa"/>
            <w:vMerge w:val="continue"/>
            <w:shd w:val="clear" w:color="auto" w:fill="auto"/>
            <w:vAlign w:val="center"/>
          </w:tcPr>
          <w:p w14:paraId="69ABDEC0">
            <w:pPr>
              <w:pStyle w:val="16"/>
            </w:pPr>
          </w:p>
        </w:tc>
        <w:tc>
          <w:tcPr>
            <w:tcW w:w="4961" w:type="dxa"/>
            <w:shd w:val="clear" w:color="auto" w:fill="auto"/>
            <w:vAlign w:val="center"/>
          </w:tcPr>
          <w:p w14:paraId="018D5C5F">
            <w:pPr>
              <w:pStyle w:val="16"/>
            </w:pPr>
            <w:r>
              <w:rPr>
                <w:rFonts w:hint="eastAsia"/>
              </w:rPr>
              <w:t>电焊机使用前未检验或出现故障；未规范有效接地</w:t>
            </w:r>
          </w:p>
        </w:tc>
        <w:tc>
          <w:tcPr>
            <w:tcW w:w="1487" w:type="dxa"/>
            <w:shd w:val="clear" w:color="auto" w:fill="auto"/>
            <w:vAlign w:val="center"/>
          </w:tcPr>
          <w:p w14:paraId="271D5C37">
            <w:pPr>
              <w:pStyle w:val="16"/>
            </w:pPr>
            <w:r>
              <w:rPr>
                <w:rFonts w:hint="eastAsia"/>
              </w:rPr>
              <w:t>触电</w:t>
            </w:r>
          </w:p>
        </w:tc>
      </w:tr>
      <w:tr w14:paraId="298D87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661D8B2">
            <w:pPr>
              <w:pStyle w:val="16"/>
              <w:numPr>
                <w:ilvl w:val="0"/>
                <w:numId w:val="59"/>
              </w:numPr>
            </w:pPr>
          </w:p>
        </w:tc>
        <w:tc>
          <w:tcPr>
            <w:tcW w:w="1190" w:type="dxa"/>
            <w:vMerge w:val="continue"/>
            <w:shd w:val="clear" w:color="auto" w:fill="auto"/>
            <w:vAlign w:val="center"/>
          </w:tcPr>
          <w:p w14:paraId="42C2DC4C">
            <w:pPr>
              <w:pStyle w:val="16"/>
            </w:pPr>
          </w:p>
        </w:tc>
        <w:tc>
          <w:tcPr>
            <w:tcW w:w="4961" w:type="dxa"/>
            <w:shd w:val="clear" w:color="auto" w:fill="auto"/>
            <w:vAlign w:val="center"/>
          </w:tcPr>
          <w:p w14:paraId="488A3792">
            <w:pPr>
              <w:pStyle w:val="16"/>
            </w:pPr>
            <w:r>
              <w:rPr>
                <w:rFonts w:hint="eastAsia"/>
              </w:rPr>
              <w:t>电焊机无二级保护或保护装置失效</w:t>
            </w:r>
          </w:p>
        </w:tc>
        <w:tc>
          <w:tcPr>
            <w:tcW w:w="1487" w:type="dxa"/>
            <w:shd w:val="clear" w:color="auto" w:fill="auto"/>
            <w:vAlign w:val="center"/>
          </w:tcPr>
          <w:p w14:paraId="7982CA08">
            <w:pPr>
              <w:pStyle w:val="16"/>
            </w:pPr>
            <w:r>
              <w:rPr>
                <w:rFonts w:hint="eastAsia"/>
              </w:rPr>
              <w:t>触电</w:t>
            </w:r>
          </w:p>
        </w:tc>
      </w:tr>
      <w:tr w14:paraId="62B15C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3598BC33">
            <w:pPr>
              <w:pStyle w:val="16"/>
              <w:numPr>
                <w:ilvl w:val="0"/>
                <w:numId w:val="59"/>
              </w:numPr>
            </w:pPr>
          </w:p>
        </w:tc>
        <w:tc>
          <w:tcPr>
            <w:tcW w:w="1190" w:type="dxa"/>
            <w:vMerge w:val="continue"/>
            <w:shd w:val="clear" w:color="auto" w:fill="auto"/>
            <w:vAlign w:val="center"/>
          </w:tcPr>
          <w:p w14:paraId="3F78B769">
            <w:pPr>
              <w:pStyle w:val="16"/>
            </w:pPr>
          </w:p>
        </w:tc>
        <w:tc>
          <w:tcPr>
            <w:tcW w:w="4961" w:type="dxa"/>
            <w:shd w:val="clear" w:color="auto" w:fill="auto"/>
            <w:vAlign w:val="center"/>
          </w:tcPr>
          <w:p w14:paraId="15210A8B">
            <w:pPr>
              <w:pStyle w:val="16"/>
            </w:pPr>
            <w:r>
              <w:rPr>
                <w:rFonts w:hint="eastAsia"/>
              </w:rPr>
              <w:t>电焊机检修时未切断电源</w:t>
            </w:r>
          </w:p>
        </w:tc>
        <w:tc>
          <w:tcPr>
            <w:tcW w:w="1487" w:type="dxa"/>
            <w:shd w:val="clear" w:color="auto" w:fill="auto"/>
            <w:vAlign w:val="center"/>
          </w:tcPr>
          <w:p w14:paraId="2F9E3058">
            <w:pPr>
              <w:pStyle w:val="16"/>
            </w:pPr>
            <w:r>
              <w:rPr>
                <w:rFonts w:hint="eastAsia"/>
              </w:rPr>
              <w:t>触电</w:t>
            </w:r>
          </w:p>
        </w:tc>
      </w:tr>
      <w:tr w14:paraId="6CA03E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49287F15">
            <w:pPr>
              <w:pStyle w:val="16"/>
              <w:numPr>
                <w:ilvl w:val="0"/>
                <w:numId w:val="59"/>
              </w:numPr>
            </w:pPr>
          </w:p>
        </w:tc>
        <w:tc>
          <w:tcPr>
            <w:tcW w:w="1190" w:type="dxa"/>
            <w:vMerge w:val="continue"/>
            <w:shd w:val="clear" w:color="auto" w:fill="auto"/>
            <w:vAlign w:val="center"/>
          </w:tcPr>
          <w:p w14:paraId="31A036B3">
            <w:pPr>
              <w:pStyle w:val="16"/>
            </w:pPr>
          </w:p>
        </w:tc>
        <w:tc>
          <w:tcPr>
            <w:tcW w:w="4961" w:type="dxa"/>
            <w:shd w:val="clear" w:color="auto" w:fill="auto"/>
            <w:vAlign w:val="center"/>
          </w:tcPr>
          <w:p w14:paraId="6A5F4458">
            <w:pPr>
              <w:pStyle w:val="16"/>
            </w:pPr>
            <w:r>
              <w:rPr>
                <w:rFonts w:hint="eastAsia"/>
              </w:rPr>
              <w:t>雨天进行露天电焊作业，潮湿区域作业人员未置于干燥绝缘物体上焊接作业</w:t>
            </w:r>
          </w:p>
        </w:tc>
        <w:tc>
          <w:tcPr>
            <w:tcW w:w="1487" w:type="dxa"/>
            <w:shd w:val="clear" w:color="auto" w:fill="auto"/>
            <w:vAlign w:val="center"/>
          </w:tcPr>
          <w:p w14:paraId="63CDE392">
            <w:pPr>
              <w:pStyle w:val="16"/>
            </w:pPr>
            <w:r>
              <w:rPr>
                <w:rFonts w:hint="eastAsia"/>
              </w:rPr>
              <w:t>触电</w:t>
            </w:r>
          </w:p>
        </w:tc>
      </w:tr>
      <w:tr w14:paraId="79D45F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5A91E04B">
            <w:pPr>
              <w:pStyle w:val="16"/>
              <w:numPr>
                <w:ilvl w:val="0"/>
                <w:numId w:val="59"/>
              </w:numPr>
            </w:pPr>
          </w:p>
        </w:tc>
        <w:tc>
          <w:tcPr>
            <w:tcW w:w="1190" w:type="dxa"/>
            <w:vMerge w:val="continue"/>
            <w:shd w:val="clear" w:color="auto" w:fill="auto"/>
            <w:vAlign w:val="center"/>
          </w:tcPr>
          <w:p w14:paraId="29568EEA">
            <w:pPr>
              <w:pStyle w:val="16"/>
            </w:pPr>
          </w:p>
        </w:tc>
        <w:tc>
          <w:tcPr>
            <w:tcW w:w="4961" w:type="dxa"/>
            <w:shd w:val="clear" w:color="auto" w:fill="auto"/>
            <w:vAlign w:val="center"/>
          </w:tcPr>
          <w:p w14:paraId="78B56F89">
            <w:pPr>
              <w:pStyle w:val="16"/>
            </w:pPr>
            <w:r>
              <w:rPr>
                <w:rFonts w:hint="eastAsia"/>
              </w:rPr>
              <w:t>切割及焊接作业未设置挡火板</w:t>
            </w:r>
          </w:p>
        </w:tc>
        <w:tc>
          <w:tcPr>
            <w:tcW w:w="1487" w:type="dxa"/>
            <w:shd w:val="clear" w:color="auto" w:fill="auto"/>
            <w:vAlign w:val="center"/>
          </w:tcPr>
          <w:p w14:paraId="6384D460">
            <w:pPr>
              <w:pStyle w:val="16"/>
            </w:pPr>
            <w:r>
              <w:rPr>
                <w:rFonts w:hint="eastAsia"/>
              </w:rPr>
              <w:t>火灾</w:t>
            </w:r>
          </w:p>
        </w:tc>
      </w:tr>
      <w:tr w14:paraId="04F090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363C8DE">
            <w:pPr>
              <w:pStyle w:val="16"/>
              <w:numPr>
                <w:ilvl w:val="0"/>
                <w:numId w:val="59"/>
              </w:numPr>
            </w:pPr>
          </w:p>
        </w:tc>
        <w:tc>
          <w:tcPr>
            <w:tcW w:w="1190" w:type="dxa"/>
            <w:vMerge w:val="continue"/>
            <w:shd w:val="clear" w:color="auto" w:fill="auto"/>
            <w:vAlign w:val="center"/>
          </w:tcPr>
          <w:p w14:paraId="061DE2AA">
            <w:pPr>
              <w:pStyle w:val="16"/>
            </w:pPr>
          </w:p>
        </w:tc>
        <w:tc>
          <w:tcPr>
            <w:tcW w:w="4961" w:type="dxa"/>
            <w:shd w:val="clear" w:color="auto" w:fill="auto"/>
            <w:vAlign w:val="center"/>
          </w:tcPr>
          <w:p w14:paraId="438D4A75">
            <w:pPr>
              <w:pStyle w:val="16"/>
            </w:pPr>
            <w:r>
              <w:rPr>
                <w:rFonts w:hint="eastAsia"/>
              </w:rPr>
              <w:t>焊工和切割工没有佩戴耐火的防护手套</w:t>
            </w:r>
          </w:p>
        </w:tc>
        <w:tc>
          <w:tcPr>
            <w:tcW w:w="1487" w:type="dxa"/>
            <w:shd w:val="clear" w:color="auto" w:fill="auto"/>
            <w:vAlign w:val="center"/>
          </w:tcPr>
          <w:p w14:paraId="1E6E34E9">
            <w:pPr>
              <w:pStyle w:val="16"/>
            </w:pPr>
            <w:r>
              <w:rPr>
                <w:rFonts w:hint="eastAsia"/>
              </w:rPr>
              <w:t>灼烫</w:t>
            </w:r>
          </w:p>
        </w:tc>
      </w:tr>
      <w:tr w14:paraId="3D75CA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1BDBF87E">
            <w:pPr>
              <w:pStyle w:val="16"/>
              <w:numPr>
                <w:ilvl w:val="0"/>
                <w:numId w:val="59"/>
              </w:numPr>
            </w:pPr>
          </w:p>
        </w:tc>
        <w:tc>
          <w:tcPr>
            <w:tcW w:w="1190" w:type="dxa"/>
            <w:vMerge w:val="continue"/>
            <w:shd w:val="clear" w:color="auto" w:fill="auto"/>
            <w:vAlign w:val="center"/>
          </w:tcPr>
          <w:p w14:paraId="60D8C78C">
            <w:pPr>
              <w:pStyle w:val="16"/>
            </w:pPr>
          </w:p>
        </w:tc>
        <w:tc>
          <w:tcPr>
            <w:tcW w:w="4961" w:type="dxa"/>
            <w:shd w:val="clear" w:color="auto" w:fill="auto"/>
            <w:vAlign w:val="center"/>
          </w:tcPr>
          <w:p w14:paraId="776C3487">
            <w:pPr>
              <w:pStyle w:val="16"/>
            </w:pPr>
            <w:r>
              <w:rPr>
                <w:rFonts w:hint="eastAsia"/>
              </w:rPr>
              <w:t>焊接时未使用带有滤光镜的头罩或手持面罩，</w:t>
            </w:r>
          </w:p>
          <w:p w14:paraId="0D2803C0">
            <w:pPr>
              <w:pStyle w:val="16"/>
            </w:pPr>
            <w:r>
              <w:rPr>
                <w:rFonts w:hint="eastAsia"/>
              </w:rPr>
              <w:t>或佩戴安全镜、护目镜或其它合适的眼镜</w:t>
            </w:r>
          </w:p>
        </w:tc>
        <w:tc>
          <w:tcPr>
            <w:tcW w:w="1487" w:type="dxa"/>
            <w:shd w:val="clear" w:color="auto" w:fill="auto"/>
            <w:vAlign w:val="center"/>
          </w:tcPr>
          <w:p w14:paraId="53249505">
            <w:pPr>
              <w:pStyle w:val="16"/>
            </w:pPr>
            <w:r>
              <w:rPr>
                <w:rFonts w:hint="eastAsia"/>
              </w:rPr>
              <w:t>灼烫</w:t>
            </w:r>
          </w:p>
        </w:tc>
      </w:tr>
      <w:tr w14:paraId="6AE927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6AE5156A">
            <w:pPr>
              <w:pStyle w:val="16"/>
              <w:numPr>
                <w:ilvl w:val="0"/>
                <w:numId w:val="59"/>
              </w:numPr>
            </w:pPr>
          </w:p>
        </w:tc>
        <w:tc>
          <w:tcPr>
            <w:tcW w:w="1190" w:type="dxa"/>
            <w:vMerge w:val="continue"/>
            <w:shd w:val="clear" w:color="auto" w:fill="auto"/>
            <w:vAlign w:val="center"/>
          </w:tcPr>
          <w:p w14:paraId="717369B5">
            <w:pPr>
              <w:pStyle w:val="16"/>
            </w:pPr>
          </w:p>
        </w:tc>
        <w:tc>
          <w:tcPr>
            <w:tcW w:w="4961" w:type="dxa"/>
            <w:shd w:val="clear" w:color="auto" w:fill="auto"/>
            <w:vAlign w:val="center"/>
          </w:tcPr>
          <w:p w14:paraId="73AB3BAA">
            <w:pPr>
              <w:pStyle w:val="16"/>
            </w:pPr>
            <w:r>
              <w:rPr>
                <w:rFonts w:hint="eastAsia"/>
              </w:rPr>
              <w:t>电焊、气割作业环境通风条件不良</w:t>
            </w:r>
          </w:p>
        </w:tc>
        <w:tc>
          <w:tcPr>
            <w:tcW w:w="1487" w:type="dxa"/>
            <w:shd w:val="clear" w:color="auto" w:fill="auto"/>
            <w:vAlign w:val="center"/>
          </w:tcPr>
          <w:p w14:paraId="0B1CCCCA">
            <w:pPr>
              <w:pStyle w:val="16"/>
            </w:pPr>
            <w:r>
              <w:rPr>
                <w:rFonts w:hint="eastAsia"/>
              </w:rPr>
              <w:t>中毒、窒息</w:t>
            </w:r>
          </w:p>
        </w:tc>
      </w:tr>
      <w:tr w14:paraId="574051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0" w:hRule="atLeast"/>
          <w:jc w:val="center"/>
        </w:trPr>
        <w:tc>
          <w:tcPr>
            <w:tcW w:w="0" w:type="auto"/>
            <w:shd w:val="clear" w:color="auto" w:fill="auto"/>
            <w:noWrap/>
            <w:vAlign w:val="center"/>
          </w:tcPr>
          <w:p w14:paraId="0DA66D02">
            <w:pPr>
              <w:pStyle w:val="16"/>
              <w:numPr>
                <w:ilvl w:val="0"/>
                <w:numId w:val="59"/>
              </w:numPr>
            </w:pPr>
          </w:p>
        </w:tc>
        <w:tc>
          <w:tcPr>
            <w:tcW w:w="1190" w:type="dxa"/>
            <w:vMerge w:val="continue"/>
            <w:shd w:val="clear" w:color="auto" w:fill="auto"/>
            <w:vAlign w:val="center"/>
          </w:tcPr>
          <w:p w14:paraId="44B09635">
            <w:pPr>
              <w:pStyle w:val="16"/>
            </w:pPr>
          </w:p>
        </w:tc>
        <w:tc>
          <w:tcPr>
            <w:tcW w:w="4961" w:type="dxa"/>
            <w:shd w:val="clear" w:color="auto" w:fill="auto"/>
            <w:vAlign w:val="center"/>
          </w:tcPr>
          <w:p w14:paraId="457F36BC">
            <w:pPr>
              <w:pStyle w:val="16"/>
            </w:pPr>
            <w:r>
              <w:rPr>
                <w:rFonts w:hint="eastAsia"/>
              </w:rPr>
              <w:t>电焊、气割作业区域未设置警示标志，电焊、气割作业地点未配备灭火器</w:t>
            </w:r>
          </w:p>
        </w:tc>
        <w:tc>
          <w:tcPr>
            <w:tcW w:w="1487" w:type="dxa"/>
            <w:shd w:val="clear" w:color="auto" w:fill="auto"/>
            <w:vAlign w:val="center"/>
          </w:tcPr>
          <w:p w14:paraId="3C63AF13">
            <w:pPr>
              <w:pStyle w:val="16"/>
            </w:pPr>
            <w:r>
              <w:rPr>
                <w:rFonts w:hint="eastAsia"/>
              </w:rPr>
              <w:t>火灾等</w:t>
            </w:r>
          </w:p>
        </w:tc>
      </w:tr>
    </w:tbl>
    <w:p w14:paraId="775B609C">
      <w:pPr>
        <w:pStyle w:val="4"/>
      </w:pPr>
      <w:r>
        <w:rPr>
          <w:rFonts w:hint="eastAsia"/>
        </w:rPr>
        <w:t>风险分析结论</w:t>
      </w:r>
    </w:p>
    <w:p w14:paraId="53EF7880">
      <w:pPr>
        <w:ind w:firstLine="480"/>
      </w:pPr>
      <w:r>
        <w:rPr>
          <w:rFonts w:hint="eastAsia"/>
        </w:rPr>
        <w:t>根据风险因素分析、识别表，显著危险的有</w:t>
      </w:r>
      <w:r>
        <w:t>90</w:t>
      </w:r>
      <w:r>
        <w:rPr>
          <w:rFonts w:hint="eastAsia"/>
        </w:rPr>
        <w:t>项：包括高处坠落、起重伤害、物体打击、触电、机械伤害、火灾、坍塌和容器爆炸，需要制定针对性安全措施，具体措施详见6</w:t>
      </w:r>
      <w:r>
        <w:t>.3</w:t>
      </w:r>
      <w:r>
        <w:rPr>
          <w:rFonts w:hint="eastAsia"/>
        </w:rPr>
        <w:t>节。</w:t>
      </w:r>
    </w:p>
    <w:bookmarkEnd w:id="115"/>
    <w:p w14:paraId="6B5FC752">
      <w:pPr>
        <w:pStyle w:val="3"/>
      </w:pPr>
      <w:bookmarkStart w:id="117" w:name="_Toc22035"/>
      <w:bookmarkStart w:id="118" w:name="_Toc1775"/>
      <w:bookmarkStart w:id="119" w:name="_Toc903"/>
      <w:r>
        <w:rPr>
          <w:rFonts w:hint="eastAsia"/>
        </w:rPr>
        <w:t>组织保障措施</w:t>
      </w:r>
      <w:bookmarkEnd w:id="117"/>
    </w:p>
    <w:p w14:paraId="2CC1DAC9">
      <w:pPr>
        <w:pStyle w:val="4"/>
      </w:pPr>
      <w:r>
        <w:rPr>
          <w:rFonts w:hint="eastAsia"/>
        </w:rPr>
        <w:t>安全管理组织机构与职责</w:t>
      </w:r>
    </w:p>
    <w:p w14:paraId="0F31D0CD">
      <w:pPr>
        <w:ind w:firstLine="480"/>
      </w:pPr>
      <w:r>
        <w:rPr>
          <w:rFonts w:hint="eastAsia"/>
        </w:rPr>
        <w:t>根据本施工工程成立安全管理组织机构，其人员组成、工作职责详见</w:t>
      </w:r>
      <w:r>
        <w:fldChar w:fldCharType="begin"/>
      </w:r>
      <w:r>
        <w:instrText xml:space="preserve"> </w:instrText>
      </w:r>
      <w:r>
        <w:rPr>
          <w:rFonts w:hint="eastAsia"/>
        </w:rPr>
        <w:instrText xml:space="preserve">REF _Ref124509381 \h</w:instrText>
      </w:r>
      <w:r>
        <w:instrText xml:space="preserve"> </w:instrText>
      </w:r>
      <w:r>
        <w:fldChar w:fldCharType="separate"/>
      </w:r>
      <w:r>
        <w:rPr>
          <w:rFonts w:hint="eastAsia"/>
        </w:rPr>
        <w:t>表</w:t>
      </w:r>
      <w:r>
        <w:t>6.2</w:t>
      </w:r>
      <w:r>
        <w:rPr>
          <w:rFonts w:hint="eastAsia"/>
        </w:rPr>
        <w:t>-</w:t>
      </w:r>
      <w:r>
        <w:t>1</w:t>
      </w:r>
      <w:r>
        <w:fldChar w:fldCharType="end"/>
      </w:r>
      <w:r>
        <w:rPr>
          <w:rFonts w:hint="eastAsia"/>
        </w:rPr>
        <w:t>所示。</w:t>
      </w:r>
    </w:p>
    <w:p w14:paraId="0523F535">
      <w:pPr>
        <w:pStyle w:val="15"/>
      </w:pPr>
      <w:bookmarkStart w:id="120" w:name="_Ref124509381"/>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6.2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20"/>
      <w:r>
        <w:rPr>
          <w:rFonts w:hint="eastAsia"/>
        </w:rPr>
        <w:t xml:space="preserve"> 质量管理组织机构</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2"/>
        <w:gridCol w:w="876"/>
        <w:gridCol w:w="4818"/>
        <w:gridCol w:w="802"/>
      </w:tblGrid>
      <w:tr w14:paraId="2D0264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19" w:type="pct"/>
            <w:shd w:val="clear" w:color="auto" w:fill="auto"/>
            <w:vAlign w:val="center"/>
          </w:tcPr>
          <w:p w14:paraId="4F82B696">
            <w:pPr>
              <w:pStyle w:val="16"/>
              <w:rPr>
                <w:b/>
              </w:rPr>
            </w:pPr>
            <w:r>
              <w:rPr>
                <w:rFonts w:hint="eastAsia"/>
                <w:b/>
              </w:rPr>
              <w:t>序号</w:t>
            </w:r>
          </w:p>
        </w:tc>
        <w:tc>
          <w:tcPr>
            <w:tcW w:w="770" w:type="pct"/>
            <w:shd w:val="clear" w:color="auto" w:fill="auto"/>
            <w:vAlign w:val="center"/>
          </w:tcPr>
          <w:p w14:paraId="64A38B81">
            <w:pPr>
              <w:pStyle w:val="16"/>
              <w:rPr>
                <w:b/>
              </w:rPr>
            </w:pPr>
            <w:r>
              <w:rPr>
                <w:rFonts w:hint="eastAsia"/>
                <w:b/>
              </w:rPr>
              <w:t>岗位</w:t>
            </w:r>
          </w:p>
        </w:tc>
        <w:tc>
          <w:tcPr>
            <w:tcW w:w="514" w:type="pct"/>
            <w:shd w:val="clear" w:color="auto" w:fill="auto"/>
            <w:vAlign w:val="center"/>
          </w:tcPr>
          <w:p w14:paraId="712BCD18">
            <w:pPr>
              <w:pStyle w:val="16"/>
              <w:rPr>
                <w:b/>
              </w:rPr>
            </w:pPr>
            <w:r>
              <w:rPr>
                <w:rFonts w:hint="eastAsia"/>
                <w:b/>
              </w:rPr>
              <w:t>姓名</w:t>
            </w:r>
          </w:p>
        </w:tc>
        <w:tc>
          <w:tcPr>
            <w:tcW w:w="2827" w:type="pct"/>
            <w:shd w:val="clear" w:color="auto" w:fill="auto"/>
            <w:vAlign w:val="center"/>
          </w:tcPr>
          <w:p w14:paraId="38680DE0">
            <w:pPr>
              <w:pStyle w:val="16"/>
              <w:rPr>
                <w:b/>
              </w:rPr>
            </w:pPr>
            <w:r>
              <w:rPr>
                <w:rFonts w:hint="eastAsia"/>
                <w:b/>
              </w:rPr>
              <w:t>工作职责</w:t>
            </w:r>
          </w:p>
        </w:tc>
        <w:tc>
          <w:tcPr>
            <w:tcW w:w="470" w:type="pct"/>
            <w:shd w:val="clear" w:color="auto" w:fill="auto"/>
            <w:vAlign w:val="center"/>
          </w:tcPr>
          <w:p w14:paraId="0AE92378">
            <w:pPr>
              <w:pStyle w:val="16"/>
              <w:rPr>
                <w:b/>
              </w:rPr>
            </w:pPr>
            <w:r>
              <w:rPr>
                <w:rFonts w:hint="eastAsia"/>
                <w:b/>
              </w:rPr>
              <w:t>备注</w:t>
            </w:r>
          </w:p>
        </w:tc>
      </w:tr>
      <w:tr w14:paraId="1B66C7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4FE77426">
            <w:pPr>
              <w:pStyle w:val="16"/>
              <w:numPr>
                <w:ilvl w:val="0"/>
                <w:numId w:val="60"/>
              </w:numPr>
            </w:pPr>
          </w:p>
        </w:tc>
        <w:tc>
          <w:tcPr>
            <w:tcW w:w="770" w:type="pct"/>
            <w:shd w:val="clear" w:color="auto" w:fill="auto"/>
            <w:vAlign w:val="center"/>
          </w:tcPr>
          <w:p w14:paraId="7D5FC6A5">
            <w:pPr>
              <w:pStyle w:val="16"/>
            </w:pPr>
            <w:r>
              <w:rPr>
                <w:rFonts w:hint="eastAsia"/>
              </w:rPr>
              <w:t>现场负责人</w:t>
            </w:r>
          </w:p>
        </w:tc>
        <w:tc>
          <w:tcPr>
            <w:tcW w:w="514" w:type="pct"/>
            <w:shd w:val="clear" w:color="auto" w:fill="auto"/>
            <w:vAlign w:val="center"/>
          </w:tcPr>
          <w:p w14:paraId="5E5496E9">
            <w:pPr>
              <w:pStyle w:val="16"/>
            </w:pPr>
            <w:r>
              <w:rPr>
                <w:rFonts w:hint="eastAsia"/>
                <w:color w:val="000000" w:themeColor="text1"/>
                <w14:textFill>
                  <w14:solidFill>
                    <w14:schemeClr w14:val="tx1"/>
                  </w14:solidFill>
                </w14:textFill>
              </w:rPr>
              <w:t>吕士昌</w:t>
            </w:r>
          </w:p>
        </w:tc>
        <w:tc>
          <w:tcPr>
            <w:tcW w:w="2827" w:type="pct"/>
            <w:shd w:val="clear" w:color="auto" w:fill="auto"/>
            <w:vAlign w:val="center"/>
          </w:tcPr>
          <w:p w14:paraId="6E2E42EE">
            <w:pPr>
              <w:pStyle w:val="16"/>
              <w:jc w:val="left"/>
            </w:pPr>
            <w:r>
              <w:rPr>
                <w:rFonts w:hint="eastAsia"/>
              </w:rPr>
              <w:t>负责设备安装组织、实施及安全</w:t>
            </w:r>
          </w:p>
        </w:tc>
        <w:tc>
          <w:tcPr>
            <w:tcW w:w="470" w:type="pct"/>
            <w:shd w:val="clear" w:color="auto" w:fill="auto"/>
            <w:vAlign w:val="center"/>
          </w:tcPr>
          <w:p w14:paraId="7FCA9FF0">
            <w:pPr>
              <w:pStyle w:val="16"/>
            </w:pPr>
          </w:p>
        </w:tc>
      </w:tr>
      <w:tr w14:paraId="3CEADA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51034950">
            <w:pPr>
              <w:pStyle w:val="16"/>
              <w:numPr>
                <w:ilvl w:val="0"/>
                <w:numId w:val="60"/>
              </w:numPr>
            </w:pPr>
          </w:p>
        </w:tc>
        <w:tc>
          <w:tcPr>
            <w:tcW w:w="770" w:type="pct"/>
            <w:shd w:val="clear" w:color="auto" w:fill="auto"/>
            <w:vAlign w:val="center"/>
          </w:tcPr>
          <w:p w14:paraId="06206605">
            <w:pPr>
              <w:pStyle w:val="16"/>
            </w:pPr>
            <w:r>
              <w:rPr>
                <w:rFonts w:hint="eastAsia"/>
              </w:rPr>
              <w:t>设备安拆工</w:t>
            </w:r>
          </w:p>
        </w:tc>
        <w:tc>
          <w:tcPr>
            <w:tcW w:w="514" w:type="pct"/>
            <w:shd w:val="clear" w:color="auto" w:fill="auto"/>
            <w:vAlign w:val="center"/>
          </w:tcPr>
          <w:p w14:paraId="23F68D22">
            <w:pPr>
              <w:pStyle w:val="16"/>
            </w:pPr>
            <w:r>
              <w:rPr>
                <w:rFonts w:hint="eastAsia"/>
                <w:color w:val="000000" w:themeColor="text1"/>
                <w14:textFill>
                  <w14:solidFill>
                    <w14:schemeClr w14:val="tx1"/>
                  </w14:solidFill>
                </w14:textFill>
              </w:rPr>
              <w:t>何小兵</w:t>
            </w:r>
          </w:p>
        </w:tc>
        <w:tc>
          <w:tcPr>
            <w:tcW w:w="2827" w:type="pct"/>
            <w:shd w:val="clear" w:color="auto" w:fill="auto"/>
            <w:vAlign w:val="center"/>
          </w:tcPr>
          <w:p w14:paraId="4491177C">
            <w:pPr>
              <w:pStyle w:val="16"/>
              <w:jc w:val="left"/>
            </w:pPr>
            <w:r>
              <w:rPr>
                <w:rFonts w:hint="eastAsia"/>
              </w:rPr>
              <w:t>负责设备安装技术工作以及安全工作</w:t>
            </w:r>
          </w:p>
        </w:tc>
        <w:tc>
          <w:tcPr>
            <w:tcW w:w="470" w:type="pct"/>
            <w:shd w:val="clear" w:color="auto" w:fill="auto"/>
            <w:vAlign w:val="center"/>
          </w:tcPr>
          <w:p w14:paraId="0D3ECA7D">
            <w:pPr>
              <w:pStyle w:val="16"/>
            </w:pPr>
          </w:p>
        </w:tc>
      </w:tr>
      <w:tr w14:paraId="75613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18BDF63B">
            <w:pPr>
              <w:pStyle w:val="16"/>
              <w:numPr>
                <w:ilvl w:val="0"/>
                <w:numId w:val="60"/>
              </w:numPr>
            </w:pPr>
          </w:p>
        </w:tc>
        <w:tc>
          <w:tcPr>
            <w:tcW w:w="770" w:type="pct"/>
            <w:shd w:val="clear" w:color="auto" w:fill="auto"/>
            <w:vAlign w:val="center"/>
          </w:tcPr>
          <w:p w14:paraId="4A9C06A8">
            <w:pPr>
              <w:pStyle w:val="16"/>
            </w:pPr>
            <w:r>
              <w:rPr>
                <w:rFonts w:hint="eastAsia"/>
              </w:rPr>
              <w:t>设备安拆工</w:t>
            </w:r>
          </w:p>
        </w:tc>
        <w:tc>
          <w:tcPr>
            <w:tcW w:w="514" w:type="pct"/>
            <w:shd w:val="clear" w:color="auto" w:fill="auto"/>
            <w:vAlign w:val="center"/>
          </w:tcPr>
          <w:p w14:paraId="5EB830F9">
            <w:pPr>
              <w:pStyle w:val="16"/>
            </w:pPr>
            <w:r>
              <w:rPr>
                <w:rFonts w:hint="eastAsia"/>
                <w:color w:val="000000" w:themeColor="text1"/>
                <w14:textFill>
                  <w14:solidFill>
                    <w14:schemeClr w14:val="tx1"/>
                  </w14:solidFill>
                </w14:textFill>
              </w:rPr>
              <w:t>罗乾龙</w:t>
            </w:r>
          </w:p>
        </w:tc>
        <w:tc>
          <w:tcPr>
            <w:tcW w:w="2827" w:type="pct"/>
            <w:shd w:val="clear" w:color="auto" w:fill="auto"/>
            <w:vAlign w:val="center"/>
          </w:tcPr>
          <w:p w14:paraId="5B3BA768">
            <w:pPr>
              <w:pStyle w:val="16"/>
              <w:jc w:val="left"/>
            </w:pPr>
            <w:r>
              <w:rPr>
                <w:rFonts w:hint="eastAsia"/>
              </w:rPr>
              <w:t>负责现场的安全组织、检查、监督、纠正</w:t>
            </w:r>
          </w:p>
        </w:tc>
        <w:tc>
          <w:tcPr>
            <w:tcW w:w="470" w:type="pct"/>
            <w:shd w:val="clear" w:color="auto" w:fill="auto"/>
            <w:vAlign w:val="center"/>
          </w:tcPr>
          <w:p w14:paraId="1A9230A7">
            <w:pPr>
              <w:pStyle w:val="16"/>
            </w:pPr>
          </w:p>
        </w:tc>
      </w:tr>
      <w:tr w14:paraId="1F44DC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2CB17292">
            <w:pPr>
              <w:pStyle w:val="16"/>
              <w:numPr>
                <w:ilvl w:val="0"/>
                <w:numId w:val="60"/>
              </w:numPr>
            </w:pPr>
          </w:p>
        </w:tc>
        <w:tc>
          <w:tcPr>
            <w:tcW w:w="770" w:type="pct"/>
            <w:shd w:val="clear" w:color="auto" w:fill="auto"/>
            <w:vAlign w:val="center"/>
          </w:tcPr>
          <w:p w14:paraId="2E851465">
            <w:pPr>
              <w:pStyle w:val="16"/>
            </w:pPr>
            <w:r>
              <w:rPr>
                <w:rFonts w:hint="eastAsia"/>
              </w:rPr>
              <w:t>设备安拆工</w:t>
            </w:r>
          </w:p>
        </w:tc>
        <w:tc>
          <w:tcPr>
            <w:tcW w:w="514" w:type="pct"/>
            <w:shd w:val="clear" w:color="auto" w:fill="auto"/>
            <w:vAlign w:val="center"/>
          </w:tcPr>
          <w:p w14:paraId="426C39DD">
            <w:pPr>
              <w:pStyle w:val="16"/>
            </w:pPr>
            <w:r>
              <w:rPr>
                <w:rFonts w:hint="eastAsia"/>
                <w:color w:val="000000" w:themeColor="text1"/>
                <w14:textFill>
                  <w14:solidFill>
                    <w14:schemeClr w14:val="tx1"/>
                  </w14:solidFill>
                </w14:textFill>
              </w:rPr>
              <w:t>刘云祥</w:t>
            </w:r>
          </w:p>
        </w:tc>
        <w:tc>
          <w:tcPr>
            <w:tcW w:w="2827" w:type="pct"/>
            <w:shd w:val="clear" w:color="auto" w:fill="auto"/>
            <w:vAlign w:val="center"/>
          </w:tcPr>
          <w:p w14:paraId="2E63B821">
            <w:pPr>
              <w:pStyle w:val="16"/>
              <w:jc w:val="left"/>
            </w:pPr>
            <w:r>
              <w:rPr>
                <w:rFonts w:hint="eastAsia"/>
              </w:rPr>
              <w:t>负责设备安装的人员设备组织、协调</w:t>
            </w:r>
          </w:p>
          <w:p w14:paraId="4CF49E96">
            <w:pPr>
              <w:pStyle w:val="16"/>
              <w:jc w:val="left"/>
            </w:pPr>
            <w:r>
              <w:rPr>
                <w:rFonts w:hint="eastAsia"/>
              </w:rPr>
              <w:t>检查吊具、索具安全性，保证吊点正确，物件平稳，指挥信号清晰、明确。</w:t>
            </w:r>
          </w:p>
        </w:tc>
        <w:tc>
          <w:tcPr>
            <w:tcW w:w="470" w:type="pct"/>
            <w:shd w:val="clear" w:color="auto" w:fill="auto"/>
            <w:vAlign w:val="center"/>
          </w:tcPr>
          <w:p w14:paraId="5F74CF62">
            <w:pPr>
              <w:pStyle w:val="16"/>
            </w:pPr>
          </w:p>
        </w:tc>
      </w:tr>
      <w:tr w14:paraId="5FB880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2FC0D5E4">
            <w:pPr>
              <w:pStyle w:val="16"/>
              <w:numPr>
                <w:ilvl w:val="0"/>
                <w:numId w:val="60"/>
              </w:numPr>
            </w:pPr>
          </w:p>
        </w:tc>
        <w:tc>
          <w:tcPr>
            <w:tcW w:w="770" w:type="pct"/>
            <w:shd w:val="clear" w:color="auto" w:fill="auto"/>
            <w:vAlign w:val="center"/>
          </w:tcPr>
          <w:p w14:paraId="13DA503E">
            <w:pPr>
              <w:pStyle w:val="16"/>
            </w:pPr>
            <w:r>
              <w:rPr>
                <w:rFonts w:hint="eastAsia"/>
              </w:rPr>
              <w:t>电工</w:t>
            </w:r>
          </w:p>
        </w:tc>
        <w:tc>
          <w:tcPr>
            <w:tcW w:w="514" w:type="pct"/>
            <w:shd w:val="clear" w:color="auto" w:fill="auto"/>
            <w:vAlign w:val="center"/>
          </w:tcPr>
          <w:p w14:paraId="394507C8">
            <w:pPr>
              <w:pStyle w:val="16"/>
            </w:pPr>
            <w:r>
              <w:rPr>
                <w:rFonts w:hint="eastAsia"/>
                <w:color w:val="000000" w:themeColor="text1"/>
                <w14:textFill>
                  <w14:solidFill>
                    <w14:schemeClr w14:val="tx1"/>
                  </w14:solidFill>
                </w14:textFill>
              </w:rPr>
              <w:t>吴强</w:t>
            </w:r>
          </w:p>
        </w:tc>
        <w:tc>
          <w:tcPr>
            <w:tcW w:w="2827" w:type="pct"/>
            <w:shd w:val="clear" w:color="auto" w:fill="auto"/>
            <w:vAlign w:val="center"/>
          </w:tcPr>
          <w:p w14:paraId="28485268">
            <w:pPr>
              <w:pStyle w:val="16"/>
              <w:jc w:val="left"/>
            </w:pPr>
            <w:r>
              <w:rPr>
                <w:rFonts w:hint="eastAsia"/>
              </w:rPr>
              <w:t>负责现场设备的电气安装、恢复、调试</w:t>
            </w:r>
          </w:p>
        </w:tc>
        <w:tc>
          <w:tcPr>
            <w:tcW w:w="470" w:type="pct"/>
            <w:shd w:val="clear" w:color="auto" w:fill="auto"/>
            <w:vAlign w:val="center"/>
          </w:tcPr>
          <w:p w14:paraId="798E35F2">
            <w:pPr>
              <w:pStyle w:val="16"/>
            </w:pPr>
          </w:p>
        </w:tc>
      </w:tr>
    </w:tbl>
    <w:p w14:paraId="4E545CA0">
      <w:pPr>
        <w:pStyle w:val="4"/>
      </w:pPr>
      <w:r>
        <w:rPr>
          <w:rFonts w:hint="eastAsia"/>
          <w:shd w:val="clear" w:color="auto" w:fill="FFFFFF" w:themeFill="background1"/>
        </w:rPr>
        <w:t>安全管理保证措施</w:t>
      </w:r>
    </w:p>
    <w:p w14:paraId="4A7BB9A3">
      <w:pPr>
        <w:pStyle w:val="5"/>
      </w:pPr>
      <w:r>
        <w:rPr>
          <w:rFonts w:hint="eastAsia"/>
        </w:rPr>
        <w:t>思想保证</w:t>
      </w:r>
    </w:p>
    <w:p w14:paraId="078D71CB">
      <w:pPr>
        <w:pStyle w:val="70"/>
        <w:numPr>
          <w:ilvl w:val="1"/>
          <w:numId w:val="61"/>
        </w:numPr>
        <w:ind w:firstLineChars="0"/>
      </w:pPr>
      <w:r>
        <w:rPr>
          <w:rFonts w:hint="eastAsia"/>
        </w:rPr>
        <w:t>认真贯彻执行“安全第一、预防为主、综合治理”的方针，增强全员安全意识，使全员都能明确自己的安全目标和职责，达到全员参加，全员实施的目的，体现“安全生产、人人有责”的原则；</w:t>
      </w:r>
    </w:p>
    <w:p w14:paraId="58532879">
      <w:pPr>
        <w:pStyle w:val="70"/>
        <w:numPr>
          <w:ilvl w:val="1"/>
          <w:numId w:val="61"/>
        </w:numPr>
        <w:ind w:firstLineChars="0"/>
      </w:pPr>
      <w:r>
        <w:rPr>
          <w:rFonts w:hint="eastAsia"/>
        </w:rPr>
        <w:t>安拆施工开工前，对所有上岗人员进行安全教育培训，使全员都能遵守生产必须安全，安全才能生产的原则，严格执行安全操作规程，持证上岗；</w:t>
      </w:r>
    </w:p>
    <w:p w14:paraId="09449ED9">
      <w:pPr>
        <w:pStyle w:val="70"/>
        <w:numPr>
          <w:ilvl w:val="1"/>
          <w:numId w:val="61"/>
        </w:numPr>
        <w:ind w:firstLineChars="0"/>
      </w:pPr>
      <w:r>
        <w:rPr>
          <w:rFonts w:hint="eastAsia"/>
        </w:rPr>
        <w:t>组织安全宣传活动，对全体施工人员进行安全警示教育；</w:t>
      </w:r>
    </w:p>
    <w:p w14:paraId="288EAC19">
      <w:pPr>
        <w:pStyle w:val="70"/>
        <w:numPr>
          <w:ilvl w:val="1"/>
          <w:numId w:val="61"/>
        </w:numPr>
        <w:ind w:firstLineChars="0"/>
      </w:pPr>
      <w:r>
        <w:rPr>
          <w:rFonts w:hint="eastAsia"/>
        </w:rPr>
        <w:t>随时接受业主、监理单位及项目部对安全生产的督促、检查、考评，对提出的问题，立即落实方案组织实施，确保安全生产。</w:t>
      </w:r>
    </w:p>
    <w:p w14:paraId="628B26E8">
      <w:pPr>
        <w:pStyle w:val="5"/>
      </w:pPr>
      <w:r>
        <w:rPr>
          <w:rFonts w:hint="eastAsia"/>
        </w:rPr>
        <w:t>制度保证</w:t>
      </w:r>
    </w:p>
    <w:p w14:paraId="0F6080CE">
      <w:pPr>
        <w:pStyle w:val="70"/>
        <w:numPr>
          <w:ilvl w:val="1"/>
          <w:numId w:val="62"/>
        </w:numPr>
        <w:ind w:firstLineChars="0"/>
      </w:pPr>
      <w:r>
        <w:rPr>
          <w:rFonts w:hint="eastAsia"/>
        </w:rPr>
        <w:t>全体参建人员严格执行党和国家有关安全生产法律、法规和安全生产规程，自觉遵守国家、行业、地方及业主的有关安全生产管理规定；</w:t>
      </w:r>
    </w:p>
    <w:p w14:paraId="043A0F3E">
      <w:pPr>
        <w:pStyle w:val="70"/>
        <w:numPr>
          <w:ilvl w:val="1"/>
          <w:numId w:val="62"/>
        </w:numPr>
        <w:ind w:firstLineChars="0"/>
      </w:pPr>
      <w:r>
        <w:rPr>
          <w:rFonts w:hint="eastAsia"/>
        </w:rPr>
        <w:t>严格执行本单位的安全生产管理相关的制度和文件；</w:t>
      </w:r>
    </w:p>
    <w:p w14:paraId="42677E09">
      <w:pPr>
        <w:pStyle w:val="70"/>
        <w:numPr>
          <w:ilvl w:val="1"/>
          <w:numId w:val="62"/>
        </w:numPr>
        <w:ind w:firstLineChars="0"/>
      </w:pPr>
      <w:r>
        <w:rPr>
          <w:rFonts w:hint="eastAsia"/>
        </w:rPr>
        <w:t>严格执行安全生产教育与培训制度，安拆施工开工前，对参建人员进行岗前安全教育培训，经培训考试合格后方可上岗；</w:t>
      </w:r>
    </w:p>
    <w:p w14:paraId="175B082C">
      <w:pPr>
        <w:pStyle w:val="70"/>
        <w:numPr>
          <w:ilvl w:val="1"/>
          <w:numId w:val="62"/>
        </w:numPr>
        <w:ind w:firstLineChars="0"/>
      </w:pPr>
      <w:r>
        <w:rPr>
          <w:rFonts w:hint="eastAsia"/>
        </w:rPr>
        <w:t>严格执行特殊工种持证上岗制度，安拆施工开工前，对特种作业人员进行专业安全培训，取得《安全操作合格证》后，持证上岗；</w:t>
      </w:r>
    </w:p>
    <w:p w14:paraId="1A553EDA">
      <w:pPr>
        <w:pStyle w:val="70"/>
        <w:numPr>
          <w:ilvl w:val="1"/>
          <w:numId w:val="62"/>
        </w:numPr>
        <w:ind w:firstLineChars="0"/>
      </w:pPr>
      <w:r>
        <w:rPr>
          <w:rFonts w:hint="eastAsia"/>
        </w:rPr>
        <w:t>严格执行安全技术交底制度，使作业人员能了解作业过程中可能存在的事故隐患，交底采用书面安全交底和现场安全交底相结合的方式；</w:t>
      </w:r>
    </w:p>
    <w:p w14:paraId="5358F3E1">
      <w:pPr>
        <w:pStyle w:val="70"/>
        <w:numPr>
          <w:ilvl w:val="1"/>
          <w:numId w:val="62"/>
        </w:numPr>
        <w:ind w:firstLineChars="0"/>
      </w:pPr>
      <w:r>
        <w:rPr>
          <w:rFonts w:hint="eastAsia"/>
        </w:rPr>
        <w:t>安全负责人持证上岗，负责现场安全管理、指导、监督、制止违章，在危险时采取紧急措施；</w:t>
      </w:r>
    </w:p>
    <w:p w14:paraId="1690F1E8">
      <w:pPr>
        <w:pStyle w:val="70"/>
        <w:numPr>
          <w:ilvl w:val="1"/>
          <w:numId w:val="62"/>
        </w:numPr>
        <w:ind w:firstLineChars="0"/>
      </w:pPr>
      <w:r>
        <w:rPr>
          <w:rFonts w:hint="eastAsia"/>
        </w:rPr>
        <w:t>安拆施工开工前，针对工程实际编制切实可行的安全措施计划，并限期实施，没有安全保障措施时工程不得开工；</w:t>
      </w:r>
    </w:p>
    <w:p w14:paraId="10D7AC20">
      <w:pPr>
        <w:pStyle w:val="70"/>
        <w:numPr>
          <w:ilvl w:val="1"/>
          <w:numId w:val="62"/>
        </w:numPr>
        <w:ind w:firstLineChars="0"/>
      </w:pPr>
      <w:r>
        <w:rPr>
          <w:rFonts w:hint="eastAsia"/>
        </w:rPr>
        <w:t>完善并执行安全目标管理制度，其中包括：禁酒令，安全生产带班管理制度，事故报告制度等。</w:t>
      </w:r>
    </w:p>
    <w:bookmarkEnd w:id="118"/>
    <w:bookmarkEnd w:id="119"/>
    <w:p w14:paraId="66C8018F">
      <w:pPr>
        <w:pStyle w:val="3"/>
        <w:rPr>
          <w:shd w:val="clear" w:color="auto" w:fill="FFFFFF" w:themeFill="background1"/>
        </w:rPr>
      </w:pPr>
      <w:bookmarkStart w:id="121" w:name="_Toc101443770"/>
      <w:bookmarkStart w:id="122" w:name="_Toc66805128"/>
      <w:bookmarkStart w:id="123" w:name="_Toc85112007"/>
      <w:bookmarkStart w:id="124" w:name="_Toc19425"/>
      <w:bookmarkStart w:id="125" w:name="_Toc5668"/>
      <w:bookmarkStart w:id="126" w:name="_Toc40778445"/>
      <w:bookmarkStart w:id="127" w:name="_Toc6917"/>
      <w:bookmarkStart w:id="128" w:name="_Toc17347"/>
      <w:bookmarkStart w:id="129" w:name="_Toc11379"/>
      <w:bookmarkStart w:id="130" w:name="_Toc14971"/>
      <w:r>
        <w:rPr>
          <w:rFonts w:hint="eastAsia"/>
          <w:shd w:val="clear" w:color="auto" w:fill="FFFFFF" w:themeFill="background1"/>
        </w:rPr>
        <w:t>施工安全技术控制措施</w:t>
      </w:r>
      <w:bookmarkEnd w:id="121"/>
      <w:bookmarkEnd w:id="122"/>
      <w:bookmarkEnd w:id="123"/>
      <w:bookmarkEnd w:id="124"/>
    </w:p>
    <w:p w14:paraId="5B8CBB70">
      <w:pPr>
        <w:pStyle w:val="4"/>
      </w:pPr>
      <w:r>
        <w:rPr>
          <w:rFonts w:hint="eastAsia"/>
        </w:rPr>
        <w:t>底盘及标准节的安拆安全措施</w:t>
      </w:r>
    </w:p>
    <w:p w14:paraId="40FF9F50">
      <w:pPr>
        <w:ind w:firstLine="480"/>
      </w:pPr>
      <w:r>
        <w:rPr>
          <w:rFonts w:hint="eastAsia"/>
        </w:rPr>
        <w:t>（1）通过塞垫薄钢板确保底盘倾斜角度与设计一致，要确保导轨架中轴线与底架轴线垂直，随后专业安装作业人员将底盘与型钢基础焊接牢靠。</w:t>
      </w:r>
    </w:p>
    <w:p w14:paraId="298FA1EC">
      <w:pPr>
        <w:ind w:firstLine="480"/>
      </w:pPr>
      <w:r>
        <w:rPr>
          <w:rFonts w:hint="eastAsia"/>
        </w:rPr>
        <w:t>（2）标准节吊装时，专业安装人员要采用牵引绳牵引标准节进行对中就位。</w:t>
      </w:r>
    </w:p>
    <w:p w14:paraId="064396C1">
      <w:pPr>
        <w:pStyle w:val="4"/>
      </w:pPr>
      <w:r>
        <w:rPr>
          <w:rFonts w:hint="eastAsia"/>
        </w:rPr>
        <w:t>外笼（围栏门支撑和电源柜等）及缓冲弹簧安拆安全措施</w:t>
      </w:r>
    </w:p>
    <w:p w14:paraId="69FB308B">
      <w:pPr>
        <w:ind w:firstLine="480"/>
      </w:pPr>
      <w:r>
        <w:rPr>
          <w:rFonts w:hint="eastAsia"/>
        </w:rPr>
        <w:t>（1）吊装四周围栏时，要按照顺序逐块吊装，每吊装一块要及时做好支撑，防止四周围栏在未连成整体前发生倾覆。</w:t>
      </w:r>
    </w:p>
    <w:p w14:paraId="64823ACE">
      <w:pPr>
        <w:ind w:firstLine="480"/>
      </w:pPr>
      <w:r>
        <w:rPr>
          <w:rFonts w:hint="eastAsia"/>
        </w:rPr>
        <w:t>（2）吊装围栏时，围栏顶部两端焊接的吊耳要确保焊接可靠，卸扣与之连接后，要进行检查，连接稳固后方可进行吊装。</w:t>
      </w:r>
    </w:p>
    <w:p w14:paraId="7316E9C4">
      <w:pPr>
        <w:pStyle w:val="4"/>
      </w:pPr>
      <w:r>
        <w:rPr>
          <w:rFonts w:hint="eastAsia"/>
        </w:rPr>
        <w:t>吊笼及其顶部围栏和传动机构安拆安全措施</w:t>
      </w:r>
    </w:p>
    <w:p w14:paraId="51130AD9">
      <w:pPr>
        <w:ind w:firstLine="480"/>
      </w:pPr>
      <w:r>
        <w:rPr>
          <w:rFonts w:hint="eastAsia"/>
        </w:rPr>
        <w:t>（1）吊笼吊装下放或拆除时，塔吊操作人员要听从指令缓慢操作，防止突然下放或上提撞击专业安装作业人员。</w:t>
      </w:r>
    </w:p>
    <w:p w14:paraId="62941067">
      <w:pPr>
        <w:ind w:firstLine="480"/>
      </w:pPr>
      <w:r>
        <w:rPr>
          <w:rFonts w:hint="eastAsia"/>
        </w:rPr>
        <w:t>（2）待吊笼下放就位后，专业安装作业人员方可解除钢丝绳两端的连接。</w:t>
      </w:r>
    </w:p>
    <w:p w14:paraId="65463CFF">
      <w:pPr>
        <w:ind w:firstLine="480"/>
      </w:pPr>
      <w:r>
        <w:rPr>
          <w:rFonts w:hint="eastAsia"/>
        </w:rPr>
        <w:t>（3）传动机构安拆时，必须检查各连接孔之间有无堵塞，电源系统是否断开。</w:t>
      </w:r>
    </w:p>
    <w:p w14:paraId="529EECF6">
      <w:pPr>
        <w:ind w:firstLine="480"/>
      </w:pPr>
      <w:r>
        <w:rPr>
          <w:rFonts w:hint="eastAsia"/>
        </w:rPr>
        <w:t>（4）吊笼顶部的围栏安装时，要拧紧连接螺栓，安拆作业时，施工人员要将安全带系挂在导轨架上的安全可靠处。</w:t>
      </w:r>
    </w:p>
    <w:p w14:paraId="35F5698B">
      <w:pPr>
        <w:pStyle w:val="4"/>
      </w:pPr>
      <w:r>
        <w:rPr>
          <w:rFonts w:hint="eastAsia"/>
        </w:rPr>
        <w:t>吊杆安拆安全措施</w:t>
      </w:r>
    </w:p>
    <w:p w14:paraId="22DEBA9C">
      <w:pPr>
        <w:ind w:firstLine="480"/>
      </w:pPr>
      <w:r>
        <w:rPr>
          <w:rFonts w:hint="eastAsia"/>
        </w:rPr>
        <w:t>（1）吊杆安装前要对其质量和外形尺寸进行检查，安装完成后要确保吊杆对接没有偏位并连接牢靠。</w:t>
      </w:r>
    </w:p>
    <w:p w14:paraId="55A9C697">
      <w:pPr>
        <w:pStyle w:val="4"/>
      </w:pPr>
      <w:r>
        <w:rPr>
          <w:rFonts w:hint="eastAsia"/>
        </w:rPr>
        <w:t>安全电控系统安拆安全措施</w:t>
      </w:r>
    </w:p>
    <w:p w14:paraId="6D34797A">
      <w:pPr>
        <w:ind w:firstLine="480"/>
      </w:pPr>
      <w:r>
        <w:rPr>
          <w:rFonts w:hint="eastAsia"/>
        </w:rPr>
        <w:t>（1）检查各类安全控制开关的质量是否合格。</w:t>
      </w:r>
    </w:p>
    <w:p w14:paraId="1125295F">
      <w:pPr>
        <w:ind w:firstLine="480"/>
      </w:pPr>
      <w:r>
        <w:rPr>
          <w:rFonts w:hint="eastAsia"/>
        </w:rPr>
        <w:t>（2）安装完成后，检查安全控制开关或者控制系统是否有漏安或者缺失。</w:t>
      </w:r>
    </w:p>
    <w:p w14:paraId="59B0D24A">
      <w:pPr>
        <w:ind w:firstLine="480"/>
      </w:pPr>
      <w:r>
        <w:rPr>
          <w:rFonts w:hint="eastAsia"/>
        </w:rPr>
        <w:t>（3）派专人检查施工升降机是否安装超载保护装置，且检查施工升降机防坠安全器是否在有效标定期内。</w:t>
      </w:r>
    </w:p>
    <w:p w14:paraId="6F80443C">
      <w:pPr>
        <w:ind w:firstLine="480"/>
      </w:pPr>
      <w:r>
        <w:rPr>
          <w:rFonts w:hint="eastAsia"/>
        </w:rPr>
        <w:t>（4）各类安全控制开关或系统在安装或者拆除时，要必须确保其处于断电状态，方可进行相关操作。</w:t>
      </w:r>
    </w:p>
    <w:p w14:paraId="26C6AC75">
      <w:pPr>
        <w:pStyle w:val="4"/>
      </w:pPr>
      <w:r>
        <w:rPr>
          <w:rFonts w:hint="eastAsia"/>
        </w:rPr>
        <w:t>导轨架安拆安全措施</w:t>
      </w:r>
    </w:p>
    <w:p w14:paraId="2ED2C551">
      <w:pPr>
        <w:ind w:firstLine="480"/>
      </w:pPr>
      <w:r>
        <w:rPr>
          <w:rFonts w:hint="eastAsia"/>
        </w:rPr>
        <w:t>（1）导轨架进场后由专人进行质量验收并签字确认合格，按规格分类存放、标识，避免混用。</w:t>
      </w:r>
    </w:p>
    <w:p w14:paraId="66E892D5">
      <w:pPr>
        <w:ind w:firstLine="480"/>
      </w:pPr>
      <w:r>
        <w:rPr>
          <w:rFonts w:hint="eastAsia"/>
        </w:rPr>
        <w:t>（2）导轨架接长后，要检查其连接螺栓是否安装并拧紧到位。</w:t>
      </w:r>
    </w:p>
    <w:p w14:paraId="0355F07D">
      <w:pPr>
        <w:ind w:firstLine="480"/>
      </w:pPr>
      <w:r>
        <w:rPr>
          <w:rFonts w:hint="eastAsia"/>
        </w:rPr>
        <w:t>（3）导轨架接长或后期拆除施工时，要确保最大自由高度不超过7.5m。</w:t>
      </w:r>
    </w:p>
    <w:p w14:paraId="12F7AF99">
      <w:pPr>
        <w:ind w:firstLine="480"/>
      </w:pPr>
      <w:r>
        <w:rPr>
          <w:rFonts w:hint="eastAsia"/>
        </w:rPr>
        <w:t>（4）导轨架安装时，要派专人对其倾斜度偏差进行校核。</w:t>
      </w:r>
    </w:p>
    <w:p w14:paraId="43183F4C">
      <w:pPr>
        <w:ind w:firstLine="480"/>
      </w:pPr>
      <w:r>
        <w:rPr>
          <w:rFonts w:hint="eastAsia"/>
        </w:rPr>
        <w:t>（5）导轨架接长施工时，要及时安装附墙件，并检查附墙件的平面位置以及高程偏差是否满足设计要求。</w:t>
      </w:r>
    </w:p>
    <w:p w14:paraId="144121BA">
      <w:pPr>
        <w:pStyle w:val="4"/>
      </w:pPr>
      <w:r>
        <w:rPr>
          <w:rFonts w:hint="eastAsia"/>
        </w:rPr>
        <w:t>附墙安装与拆除安全措施</w:t>
      </w:r>
    </w:p>
    <w:p w14:paraId="21B78B41">
      <w:pPr>
        <w:ind w:firstLine="480"/>
      </w:pPr>
      <w:r>
        <w:rPr>
          <w:rFonts w:hint="eastAsia"/>
        </w:rPr>
        <w:t>（1）附墙所用的材料进场后由专人进行质量验收并签字确认合格，按规格分类存放、标识，避免混用。</w:t>
      </w:r>
    </w:p>
    <w:p w14:paraId="1965F650">
      <w:pPr>
        <w:ind w:firstLine="480"/>
      </w:pPr>
      <w:r>
        <w:rPr>
          <w:rFonts w:hint="eastAsia"/>
        </w:rPr>
        <w:t>（2）塔柱节段混凝土浇筑过程中，确保附墙预埋件位置及标高设置准确，满足附墙安装精度要求。</w:t>
      </w:r>
    </w:p>
    <w:p w14:paraId="77A7094A">
      <w:pPr>
        <w:ind w:firstLine="480"/>
      </w:pPr>
      <w:r>
        <w:rPr>
          <w:rFonts w:hint="eastAsia"/>
        </w:rPr>
        <w:t>（3）附墙应进行专项设计，使其的强度、刚度、稳定性满足要求。</w:t>
      </w:r>
    </w:p>
    <w:p w14:paraId="5E1C5EDB">
      <w:pPr>
        <w:ind w:firstLine="480"/>
      </w:pPr>
      <w:r>
        <w:rPr>
          <w:rFonts w:hint="eastAsia"/>
        </w:rPr>
        <w:t>（4）附墙安装时，指定专人测量复核其安装标高、水平度以及平面位置。</w:t>
      </w:r>
    </w:p>
    <w:p w14:paraId="016FE4E2">
      <w:pPr>
        <w:ind w:firstLine="480"/>
      </w:pPr>
      <w:r>
        <w:rPr>
          <w:rFonts w:hint="eastAsia"/>
        </w:rPr>
        <w:t>（5）附墙安装完成后，及时安装连接螺栓以及开口销，并指定专人进行检查复核验收。</w:t>
      </w:r>
    </w:p>
    <w:p w14:paraId="3CAC661A">
      <w:pPr>
        <w:ind w:firstLine="480"/>
      </w:pPr>
      <w:r>
        <w:rPr>
          <w:rFonts w:hint="eastAsia"/>
        </w:rPr>
        <w:t>（6）附墙安装与拆除前，必须在塔柱外侧设置施工操作平台，施工操作平台应进行专项设计，使其的强度、刚度、稳定性满足要求，且需验收合格后方可投入使用。</w:t>
      </w:r>
    </w:p>
    <w:p w14:paraId="55907989">
      <w:pPr>
        <w:ind w:firstLine="480"/>
      </w:pPr>
      <w:r>
        <w:rPr>
          <w:rFonts w:hint="eastAsia"/>
        </w:rPr>
        <w:t>（7）附墙安拆施工作业时，作业人员需站在塔柱外侧的施工操作平台上进行作业，同时需佩戴好安全带并将安全带挂在操作平台上安全稳固处。</w:t>
      </w:r>
    </w:p>
    <w:p w14:paraId="65C17479">
      <w:pPr>
        <w:ind w:firstLine="480"/>
      </w:pPr>
    </w:p>
    <w:p w14:paraId="69E04C85">
      <w:pPr>
        <w:pStyle w:val="4"/>
      </w:pPr>
      <w:r>
        <w:rPr>
          <w:rFonts w:hint="eastAsia"/>
        </w:rPr>
        <w:t>试验安全技术措施</w:t>
      </w:r>
    </w:p>
    <w:p w14:paraId="0E39DF86">
      <w:pPr>
        <w:pStyle w:val="70"/>
        <w:numPr>
          <w:ilvl w:val="0"/>
          <w:numId w:val="63"/>
        </w:numPr>
        <w:ind w:firstLineChars="0"/>
      </w:pPr>
      <w:r>
        <w:rPr>
          <w:rFonts w:hint="eastAsia"/>
        </w:rPr>
        <w:t>试运行要求风速在规定的范围内，6级以上大风禁止起重吊装；</w:t>
      </w:r>
    </w:p>
    <w:p w14:paraId="42BD8A5B">
      <w:pPr>
        <w:pStyle w:val="70"/>
        <w:numPr>
          <w:ilvl w:val="0"/>
          <w:numId w:val="63"/>
        </w:numPr>
        <w:ind w:firstLineChars="0"/>
      </w:pPr>
      <w:r>
        <w:rPr>
          <w:rFonts w:hint="eastAsia"/>
        </w:rPr>
        <w:t>设备试运行前，对电气设备的连接做全面检查，检查合格后方可进行试运行；</w:t>
      </w:r>
    </w:p>
    <w:p w14:paraId="4FB3C444">
      <w:pPr>
        <w:pStyle w:val="70"/>
        <w:numPr>
          <w:ilvl w:val="0"/>
          <w:numId w:val="63"/>
        </w:numPr>
        <w:ind w:firstLineChars="0"/>
      </w:pPr>
      <w:r>
        <w:rPr>
          <w:rFonts w:hint="eastAsia"/>
        </w:rPr>
        <w:t>设备试运行前，进行一般技术检查如检查调试好各部位限位器等；</w:t>
      </w:r>
    </w:p>
    <w:p w14:paraId="7C71AEA1">
      <w:pPr>
        <w:pStyle w:val="70"/>
        <w:numPr>
          <w:ilvl w:val="0"/>
          <w:numId w:val="63"/>
        </w:numPr>
        <w:ind w:firstLineChars="0"/>
      </w:pPr>
      <w:r>
        <w:rPr>
          <w:rFonts w:hint="eastAsia"/>
        </w:rPr>
        <w:t>设备试运行需依次进行空负荷试验→静负荷试验→动负荷试验，并逐级进行加载；</w:t>
      </w:r>
    </w:p>
    <w:p w14:paraId="26DAD6D9">
      <w:pPr>
        <w:pStyle w:val="70"/>
        <w:numPr>
          <w:ilvl w:val="0"/>
          <w:numId w:val="63"/>
        </w:numPr>
        <w:ind w:firstLineChars="0"/>
      </w:pPr>
      <w:r>
        <w:rPr>
          <w:rFonts w:hint="eastAsia"/>
        </w:rPr>
        <w:t>试运行期间形成试运行验收记录。</w:t>
      </w:r>
    </w:p>
    <w:p w14:paraId="5CE4844C">
      <w:pPr>
        <w:pStyle w:val="4"/>
      </w:pPr>
      <w:r>
        <w:rPr>
          <w:rFonts w:hint="eastAsia"/>
        </w:rPr>
        <w:t>起重作业安全技术措施</w:t>
      </w:r>
    </w:p>
    <w:p w14:paraId="3E49EEB7">
      <w:pPr>
        <w:numPr>
          <w:ilvl w:val="0"/>
          <w:numId w:val="64"/>
        </w:numPr>
        <w:ind w:firstLineChars="0"/>
      </w:pPr>
      <w:r>
        <w:rPr>
          <w:rFonts w:hint="eastAsia"/>
        </w:rPr>
        <w:t>作业人员的安全规章制度的学习，提高安全防范意识；</w:t>
      </w:r>
    </w:p>
    <w:p w14:paraId="3557A89D">
      <w:pPr>
        <w:numPr>
          <w:ilvl w:val="0"/>
          <w:numId w:val="64"/>
        </w:numPr>
        <w:ind w:firstLineChars="0"/>
      </w:pPr>
      <w:r>
        <w:rPr>
          <w:rFonts w:hint="eastAsia"/>
        </w:rPr>
        <w:t>严禁酒后作业，严格遵守项目部相关规定安全施工；</w:t>
      </w:r>
    </w:p>
    <w:p w14:paraId="7EEC6978">
      <w:pPr>
        <w:numPr>
          <w:ilvl w:val="0"/>
          <w:numId w:val="64"/>
        </w:numPr>
        <w:ind w:firstLineChars="0"/>
      </w:pPr>
      <w:r>
        <w:rPr>
          <w:rFonts w:hint="eastAsia"/>
        </w:rPr>
        <w:t>吊装作业人员统一配戴我项目部的安全帽，进入施工现场遵守我公司的规定；</w:t>
      </w:r>
    </w:p>
    <w:p w14:paraId="4E972A03">
      <w:pPr>
        <w:numPr>
          <w:ilvl w:val="0"/>
          <w:numId w:val="64"/>
        </w:numPr>
        <w:ind w:firstLineChars="0"/>
      </w:pPr>
      <w:r>
        <w:rPr>
          <w:rFonts w:hint="eastAsia"/>
        </w:rPr>
        <w:t>作业时必须执行安全技术交底，听从统一指挥；</w:t>
      </w:r>
    </w:p>
    <w:p w14:paraId="18339407">
      <w:pPr>
        <w:numPr>
          <w:ilvl w:val="0"/>
          <w:numId w:val="64"/>
        </w:numPr>
        <w:ind w:firstLineChars="0"/>
      </w:pPr>
      <w:r>
        <w:rPr>
          <w:rFonts w:hint="eastAsia"/>
        </w:rPr>
        <w:t>起重工、信号工必须经专门安全技术培训，持证上岗；</w:t>
      </w:r>
    </w:p>
    <w:p w14:paraId="0DC28958">
      <w:pPr>
        <w:numPr>
          <w:ilvl w:val="0"/>
          <w:numId w:val="64"/>
        </w:numPr>
        <w:ind w:firstLineChars="0"/>
      </w:pPr>
      <w:r>
        <w:rPr>
          <w:rFonts w:hint="eastAsia"/>
        </w:rPr>
        <w:t>信号工要穿有明显标识的衣服，两眼视力不得低于1.0，无色盲、听力障碍、高血压、心脏病等生理缺陷；</w:t>
      </w:r>
    </w:p>
    <w:p w14:paraId="7B1B9C4E">
      <w:pPr>
        <w:numPr>
          <w:ilvl w:val="0"/>
          <w:numId w:val="64"/>
        </w:numPr>
        <w:ind w:firstLineChars="0"/>
      </w:pPr>
      <w:r>
        <w:rPr>
          <w:rFonts w:hint="eastAsia"/>
        </w:rPr>
        <w:t>信号工高空指挥时，需戴安全带，脚穿防滑鞋；</w:t>
      </w:r>
    </w:p>
    <w:p w14:paraId="6D484409">
      <w:pPr>
        <w:numPr>
          <w:ilvl w:val="0"/>
          <w:numId w:val="64"/>
        </w:numPr>
        <w:ind w:firstLineChars="0"/>
      </w:pPr>
      <w:r>
        <w:rPr>
          <w:rFonts w:hint="eastAsia"/>
        </w:rPr>
        <w:t>吊车尾部为司机盲区，工作人员注意吊车尾部的旋转动态；</w:t>
      </w:r>
    </w:p>
    <w:p w14:paraId="0866F619">
      <w:pPr>
        <w:numPr>
          <w:ilvl w:val="0"/>
          <w:numId w:val="64"/>
        </w:numPr>
        <w:ind w:firstLineChars="0"/>
      </w:pPr>
      <w:r>
        <w:rPr>
          <w:rFonts w:hint="eastAsia"/>
        </w:rPr>
        <w:t>起重大件时，严禁任何人员乘坐大件；</w:t>
      </w:r>
    </w:p>
    <w:p w14:paraId="70FBD50D">
      <w:pPr>
        <w:numPr>
          <w:ilvl w:val="0"/>
          <w:numId w:val="64"/>
        </w:numPr>
        <w:ind w:firstLineChars="0"/>
      </w:pPr>
      <w:r>
        <w:rPr>
          <w:rFonts w:hint="eastAsia"/>
        </w:rPr>
        <w:t>司机作业时，严禁收听任何有声电器及电话（除指挥使用对讲机除外），严禁和其他人员交谈；</w:t>
      </w:r>
    </w:p>
    <w:p w14:paraId="082947DE">
      <w:pPr>
        <w:numPr>
          <w:ilvl w:val="0"/>
          <w:numId w:val="64"/>
        </w:numPr>
        <w:ind w:firstLineChars="0"/>
      </w:pPr>
      <w:r>
        <w:rPr>
          <w:rFonts w:hint="eastAsia"/>
        </w:rPr>
        <w:t>司机和信号工必须使用对讲机进行指令的接受和发出，确保对讲机的音质清晰，调频无干扰；</w:t>
      </w:r>
    </w:p>
    <w:p w14:paraId="32B6B1BE">
      <w:pPr>
        <w:numPr>
          <w:ilvl w:val="0"/>
          <w:numId w:val="64"/>
        </w:numPr>
        <w:ind w:firstLineChars="0"/>
      </w:pPr>
      <w:r>
        <w:rPr>
          <w:rFonts w:hint="eastAsia"/>
        </w:rPr>
        <w:t>作业前必须检查作业环境、吊索具、防护用品。吊装区域无闲散人员，障碍已排除。吊具无缺陷，捆绑正确牢固。在信号不明和作业现场光线阴暗时，严禁进行起吊作业；</w:t>
      </w:r>
    </w:p>
    <w:p w14:paraId="25CD924D">
      <w:pPr>
        <w:numPr>
          <w:ilvl w:val="0"/>
          <w:numId w:val="64"/>
        </w:numPr>
        <w:ind w:firstLineChars="0"/>
      </w:pPr>
      <w:r>
        <w:rPr>
          <w:rFonts w:hint="eastAsia"/>
        </w:rPr>
        <w:t>起重作业时，必须正确选择吊点的位置，合理穿挂索具，试吊；</w:t>
      </w:r>
    </w:p>
    <w:p w14:paraId="5A726A5D">
      <w:pPr>
        <w:numPr>
          <w:ilvl w:val="0"/>
          <w:numId w:val="64"/>
        </w:numPr>
        <w:ind w:firstLineChars="0"/>
      </w:pPr>
      <w:r>
        <w:rPr>
          <w:rFonts w:hint="eastAsia"/>
        </w:rPr>
        <w:t>试吊：吊绳套挂牢固，起重机缓缓起升，将吊绳绷直稍停，试吊高度为100mm～200mm。试吊中，指挥信号工、挂钩工、司机必须协调配合。如发现吊物重心滑移或其他物件粘连等情况时，必须立即停止起吊，采取措施并确认安全后方可起吊；</w:t>
      </w:r>
    </w:p>
    <w:p w14:paraId="72675C2E">
      <w:pPr>
        <w:numPr>
          <w:ilvl w:val="0"/>
          <w:numId w:val="64"/>
        </w:numPr>
        <w:ind w:firstLineChars="0"/>
      </w:pPr>
      <w:r>
        <w:rPr>
          <w:rFonts w:hint="eastAsia"/>
        </w:rPr>
        <w:t>大雨、风力在6级以上等恶劣天气，必须停止露天起重吊装作业。严禁在带电的高压线或一侧作业；</w:t>
      </w:r>
    </w:p>
    <w:p w14:paraId="02484E38">
      <w:pPr>
        <w:numPr>
          <w:ilvl w:val="0"/>
          <w:numId w:val="64"/>
        </w:numPr>
        <w:ind w:firstLineChars="0"/>
      </w:pPr>
      <w:r>
        <w:rPr>
          <w:rFonts w:hint="eastAsia"/>
        </w:rPr>
        <w:t>严格执行“十不吊”的原则。即：超负荷不吊；无专人指挥或指挥信号不明，重量不明，光线暗淡不吊；安全装置，机械设备有异常或有故障不吊；在重物上加工或埋入土中物件以及歪拉斜挂不吊；物件捆绑不牢不平或活动零件不固定，不清除不吊；吊物上站人或从人头上越过及垂臂下站人不吊；氧气瓶、乙炔发生器等易爆器械无安全措施不吊；棱角缺口未垫好不吊；</w:t>
      </w:r>
      <w:r>
        <w:t>6</w:t>
      </w:r>
      <w:r>
        <w:rPr>
          <w:rFonts w:hint="eastAsia"/>
        </w:rPr>
        <w:t>级以上大风和雷暴雨时不吊；在斜坡上或坑沿，堤岸不填实不吊；</w:t>
      </w:r>
    </w:p>
    <w:p w14:paraId="2AED7769">
      <w:pPr>
        <w:numPr>
          <w:ilvl w:val="0"/>
          <w:numId w:val="64"/>
        </w:numPr>
        <w:ind w:firstLineChars="0"/>
      </w:pPr>
      <w:r>
        <w:rPr>
          <w:rFonts w:hint="eastAsia"/>
        </w:rPr>
        <w:t>使用起重作业时，必须正确选择吊点的位置，合理穿挂索具，试吊；</w:t>
      </w:r>
    </w:p>
    <w:p w14:paraId="730AD268">
      <w:pPr>
        <w:numPr>
          <w:ilvl w:val="0"/>
          <w:numId w:val="64"/>
        </w:numPr>
        <w:ind w:firstLineChars="0"/>
      </w:pPr>
      <w:r>
        <w:rPr>
          <w:rFonts w:hint="eastAsia"/>
        </w:rPr>
        <w:t>机械设备要摆放整齐，用倒链拴牢固。放在高处的货物要有防护措施。</w:t>
      </w:r>
    </w:p>
    <w:p w14:paraId="0136D9C5">
      <w:pPr>
        <w:pStyle w:val="70"/>
        <w:numPr>
          <w:ilvl w:val="0"/>
          <w:numId w:val="64"/>
        </w:numPr>
        <w:ind w:right="261" w:firstLineChars="0"/>
        <w:rPr>
          <w:rFonts w:ascii="宋体" w:hAnsi="宋体"/>
        </w:rPr>
      </w:pPr>
      <w:r>
        <w:rPr>
          <w:rFonts w:hint="eastAsia" w:ascii="宋体" w:hAnsi="宋体"/>
        </w:rPr>
        <w:t>当需要在夜间进行安拆作业时，应保证提供足够的照明；当遇特殊情况安装作业不能连续进行时，应将已安装的部位固定牢靠并达到安全状态；安装完成后应组织人员验收与试吊；安装单位自检合格后，应上报有关部门检测合格；风雨、浓雾天气应停止拆除作业；当遇特殊情况拆除作业不能连续进行时应已安装的部位固定牢靠并达到安全状态；吊具与索具系结物品，及其连接在起重机械上的方法不可靠；吊耳、耳轴或耳轴套，磨损减少原尺寸5％；吊装长大物件时，应在物件两端绑扎溜绳，并且由操作人员控制物件的平衡和稳定。</w:t>
      </w:r>
    </w:p>
    <w:p w14:paraId="45B44CB9">
      <w:pPr>
        <w:pStyle w:val="4"/>
      </w:pPr>
      <w:r>
        <w:rPr>
          <w:rFonts w:hint="eastAsia"/>
        </w:rPr>
        <w:t>高处作业安全技术措施</w:t>
      </w:r>
    </w:p>
    <w:p w14:paraId="554E5776">
      <w:pPr>
        <w:numPr>
          <w:ilvl w:val="0"/>
          <w:numId w:val="65"/>
        </w:numPr>
      </w:pPr>
      <w:r>
        <w:rPr>
          <w:rFonts w:hint="eastAsia"/>
        </w:rPr>
        <w:t>高空作业人员必须正确佩带安全帽，必须系好安全带，并挂在牢固处（高挂低用）；</w:t>
      </w:r>
    </w:p>
    <w:p w14:paraId="397E3C6F">
      <w:pPr>
        <w:numPr>
          <w:ilvl w:val="0"/>
          <w:numId w:val="65"/>
        </w:numPr>
      </w:pPr>
      <w:r>
        <w:rPr>
          <w:rFonts w:hint="eastAsia"/>
        </w:rPr>
        <w:t>高处作业使用的吊架、平台、脚手板、梯子、护栏、索具（钢丝绳、麻绳、化学纤维绳）等料具和安全带、安全网等安全防护用品的质量都必须符合国家规范的要求；</w:t>
      </w:r>
    </w:p>
    <w:p w14:paraId="3AE13DC0">
      <w:pPr>
        <w:numPr>
          <w:ilvl w:val="0"/>
          <w:numId w:val="65"/>
        </w:numPr>
      </w:pPr>
      <w:r>
        <w:rPr>
          <w:rFonts w:hint="eastAsia"/>
        </w:rPr>
        <w:t>高处施工作业前，应进行针对性的书面安全交底，要被交底人的签字，同时必须落实所有的安全技术措施和个人防护用品，未经落实时不得进行施工作业；</w:t>
      </w:r>
    </w:p>
    <w:p w14:paraId="6E0AB6E7">
      <w:pPr>
        <w:numPr>
          <w:ilvl w:val="0"/>
          <w:numId w:val="65"/>
        </w:numPr>
      </w:pPr>
      <w:r>
        <w:rPr>
          <w:rFonts w:hint="eastAsia"/>
        </w:rPr>
        <w:t>从事高处作业的人员，必须定期体检。凡患有高血压、心脏病、贫血、癫痫症、严重近视及患有其他不适应高处作业病症的人员，均不得登高作业；</w:t>
      </w:r>
    </w:p>
    <w:p w14:paraId="2C17B90D">
      <w:pPr>
        <w:numPr>
          <w:ilvl w:val="0"/>
          <w:numId w:val="65"/>
        </w:numPr>
      </w:pPr>
      <w:r>
        <w:rPr>
          <w:rFonts w:hint="eastAsia"/>
        </w:rPr>
        <w:t>攀登和悬空高处作业人员以及搭设高处作业安全设施的人员，必须经过专业技术培训及专业考试合格，持证上岗；</w:t>
      </w:r>
    </w:p>
    <w:p w14:paraId="2522E863">
      <w:pPr>
        <w:numPr>
          <w:ilvl w:val="0"/>
          <w:numId w:val="65"/>
        </w:numPr>
      </w:pPr>
      <w:r>
        <w:rPr>
          <w:rFonts w:hint="eastAsia"/>
        </w:rPr>
        <w:t>施工中，对高处作业的安全技术设施，使用中发生损坏，必须及时解决，危及人身安全的，必须立即停止作业，排除险情或隐患后，方准作业；</w:t>
      </w:r>
    </w:p>
    <w:p w14:paraId="4739EE70">
      <w:pPr>
        <w:numPr>
          <w:ilvl w:val="0"/>
          <w:numId w:val="65"/>
        </w:numPr>
      </w:pPr>
      <w:r>
        <w:rPr>
          <w:rFonts w:hint="eastAsia"/>
        </w:rPr>
        <w:t>施工作业场所有坠落可能的物体，应一律先行撤除或加以固定。高处作业中所用的物料，均应堆放平稳，不妨碍通行，并不得超重，在临时搭建的安装平台上载荷不得大于270kg/m³。工具用毕应随手放入工具袋内；作业中的走道，通道板和登高用具，应随时清扫干净；拆卸下的物件及余料和废料均应及时清理运走，不能任意乱扔或向下丢弃，传递物件禁止抛掷，小型工具、配件用工具包盛装或使用吊篮吊装；</w:t>
      </w:r>
    </w:p>
    <w:p w14:paraId="147D1BAD">
      <w:pPr>
        <w:numPr>
          <w:ilvl w:val="0"/>
          <w:numId w:val="65"/>
        </w:numPr>
      </w:pPr>
      <w:r>
        <w:rPr>
          <w:rFonts w:hint="eastAsia"/>
        </w:rPr>
        <w:t>高处作业无法搭设严密的防护设施的，必须使用安全带。安全带必须系挂在施工作业上方牢固的物体上，并高挂低用，禁止低挂高用；</w:t>
      </w:r>
    </w:p>
    <w:p w14:paraId="1E9B7F49">
      <w:pPr>
        <w:numPr>
          <w:ilvl w:val="0"/>
          <w:numId w:val="65"/>
        </w:numPr>
      </w:pPr>
      <w:r>
        <w:rPr>
          <w:rFonts w:hint="eastAsia"/>
        </w:rPr>
        <w:t>高处作业人员不准骑坐临时搭建的安装平台上的护栏、未安装牢固的管道、设备上和躺在平台、孔洞边缘上休息。在没有安全防护设施的条件下，严禁在木桁架、挑梁，砌体及构架上行走或作业；</w:t>
      </w:r>
    </w:p>
    <w:p w14:paraId="4E6ED947">
      <w:pPr>
        <w:numPr>
          <w:ilvl w:val="0"/>
          <w:numId w:val="65"/>
        </w:numPr>
      </w:pPr>
      <w:r>
        <w:rPr>
          <w:rFonts w:hint="eastAsia"/>
        </w:rPr>
        <w:t>雨、雪天进行高处作业时，必须采取可靠的防滑、防寒和防冻措施，凡水、雪、霜、冰均应及时清除干净。暴风雪及沙尘暴后，应及时对高处作业的安全防护设施逐一加以检查，发现有松动、变形、损坏或脱落等现象，应立即修复完善，</w:t>
      </w:r>
      <w:r>
        <w:t>6</w:t>
      </w:r>
      <w:r>
        <w:rPr>
          <w:rFonts w:hint="eastAsia"/>
        </w:rPr>
        <w:t>级大风立即停止露天高处作业；</w:t>
      </w:r>
    </w:p>
    <w:p w14:paraId="0D9256C2">
      <w:pPr>
        <w:numPr>
          <w:ilvl w:val="0"/>
          <w:numId w:val="65"/>
        </w:numPr>
      </w:pPr>
      <w:r>
        <w:rPr>
          <w:rFonts w:hint="eastAsia"/>
        </w:rPr>
        <w:t>因作业需要，临时拆除或变动安全防护设施的，必须经施工负责人同意，并采取相应的可靠措施，作业后立即恢复；</w:t>
      </w:r>
    </w:p>
    <w:p w14:paraId="4216FB69">
      <w:pPr>
        <w:numPr>
          <w:ilvl w:val="0"/>
          <w:numId w:val="65"/>
        </w:numPr>
      </w:pPr>
      <w:r>
        <w:rPr>
          <w:rFonts w:hint="eastAsia"/>
        </w:rPr>
        <w:t>高处作业人员应沿着斜道、梯子上下，严禁沿着绳索、立杆、井架或栏杆等攀登；</w:t>
      </w:r>
    </w:p>
    <w:p w14:paraId="06B7C80F">
      <w:pPr>
        <w:numPr>
          <w:ilvl w:val="0"/>
          <w:numId w:val="65"/>
        </w:numPr>
      </w:pPr>
      <w:r>
        <w:rPr>
          <w:rFonts w:hint="eastAsia"/>
        </w:rPr>
        <w:t>人字梯的使用：</w:t>
      </w:r>
    </w:p>
    <w:p w14:paraId="5382A3EA">
      <w:pPr>
        <w:numPr>
          <w:ilvl w:val="0"/>
          <w:numId w:val="66"/>
        </w:numPr>
      </w:pPr>
      <w:r>
        <w:rPr>
          <w:rFonts w:hint="eastAsia"/>
        </w:rPr>
        <w:t>使用前检查该梯子是否安全，即检查梯子的铆钉是否松动，焊接是否开裂；</w:t>
      </w:r>
    </w:p>
    <w:p w14:paraId="55D73840">
      <w:pPr>
        <w:numPr>
          <w:ilvl w:val="0"/>
          <w:numId w:val="66"/>
        </w:numPr>
      </w:pPr>
      <w:r>
        <w:rPr>
          <w:rFonts w:hint="eastAsia"/>
        </w:rPr>
        <w:t>用结实的绳索将两边拉住、拴紧、绷直；</w:t>
      </w:r>
    </w:p>
    <w:p w14:paraId="3C95CCD6">
      <w:pPr>
        <w:numPr>
          <w:ilvl w:val="0"/>
          <w:numId w:val="66"/>
        </w:numPr>
      </w:pPr>
      <w:r>
        <w:rPr>
          <w:rFonts w:hint="eastAsia"/>
        </w:rPr>
        <w:t>梯子须安放稳固，使用材料需经人传递或用小桶吊放，严禁上下抛物；</w:t>
      </w:r>
    </w:p>
    <w:p w14:paraId="59E0028F">
      <w:pPr>
        <w:numPr>
          <w:ilvl w:val="0"/>
          <w:numId w:val="66"/>
        </w:numPr>
      </w:pPr>
      <w:r>
        <w:rPr>
          <w:rFonts w:hint="eastAsia"/>
        </w:rPr>
        <w:t>使用梯子时至少两人一组，有专人扶梯；</w:t>
      </w:r>
    </w:p>
    <w:p w14:paraId="01CF1978">
      <w:pPr>
        <w:numPr>
          <w:ilvl w:val="0"/>
          <w:numId w:val="66"/>
        </w:numPr>
      </w:pPr>
      <w:r>
        <w:rPr>
          <w:rFonts w:hint="eastAsia"/>
        </w:rPr>
        <w:t>严禁使用梯子最上面两格；</w:t>
      </w:r>
    </w:p>
    <w:p w14:paraId="0110CB31">
      <w:pPr>
        <w:numPr>
          <w:ilvl w:val="0"/>
          <w:numId w:val="66"/>
        </w:numPr>
      </w:pPr>
      <w:r>
        <w:rPr>
          <w:rFonts w:hint="eastAsia"/>
        </w:rPr>
        <w:t>严禁背对梯子作业；</w:t>
      </w:r>
    </w:p>
    <w:p w14:paraId="7C4FCBED">
      <w:pPr>
        <w:numPr>
          <w:ilvl w:val="0"/>
          <w:numId w:val="66"/>
        </w:numPr>
      </w:pPr>
      <w:r>
        <w:rPr>
          <w:rFonts w:hint="eastAsia"/>
        </w:rPr>
        <w:t>超过2m以上的作业，且安全带无挂点时，除扶梯人外，须再设置一名监护人；</w:t>
      </w:r>
    </w:p>
    <w:p w14:paraId="1C4F2B9F">
      <w:pPr>
        <w:numPr>
          <w:ilvl w:val="0"/>
          <w:numId w:val="66"/>
        </w:numPr>
      </w:pPr>
      <w:r>
        <w:rPr>
          <w:rFonts w:hint="eastAsia"/>
        </w:rPr>
        <w:t>严禁交叉作业；</w:t>
      </w:r>
    </w:p>
    <w:p w14:paraId="2449220B">
      <w:pPr>
        <w:numPr>
          <w:ilvl w:val="0"/>
          <w:numId w:val="66"/>
        </w:numPr>
      </w:pPr>
      <w:r>
        <w:rPr>
          <w:rFonts w:hint="eastAsia"/>
        </w:rPr>
        <w:t>作业区域应用警示带围好、设置监护人，严禁非作业人员入内；</w:t>
      </w:r>
    </w:p>
    <w:p w14:paraId="24ABCB14">
      <w:pPr>
        <w:numPr>
          <w:ilvl w:val="0"/>
          <w:numId w:val="65"/>
        </w:numPr>
      </w:pPr>
      <w:r>
        <w:rPr>
          <w:rFonts w:hint="eastAsia"/>
        </w:rPr>
        <w:t>高温季节必须按照防暑降温的要求合理安排工作时间，配备充足的饮用水，采取必要的防暑降温措施；</w:t>
      </w:r>
    </w:p>
    <w:p w14:paraId="6D9A71E4">
      <w:pPr>
        <w:numPr>
          <w:ilvl w:val="0"/>
          <w:numId w:val="65"/>
        </w:numPr>
      </w:pPr>
      <w:r>
        <w:rPr>
          <w:rFonts w:hint="eastAsia"/>
        </w:rPr>
        <w:t>临近傍晚及气候突变等照明不良的情况下，必须确保人员和各类构件的安全。</w:t>
      </w:r>
    </w:p>
    <w:p w14:paraId="08BCD75F">
      <w:pPr>
        <w:pStyle w:val="4"/>
      </w:pPr>
      <w:r>
        <w:rPr>
          <w:rFonts w:hint="eastAsia"/>
        </w:rPr>
        <w:t>焊接与切割安全技术措施</w:t>
      </w:r>
    </w:p>
    <w:p w14:paraId="60A31528">
      <w:pPr>
        <w:numPr>
          <w:ilvl w:val="0"/>
          <w:numId w:val="67"/>
        </w:numPr>
        <w:ind w:firstLineChars="0"/>
      </w:pPr>
      <w:r>
        <w:rPr>
          <w:rFonts w:hint="eastAsia"/>
        </w:rPr>
        <w:t>电源端接线必须由专业电工进行，焊机或供电线路出现故障，焊工要及时联系动力电工进行处理；</w:t>
      </w:r>
    </w:p>
    <w:p w14:paraId="6B6F801D">
      <w:pPr>
        <w:numPr>
          <w:ilvl w:val="0"/>
          <w:numId w:val="67"/>
        </w:numPr>
        <w:ind w:firstLineChars="0"/>
      </w:pPr>
      <w:r>
        <w:rPr>
          <w:rFonts w:hint="eastAsia"/>
        </w:rPr>
        <w:t>焊工穿戴专用工作服、绝缘鞋、防护手套等符合专业防护要求的劳动保护用品。衣着不得敞领卷袖，必须配戴防护面罩，以免弧光伤眼；焊接前，必须事先消除有害、易燃、易爆物质，解除容器或管道内压力，消除容器密封状态（敞开旋口盖）；</w:t>
      </w:r>
    </w:p>
    <w:p w14:paraId="2F92B78C">
      <w:pPr>
        <w:numPr>
          <w:ilvl w:val="0"/>
          <w:numId w:val="67"/>
        </w:numPr>
        <w:ind w:firstLineChars="0"/>
      </w:pPr>
      <w:r>
        <w:rPr>
          <w:rFonts w:hint="eastAsia"/>
        </w:rPr>
        <w:t>检查作场所周围是否有易燃物，如有，应清除或采取可靠的隔离、防护措施，并设专人监护；</w:t>
      </w:r>
    </w:p>
    <w:p w14:paraId="2A9835A0">
      <w:pPr>
        <w:numPr>
          <w:ilvl w:val="0"/>
          <w:numId w:val="67"/>
        </w:numPr>
        <w:ind w:firstLineChars="0"/>
      </w:pPr>
      <w:r>
        <w:rPr>
          <w:rFonts w:hint="eastAsia"/>
        </w:rPr>
        <w:t>不宜在雨、雪及大风天气进行露天焊接作业。如确实需要时，应采取遮蔽雨雪、防止触电和火花飞溅等措施；</w:t>
      </w:r>
    </w:p>
    <w:p w14:paraId="2C4E04B5">
      <w:pPr>
        <w:numPr>
          <w:ilvl w:val="0"/>
          <w:numId w:val="67"/>
        </w:numPr>
        <w:ind w:firstLineChars="0"/>
      </w:pPr>
      <w:r>
        <w:rPr>
          <w:rFonts w:hint="eastAsia"/>
        </w:rPr>
        <w:t>焊接时，焊工不要接触焊接物件或其它导电物件；</w:t>
      </w:r>
    </w:p>
    <w:p w14:paraId="48175577">
      <w:pPr>
        <w:numPr>
          <w:ilvl w:val="0"/>
          <w:numId w:val="67"/>
        </w:numPr>
        <w:ind w:firstLineChars="0"/>
      </w:pPr>
      <w:r>
        <w:rPr>
          <w:rFonts w:hint="eastAsia"/>
        </w:rPr>
        <w:t>焊接完工后，焊接位置应予以隔离或设专人监护，防止烫伤其他人员及火灾事故发生；</w:t>
      </w:r>
    </w:p>
    <w:p w14:paraId="42369B89">
      <w:pPr>
        <w:numPr>
          <w:ilvl w:val="0"/>
          <w:numId w:val="67"/>
        </w:numPr>
        <w:ind w:firstLineChars="0"/>
      </w:pPr>
      <w:r>
        <w:rPr>
          <w:rFonts w:hint="eastAsia"/>
        </w:rPr>
        <w:t>工作结束后，检查地面，灭绝火种，切断电源，方可离开；</w:t>
      </w:r>
    </w:p>
    <w:p w14:paraId="43F9A06D">
      <w:pPr>
        <w:numPr>
          <w:ilvl w:val="0"/>
          <w:numId w:val="67"/>
        </w:numPr>
        <w:ind w:firstLineChars="0"/>
      </w:pPr>
      <w:r>
        <w:rPr>
          <w:rFonts w:hint="eastAsia"/>
        </w:rPr>
        <w:t>焊工在工作前必须检查好回火防止器及一切工具是否良好；</w:t>
      </w:r>
    </w:p>
    <w:p w14:paraId="5A8C3E47">
      <w:pPr>
        <w:numPr>
          <w:ilvl w:val="0"/>
          <w:numId w:val="67"/>
        </w:numPr>
        <w:ind w:firstLineChars="0"/>
      </w:pPr>
      <w:r>
        <w:rPr>
          <w:rFonts w:hint="eastAsia"/>
        </w:rPr>
        <w:t>乙炔瓶、氧气瓶、胶管接头、阀门的紧固件应坚固牢靠，不准有松动、破损和漏气。氧气瓶及其附件以及胶管工具上禁止沾油；</w:t>
      </w:r>
    </w:p>
    <w:p w14:paraId="513E0AF9">
      <w:pPr>
        <w:numPr>
          <w:ilvl w:val="0"/>
          <w:numId w:val="67"/>
        </w:numPr>
        <w:ind w:firstLineChars="0"/>
      </w:pPr>
      <w:r>
        <w:rPr>
          <w:rFonts w:hint="eastAsia"/>
        </w:rPr>
        <w:t>工作前必须检查氧气管、乙炔管，如有漏气、老化、鼓包和变质时，不准使用，管内应保持清洁，不得有异物，氧气管、乙炔管不得互换使用；</w:t>
      </w:r>
    </w:p>
    <w:p w14:paraId="5437E2D9">
      <w:pPr>
        <w:numPr>
          <w:ilvl w:val="0"/>
          <w:numId w:val="67"/>
        </w:numPr>
        <w:ind w:firstLineChars="0"/>
      </w:pPr>
      <w:r>
        <w:rPr>
          <w:rFonts w:hint="eastAsia"/>
        </w:rPr>
        <w:t>工作前应检查作场所周围是否有易燃物，如有，应清除或采取可靠的隔离、防护措施，并设专人监护；</w:t>
      </w:r>
    </w:p>
    <w:p w14:paraId="7F068A5A">
      <w:pPr>
        <w:numPr>
          <w:ilvl w:val="0"/>
          <w:numId w:val="67"/>
        </w:numPr>
        <w:ind w:firstLineChars="0"/>
      </w:pPr>
      <w:r>
        <w:rPr>
          <w:rFonts w:hint="eastAsia"/>
        </w:rPr>
        <w:t>在连接氧气表（减压器）之前，要用专用扳手将氧气瓶阀门微开，放出一些氧气，吹净瓶口污物和杂质，随后关闭。操作时工作人员应站在气口侧面，并闪开。开气时，气门不可朝下；</w:t>
      </w:r>
    </w:p>
    <w:p w14:paraId="38F691A3">
      <w:pPr>
        <w:numPr>
          <w:ilvl w:val="0"/>
          <w:numId w:val="67"/>
        </w:numPr>
        <w:ind w:firstLineChars="0"/>
      </w:pPr>
      <w:r>
        <w:rPr>
          <w:rFonts w:hint="eastAsia"/>
        </w:rPr>
        <w:t>乙炔、氧气瓶应垂直放置，防止倾倒，严禁与氧气瓶等易燃品同时存放；</w:t>
      </w:r>
    </w:p>
    <w:p w14:paraId="663DE644">
      <w:pPr>
        <w:numPr>
          <w:ilvl w:val="0"/>
          <w:numId w:val="67"/>
        </w:numPr>
        <w:ind w:firstLineChars="0"/>
      </w:pPr>
      <w:r>
        <w:rPr>
          <w:rFonts w:hint="eastAsia"/>
        </w:rPr>
        <w:t>开启氧气或乙炔瓶阀门时，禁止用铁器敲击，应用专用工具，动作要缓慢，防止产生火花，严禁面对减压器站立；</w:t>
      </w:r>
    </w:p>
    <w:p w14:paraId="6FB7A68D">
      <w:pPr>
        <w:numPr>
          <w:ilvl w:val="0"/>
          <w:numId w:val="67"/>
        </w:numPr>
        <w:ind w:firstLineChars="0"/>
      </w:pPr>
      <w:r>
        <w:rPr>
          <w:rFonts w:hint="eastAsia"/>
        </w:rPr>
        <w:t>在机械上（或高处）作业时，应在切割部件下部搭设安全保护装置以防金属溶液落下引起火灾或烧伤其他人员；</w:t>
      </w:r>
    </w:p>
    <w:p w14:paraId="737D65FB">
      <w:pPr>
        <w:numPr>
          <w:ilvl w:val="0"/>
          <w:numId w:val="67"/>
        </w:numPr>
        <w:ind w:firstLineChars="0"/>
      </w:pPr>
      <w:r>
        <w:rPr>
          <w:rFonts w:hint="eastAsia"/>
        </w:rPr>
        <w:t>了解设备的消防器材状况，并保证在焊接地点周围有2个以上干粉灭火器；切割工作结束后，应检查地面，灭绝火种；</w:t>
      </w:r>
    </w:p>
    <w:p w14:paraId="2CBE4AA4">
      <w:pPr>
        <w:numPr>
          <w:ilvl w:val="0"/>
          <w:numId w:val="67"/>
        </w:numPr>
        <w:ind w:firstLineChars="0"/>
      </w:pPr>
      <w:r>
        <w:rPr>
          <w:rFonts w:hint="eastAsia"/>
        </w:rPr>
        <w:t>使用时，必须保证氧气瓶、乙炔瓶距明火不得小于10m。</w:t>
      </w:r>
    </w:p>
    <w:p w14:paraId="1B42442E">
      <w:pPr>
        <w:numPr>
          <w:ilvl w:val="0"/>
          <w:numId w:val="67"/>
        </w:numPr>
        <w:ind w:firstLineChars="0"/>
      </w:pPr>
      <w:r>
        <w:rPr>
          <w:rFonts w:hint="eastAsia"/>
        </w:rPr>
        <w:t>工作地点不固定、移动较频繁时，应装在专用小车上，严禁将乙炔瓶和氧气瓶放在一起。</w:t>
      </w:r>
    </w:p>
    <w:p w14:paraId="01EA18A0">
      <w:pPr>
        <w:pStyle w:val="4"/>
      </w:pPr>
      <w:r>
        <w:rPr>
          <w:rFonts w:hint="eastAsia"/>
        </w:rPr>
        <w:t>临时用电安全措施</w:t>
      </w:r>
    </w:p>
    <w:p w14:paraId="6C42D3B6">
      <w:pPr>
        <w:numPr>
          <w:ilvl w:val="0"/>
          <w:numId w:val="68"/>
        </w:numPr>
        <w:ind w:firstLineChars="0"/>
      </w:pPr>
      <w:r>
        <w:t>严格执行《施工现场临时用电安全技术规范》（JGJ 46-2005），按照施工用电组织设计架设三相五线制的电气线路，所有电线均应架空，过道或穿墙均要用钢管或胶套管保护，严禁利用大地作为工作零线。认真贯彻《建筑施工安全检查标准》（JGJ 59-2011）中临时用电规定；</w:t>
      </w:r>
    </w:p>
    <w:p w14:paraId="5AC0CE99">
      <w:pPr>
        <w:numPr>
          <w:ilvl w:val="0"/>
          <w:numId w:val="68"/>
        </w:numPr>
        <w:ind w:firstLineChars="0"/>
      </w:pPr>
      <w:r>
        <w:t>配电箱、开关箱内电气设备完好无缺。箱体下方进出线，开关箱应符合</w:t>
      </w:r>
      <w:r>
        <w:rPr>
          <w:rFonts w:hint="eastAsia"/>
        </w:rPr>
        <w:t>“</w:t>
      </w:r>
      <w:r>
        <w:t>一机一闸一漏一箱</w:t>
      </w:r>
      <w:r>
        <w:rPr>
          <w:rFonts w:hint="eastAsia"/>
        </w:rPr>
        <w:t>”</w:t>
      </w:r>
      <w:r>
        <w:t>的要求，门、锁完善，有防雨、防尘措施，箱内无杂物，箱前通道畅通，并应对电箱统一编号，刷上危险标志。保护零线（PE、绿/黄线）中间和末端必须重复接地，严禁与工作零线混接；产生振动的设备的重复接地不少于两处；</w:t>
      </w:r>
    </w:p>
    <w:p w14:paraId="31C2A990">
      <w:pPr>
        <w:numPr>
          <w:ilvl w:val="0"/>
          <w:numId w:val="68"/>
        </w:numPr>
        <w:ind w:firstLineChars="0"/>
      </w:pPr>
      <w:r>
        <w:t>临时用电施工组织设计和临时安全用电技术措施及电气防火措施，必须由电气工程技术人员编制，技术负责人审核，经主管部门批准后实施；</w:t>
      </w:r>
    </w:p>
    <w:p w14:paraId="13EFB4F5">
      <w:pPr>
        <w:numPr>
          <w:ilvl w:val="0"/>
          <w:numId w:val="68"/>
        </w:numPr>
        <w:ind w:firstLineChars="0"/>
      </w:pPr>
      <w:r>
        <w:t>安装、维修或拆除临时用电工程，必须由持证电工完成，无证人员禁止上岗。电工等级应同工程的难易程度和技术复杂性相适应；</w:t>
      </w:r>
    </w:p>
    <w:p w14:paraId="6DFDE4F5">
      <w:pPr>
        <w:numPr>
          <w:ilvl w:val="0"/>
          <w:numId w:val="68"/>
        </w:numPr>
        <w:ind w:firstLineChars="0"/>
      </w:pPr>
      <w:r>
        <w:t>使用设备必须按规定穿戴和配备好相应的劳动保护用品，并应检查电气装置和保护设施是否完好，严禁设备带病运转和进行运转中维修；</w:t>
      </w:r>
    </w:p>
    <w:p w14:paraId="40456F8F">
      <w:pPr>
        <w:numPr>
          <w:ilvl w:val="0"/>
          <w:numId w:val="68"/>
        </w:numPr>
        <w:ind w:firstLineChars="0"/>
      </w:pPr>
      <w:r>
        <w:t>停用的设备必须拉闸断电，锁好开关箱。负载线、保护零线和开关箱发现问题应及时报告解决。搬迁或移动的用电设备，必须由专业电工切断电源并作妥善处理；</w:t>
      </w:r>
    </w:p>
    <w:p w14:paraId="42D591CC">
      <w:pPr>
        <w:numPr>
          <w:ilvl w:val="0"/>
          <w:numId w:val="68"/>
        </w:numPr>
        <w:ind w:firstLineChars="0"/>
      </w:pPr>
      <w:r>
        <w:t>按规范做好施工现场临时安全用电的安全技术档案；</w:t>
      </w:r>
    </w:p>
    <w:p w14:paraId="16471894">
      <w:pPr>
        <w:numPr>
          <w:ilvl w:val="0"/>
          <w:numId w:val="68"/>
        </w:numPr>
        <w:ind w:firstLineChars="0"/>
      </w:pPr>
      <w:r>
        <w:t>在建工程与外电线路的安全距离及外电防护和接地与防雷等应严格按规范执行；</w:t>
      </w:r>
    </w:p>
    <w:p w14:paraId="40869499">
      <w:pPr>
        <w:numPr>
          <w:ilvl w:val="0"/>
          <w:numId w:val="68"/>
        </w:numPr>
        <w:ind w:firstLineChars="0"/>
      </w:pPr>
      <w:r>
        <w:t>配电线路的架空线必须采用绝缘铜线和绝缘铝线。架空线必须设置在专用电杆上；</w:t>
      </w:r>
    </w:p>
    <w:p w14:paraId="05FF7938">
      <w:pPr>
        <w:numPr>
          <w:ilvl w:val="0"/>
          <w:numId w:val="68"/>
        </w:numPr>
        <w:ind w:firstLineChars="0"/>
      </w:pPr>
      <w:r>
        <w:t>空线的接头、相序排列、档距、线间距离及横担的垂直距离和横担的选择及规格，严格执行规范规定；</w:t>
      </w:r>
    </w:p>
    <w:p w14:paraId="34D9FF55">
      <w:pPr>
        <w:numPr>
          <w:ilvl w:val="0"/>
          <w:numId w:val="68"/>
        </w:numPr>
        <w:ind w:firstLineChars="0"/>
      </w:pPr>
      <w:r>
        <w:t>动力配电箱与照明配电箱应分别设置，如合置在同一配电箱内，动力和照明线路应分路设置；</w:t>
      </w:r>
    </w:p>
    <w:p w14:paraId="2A253D3E">
      <w:pPr>
        <w:numPr>
          <w:ilvl w:val="0"/>
          <w:numId w:val="68"/>
        </w:numPr>
        <w:ind w:firstLineChars="0"/>
      </w:pPr>
      <w:r>
        <w:t>开关箱应由末级配电箱配电，配电箱、开关箱制作所用的材料、箱的规格设置要求及安装技术应按规范执行。配电箱、开关箱最好购合格的成品使用；</w:t>
      </w:r>
    </w:p>
    <w:p w14:paraId="71AB336F">
      <w:pPr>
        <w:numPr>
          <w:ilvl w:val="0"/>
          <w:numId w:val="68"/>
        </w:numPr>
        <w:ind w:firstLineChars="0"/>
      </w:pPr>
      <w:r>
        <w:t>配电箱、开关箱内的开关电器安装，绝缘要求和箱壳保护接零应按规范执行；</w:t>
      </w:r>
    </w:p>
    <w:p w14:paraId="4FE12734">
      <w:pPr>
        <w:numPr>
          <w:ilvl w:val="0"/>
          <w:numId w:val="68"/>
        </w:numPr>
        <w:ind w:firstLineChars="0"/>
      </w:pPr>
      <w:r>
        <w:t>严禁用同一个开关电器直接控制2台及2台以上用电设备（含插座）；</w:t>
      </w:r>
    </w:p>
    <w:p w14:paraId="0BA9D5BA">
      <w:pPr>
        <w:numPr>
          <w:ilvl w:val="0"/>
          <w:numId w:val="68"/>
        </w:numPr>
        <w:ind w:firstLineChars="0"/>
      </w:pPr>
      <w:r>
        <w:t>开关箱内必须装设漏电保护器，漏电保护器的选择应符合要求。漏电保护器的安装要求和额定漏电动作应符合规范要求；</w:t>
      </w:r>
    </w:p>
    <w:p w14:paraId="0D790043">
      <w:pPr>
        <w:numPr>
          <w:ilvl w:val="0"/>
          <w:numId w:val="68"/>
        </w:numPr>
        <w:ind w:firstLineChars="0"/>
      </w:pPr>
      <w:r>
        <w:t>配电箱和开关箱中两级漏电保护器的额定漏电动作时间作合理配合，使之具有分段保护的功能；</w:t>
      </w:r>
    </w:p>
    <w:p w14:paraId="760BCCF3">
      <w:pPr>
        <w:numPr>
          <w:ilvl w:val="0"/>
          <w:numId w:val="68"/>
        </w:numPr>
        <w:ind w:firstLineChars="0"/>
      </w:pPr>
      <w:r>
        <w:t>手动开关电器只许用于直接控制照明电器和容量不大于5.5kW动力电路。容量大于5.5kW的动力电路应采用自动开关电器或降压启动装置控制。各种开关电器的额定值与其控制用电设备的额定值相适应；</w:t>
      </w:r>
    </w:p>
    <w:p w14:paraId="3DC27279">
      <w:pPr>
        <w:numPr>
          <w:ilvl w:val="0"/>
          <w:numId w:val="68"/>
        </w:numPr>
        <w:ind w:firstLineChars="0"/>
      </w:pPr>
      <w:r>
        <w:t>对配电箱、开关箱进行检查、维修时，必须将其前一级相应的电源开关分闸断电，并悬挂停电检修标志牌，严禁带电作业；</w:t>
      </w:r>
    </w:p>
    <w:p w14:paraId="67AE70E2">
      <w:pPr>
        <w:numPr>
          <w:ilvl w:val="0"/>
          <w:numId w:val="68"/>
        </w:numPr>
        <w:ind w:firstLineChars="0"/>
      </w:pPr>
      <w:r>
        <w:t>移动的用电设备使用的电源线路，必须使用绝缘胶套管式电缆；</w:t>
      </w:r>
    </w:p>
    <w:p w14:paraId="2A2D81A5">
      <w:pPr>
        <w:numPr>
          <w:ilvl w:val="0"/>
          <w:numId w:val="68"/>
        </w:numPr>
        <w:ind w:firstLineChars="0"/>
      </w:pPr>
      <w:r>
        <w:t>用电设备和电气线路必须有保护接零；</w:t>
      </w:r>
    </w:p>
    <w:p w14:paraId="2ED34DDD">
      <w:pPr>
        <w:numPr>
          <w:ilvl w:val="0"/>
          <w:numId w:val="68"/>
        </w:numPr>
        <w:ind w:firstLineChars="0"/>
      </w:pPr>
      <w:r>
        <w:t>电动工具、机械设备有良好的接地装置，所用电源有可靠的触电保护器。阴雨天气及在潮湿部位工作所使用的电动工机具、机械、工作人员的劳保用品必须符合有关的要求；</w:t>
      </w:r>
    </w:p>
    <w:p w14:paraId="7B5EF697">
      <w:pPr>
        <w:numPr>
          <w:ilvl w:val="0"/>
          <w:numId w:val="68"/>
        </w:numPr>
        <w:ind w:firstLineChars="0"/>
      </w:pPr>
      <w:r>
        <w:t>严禁施工现场非正式电工乱接用电线和安装用电开关；</w:t>
      </w:r>
    </w:p>
    <w:p w14:paraId="052700DC">
      <w:pPr>
        <w:numPr>
          <w:ilvl w:val="0"/>
          <w:numId w:val="68"/>
        </w:numPr>
        <w:ind w:firstLineChars="0"/>
      </w:pPr>
      <w:r>
        <w:t>残缺绝缘盖的闸刀开关禁止使用，开关不得采用铜、铁、铝线作熔断保险丝；</w:t>
      </w:r>
    </w:p>
    <w:p w14:paraId="4458B118">
      <w:pPr>
        <w:numPr>
          <w:ilvl w:val="0"/>
          <w:numId w:val="68"/>
        </w:numPr>
        <w:ind w:firstLineChars="0"/>
      </w:pPr>
      <w:r>
        <w:t>在施工现场设置围栏、警示牌、夜间警示灯，以告示行人。</w:t>
      </w:r>
    </w:p>
    <w:p w14:paraId="2FD86324">
      <w:pPr>
        <w:pStyle w:val="4"/>
      </w:pPr>
      <w:r>
        <w:t>交叉作业安全措施</w:t>
      </w:r>
    </w:p>
    <w:p w14:paraId="1B6032FF">
      <w:pPr>
        <w:numPr>
          <w:ilvl w:val="0"/>
          <w:numId w:val="69"/>
        </w:numPr>
        <w:ind w:firstLineChars="0"/>
      </w:pPr>
      <w:r>
        <w:t>交叉作业要设安全栏杆、安全网、防护棚和示警围栏;夜间工作要有足够照明;</w:t>
      </w:r>
      <w:r>
        <w:rPr>
          <w:rFonts w:hint="eastAsia"/>
        </w:rPr>
        <w:t>高处作业</w:t>
      </w:r>
      <w:r>
        <w:t>施工人员必须体检合格</w:t>
      </w:r>
      <w:r>
        <w:rPr>
          <w:rFonts w:hint="eastAsia"/>
        </w:rPr>
        <w:t>，</w:t>
      </w:r>
      <w:r>
        <w:t>作业时须带安全帽，不准穿凉鞋、硬底鞋、塑料鞋及赤脚攀登</w:t>
      </w:r>
      <w:r>
        <w:rPr>
          <w:rFonts w:hint="eastAsia"/>
        </w:rPr>
        <w:t>；</w:t>
      </w:r>
      <w:r>
        <w:t>作业中不准将工具、材料上、下投掷,要用绳索绑牢后吊运;六级以上大风时不能施工工作；</w:t>
      </w:r>
    </w:p>
    <w:p w14:paraId="54912F16">
      <w:pPr>
        <w:numPr>
          <w:ilvl w:val="0"/>
          <w:numId w:val="69"/>
        </w:numPr>
        <w:ind w:firstLineChars="0"/>
      </w:pPr>
      <w:r>
        <w:t>在同一作业区域内进行起重吊装作业时</w:t>
      </w:r>
      <w:r>
        <w:rPr>
          <w:rFonts w:hint="eastAsia"/>
        </w:rPr>
        <w:t>；</w:t>
      </w:r>
      <w:r>
        <w:t>应充分考虑对各方工作的安全影响</w:t>
      </w:r>
      <w:r>
        <w:rPr>
          <w:rFonts w:hint="eastAsia"/>
        </w:rPr>
        <w:t>，</w:t>
      </w:r>
      <w:r>
        <w:t>制定起重吊装方案和安全措施。指派专业人员负责统一指挥</w:t>
      </w:r>
      <w:r>
        <w:rPr>
          <w:rFonts w:hint="eastAsia"/>
        </w:rPr>
        <w:t>，</w:t>
      </w:r>
      <w:r>
        <w:t>检查现场安全和措施符合要求后</w:t>
      </w:r>
      <w:r>
        <w:rPr>
          <w:rFonts w:hint="eastAsia"/>
        </w:rPr>
        <w:t>，</w:t>
      </w:r>
      <w:r>
        <w:t>方可进行起重吊装作业；</w:t>
      </w:r>
    </w:p>
    <w:p w14:paraId="60C83FA6">
      <w:pPr>
        <w:numPr>
          <w:ilvl w:val="0"/>
          <w:numId w:val="69"/>
        </w:numPr>
        <w:ind w:firstLineChars="0"/>
      </w:pPr>
      <w:r>
        <w:t>与起重作业无关的人员不准进入作业现场</w:t>
      </w:r>
      <w:r>
        <w:rPr>
          <w:rFonts w:hint="eastAsia"/>
        </w:rPr>
        <w:t>，</w:t>
      </w:r>
      <w:r>
        <w:t>吊物运行路线下方所有人员应无条件撤离</w:t>
      </w:r>
      <w:r>
        <w:rPr>
          <w:rFonts w:hint="eastAsia"/>
        </w:rPr>
        <w:t>；</w:t>
      </w:r>
      <w:r>
        <w:t>指挥人员站位应便于指挥和了望</w:t>
      </w:r>
      <w:r>
        <w:rPr>
          <w:rFonts w:hint="eastAsia"/>
        </w:rPr>
        <w:t>，</w:t>
      </w:r>
      <w:r>
        <w:t>不得与起吊路线交叉；</w:t>
      </w:r>
    </w:p>
    <w:p w14:paraId="7D3EA947">
      <w:pPr>
        <w:numPr>
          <w:ilvl w:val="0"/>
          <w:numId w:val="69"/>
        </w:numPr>
        <w:ind w:firstLineChars="0"/>
      </w:pPr>
      <w:r>
        <w:t>作业人员与被吊物体必须保持有效的安全距离。索具与吊物应捆绑牢固、采取防滑措施，吊钩应有安全装置</w:t>
      </w:r>
      <w:r>
        <w:rPr>
          <w:rFonts w:hint="eastAsia"/>
        </w:rPr>
        <w:t>；</w:t>
      </w:r>
      <w:r>
        <w:t>吊装作业前,起重指挥人员通知有关人员撤离</w:t>
      </w:r>
      <w:r>
        <w:rPr>
          <w:rFonts w:hint="eastAsia"/>
        </w:rPr>
        <w:t>，</w:t>
      </w:r>
      <w:r>
        <w:t>确认吊物下方及吊物行走路线范围无人员及障碍物，方可起吊；</w:t>
      </w:r>
    </w:p>
    <w:p w14:paraId="67F11129">
      <w:pPr>
        <w:numPr>
          <w:ilvl w:val="0"/>
          <w:numId w:val="69"/>
        </w:numPr>
        <w:ind w:firstLineChars="0"/>
      </w:pPr>
      <w:r>
        <w:t>在同一作业区域内进行焊接（动火）作业时</w:t>
      </w:r>
      <w:r>
        <w:rPr>
          <w:rFonts w:hint="eastAsia"/>
        </w:rPr>
        <w:t>；</w:t>
      </w:r>
      <w:r>
        <w:t>施工单位必须事先作好防护</w:t>
      </w:r>
      <w:r>
        <w:rPr>
          <w:rFonts w:hint="eastAsia"/>
        </w:rPr>
        <w:t>，</w:t>
      </w:r>
      <w:r>
        <w:t>并配备合格的消防灭火器材</w:t>
      </w:r>
      <w:r>
        <w:rPr>
          <w:rFonts w:hint="eastAsia"/>
        </w:rPr>
        <w:t>，</w:t>
      </w:r>
      <w:r>
        <w:t>消除现场易燃易爆物品。无法清除易燃物品时</w:t>
      </w:r>
      <w:r>
        <w:rPr>
          <w:rFonts w:hint="eastAsia"/>
        </w:rPr>
        <w:t>，</w:t>
      </w:r>
      <w:r>
        <w:t>应与焊接（动火）作业保持适当的安全距离并采取隔离和防护措施。</w:t>
      </w:r>
    </w:p>
    <w:p w14:paraId="74BBC8F9">
      <w:pPr>
        <w:pStyle w:val="3"/>
      </w:pPr>
      <w:bookmarkStart w:id="131" w:name="_Toc16519"/>
      <w:r>
        <w:rPr>
          <w:rFonts w:hint="eastAsia"/>
        </w:rPr>
        <w:t>监测监控措施</w:t>
      </w:r>
      <w:bookmarkEnd w:id="131"/>
    </w:p>
    <w:p w14:paraId="5B53E081">
      <w:pPr>
        <w:pStyle w:val="4"/>
      </w:pPr>
      <w:r>
        <w:rPr>
          <w:rFonts w:hint="eastAsia"/>
        </w:rPr>
        <w:tab/>
      </w:r>
      <w:r>
        <w:rPr>
          <w:rFonts w:hint="eastAsia"/>
        </w:rPr>
        <w:t>施工现场巡查</w:t>
      </w:r>
    </w:p>
    <w:p w14:paraId="3BD8A136">
      <w:pPr>
        <w:ind w:firstLine="480"/>
      </w:pPr>
      <w:r>
        <w:rPr>
          <w:rFonts w:hint="eastAsia"/>
        </w:rPr>
        <w:t>为了确保施工期间安全生产受控，必须对施工现场可能存在安全隐患的部位进行相应的检查与监控。</w:t>
      </w:r>
    </w:p>
    <w:p w14:paraId="00AD6120">
      <w:pPr>
        <w:ind w:firstLine="480"/>
      </w:pPr>
      <w:r>
        <w:rPr>
          <w:rFonts w:hint="eastAsia"/>
        </w:rPr>
        <w:t>（1）专职安全员每天对施工现场进行巡查，重点检查内容包括：</w:t>
      </w:r>
    </w:p>
    <w:p w14:paraId="1673A733">
      <w:pPr>
        <w:ind w:firstLine="480"/>
      </w:pPr>
      <w:r>
        <w:rPr>
          <w:rFonts w:hint="eastAsia"/>
        </w:rPr>
        <w:t>1）个人防护用品是否按照要求穿戴和使用，高处作业人员是否挂好安全带。</w:t>
      </w:r>
    </w:p>
    <w:p w14:paraId="6DE20733">
      <w:pPr>
        <w:ind w:firstLine="480"/>
      </w:pPr>
      <w:r>
        <w:rPr>
          <w:rFonts w:hint="eastAsia"/>
        </w:rPr>
        <w:t>2）特种作业人员是否持证上岗，并遵守相关安全操作规程。</w:t>
      </w:r>
    </w:p>
    <w:p w14:paraId="133B134C">
      <w:pPr>
        <w:ind w:firstLine="480"/>
      </w:pPr>
      <w:r>
        <w:rPr>
          <w:rFonts w:hint="eastAsia"/>
        </w:rPr>
        <w:t>3）临时用电线路布设是否满足安全要求，消防器材是否齐全有效。</w:t>
      </w:r>
    </w:p>
    <w:p w14:paraId="5C600BB8">
      <w:pPr>
        <w:ind w:firstLine="480"/>
      </w:pPr>
      <w:r>
        <w:rPr>
          <w:rFonts w:hint="eastAsia"/>
        </w:rPr>
        <w:t>4）氧气、乙炔气瓶是否满足安全距离要求，压力表、防回火阀、气管等是否齐全有效。氧气、乙炔气瓶压力表必须保证完好有效，有破损的及时更换。乙炔气瓶必须配备防回火阀，且不得漏气，气管须完好有效，有明显老化、破裂、漏气等必须及时维修更换。</w:t>
      </w:r>
    </w:p>
    <w:p w14:paraId="6BAE8C20">
      <w:pPr>
        <w:ind w:firstLine="480"/>
      </w:pPr>
      <w:r>
        <w:rPr>
          <w:rFonts w:hint="eastAsia"/>
        </w:rPr>
        <w:t>5）其他需要巡查、检查的部位及检查内容。</w:t>
      </w:r>
    </w:p>
    <w:p w14:paraId="22429240">
      <w:pPr>
        <w:ind w:firstLine="480"/>
      </w:pPr>
      <w:r>
        <w:rPr>
          <w:rFonts w:hint="eastAsia"/>
        </w:rPr>
        <w:t>（2）项目部设备管理员每天对施工升降机安拆施工现场使用的设备进行巡查。定期进行设备维修保养，做好设备维修保养记录。</w:t>
      </w:r>
    </w:p>
    <w:p w14:paraId="6EF16701">
      <w:pPr>
        <w:ind w:firstLine="480"/>
      </w:pPr>
      <w:r>
        <w:rPr>
          <w:rFonts w:hint="eastAsia"/>
        </w:rPr>
        <w:t>（3）专职电工每日检查施工现场“三级用电，二级保护”、“一机、一闸、一箱、一漏”等临时用电安全要求落实情况，尤其常见的用电线路未按三级用电布设、线路破损、漏保失效等用电隐患在发现后必须立即整改到位。</w:t>
      </w:r>
    </w:p>
    <w:p w14:paraId="3E0995B0">
      <w:pPr>
        <w:ind w:firstLine="480"/>
      </w:pPr>
      <w:r>
        <w:rPr>
          <w:rFonts w:hint="eastAsia"/>
        </w:rPr>
        <w:t>（4）施工期间组织专项检查、月度检查，尤其是关键部位的验收检查，各部门应积极参与，并留下检查验收记录。</w:t>
      </w:r>
    </w:p>
    <w:p w14:paraId="10C05263">
      <w:pPr>
        <w:pStyle w:val="4"/>
      </w:pPr>
      <w:r>
        <w:rPr>
          <w:rFonts w:hint="eastAsia"/>
        </w:rPr>
        <w:t>起重吊装操作监测</w:t>
      </w:r>
    </w:p>
    <w:p w14:paraId="3D256473">
      <w:pPr>
        <w:pStyle w:val="70"/>
        <w:numPr>
          <w:ilvl w:val="0"/>
          <w:numId w:val="70"/>
        </w:numPr>
        <w:ind w:firstLineChars="0"/>
      </w:pPr>
      <w:r>
        <w:rPr>
          <w:rFonts w:hint="eastAsia"/>
        </w:rPr>
        <w:t>施工期间对塔吊及起重工索具进行经常性的检查，确保起重设备和工索具状态完好、各构件连接满足要求。</w:t>
      </w:r>
    </w:p>
    <w:p w14:paraId="5E8B6A5D">
      <w:pPr>
        <w:pStyle w:val="70"/>
        <w:numPr>
          <w:ilvl w:val="0"/>
          <w:numId w:val="70"/>
        </w:numPr>
        <w:ind w:firstLineChars="0"/>
      </w:pPr>
      <w:r>
        <w:rPr>
          <w:rFonts w:hint="eastAsia"/>
        </w:rPr>
        <w:t>安全生产管理人员每日对施工现场进行巡视时，应检查起重设备使用情况，包括：各种安全防护装置齐全完好，起重吊装过程有专人指挥，起重司机、司索、指挥各司其职，起重吊装过程中严格遵守操作规程，防止塔吊倾覆、钢丝绳断裂、脱钩等引发安全事故。</w:t>
      </w:r>
    </w:p>
    <w:p w14:paraId="257C62C7">
      <w:pPr>
        <w:pStyle w:val="70"/>
        <w:numPr>
          <w:ilvl w:val="0"/>
          <w:numId w:val="70"/>
        </w:numPr>
        <w:ind w:firstLineChars="0"/>
      </w:pPr>
      <w:r>
        <w:rPr>
          <w:rFonts w:hint="eastAsia"/>
        </w:rPr>
        <w:t>每班作业前，起重机司机应对塔吊的吊钩、钢丝绳及安全装置进行检查，各机构进行空载运转，发现不正常时，应予排除。塔吊基础需根据设计图纸要求进行监控检测。</w:t>
      </w:r>
    </w:p>
    <w:p w14:paraId="2FE642D6">
      <w:pPr>
        <w:pStyle w:val="4"/>
      </w:pPr>
      <w:r>
        <w:rPr>
          <w:rFonts w:hint="eastAsia"/>
        </w:rPr>
        <w:t>基础监测</w:t>
      </w:r>
    </w:p>
    <w:p w14:paraId="2F9EDDB7">
      <w:pPr>
        <w:pStyle w:val="70"/>
        <w:numPr>
          <w:ilvl w:val="0"/>
          <w:numId w:val="71"/>
        </w:numPr>
        <w:ind w:firstLineChars="0"/>
      </w:pPr>
      <w:r>
        <w:rPr>
          <w:rFonts w:hint="eastAsia"/>
        </w:rPr>
        <w:t>施工期间要对升降机导轨架基础以及吊笼搁置基础进行经常性检查，确保型钢基础的稳固满足要求。</w:t>
      </w:r>
    </w:p>
    <w:p w14:paraId="7CAC8460">
      <w:pPr>
        <w:pStyle w:val="70"/>
        <w:numPr>
          <w:ilvl w:val="0"/>
          <w:numId w:val="71"/>
        </w:numPr>
        <w:ind w:firstLineChars="0"/>
      </w:pPr>
      <w:r>
        <w:rPr>
          <w:rFonts w:hint="eastAsia"/>
        </w:rPr>
        <w:t>安全生产管理人员每日对施工现场进行巡视时，要检查型钢基础是否有变形，是否有移位，施工平台顶面是否有变形，型钢基础的焊接焊缝是否有裂纹等，并留下检查验收记录。</w:t>
      </w:r>
    </w:p>
    <w:p w14:paraId="015F6159">
      <w:pPr>
        <w:pStyle w:val="4"/>
      </w:pPr>
      <w:r>
        <w:rPr>
          <w:rFonts w:hint="eastAsia"/>
        </w:rPr>
        <w:t>导轨架监测</w:t>
      </w:r>
    </w:p>
    <w:p w14:paraId="43263A38">
      <w:pPr>
        <w:pStyle w:val="70"/>
        <w:numPr>
          <w:ilvl w:val="0"/>
          <w:numId w:val="72"/>
        </w:numPr>
        <w:ind w:firstLineChars="0"/>
      </w:pPr>
      <w:r>
        <w:rPr>
          <w:rFonts w:hint="eastAsia"/>
        </w:rPr>
        <w:t>施工期间要对升降机导轨架进行经常性检查及监测，确保导轨架的安全可靠。</w:t>
      </w:r>
    </w:p>
    <w:p w14:paraId="325640C6">
      <w:pPr>
        <w:pStyle w:val="70"/>
        <w:numPr>
          <w:ilvl w:val="0"/>
          <w:numId w:val="72"/>
        </w:numPr>
        <w:ind w:firstLineChars="0"/>
      </w:pPr>
      <w:r>
        <w:rPr>
          <w:rFonts w:hint="eastAsia"/>
        </w:rPr>
        <w:t>测量人员每周对升降机的导轨架进行测量监测，主要对导轨架的倾斜角度、附墙杆件的水平度进行监控量测并留下检查验收记录。</w:t>
      </w:r>
    </w:p>
    <w:p w14:paraId="2F14146F">
      <w:pPr>
        <w:pStyle w:val="70"/>
        <w:numPr>
          <w:ilvl w:val="0"/>
          <w:numId w:val="72"/>
        </w:numPr>
        <w:ind w:firstLineChars="0"/>
      </w:pPr>
      <w:r>
        <w:rPr>
          <w:rFonts w:hint="eastAsia"/>
        </w:rPr>
        <w:t>导轨架每加高10m左右，应用经纬仪或其它检测仪器在二个垂直方向上检查一次导轨架的垂直度，导轨架安装垂直度偏差要求如表6.4-1所示，一旦发现超差应及时加以调整。</w:t>
      </w:r>
    </w:p>
    <w:p w14:paraId="5083DA58">
      <w:pPr>
        <w:pStyle w:val="15"/>
      </w:pPr>
      <w:r>
        <w:rPr>
          <w:rFonts w:hint="eastAsia"/>
        </w:rPr>
        <w:t>表6.4-1垂直度偏差值</w:t>
      </w:r>
    </w:p>
    <w:tbl>
      <w:tblPr>
        <w:tblStyle w:val="1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027"/>
        <w:gridCol w:w="2632"/>
        <w:gridCol w:w="878"/>
        <w:gridCol w:w="1021"/>
        <w:gridCol w:w="1023"/>
        <w:gridCol w:w="941"/>
      </w:tblGrid>
      <w:tr w14:paraId="660E81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shd w:val="clear" w:color="auto" w:fill="auto"/>
            <w:vAlign w:val="center"/>
          </w:tcPr>
          <w:p w14:paraId="653B0886">
            <w:pPr>
              <w:pStyle w:val="16"/>
              <w:rPr>
                <w:b/>
              </w:rPr>
            </w:pPr>
            <w:r>
              <w:rPr>
                <w:rFonts w:hint="eastAsia"/>
                <w:b/>
              </w:rPr>
              <w:t>导轨架高度（m）</w:t>
            </w:r>
          </w:p>
        </w:tc>
        <w:tc>
          <w:tcPr>
            <w:tcW w:w="1544" w:type="pct"/>
            <w:shd w:val="clear" w:color="auto" w:fill="auto"/>
            <w:vAlign w:val="center"/>
          </w:tcPr>
          <w:p w14:paraId="24C2F46B">
            <w:pPr>
              <w:pStyle w:val="16"/>
              <w:rPr>
                <w:b/>
              </w:rPr>
            </w:pPr>
            <w:r>
              <w:rPr>
                <w:rFonts w:hint="eastAsia"/>
                <w:b/>
              </w:rPr>
              <w:t>h≤7</w:t>
            </w:r>
            <w:r>
              <w:rPr>
                <w:b/>
              </w:rPr>
              <w:t>0</w:t>
            </w:r>
          </w:p>
        </w:tc>
        <w:tc>
          <w:tcPr>
            <w:tcW w:w="515" w:type="pct"/>
            <w:shd w:val="clear" w:color="auto" w:fill="auto"/>
            <w:vAlign w:val="center"/>
          </w:tcPr>
          <w:p w14:paraId="66276A63">
            <w:pPr>
              <w:pStyle w:val="16"/>
              <w:rPr>
                <w:b/>
              </w:rPr>
            </w:pPr>
            <w:r>
              <w:rPr>
                <w:rFonts w:hint="eastAsia"/>
                <w:b/>
              </w:rPr>
              <w:t>7</w:t>
            </w:r>
            <w:r>
              <w:rPr>
                <w:b/>
              </w:rPr>
              <w:t>0</w:t>
            </w:r>
            <w:r>
              <w:rPr>
                <w:rFonts w:hint="eastAsia"/>
                <w:b/>
              </w:rPr>
              <w:t>＜h≤</w:t>
            </w:r>
            <w:r>
              <w:rPr>
                <w:b/>
              </w:rPr>
              <w:t>100</w:t>
            </w:r>
          </w:p>
        </w:tc>
        <w:tc>
          <w:tcPr>
            <w:tcW w:w="599" w:type="pct"/>
            <w:shd w:val="clear" w:color="auto" w:fill="auto"/>
            <w:vAlign w:val="center"/>
          </w:tcPr>
          <w:p w14:paraId="112936AD">
            <w:pPr>
              <w:pStyle w:val="16"/>
              <w:rPr>
                <w:b/>
              </w:rPr>
            </w:pPr>
            <w:r>
              <w:rPr>
                <w:b/>
              </w:rPr>
              <w:t>100</w:t>
            </w:r>
            <w:r>
              <w:rPr>
                <w:rFonts w:hint="eastAsia"/>
                <w:b/>
              </w:rPr>
              <w:t>＜h≤</w:t>
            </w:r>
            <w:r>
              <w:rPr>
                <w:b/>
              </w:rPr>
              <w:t>150</w:t>
            </w:r>
          </w:p>
        </w:tc>
        <w:tc>
          <w:tcPr>
            <w:tcW w:w="600" w:type="pct"/>
            <w:shd w:val="clear" w:color="auto" w:fill="auto"/>
            <w:vAlign w:val="center"/>
          </w:tcPr>
          <w:p w14:paraId="75235519">
            <w:pPr>
              <w:pStyle w:val="16"/>
              <w:rPr>
                <w:b/>
              </w:rPr>
            </w:pPr>
            <w:r>
              <w:rPr>
                <w:b/>
              </w:rPr>
              <w:t>150</w:t>
            </w:r>
            <w:r>
              <w:rPr>
                <w:rFonts w:hint="eastAsia"/>
                <w:b/>
              </w:rPr>
              <w:t>＜h≤</w:t>
            </w:r>
            <w:r>
              <w:rPr>
                <w:b/>
              </w:rPr>
              <w:t>200</w:t>
            </w:r>
          </w:p>
        </w:tc>
        <w:tc>
          <w:tcPr>
            <w:tcW w:w="552" w:type="pct"/>
            <w:shd w:val="clear" w:color="auto" w:fill="auto"/>
            <w:vAlign w:val="center"/>
          </w:tcPr>
          <w:p w14:paraId="6784A082">
            <w:pPr>
              <w:pStyle w:val="16"/>
              <w:rPr>
                <w:b/>
              </w:rPr>
            </w:pPr>
            <w:r>
              <w:rPr>
                <w:rFonts w:hint="eastAsia"/>
                <w:b/>
              </w:rPr>
              <w:t>h＞2</w:t>
            </w:r>
            <w:r>
              <w:rPr>
                <w:b/>
              </w:rPr>
              <w:t>00</w:t>
            </w:r>
          </w:p>
        </w:tc>
      </w:tr>
      <w:tr w14:paraId="5F4DF5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190" w:type="pct"/>
            <w:shd w:val="clear" w:color="auto" w:fill="auto"/>
            <w:vAlign w:val="center"/>
          </w:tcPr>
          <w:p w14:paraId="559C489A">
            <w:pPr>
              <w:pStyle w:val="16"/>
            </w:pPr>
            <w:r>
              <w:rPr>
                <w:rFonts w:hint="eastAsia"/>
              </w:rPr>
              <w:t>垂直度偏差值（mm）</w:t>
            </w:r>
          </w:p>
        </w:tc>
        <w:tc>
          <w:tcPr>
            <w:tcW w:w="1544" w:type="pct"/>
            <w:shd w:val="clear" w:color="auto" w:fill="auto"/>
            <w:vAlign w:val="center"/>
          </w:tcPr>
          <w:p w14:paraId="679A296A">
            <w:pPr>
              <w:pStyle w:val="16"/>
            </w:pPr>
            <w:r>
              <w:rPr>
                <w:rFonts w:hint="eastAsia"/>
              </w:rPr>
              <w:t>不大于导轨架架设高度的0</w:t>
            </w:r>
            <w:r>
              <w:t>.5/1000</w:t>
            </w:r>
          </w:p>
        </w:tc>
        <w:tc>
          <w:tcPr>
            <w:tcW w:w="515" w:type="pct"/>
            <w:shd w:val="clear" w:color="auto" w:fill="auto"/>
            <w:vAlign w:val="center"/>
          </w:tcPr>
          <w:p w14:paraId="2033AFCF">
            <w:pPr>
              <w:pStyle w:val="16"/>
            </w:pPr>
            <w:r>
              <w:rPr>
                <w:rFonts w:hint="eastAsia"/>
              </w:rPr>
              <w:t>≤3</w:t>
            </w:r>
            <w:r>
              <w:t>5</w:t>
            </w:r>
          </w:p>
        </w:tc>
        <w:tc>
          <w:tcPr>
            <w:tcW w:w="599" w:type="pct"/>
            <w:shd w:val="clear" w:color="auto" w:fill="auto"/>
            <w:vAlign w:val="center"/>
          </w:tcPr>
          <w:p w14:paraId="79EC6C0A">
            <w:pPr>
              <w:pStyle w:val="16"/>
            </w:pPr>
            <w:r>
              <w:rPr>
                <w:rFonts w:hint="eastAsia"/>
              </w:rPr>
              <w:t>≤4</w:t>
            </w:r>
            <w:r>
              <w:t>0</w:t>
            </w:r>
          </w:p>
        </w:tc>
        <w:tc>
          <w:tcPr>
            <w:tcW w:w="600" w:type="pct"/>
            <w:shd w:val="clear" w:color="auto" w:fill="auto"/>
            <w:vAlign w:val="center"/>
          </w:tcPr>
          <w:p w14:paraId="7DF9C5A6">
            <w:pPr>
              <w:pStyle w:val="16"/>
            </w:pPr>
            <w:r>
              <w:rPr>
                <w:rFonts w:hint="eastAsia"/>
              </w:rPr>
              <w:t>≤4</w:t>
            </w:r>
            <w:r>
              <w:t>5</w:t>
            </w:r>
          </w:p>
        </w:tc>
        <w:tc>
          <w:tcPr>
            <w:tcW w:w="552" w:type="pct"/>
            <w:shd w:val="clear" w:color="auto" w:fill="auto"/>
            <w:vAlign w:val="center"/>
          </w:tcPr>
          <w:p w14:paraId="7220619F">
            <w:pPr>
              <w:pStyle w:val="16"/>
            </w:pPr>
            <w:r>
              <w:rPr>
                <w:rFonts w:hint="eastAsia"/>
              </w:rPr>
              <w:t>≤5</w:t>
            </w:r>
            <w:r>
              <w:t>0</w:t>
            </w:r>
          </w:p>
        </w:tc>
      </w:tr>
    </w:tbl>
    <w:p w14:paraId="63AF8F2A">
      <w:pPr>
        <w:pStyle w:val="70"/>
        <w:numPr>
          <w:ilvl w:val="0"/>
          <w:numId w:val="72"/>
        </w:numPr>
        <w:ind w:firstLineChars="0"/>
      </w:pPr>
      <w:r>
        <w:rPr>
          <w:rFonts w:hint="eastAsia"/>
        </w:rPr>
        <w:t>施工升降机附着安装水平角度应不大于正负8度。</w:t>
      </w:r>
    </w:p>
    <w:p w14:paraId="1E82D669">
      <w:pPr>
        <w:pStyle w:val="3"/>
      </w:pPr>
      <w:bookmarkStart w:id="132" w:name="_Toc19668"/>
      <w:r>
        <w:rPr>
          <w:rFonts w:hint="eastAsia"/>
        </w:rPr>
        <w:t>特殊季节保证措施</w:t>
      </w:r>
      <w:bookmarkEnd w:id="132"/>
    </w:p>
    <w:p w14:paraId="2485985F">
      <w:pPr>
        <w:pStyle w:val="4"/>
      </w:pPr>
      <w:r>
        <w:rPr>
          <w:rFonts w:hint="eastAsia"/>
        </w:rPr>
        <w:t>雨季施工保证措施</w:t>
      </w:r>
    </w:p>
    <w:p w14:paraId="34334D27">
      <w:pPr>
        <w:pStyle w:val="70"/>
        <w:numPr>
          <w:ilvl w:val="0"/>
          <w:numId w:val="73"/>
        </w:numPr>
        <w:ind w:firstLineChars="0"/>
      </w:pPr>
      <w:r>
        <w:rPr>
          <w:rFonts w:hint="eastAsia"/>
        </w:rPr>
        <w:t>明确目标，建立制度，完善管理，落实责任，并及时上报处理汛期发生的各种质量和安全隐患，并严格按“四不放过”原则加强安全隐患的排查处理，防微杜渐，坚决减少汛期对工程建设质量和进度的影响，坚决预防、杜绝重特大安全事故发生。</w:t>
      </w:r>
    </w:p>
    <w:p w14:paraId="2F23A670">
      <w:pPr>
        <w:pStyle w:val="70"/>
        <w:numPr>
          <w:ilvl w:val="0"/>
          <w:numId w:val="73"/>
        </w:numPr>
        <w:ind w:firstLineChars="0"/>
      </w:pPr>
      <w:r>
        <w:rPr>
          <w:rFonts w:hint="eastAsia"/>
        </w:rPr>
        <w:t>制定雨季施工安全预案，做好防洪抢险的准备工作，高度重视雨季施工，把汛期施工作为安全生产的一项重要内容进行考核，制定汛期施工方案和相应的应急预案，落实防汛材料和设备，责任到人，确保不发生安全事故。</w:t>
      </w:r>
    </w:p>
    <w:p w14:paraId="05B4E54B">
      <w:pPr>
        <w:pStyle w:val="70"/>
        <w:numPr>
          <w:ilvl w:val="0"/>
          <w:numId w:val="73"/>
        </w:numPr>
        <w:ind w:firstLineChars="0"/>
      </w:pPr>
      <w:r>
        <w:rPr>
          <w:rFonts w:hint="eastAsia"/>
        </w:rPr>
        <w:t>雨季施工要提前准备必要的防洪抢险器材、机具及遮盖材料，对水泥、钢材等工程材料要有防雨防潮、对施工机械应有防止洪水淹没等措施，确保突发洪水时能有足够的人力、物力进行抗洪抢险，避免洪水造成较大的损失。</w:t>
      </w:r>
    </w:p>
    <w:p w14:paraId="07CD101E">
      <w:pPr>
        <w:pStyle w:val="70"/>
        <w:numPr>
          <w:ilvl w:val="0"/>
          <w:numId w:val="73"/>
        </w:numPr>
        <w:ind w:firstLineChars="0"/>
      </w:pPr>
      <w:r>
        <w:rPr>
          <w:rFonts w:hint="eastAsia"/>
        </w:rPr>
        <w:t>施工场地和生活区要设置排水设施；施工现场应及时排除积水，并采取防滑措施。同时制定安全用电规程，严防漏电、触电；雷区应有防雷措施。</w:t>
      </w:r>
    </w:p>
    <w:p w14:paraId="60F00645">
      <w:pPr>
        <w:pStyle w:val="70"/>
        <w:numPr>
          <w:ilvl w:val="0"/>
          <w:numId w:val="73"/>
        </w:numPr>
        <w:ind w:firstLineChars="0"/>
      </w:pPr>
      <w:r>
        <w:rPr>
          <w:rFonts w:hint="eastAsia"/>
        </w:rPr>
        <w:t>雨季施工要避开大风大雨天气，遇暴风雨或受洪水危害时要停止施工作业。</w:t>
      </w:r>
    </w:p>
    <w:p w14:paraId="732D67D2">
      <w:pPr>
        <w:pStyle w:val="70"/>
        <w:numPr>
          <w:ilvl w:val="0"/>
          <w:numId w:val="73"/>
        </w:numPr>
        <w:ind w:firstLineChars="0"/>
      </w:pPr>
      <w:r>
        <w:rPr>
          <w:rFonts w:hint="eastAsia"/>
        </w:rPr>
        <w:t>加强与气象部门的沟通，提前掌握天气变化趋势，对可能到来的大范围强降水要早知道、早预防、早准备，做到有备无患，最大程度地减小对施工的影响。</w:t>
      </w:r>
    </w:p>
    <w:p w14:paraId="2FF4CC91">
      <w:pPr>
        <w:pStyle w:val="70"/>
        <w:numPr>
          <w:ilvl w:val="0"/>
          <w:numId w:val="73"/>
        </w:numPr>
        <w:ind w:firstLineChars="0"/>
      </w:pPr>
      <w:r>
        <w:rPr>
          <w:rFonts w:hint="eastAsia"/>
        </w:rPr>
        <w:t>施工现场的运输道路、生产生活房屋、变电所、发电机房、易燃易爆仓库、材料堆放以及动力通讯线路等重要、重点部位，要有专人值守和巡视，发现隐患要及时处理或上报。</w:t>
      </w:r>
    </w:p>
    <w:p w14:paraId="5D589218">
      <w:pPr>
        <w:pStyle w:val="70"/>
        <w:numPr>
          <w:ilvl w:val="0"/>
          <w:numId w:val="73"/>
        </w:numPr>
        <w:ind w:firstLineChars="0"/>
      </w:pPr>
      <w:r>
        <w:rPr>
          <w:rFonts w:hint="eastAsia"/>
        </w:rPr>
        <w:t>如发生雨天浇筑混凝土的情况，要保证现场有足够的覆盖材料，及时覆盖。并预先设置施工缝，以便雨天能够及停止浇注。同时加强坍落度检测，保证混凝土强度。</w:t>
      </w:r>
    </w:p>
    <w:p w14:paraId="29E97E22">
      <w:pPr>
        <w:pStyle w:val="70"/>
        <w:numPr>
          <w:ilvl w:val="0"/>
          <w:numId w:val="73"/>
        </w:numPr>
        <w:ind w:firstLineChars="0"/>
      </w:pPr>
      <w:r>
        <w:rPr>
          <w:rFonts w:hint="eastAsia"/>
        </w:rPr>
        <w:t>注意安全用电，以防止漏电、触电。加强施工用电安全防护工作，机电设备的电闸箱采取防雨、防潮等措施，并安装好接地保护装置。</w:t>
      </w:r>
    </w:p>
    <w:p w14:paraId="7D98A8E7">
      <w:pPr>
        <w:pStyle w:val="70"/>
        <w:numPr>
          <w:ilvl w:val="0"/>
          <w:numId w:val="73"/>
        </w:numPr>
        <w:ind w:firstLineChars="0"/>
      </w:pPr>
      <w:r>
        <w:rPr>
          <w:rFonts w:hint="eastAsia"/>
        </w:rPr>
        <w:t>现场钢筋原材堆场要有良好的排水设施，钢筋原材堆放要用枕木垫起，以防止钢筋泡水生锈，在下雨前，要对所有钢筋原材、半成品钢筋加以覆盖，避免雨淋。</w:t>
      </w:r>
    </w:p>
    <w:p w14:paraId="64949BDA">
      <w:pPr>
        <w:pStyle w:val="70"/>
        <w:numPr>
          <w:ilvl w:val="0"/>
          <w:numId w:val="73"/>
        </w:numPr>
        <w:ind w:firstLineChars="0"/>
      </w:pPr>
      <w:r>
        <w:rPr>
          <w:rFonts w:hint="eastAsia"/>
        </w:rPr>
        <w:t>当钢筋受雨淋而生锈时，应进行除锈处理后才能使用到工程中。若钢筋锈蚀严重，当视情况进行退场处理或降级使用。</w:t>
      </w:r>
    </w:p>
    <w:p w14:paraId="342BF6CD">
      <w:pPr>
        <w:pStyle w:val="70"/>
        <w:numPr>
          <w:ilvl w:val="0"/>
          <w:numId w:val="73"/>
        </w:numPr>
        <w:ind w:firstLineChars="0"/>
      </w:pPr>
      <w:r>
        <w:rPr>
          <w:rFonts w:hint="eastAsia"/>
        </w:rPr>
        <w:t>在雨季施工期间，项目所有员工均要配备雨鞋、雨衣。员工在雨天进行施工时，必须要穿好雨衣、雨鞋，防止因淋雨而生病。</w:t>
      </w:r>
    </w:p>
    <w:p w14:paraId="15A7F2F0">
      <w:pPr>
        <w:pStyle w:val="70"/>
        <w:numPr>
          <w:ilvl w:val="0"/>
          <w:numId w:val="73"/>
        </w:numPr>
        <w:ind w:firstLineChars="0"/>
      </w:pPr>
      <w:r>
        <w:rPr>
          <w:rFonts w:hint="eastAsia"/>
        </w:rPr>
        <w:t>雨天不要进行钢筋焊接作业，预防施工漏电及雷电对人身安全造成伤害。</w:t>
      </w:r>
    </w:p>
    <w:p w14:paraId="671F9A35">
      <w:pPr>
        <w:pStyle w:val="4"/>
      </w:pPr>
      <w:r>
        <w:rPr>
          <w:rFonts w:hint="eastAsia"/>
        </w:rPr>
        <w:t>大风天气施工保证措施</w:t>
      </w:r>
    </w:p>
    <w:p w14:paraId="426BC5DC">
      <w:pPr>
        <w:pStyle w:val="70"/>
        <w:numPr>
          <w:ilvl w:val="0"/>
          <w:numId w:val="74"/>
        </w:numPr>
        <w:ind w:firstLineChars="0"/>
      </w:pPr>
      <w:r>
        <w:rPr>
          <w:rFonts w:hint="eastAsia"/>
        </w:rPr>
        <w:t>加强当地气象网站的监听，随时通告有关大风信息，起重吊装作业要求在风力六级以下施工。</w:t>
      </w:r>
    </w:p>
    <w:p w14:paraId="3B926443">
      <w:pPr>
        <w:pStyle w:val="70"/>
        <w:numPr>
          <w:ilvl w:val="0"/>
          <w:numId w:val="74"/>
        </w:numPr>
        <w:ind w:firstLineChars="0"/>
      </w:pPr>
      <w:r>
        <w:rPr>
          <w:rFonts w:hint="eastAsia"/>
        </w:rPr>
        <w:t>若遇六级以上大风时，及时停止起重吊装作业，并采取有效的防风措施。</w:t>
      </w:r>
    </w:p>
    <w:p w14:paraId="7A1D21EC">
      <w:pPr>
        <w:pStyle w:val="70"/>
        <w:numPr>
          <w:ilvl w:val="0"/>
          <w:numId w:val="74"/>
        </w:numPr>
        <w:ind w:firstLineChars="0"/>
      </w:pPr>
      <w:r>
        <w:rPr>
          <w:rFonts w:hint="eastAsia"/>
        </w:rPr>
        <w:t>针对季风期内突发风以及大风等天气，对现场机械设备、临时设施采取加固措施。</w:t>
      </w:r>
    </w:p>
    <w:p w14:paraId="4AAB54CB">
      <w:pPr>
        <w:pStyle w:val="70"/>
        <w:numPr>
          <w:ilvl w:val="0"/>
          <w:numId w:val="74"/>
        </w:numPr>
        <w:ind w:firstLineChars="0"/>
      </w:pPr>
      <w:r>
        <w:rPr>
          <w:rFonts w:hint="eastAsia"/>
        </w:rPr>
        <w:t>季风期施工时，将作业平台上小型物件及不稳定物体进行绑牢、安装稳定，防止物件掉落。</w:t>
      </w:r>
    </w:p>
    <w:p w14:paraId="29E0C58A">
      <w:pPr>
        <w:pStyle w:val="70"/>
        <w:numPr>
          <w:ilvl w:val="0"/>
          <w:numId w:val="74"/>
        </w:numPr>
        <w:ind w:firstLineChars="0"/>
      </w:pPr>
      <w:r>
        <w:rPr>
          <w:rFonts w:hint="eastAsia"/>
        </w:rPr>
        <w:t>积极与当地相关部门联系，服从其统一领导和调度，努力配合工作。</w:t>
      </w:r>
    </w:p>
    <w:p w14:paraId="2F071826">
      <w:pPr>
        <w:pStyle w:val="70"/>
        <w:numPr>
          <w:ilvl w:val="0"/>
          <w:numId w:val="74"/>
        </w:numPr>
        <w:ind w:firstLineChars="0"/>
      </w:pPr>
      <w:r>
        <w:rPr>
          <w:rFonts w:hint="eastAsia"/>
        </w:rPr>
        <w:t>有关人员配备通讯设备（如对讲机），加强联系，互通情况。</w:t>
      </w:r>
    </w:p>
    <w:bookmarkEnd w:id="125"/>
    <w:bookmarkEnd w:id="126"/>
    <w:bookmarkEnd w:id="127"/>
    <w:bookmarkEnd w:id="128"/>
    <w:bookmarkEnd w:id="129"/>
    <w:bookmarkEnd w:id="130"/>
    <w:p w14:paraId="1C684A52">
      <w:pPr>
        <w:ind w:firstLine="0" w:firstLineChars="0"/>
      </w:pPr>
      <w:bookmarkStart w:id="133" w:name="_Toc40778447"/>
      <w:bookmarkStart w:id="134" w:name="_Toc5858"/>
      <w:bookmarkStart w:id="135" w:name="_Toc2870"/>
      <w:r>
        <w:rPr>
          <w:color w:val="000000" w:themeColor="text1"/>
          <w14:textFill>
            <w14:solidFill>
              <w14:schemeClr w14:val="tx1"/>
            </w14:solidFill>
          </w14:textFill>
        </w:rPr>
        <w:br w:type="page"/>
      </w:r>
    </w:p>
    <w:p w14:paraId="4CA60BF3">
      <w:pPr>
        <w:pStyle w:val="2"/>
      </w:pPr>
      <w:bookmarkStart w:id="136" w:name="_Toc25567"/>
      <w:r>
        <w:rPr>
          <w:rFonts w:hint="eastAsia"/>
        </w:rPr>
        <w:t>施工管理及作业人员配备和分工</w:t>
      </w:r>
      <w:bookmarkEnd w:id="133"/>
      <w:bookmarkEnd w:id="134"/>
      <w:bookmarkEnd w:id="135"/>
      <w:bookmarkEnd w:id="136"/>
    </w:p>
    <w:p w14:paraId="73C2E2AD">
      <w:pPr>
        <w:pStyle w:val="3"/>
      </w:pPr>
      <w:bookmarkStart w:id="137" w:name="_Toc15062"/>
      <w:r>
        <w:rPr>
          <w:rFonts w:hint="eastAsia"/>
        </w:rPr>
        <w:t>施工管理人员配备和分工</w:t>
      </w:r>
      <w:bookmarkEnd w:id="137"/>
    </w:p>
    <w:p w14:paraId="721EFCB3">
      <w:pPr>
        <w:ind w:firstLine="480"/>
      </w:pPr>
      <w:r>
        <w:rPr>
          <w:rFonts w:hint="eastAsia"/>
        </w:rPr>
        <w:t>施工管理人员配备和分工表如</w:t>
      </w:r>
      <w:r>
        <w:fldChar w:fldCharType="begin"/>
      </w:r>
      <w:r>
        <w:instrText xml:space="preserve"> </w:instrText>
      </w:r>
      <w:r>
        <w:rPr>
          <w:rFonts w:hint="eastAsia"/>
        </w:rPr>
        <w:instrText xml:space="preserve">REF _Ref123648866 \h</w:instrText>
      </w:r>
      <w:r>
        <w:instrText xml:space="preserve"> </w:instrText>
      </w:r>
      <w:r>
        <w:fldChar w:fldCharType="separate"/>
      </w:r>
      <w:r>
        <w:rPr>
          <w:rFonts w:hint="eastAsia"/>
        </w:rPr>
        <w:t>表</w:t>
      </w:r>
      <w:r>
        <w:t>7.1</w:t>
      </w:r>
      <w:r>
        <w:rPr>
          <w:rFonts w:hint="eastAsia"/>
        </w:rPr>
        <w:t>-</w:t>
      </w:r>
      <w:r>
        <w:t>1</w:t>
      </w:r>
      <w:r>
        <w:fldChar w:fldCharType="end"/>
      </w:r>
      <w:r>
        <w:rPr>
          <w:rFonts w:hint="eastAsia"/>
        </w:rPr>
        <w:t>所示。</w:t>
      </w:r>
    </w:p>
    <w:p w14:paraId="1E0CAFBD">
      <w:pPr>
        <w:pStyle w:val="15"/>
      </w:pPr>
      <w:bookmarkStart w:id="138" w:name="_Ref123648866"/>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38"/>
      <w:r>
        <w:rPr>
          <w:rFonts w:hint="eastAsia"/>
        </w:rPr>
        <w:t xml:space="preserve"> 施工管理人员配备和分工表</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9"/>
        <w:gridCol w:w="1350"/>
        <w:gridCol w:w="801"/>
        <w:gridCol w:w="4927"/>
        <w:gridCol w:w="765"/>
      </w:tblGrid>
      <w:tr w14:paraId="7416D6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5D9989BA">
            <w:pPr>
              <w:pStyle w:val="16"/>
              <w:rPr>
                <w:b/>
              </w:rPr>
            </w:pPr>
            <w:r>
              <w:rPr>
                <w:rFonts w:hint="eastAsia"/>
                <w:b/>
              </w:rPr>
              <w:t>序号</w:t>
            </w:r>
          </w:p>
        </w:tc>
        <w:tc>
          <w:tcPr>
            <w:tcW w:w="792" w:type="pct"/>
            <w:shd w:val="clear" w:color="auto" w:fill="auto"/>
            <w:vAlign w:val="center"/>
          </w:tcPr>
          <w:p w14:paraId="67BEA0DA">
            <w:pPr>
              <w:pStyle w:val="16"/>
              <w:rPr>
                <w:b/>
              </w:rPr>
            </w:pPr>
            <w:r>
              <w:rPr>
                <w:rFonts w:hint="eastAsia"/>
                <w:b/>
              </w:rPr>
              <w:t>职务</w:t>
            </w:r>
          </w:p>
        </w:tc>
        <w:tc>
          <w:tcPr>
            <w:tcW w:w="470" w:type="pct"/>
            <w:shd w:val="clear" w:color="auto" w:fill="auto"/>
            <w:vAlign w:val="center"/>
          </w:tcPr>
          <w:p w14:paraId="172DB812">
            <w:pPr>
              <w:pStyle w:val="16"/>
              <w:rPr>
                <w:b/>
              </w:rPr>
            </w:pPr>
            <w:r>
              <w:rPr>
                <w:rFonts w:hint="eastAsia"/>
                <w:b/>
              </w:rPr>
              <w:t>人数</w:t>
            </w:r>
          </w:p>
        </w:tc>
        <w:tc>
          <w:tcPr>
            <w:tcW w:w="2891" w:type="pct"/>
            <w:shd w:val="clear" w:color="auto" w:fill="auto"/>
            <w:vAlign w:val="center"/>
          </w:tcPr>
          <w:p w14:paraId="4FFB3B18">
            <w:pPr>
              <w:pStyle w:val="16"/>
              <w:rPr>
                <w:b/>
              </w:rPr>
            </w:pPr>
            <w:r>
              <w:rPr>
                <w:rFonts w:hint="eastAsia"/>
                <w:b/>
              </w:rPr>
              <w:t>工作职责</w:t>
            </w:r>
          </w:p>
        </w:tc>
        <w:tc>
          <w:tcPr>
            <w:tcW w:w="449" w:type="pct"/>
            <w:shd w:val="clear" w:color="auto" w:fill="auto"/>
            <w:vAlign w:val="center"/>
          </w:tcPr>
          <w:p w14:paraId="483F2456">
            <w:pPr>
              <w:pStyle w:val="16"/>
              <w:rPr>
                <w:b/>
              </w:rPr>
            </w:pPr>
            <w:r>
              <w:rPr>
                <w:rFonts w:hint="eastAsia"/>
                <w:b/>
              </w:rPr>
              <w:t>备注</w:t>
            </w:r>
          </w:p>
        </w:tc>
      </w:tr>
      <w:tr w14:paraId="6A2FF1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127CBA6A">
            <w:pPr>
              <w:pStyle w:val="16"/>
              <w:numPr>
                <w:ilvl w:val="0"/>
                <w:numId w:val="75"/>
              </w:numPr>
            </w:pPr>
          </w:p>
        </w:tc>
        <w:tc>
          <w:tcPr>
            <w:tcW w:w="792" w:type="pct"/>
            <w:shd w:val="clear" w:color="auto" w:fill="auto"/>
            <w:vAlign w:val="center"/>
          </w:tcPr>
          <w:p w14:paraId="2B231048">
            <w:pPr>
              <w:pStyle w:val="16"/>
            </w:pPr>
            <w:r>
              <w:rPr>
                <w:rFonts w:hint="eastAsia"/>
              </w:rPr>
              <w:t>施工负责人</w:t>
            </w:r>
          </w:p>
        </w:tc>
        <w:tc>
          <w:tcPr>
            <w:tcW w:w="470" w:type="pct"/>
            <w:shd w:val="clear" w:color="auto" w:fill="auto"/>
            <w:vAlign w:val="center"/>
          </w:tcPr>
          <w:p w14:paraId="7B3459EB">
            <w:pPr>
              <w:pStyle w:val="16"/>
            </w:pPr>
            <w:r>
              <w:rPr>
                <w:rFonts w:hint="eastAsia"/>
              </w:rPr>
              <w:t>1</w:t>
            </w:r>
          </w:p>
        </w:tc>
        <w:tc>
          <w:tcPr>
            <w:tcW w:w="2891" w:type="pct"/>
            <w:shd w:val="clear" w:color="auto" w:fill="auto"/>
            <w:vAlign w:val="center"/>
          </w:tcPr>
          <w:p w14:paraId="226A7C51">
            <w:pPr>
              <w:pStyle w:val="16"/>
            </w:pPr>
            <w:r>
              <w:rPr>
                <w:rFonts w:hint="eastAsia"/>
              </w:rPr>
              <w:t>安装项目总负责</w:t>
            </w:r>
          </w:p>
        </w:tc>
        <w:tc>
          <w:tcPr>
            <w:tcW w:w="449" w:type="pct"/>
            <w:shd w:val="clear" w:color="auto" w:fill="auto"/>
            <w:vAlign w:val="center"/>
          </w:tcPr>
          <w:p w14:paraId="7B4265E8">
            <w:pPr>
              <w:pStyle w:val="16"/>
            </w:pPr>
          </w:p>
        </w:tc>
      </w:tr>
      <w:tr w14:paraId="06B905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14A1C150">
            <w:pPr>
              <w:pStyle w:val="16"/>
              <w:numPr>
                <w:ilvl w:val="0"/>
                <w:numId w:val="75"/>
              </w:numPr>
            </w:pPr>
          </w:p>
        </w:tc>
        <w:tc>
          <w:tcPr>
            <w:tcW w:w="792" w:type="pct"/>
            <w:shd w:val="clear" w:color="auto" w:fill="auto"/>
            <w:vAlign w:val="center"/>
          </w:tcPr>
          <w:p w14:paraId="4C4870C2">
            <w:pPr>
              <w:pStyle w:val="16"/>
            </w:pPr>
            <w:r>
              <w:rPr>
                <w:rFonts w:hint="eastAsia"/>
              </w:rPr>
              <w:t>技术负责人</w:t>
            </w:r>
          </w:p>
        </w:tc>
        <w:tc>
          <w:tcPr>
            <w:tcW w:w="470" w:type="pct"/>
            <w:shd w:val="clear" w:color="auto" w:fill="auto"/>
            <w:vAlign w:val="center"/>
          </w:tcPr>
          <w:p w14:paraId="121AAA41">
            <w:pPr>
              <w:pStyle w:val="16"/>
            </w:pPr>
            <w:r>
              <w:rPr>
                <w:rFonts w:hint="eastAsia"/>
              </w:rPr>
              <w:t>1</w:t>
            </w:r>
          </w:p>
        </w:tc>
        <w:tc>
          <w:tcPr>
            <w:tcW w:w="2891" w:type="pct"/>
            <w:shd w:val="clear" w:color="auto" w:fill="auto"/>
            <w:vAlign w:val="center"/>
          </w:tcPr>
          <w:p w14:paraId="2402490C">
            <w:pPr>
              <w:pStyle w:val="16"/>
            </w:pPr>
            <w:r>
              <w:rPr>
                <w:rFonts w:hint="eastAsia"/>
              </w:rPr>
              <w:t>工程项目的技术管理工作</w:t>
            </w:r>
          </w:p>
        </w:tc>
        <w:tc>
          <w:tcPr>
            <w:tcW w:w="449" w:type="pct"/>
            <w:shd w:val="clear" w:color="auto" w:fill="auto"/>
            <w:vAlign w:val="center"/>
          </w:tcPr>
          <w:p w14:paraId="37CB58A9">
            <w:pPr>
              <w:pStyle w:val="16"/>
            </w:pPr>
          </w:p>
        </w:tc>
      </w:tr>
      <w:tr w14:paraId="60D87AC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5A978992">
            <w:pPr>
              <w:pStyle w:val="16"/>
              <w:numPr>
                <w:ilvl w:val="0"/>
                <w:numId w:val="75"/>
              </w:numPr>
            </w:pPr>
          </w:p>
        </w:tc>
        <w:tc>
          <w:tcPr>
            <w:tcW w:w="792" w:type="pct"/>
            <w:shd w:val="clear" w:color="auto" w:fill="auto"/>
            <w:vAlign w:val="center"/>
          </w:tcPr>
          <w:p w14:paraId="2F182F59">
            <w:pPr>
              <w:pStyle w:val="16"/>
            </w:pPr>
            <w:r>
              <w:rPr>
                <w:rFonts w:hint="eastAsia"/>
              </w:rPr>
              <w:t>安全负责人</w:t>
            </w:r>
          </w:p>
        </w:tc>
        <w:tc>
          <w:tcPr>
            <w:tcW w:w="470" w:type="pct"/>
            <w:shd w:val="clear" w:color="auto" w:fill="auto"/>
            <w:vAlign w:val="center"/>
          </w:tcPr>
          <w:p w14:paraId="4DDD3C0D">
            <w:pPr>
              <w:pStyle w:val="16"/>
            </w:pPr>
            <w:r>
              <w:rPr>
                <w:rFonts w:hint="eastAsia"/>
              </w:rPr>
              <w:t>1</w:t>
            </w:r>
          </w:p>
        </w:tc>
        <w:tc>
          <w:tcPr>
            <w:tcW w:w="2891" w:type="pct"/>
            <w:shd w:val="clear" w:color="auto" w:fill="auto"/>
            <w:vAlign w:val="center"/>
          </w:tcPr>
          <w:p w14:paraId="3B55ACF1">
            <w:pPr>
              <w:pStyle w:val="16"/>
            </w:pPr>
            <w:r>
              <w:rPr>
                <w:rFonts w:hint="eastAsia"/>
              </w:rPr>
              <w:t>工程项目的安全</w:t>
            </w:r>
            <w:r>
              <w:t>工作</w:t>
            </w:r>
          </w:p>
        </w:tc>
        <w:tc>
          <w:tcPr>
            <w:tcW w:w="449" w:type="pct"/>
            <w:shd w:val="clear" w:color="auto" w:fill="auto"/>
            <w:vAlign w:val="center"/>
          </w:tcPr>
          <w:p w14:paraId="0D5F8C10">
            <w:pPr>
              <w:pStyle w:val="16"/>
            </w:pPr>
          </w:p>
        </w:tc>
      </w:tr>
      <w:tr w14:paraId="12F4F1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398" w:type="pct"/>
            <w:shd w:val="clear" w:color="auto" w:fill="auto"/>
            <w:vAlign w:val="center"/>
          </w:tcPr>
          <w:p w14:paraId="4FA08C1F">
            <w:pPr>
              <w:pStyle w:val="16"/>
              <w:numPr>
                <w:ilvl w:val="0"/>
                <w:numId w:val="75"/>
              </w:numPr>
            </w:pPr>
          </w:p>
        </w:tc>
        <w:tc>
          <w:tcPr>
            <w:tcW w:w="792" w:type="pct"/>
            <w:shd w:val="clear" w:color="auto" w:fill="auto"/>
            <w:vAlign w:val="center"/>
          </w:tcPr>
          <w:p w14:paraId="5D2C667D">
            <w:pPr>
              <w:pStyle w:val="16"/>
            </w:pPr>
            <w:r>
              <w:rPr>
                <w:rFonts w:hint="eastAsia"/>
              </w:rPr>
              <w:t>现场负责人</w:t>
            </w:r>
          </w:p>
        </w:tc>
        <w:tc>
          <w:tcPr>
            <w:tcW w:w="470" w:type="pct"/>
            <w:shd w:val="clear" w:color="auto" w:fill="auto"/>
            <w:vAlign w:val="center"/>
          </w:tcPr>
          <w:p w14:paraId="0B64B277">
            <w:pPr>
              <w:pStyle w:val="16"/>
            </w:pPr>
            <w:r>
              <w:rPr>
                <w:rFonts w:hint="eastAsia"/>
              </w:rPr>
              <w:t>1</w:t>
            </w:r>
          </w:p>
        </w:tc>
        <w:tc>
          <w:tcPr>
            <w:tcW w:w="2891" w:type="pct"/>
            <w:shd w:val="clear" w:color="auto" w:fill="auto"/>
            <w:vAlign w:val="center"/>
          </w:tcPr>
          <w:p w14:paraId="311F25AC">
            <w:pPr>
              <w:pStyle w:val="16"/>
            </w:pPr>
            <w:r>
              <w:rPr>
                <w:rFonts w:hint="eastAsia"/>
              </w:rPr>
              <w:t>工程项目的质量管理</w:t>
            </w:r>
            <w:r>
              <w:t>工作</w:t>
            </w:r>
          </w:p>
        </w:tc>
        <w:tc>
          <w:tcPr>
            <w:tcW w:w="449" w:type="pct"/>
            <w:shd w:val="clear" w:color="auto" w:fill="auto"/>
            <w:vAlign w:val="center"/>
          </w:tcPr>
          <w:p w14:paraId="2A7197A7">
            <w:pPr>
              <w:pStyle w:val="16"/>
            </w:pPr>
          </w:p>
        </w:tc>
      </w:tr>
      <w:tr w14:paraId="2ACB91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0" w:type="pct"/>
            <w:gridSpan w:val="2"/>
            <w:shd w:val="clear" w:color="auto" w:fill="auto"/>
            <w:vAlign w:val="center"/>
          </w:tcPr>
          <w:p w14:paraId="7BA07B11">
            <w:pPr>
              <w:pStyle w:val="16"/>
            </w:pPr>
            <w:r>
              <w:rPr>
                <w:rFonts w:hint="eastAsia"/>
              </w:rPr>
              <w:t>总计</w:t>
            </w:r>
          </w:p>
        </w:tc>
        <w:tc>
          <w:tcPr>
            <w:tcW w:w="470" w:type="pct"/>
            <w:shd w:val="clear" w:color="auto" w:fill="auto"/>
            <w:vAlign w:val="center"/>
          </w:tcPr>
          <w:p w14:paraId="569E45DE">
            <w:pPr>
              <w:pStyle w:val="16"/>
            </w:pPr>
            <w:r>
              <w:fldChar w:fldCharType="begin"/>
            </w:r>
            <w:r>
              <w:instrText xml:space="preserve"> =SUM(ABOVE) </w:instrText>
            </w:r>
            <w:r>
              <w:fldChar w:fldCharType="separate"/>
            </w:r>
            <w:r>
              <w:t>4</w:t>
            </w:r>
            <w:r>
              <w:fldChar w:fldCharType="end"/>
            </w:r>
          </w:p>
        </w:tc>
        <w:tc>
          <w:tcPr>
            <w:tcW w:w="2891" w:type="pct"/>
            <w:shd w:val="clear" w:color="auto" w:fill="auto"/>
            <w:vAlign w:val="center"/>
          </w:tcPr>
          <w:p w14:paraId="10EB37E2">
            <w:pPr>
              <w:pStyle w:val="16"/>
            </w:pPr>
          </w:p>
        </w:tc>
        <w:tc>
          <w:tcPr>
            <w:tcW w:w="449" w:type="pct"/>
            <w:shd w:val="clear" w:color="auto" w:fill="auto"/>
            <w:vAlign w:val="center"/>
          </w:tcPr>
          <w:p w14:paraId="6E0FAFF1">
            <w:pPr>
              <w:pStyle w:val="16"/>
            </w:pPr>
          </w:p>
        </w:tc>
      </w:tr>
    </w:tbl>
    <w:p w14:paraId="5EE1C1A9">
      <w:pPr>
        <w:pStyle w:val="3"/>
        <w:rPr>
          <w:color w:val="000000" w:themeColor="text1"/>
          <w14:textFill>
            <w14:solidFill>
              <w14:schemeClr w14:val="tx1"/>
            </w14:solidFill>
          </w14:textFill>
        </w:rPr>
      </w:pPr>
      <w:bookmarkStart w:id="139" w:name="_Toc103688655"/>
      <w:bookmarkStart w:id="140" w:name="_Toc119416154"/>
      <w:bookmarkStart w:id="141" w:name="_Toc9891"/>
      <w:bookmarkStart w:id="142" w:name="_Toc103689365"/>
      <w:bookmarkStart w:id="143" w:name="_Toc12767"/>
      <w:bookmarkStart w:id="144" w:name="_Toc28613973"/>
      <w:bookmarkStart w:id="145" w:name="_Toc6639"/>
      <w:bookmarkStart w:id="146" w:name="_Toc40778448"/>
      <w:bookmarkStart w:id="147" w:name="_Toc15867"/>
      <w:r>
        <w:rPr>
          <w:rFonts w:hint="eastAsia"/>
          <w:color w:val="000000" w:themeColor="text1"/>
          <w14:textFill>
            <w14:solidFill>
              <w14:schemeClr w14:val="tx1"/>
            </w14:solidFill>
          </w14:textFill>
        </w:rPr>
        <w:t>施工作业人员配备及分工</w:t>
      </w:r>
      <w:bookmarkEnd w:id="139"/>
      <w:bookmarkEnd w:id="140"/>
      <w:bookmarkEnd w:id="141"/>
      <w:bookmarkEnd w:id="142"/>
      <w:bookmarkEnd w:id="143"/>
    </w:p>
    <w:p w14:paraId="6CF6F96F">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安拆施工特种作业人员配备和分工详见。</w:t>
      </w:r>
    </w:p>
    <w:p w14:paraId="105E8720">
      <w:pPr>
        <w:pStyle w:val="15"/>
      </w:pPr>
      <w:bookmarkStart w:id="148" w:name="_Toc103689366"/>
      <w:bookmarkStart w:id="149" w:name="_Toc103688656"/>
      <w:bookmarkStart w:id="150" w:name="_Toc119416155"/>
      <w:bookmarkStart w:id="151" w:name="_Toc14865"/>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r>
        <w:rPr>
          <w:rFonts w:hint="eastAsia"/>
        </w:rPr>
        <w:t xml:space="preserve"> 施工特种作业人员配备和分工表</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4"/>
        <w:gridCol w:w="731"/>
        <w:gridCol w:w="4377"/>
        <w:gridCol w:w="1386"/>
      </w:tblGrid>
      <w:tr w14:paraId="5DE520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793C0A1E">
            <w:pPr>
              <w:pStyle w:val="16"/>
              <w:rPr>
                <w:b/>
              </w:rPr>
            </w:pPr>
            <w:r>
              <w:rPr>
                <w:rFonts w:hint="eastAsia"/>
                <w:b/>
              </w:rPr>
              <w:t>序号</w:t>
            </w:r>
          </w:p>
        </w:tc>
        <w:tc>
          <w:tcPr>
            <w:tcW w:w="771" w:type="pct"/>
            <w:shd w:val="clear" w:color="auto" w:fill="auto"/>
            <w:vAlign w:val="center"/>
          </w:tcPr>
          <w:p w14:paraId="0F5D2C91">
            <w:pPr>
              <w:pStyle w:val="16"/>
              <w:rPr>
                <w:b/>
              </w:rPr>
            </w:pPr>
            <w:r>
              <w:rPr>
                <w:rFonts w:hint="eastAsia"/>
                <w:b/>
              </w:rPr>
              <w:t>工种</w:t>
            </w:r>
          </w:p>
        </w:tc>
        <w:tc>
          <w:tcPr>
            <w:tcW w:w="429" w:type="pct"/>
            <w:shd w:val="clear" w:color="auto" w:fill="auto"/>
            <w:vAlign w:val="center"/>
          </w:tcPr>
          <w:p w14:paraId="04838056">
            <w:pPr>
              <w:pStyle w:val="16"/>
              <w:rPr>
                <w:b/>
              </w:rPr>
            </w:pPr>
            <w:r>
              <w:rPr>
                <w:rFonts w:hint="eastAsia"/>
                <w:b/>
              </w:rPr>
              <w:t>人数</w:t>
            </w:r>
          </w:p>
        </w:tc>
        <w:tc>
          <w:tcPr>
            <w:tcW w:w="2568" w:type="pct"/>
            <w:shd w:val="clear" w:color="auto" w:fill="auto"/>
            <w:vAlign w:val="center"/>
          </w:tcPr>
          <w:p w14:paraId="43DF058F">
            <w:pPr>
              <w:pStyle w:val="16"/>
              <w:rPr>
                <w:b/>
              </w:rPr>
            </w:pPr>
            <w:r>
              <w:rPr>
                <w:rFonts w:hint="eastAsia"/>
                <w:b/>
              </w:rPr>
              <w:t>工作职责</w:t>
            </w:r>
          </w:p>
        </w:tc>
        <w:tc>
          <w:tcPr>
            <w:tcW w:w="813" w:type="pct"/>
            <w:shd w:val="clear" w:color="auto" w:fill="auto"/>
            <w:vAlign w:val="center"/>
          </w:tcPr>
          <w:p w14:paraId="3051D80F">
            <w:pPr>
              <w:pStyle w:val="16"/>
              <w:rPr>
                <w:b/>
              </w:rPr>
            </w:pPr>
            <w:r>
              <w:rPr>
                <w:rFonts w:hint="eastAsia"/>
                <w:b/>
              </w:rPr>
              <w:t>备注</w:t>
            </w:r>
          </w:p>
        </w:tc>
      </w:tr>
      <w:tr w14:paraId="6319DC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3A0E8262">
            <w:pPr>
              <w:pStyle w:val="16"/>
              <w:numPr>
                <w:ilvl w:val="0"/>
                <w:numId w:val="76"/>
              </w:numPr>
            </w:pPr>
          </w:p>
        </w:tc>
        <w:tc>
          <w:tcPr>
            <w:tcW w:w="771" w:type="pct"/>
            <w:shd w:val="clear" w:color="auto" w:fill="auto"/>
            <w:vAlign w:val="center"/>
          </w:tcPr>
          <w:p w14:paraId="59ACAEC2">
            <w:pPr>
              <w:pStyle w:val="16"/>
            </w:pPr>
            <w:r>
              <w:rPr>
                <w:rFonts w:hint="eastAsia"/>
              </w:rPr>
              <w:t>起重指挥</w:t>
            </w:r>
          </w:p>
        </w:tc>
        <w:tc>
          <w:tcPr>
            <w:tcW w:w="429" w:type="pct"/>
            <w:shd w:val="clear" w:color="auto" w:fill="auto"/>
            <w:vAlign w:val="center"/>
          </w:tcPr>
          <w:p w14:paraId="50B93B6A">
            <w:pPr>
              <w:pStyle w:val="16"/>
            </w:pPr>
            <w:r>
              <w:rPr>
                <w:rFonts w:hint="eastAsia"/>
              </w:rPr>
              <w:t>1</w:t>
            </w:r>
          </w:p>
        </w:tc>
        <w:tc>
          <w:tcPr>
            <w:tcW w:w="2568" w:type="pct"/>
            <w:shd w:val="clear" w:color="auto" w:fill="auto"/>
            <w:vAlign w:val="center"/>
          </w:tcPr>
          <w:p w14:paraId="6D2943C5">
            <w:pPr>
              <w:pStyle w:val="16"/>
            </w:pPr>
            <w:r>
              <w:rPr>
                <w:rFonts w:hint="eastAsia"/>
              </w:rPr>
              <w:t>负责现场起重作业的指挥与协调</w:t>
            </w:r>
          </w:p>
        </w:tc>
        <w:tc>
          <w:tcPr>
            <w:tcW w:w="813" w:type="pct"/>
            <w:shd w:val="clear" w:color="auto" w:fill="auto"/>
            <w:vAlign w:val="center"/>
          </w:tcPr>
          <w:p w14:paraId="2D530B9D">
            <w:pPr>
              <w:pStyle w:val="16"/>
            </w:pPr>
            <w:r>
              <w:rPr>
                <w:rFonts w:hint="eastAsia"/>
              </w:rPr>
              <w:t>项目部人员</w:t>
            </w:r>
          </w:p>
        </w:tc>
      </w:tr>
      <w:tr w14:paraId="52471A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723A231B">
            <w:pPr>
              <w:pStyle w:val="16"/>
              <w:numPr>
                <w:ilvl w:val="0"/>
                <w:numId w:val="76"/>
              </w:numPr>
            </w:pPr>
          </w:p>
        </w:tc>
        <w:tc>
          <w:tcPr>
            <w:tcW w:w="771" w:type="pct"/>
            <w:shd w:val="clear" w:color="auto" w:fill="auto"/>
            <w:vAlign w:val="center"/>
          </w:tcPr>
          <w:p w14:paraId="3B61BE71">
            <w:pPr>
              <w:pStyle w:val="16"/>
            </w:pPr>
            <w:r>
              <w:t>起重司机</w:t>
            </w:r>
          </w:p>
        </w:tc>
        <w:tc>
          <w:tcPr>
            <w:tcW w:w="429" w:type="pct"/>
            <w:shd w:val="clear" w:color="auto" w:fill="auto"/>
            <w:vAlign w:val="center"/>
          </w:tcPr>
          <w:p w14:paraId="2FD3C3CD">
            <w:pPr>
              <w:pStyle w:val="16"/>
            </w:pPr>
            <w:r>
              <w:rPr>
                <w:rFonts w:hint="eastAsia"/>
              </w:rPr>
              <w:t>1</w:t>
            </w:r>
          </w:p>
        </w:tc>
        <w:tc>
          <w:tcPr>
            <w:tcW w:w="2568" w:type="pct"/>
            <w:shd w:val="clear" w:color="auto" w:fill="auto"/>
            <w:vAlign w:val="center"/>
          </w:tcPr>
          <w:p w14:paraId="6A0B65A3">
            <w:pPr>
              <w:pStyle w:val="16"/>
            </w:pPr>
            <w:r>
              <w:rPr>
                <w:rFonts w:hint="eastAsia"/>
              </w:rPr>
              <w:t>负责设备安装作业过程中的起重操作</w:t>
            </w:r>
          </w:p>
        </w:tc>
        <w:tc>
          <w:tcPr>
            <w:tcW w:w="813" w:type="pct"/>
            <w:shd w:val="clear" w:color="auto" w:fill="auto"/>
            <w:vAlign w:val="center"/>
          </w:tcPr>
          <w:p w14:paraId="7756ED49">
            <w:pPr>
              <w:pStyle w:val="16"/>
            </w:pPr>
            <w:r>
              <w:rPr>
                <w:rFonts w:hint="eastAsia"/>
              </w:rPr>
              <w:t>项目部人员</w:t>
            </w:r>
          </w:p>
        </w:tc>
      </w:tr>
      <w:tr w14:paraId="6D83E7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06896608">
            <w:pPr>
              <w:pStyle w:val="16"/>
              <w:numPr>
                <w:ilvl w:val="0"/>
                <w:numId w:val="76"/>
              </w:numPr>
            </w:pPr>
          </w:p>
        </w:tc>
        <w:tc>
          <w:tcPr>
            <w:tcW w:w="771" w:type="pct"/>
            <w:shd w:val="clear" w:color="auto" w:fill="auto"/>
            <w:vAlign w:val="center"/>
          </w:tcPr>
          <w:p w14:paraId="601BF0A2">
            <w:pPr>
              <w:pStyle w:val="16"/>
            </w:pPr>
            <w:r>
              <w:rPr>
                <w:rFonts w:hint="eastAsia"/>
              </w:rPr>
              <w:t>司索工</w:t>
            </w:r>
          </w:p>
        </w:tc>
        <w:tc>
          <w:tcPr>
            <w:tcW w:w="429" w:type="pct"/>
            <w:shd w:val="clear" w:color="auto" w:fill="auto"/>
            <w:vAlign w:val="center"/>
          </w:tcPr>
          <w:p w14:paraId="2AEB6BBE">
            <w:pPr>
              <w:pStyle w:val="16"/>
            </w:pPr>
            <w:r>
              <w:rPr>
                <w:rFonts w:hint="eastAsia"/>
              </w:rPr>
              <w:t>1</w:t>
            </w:r>
          </w:p>
        </w:tc>
        <w:tc>
          <w:tcPr>
            <w:tcW w:w="2568" w:type="pct"/>
            <w:shd w:val="clear" w:color="auto" w:fill="auto"/>
            <w:vAlign w:val="center"/>
          </w:tcPr>
          <w:p w14:paraId="2491194A">
            <w:pPr>
              <w:pStyle w:val="16"/>
            </w:pPr>
            <w:r>
              <w:rPr>
                <w:rFonts w:hint="eastAsia"/>
              </w:rPr>
              <w:t>负责现场吊装作业钢丝绳挂钩作业</w:t>
            </w:r>
          </w:p>
        </w:tc>
        <w:tc>
          <w:tcPr>
            <w:tcW w:w="813" w:type="pct"/>
            <w:shd w:val="clear" w:color="auto" w:fill="auto"/>
            <w:vAlign w:val="center"/>
          </w:tcPr>
          <w:p w14:paraId="33B98FB2">
            <w:pPr>
              <w:pStyle w:val="16"/>
            </w:pPr>
            <w:r>
              <w:rPr>
                <w:rFonts w:hint="eastAsia"/>
              </w:rPr>
              <w:t>项目部人员</w:t>
            </w:r>
          </w:p>
        </w:tc>
      </w:tr>
      <w:tr w14:paraId="3418897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0CC0080C">
            <w:pPr>
              <w:pStyle w:val="16"/>
              <w:numPr>
                <w:ilvl w:val="0"/>
                <w:numId w:val="76"/>
              </w:numPr>
            </w:pPr>
          </w:p>
        </w:tc>
        <w:tc>
          <w:tcPr>
            <w:tcW w:w="771" w:type="pct"/>
            <w:shd w:val="clear" w:color="auto" w:fill="auto"/>
            <w:vAlign w:val="center"/>
          </w:tcPr>
          <w:p w14:paraId="3E01703A">
            <w:pPr>
              <w:pStyle w:val="16"/>
            </w:pPr>
            <w:r>
              <w:rPr>
                <w:rFonts w:hint="eastAsia"/>
              </w:rPr>
              <w:t>电工</w:t>
            </w:r>
          </w:p>
        </w:tc>
        <w:tc>
          <w:tcPr>
            <w:tcW w:w="429" w:type="pct"/>
            <w:shd w:val="clear" w:color="auto" w:fill="auto"/>
            <w:vAlign w:val="center"/>
          </w:tcPr>
          <w:p w14:paraId="583B3FEE">
            <w:pPr>
              <w:pStyle w:val="16"/>
            </w:pPr>
            <w:r>
              <w:rPr>
                <w:rFonts w:hint="eastAsia"/>
              </w:rPr>
              <w:t>1</w:t>
            </w:r>
          </w:p>
        </w:tc>
        <w:tc>
          <w:tcPr>
            <w:tcW w:w="2568" w:type="pct"/>
            <w:shd w:val="clear" w:color="auto" w:fill="auto"/>
            <w:vAlign w:val="center"/>
          </w:tcPr>
          <w:p w14:paraId="741065A6">
            <w:pPr>
              <w:pStyle w:val="16"/>
            </w:pPr>
            <w:r>
              <w:t>负责设备的电气检查、</w:t>
            </w:r>
            <w:r>
              <w:rPr>
                <w:rFonts w:hint="eastAsia"/>
              </w:rPr>
              <w:t>安装</w:t>
            </w:r>
            <w:r>
              <w:t>拆除方案</w:t>
            </w:r>
            <w:r>
              <w:rPr>
                <w:rFonts w:hint="eastAsia"/>
              </w:rPr>
              <w:t>中电气安装</w:t>
            </w:r>
          </w:p>
        </w:tc>
        <w:tc>
          <w:tcPr>
            <w:tcW w:w="813" w:type="pct"/>
            <w:shd w:val="clear" w:color="auto" w:fill="auto"/>
            <w:vAlign w:val="center"/>
          </w:tcPr>
          <w:p w14:paraId="2261FE83">
            <w:pPr>
              <w:pStyle w:val="16"/>
            </w:pPr>
            <w:r>
              <w:rPr>
                <w:rFonts w:hint="eastAsia"/>
              </w:rPr>
              <w:t>本单位人员</w:t>
            </w:r>
          </w:p>
        </w:tc>
      </w:tr>
      <w:tr w14:paraId="4BBF41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0" w:type="pct"/>
            <w:gridSpan w:val="2"/>
            <w:shd w:val="clear" w:color="auto" w:fill="auto"/>
            <w:vAlign w:val="center"/>
          </w:tcPr>
          <w:p w14:paraId="7754AF36">
            <w:pPr>
              <w:pStyle w:val="16"/>
            </w:pPr>
            <w:r>
              <w:rPr>
                <w:rFonts w:hint="eastAsia"/>
              </w:rPr>
              <w:t>总计</w:t>
            </w:r>
          </w:p>
        </w:tc>
        <w:tc>
          <w:tcPr>
            <w:tcW w:w="429" w:type="pct"/>
            <w:shd w:val="clear" w:color="auto" w:fill="auto"/>
            <w:vAlign w:val="center"/>
          </w:tcPr>
          <w:p w14:paraId="06D2B2EA">
            <w:pPr>
              <w:pStyle w:val="16"/>
            </w:pPr>
            <w:r>
              <w:fldChar w:fldCharType="begin"/>
            </w:r>
            <w:r>
              <w:instrText xml:space="preserve"> =SUM(ABOVE) </w:instrText>
            </w:r>
            <w:r>
              <w:fldChar w:fldCharType="separate"/>
            </w:r>
            <w:r>
              <w:t>4</w:t>
            </w:r>
            <w:r>
              <w:fldChar w:fldCharType="end"/>
            </w:r>
          </w:p>
        </w:tc>
        <w:tc>
          <w:tcPr>
            <w:tcW w:w="2568" w:type="pct"/>
            <w:shd w:val="clear" w:color="auto" w:fill="auto"/>
            <w:vAlign w:val="center"/>
          </w:tcPr>
          <w:p w14:paraId="5C267E11">
            <w:pPr>
              <w:pStyle w:val="16"/>
            </w:pPr>
          </w:p>
        </w:tc>
        <w:tc>
          <w:tcPr>
            <w:tcW w:w="813" w:type="pct"/>
            <w:shd w:val="clear" w:color="auto" w:fill="auto"/>
            <w:vAlign w:val="center"/>
          </w:tcPr>
          <w:p w14:paraId="1E890E54">
            <w:pPr>
              <w:pStyle w:val="16"/>
            </w:pPr>
          </w:p>
        </w:tc>
      </w:tr>
      <w:bookmarkEnd w:id="148"/>
      <w:bookmarkEnd w:id="149"/>
      <w:bookmarkEnd w:id="150"/>
      <w:bookmarkEnd w:id="151"/>
    </w:tbl>
    <w:p w14:paraId="16600AD2">
      <w:pPr>
        <w:ind w:firstLine="480"/>
      </w:pP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安拆施工其他作业人员配备和分工详见。</w:t>
      </w:r>
    </w:p>
    <w:p w14:paraId="5F1B97EA">
      <w:pPr>
        <w:pStyle w:val="15"/>
      </w:pPr>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7.2</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r>
        <w:rPr>
          <w:rFonts w:hint="eastAsia"/>
        </w:rPr>
        <w:t xml:space="preserve"> 施工其他作业人员配备和分工表</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316"/>
        <w:gridCol w:w="729"/>
        <w:gridCol w:w="4377"/>
        <w:gridCol w:w="1386"/>
      </w:tblGrid>
      <w:tr w14:paraId="3D3D4C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4C742411">
            <w:pPr>
              <w:pStyle w:val="16"/>
              <w:rPr>
                <w:b/>
              </w:rPr>
            </w:pPr>
            <w:r>
              <w:rPr>
                <w:rFonts w:hint="eastAsia"/>
                <w:b/>
              </w:rPr>
              <w:t>序号</w:t>
            </w:r>
          </w:p>
        </w:tc>
        <w:tc>
          <w:tcPr>
            <w:tcW w:w="772" w:type="pct"/>
            <w:shd w:val="clear" w:color="auto" w:fill="auto"/>
            <w:vAlign w:val="center"/>
          </w:tcPr>
          <w:p w14:paraId="1E987F69">
            <w:pPr>
              <w:pStyle w:val="16"/>
              <w:rPr>
                <w:b/>
              </w:rPr>
            </w:pPr>
            <w:r>
              <w:rPr>
                <w:rFonts w:hint="eastAsia"/>
                <w:b/>
              </w:rPr>
              <w:t>工种</w:t>
            </w:r>
          </w:p>
        </w:tc>
        <w:tc>
          <w:tcPr>
            <w:tcW w:w="428" w:type="pct"/>
            <w:shd w:val="clear" w:color="auto" w:fill="auto"/>
            <w:vAlign w:val="center"/>
          </w:tcPr>
          <w:p w14:paraId="5B5CB3D0">
            <w:pPr>
              <w:pStyle w:val="16"/>
              <w:rPr>
                <w:b/>
              </w:rPr>
            </w:pPr>
            <w:r>
              <w:rPr>
                <w:rFonts w:hint="eastAsia"/>
                <w:b/>
              </w:rPr>
              <w:t>人数</w:t>
            </w:r>
          </w:p>
        </w:tc>
        <w:tc>
          <w:tcPr>
            <w:tcW w:w="2568" w:type="pct"/>
            <w:shd w:val="clear" w:color="auto" w:fill="auto"/>
            <w:vAlign w:val="center"/>
          </w:tcPr>
          <w:p w14:paraId="0E6B1625">
            <w:pPr>
              <w:pStyle w:val="16"/>
              <w:rPr>
                <w:b/>
              </w:rPr>
            </w:pPr>
            <w:r>
              <w:rPr>
                <w:rFonts w:hint="eastAsia"/>
                <w:b/>
              </w:rPr>
              <w:t>工作职责</w:t>
            </w:r>
          </w:p>
        </w:tc>
        <w:tc>
          <w:tcPr>
            <w:tcW w:w="813" w:type="pct"/>
            <w:shd w:val="clear" w:color="auto" w:fill="auto"/>
            <w:vAlign w:val="center"/>
          </w:tcPr>
          <w:p w14:paraId="7C35BC57">
            <w:pPr>
              <w:pStyle w:val="16"/>
              <w:rPr>
                <w:b/>
              </w:rPr>
            </w:pPr>
            <w:r>
              <w:rPr>
                <w:rFonts w:hint="eastAsia"/>
                <w:b/>
              </w:rPr>
              <w:t>备注</w:t>
            </w:r>
          </w:p>
        </w:tc>
      </w:tr>
      <w:tr w14:paraId="70F7360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73A41A87">
            <w:pPr>
              <w:pStyle w:val="16"/>
              <w:numPr>
                <w:ilvl w:val="0"/>
                <w:numId w:val="77"/>
              </w:numPr>
            </w:pPr>
          </w:p>
        </w:tc>
        <w:tc>
          <w:tcPr>
            <w:tcW w:w="772" w:type="pct"/>
            <w:shd w:val="clear" w:color="auto" w:fill="auto"/>
            <w:vAlign w:val="center"/>
          </w:tcPr>
          <w:p w14:paraId="799AABF8">
            <w:pPr>
              <w:pStyle w:val="16"/>
            </w:pPr>
            <w:r>
              <w:rPr>
                <w:rFonts w:hint="eastAsia"/>
              </w:rPr>
              <w:t>设备安拆工</w:t>
            </w:r>
          </w:p>
        </w:tc>
        <w:tc>
          <w:tcPr>
            <w:tcW w:w="428" w:type="pct"/>
            <w:shd w:val="clear" w:color="auto" w:fill="auto"/>
            <w:vAlign w:val="center"/>
          </w:tcPr>
          <w:p w14:paraId="3DC43DE8">
            <w:pPr>
              <w:pStyle w:val="16"/>
            </w:pPr>
            <w:r>
              <w:rPr>
                <w:rFonts w:hint="eastAsia"/>
              </w:rPr>
              <w:t>3</w:t>
            </w:r>
          </w:p>
        </w:tc>
        <w:tc>
          <w:tcPr>
            <w:tcW w:w="2568" w:type="pct"/>
            <w:shd w:val="clear" w:color="auto" w:fill="auto"/>
            <w:vAlign w:val="center"/>
          </w:tcPr>
          <w:p w14:paraId="2C87CE04">
            <w:pPr>
              <w:pStyle w:val="16"/>
            </w:pPr>
            <w:r>
              <w:rPr>
                <w:rFonts w:hint="eastAsia"/>
              </w:rPr>
              <w:t>负责安装拆除作业具体实施</w:t>
            </w:r>
          </w:p>
        </w:tc>
        <w:tc>
          <w:tcPr>
            <w:tcW w:w="813" w:type="pct"/>
            <w:shd w:val="clear" w:color="auto" w:fill="auto"/>
            <w:vAlign w:val="center"/>
          </w:tcPr>
          <w:p w14:paraId="47301528">
            <w:pPr>
              <w:pStyle w:val="16"/>
            </w:pPr>
            <w:r>
              <w:rPr>
                <w:rFonts w:hint="eastAsia"/>
              </w:rPr>
              <w:t>本单位人员</w:t>
            </w:r>
          </w:p>
        </w:tc>
      </w:tr>
      <w:tr w14:paraId="3CBB0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19" w:type="pct"/>
            <w:shd w:val="clear" w:color="auto" w:fill="auto"/>
            <w:vAlign w:val="center"/>
          </w:tcPr>
          <w:p w14:paraId="56E0D527">
            <w:pPr>
              <w:pStyle w:val="16"/>
              <w:numPr>
                <w:ilvl w:val="0"/>
                <w:numId w:val="77"/>
              </w:numPr>
            </w:pPr>
          </w:p>
        </w:tc>
        <w:tc>
          <w:tcPr>
            <w:tcW w:w="772" w:type="pct"/>
            <w:shd w:val="clear" w:color="auto" w:fill="auto"/>
            <w:vAlign w:val="center"/>
          </w:tcPr>
          <w:p w14:paraId="0A5E29F0">
            <w:pPr>
              <w:pStyle w:val="16"/>
            </w:pPr>
            <w:r>
              <w:rPr>
                <w:rFonts w:hint="eastAsia"/>
              </w:rPr>
              <w:t>杂工</w:t>
            </w:r>
          </w:p>
        </w:tc>
        <w:tc>
          <w:tcPr>
            <w:tcW w:w="428" w:type="pct"/>
            <w:shd w:val="clear" w:color="auto" w:fill="auto"/>
            <w:vAlign w:val="center"/>
          </w:tcPr>
          <w:p w14:paraId="597B9DD3">
            <w:pPr>
              <w:pStyle w:val="16"/>
            </w:pPr>
            <w:r>
              <w:rPr>
                <w:rFonts w:hint="eastAsia"/>
              </w:rPr>
              <w:t>1</w:t>
            </w:r>
          </w:p>
        </w:tc>
        <w:tc>
          <w:tcPr>
            <w:tcW w:w="2568" w:type="pct"/>
            <w:shd w:val="clear" w:color="auto" w:fill="auto"/>
            <w:vAlign w:val="center"/>
          </w:tcPr>
          <w:p w14:paraId="766285FC">
            <w:pPr>
              <w:pStyle w:val="16"/>
            </w:pPr>
            <w:r>
              <w:rPr>
                <w:rFonts w:hint="eastAsia"/>
              </w:rPr>
              <w:t>负责地面清理、现场文明施工</w:t>
            </w:r>
          </w:p>
        </w:tc>
        <w:tc>
          <w:tcPr>
            <w:tcW w:w="813" w:type="pct"/>
            <w:shd w:val="clear" w:color="auto" w:fill="auto"/>
            <w:vAlign w:val="center"/>
          </w:tcPr>
          <w:p w14:paraId="4ABB34E7">
            <w:pPr>
              <w:pStyle w:val="16"/>
            </w:pPr>
            <w:r>
              <w:rPr>
                <w:rFonts w:hint="eastAsia"/>
              </w:rPr>
              <w:t>项目部人员</w:t>
            </w:r>
          </w:p>
        </w:tc>
      </w:tr>
      <w:tr w14:paraId="355B07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1191" w:type="pct"/>
            <w:gridSpan w:val="2"/>
            <w:shd w:val="clear" w:color="auto" w:fill="auto"/>
            <w:vAlign w:val="center"/>
          </w:tcPr>
          <w:p w14:paraId="42144293">
            <w:pPr>
              <w:pStyle w:val="16"/>
            </w:pPr>
            <w:r>
              <w:rPr>
                <w:rFonts w:hint="eastAsia"/>
              </w:rPr>
              <w:t>总计</w:t>
            </w:r>
          </w:p>
        </w:tc>
        <w:tc>
          <w:tcPr>
            <w:tcW w:w="428" w:type="pct"/>
            <w:shd w:val="clear" w:color="auto" w:fill="auto"/>
            <w:vAlign w:val="center"/>
          </w:tcPr>
          <w:p w14:paraId="1E4AE3DC">
            <w:pPr>
              <w:pStyle w:val="16"/>
            </w:pPr>
            <w:r>
              <w:fldChar w:fldCharType="begin"/>
            </w:r>
            <w:r>
              <w:instrText xml:space="preserve"> =SUM(ABOVE) </w:instrText>
            </w:r>
            <w:r>
              <w:fldChar w:fldCharType="separate"/>
            </w:r>
            <w:r>
              <w:t>4</w:t>
            </w:r>
            <w:r>
              <w:fldChar w:fldCharType="end"/>
            </w:r>
          </w:p>
        </w:tc>
        <w:tc>
          <w:tcPr>
            <w:tcW w:w="2568" w:type="pct"/>
            <w:shd w:val="clear" w:color="auto" w:fill="auto"/>
            <w:vAlign w:val="center"/>
          </w:tcPr>
          <w:p w14:paraId="3A143C53">
            <w:pPr>
              <w:pStyle w:val="16"/>
            </w:pPr>
          </w:p>
        </w:tc>
        <w:tc>
          <w:tcPr>
            <w:tcW w:w="813" w:type="pct"/>
            <w:shd w:val="clear" w:color="auto" w:fill="auto"/>
            <w:vAlign w:val="center"/>
          </w:tcPr>
          <w:p w14:paraId="33BFE6AD">
            <w:pPr>
              <w:pStyle w:val="16"/>
            </w:pPr>
          </w:p>
        </w:tc>
      </w:tr>
    </w:tbl>
    <w:p w14:paraId="3A543977">
      <w:pPr>
        <w:ind w:firstLine="480"/>
      </w:pPr>
      <w:r>
        <w:br w:type="page"/>
      </w:r>
    </w:p>
    <w:p w14:paraId="4C2D4BDE">
      <w:pPr>
        <w:pStyle w:val="2"/>
      </w:pPr>
      <w:bookmarkStart w:id="152" w:name="_Toc10347"/>
      <w:r>
        <w:rPr>
          <w:rFonts w:hint="eastAsia"/>
        </w:rPr>
        <w:t>验收要求</w:t>
      </w:r>
      <w:bookmarkEnd w:id="144"/>
      <w:bookmarkEnd w:id="145"/>
      <w:bookmarkEnd w:id="146"/>
      <w:bookmarkEnd w:id="147"/>
      <w:bookmarkEnd w:id="152"/>
    </w:p>
    <w:p w14:paraId="08EFCE53">
      <w:pPr>
        <w:pStyle w:val="3"/>
      </w:pPr>
      <w:bookmarkStart w:id="153" w:name="_Toc40778449"/>
      <w:bookmarkStart w:id="154" w:name="_Toc20450"/>
      <w:bookmarkStart w:id="155" w:name="_Toc56"/>
      <w:bookmarkStart w:id="156" w:name="_Toc893"/>
      <w:r>
        <w:rPr>
          <w:rFonts w:hint="eastAsia"/>
        </w:rPr>
        <w:t>验收标准</w:t>
      </w:r>
      <w:bookmarkEnd w:id="153"/>
      <w:bookmarkEnd w:id="154"/>
      <w:bookmarkEnd w:id="155"/>
      <w:bookmarkEnd w:id="156"/>
    </w:p>
    <w:p w14:paraId="1D7C47D3">
      <w:pPr>
        <w:pStyle w:val="70"/>
        <w:ind w:firstLine="480"/>
      </w:pPr>
      <w:bookmarkStart w:id="157" w:name="_Toc65571555"/>
      <w:bookmarkStart w:id="158" w:name="_Toc23170"/>
      <w:r>
        <w:rPr>
          <w:rFonts w:hint="eastAsia"/>
        </w:rPr>
        <w:t>验收标准主要依据：《施工升降机安全规程》（GB 10055-2007）、《施工现场临时用电安全技术规范》（JGJ46-2005）、《建筑施工起重吊装工程安全技术规范》（JGJ 276-2012）、《建筑施工高处作业安全技术规范》（JGJ 80-2016）等。</w:t>
      </w:r>
    </w:p>
    <w:p w14:paraId="5F777F5B">
      <w:pPr>
        <w:pStyle w:val="3"/>
      </w:pPr>
      <w:bookmarkStart w:id="159" w:name="_Toc276"/>
      <w:r>
        <w:t>验收程序</w:t>
      </w:r>
      <w:bookmarkEnd w:id="157"/>
      <w:bookmarkEnd w:id="158"/>
      <w:bookmarkEnd w:id="159"/>
    </w:p>
    <w:p w14:paraId="583A0D41">
      <w:pPr>
        <w:numPr>
          <w:ilvl w:val="0"/>
          <w:numId w:val="78"/>
        </w:numPr>
        <w:ind w:firstLine="480"/>
      </w:pPr>
      <w:bookmarkStart w:id="160" w:name="_Toc40778451"/>
      <w:bookmarkStart w:id="161" w:name="_Toc28613975"/>
      <w:bookmarkStart w:id="162" w:name="_Toc7965"/>
      <w:bookmarkStart w:id="163" w:name="_Toc27569"/>
      <w:r>
        <w:rPr>
          <w:rFonts w:hint="eastAsia"/>
        </w:rPr>
        <w:t>基础施工完成后，项目部组织技术管理人员、安全管理人员、现场专监对其进行验收。</w:t>
      </w:r>
    </w:p>
    <w:p w14:paraId="461B5DF0">
      <w:pPr>
        <w:numPr>
          <w:ilvl w:val="0"/>
          <w:numId w:val="78"/>
        </w:numPr>
        <w:ind w:firstLine="480"/>
      </w:pPr>
      <w:r>
        <w:rPr>
          <w:rFonts w:hint="eastAsia"/>
        </w:rPr>
        <w:t>安装</w:t>
      </w:r>
      <w:r>
        <w:fldChar w:fldCharType="begin"/>
      </w:r>
      <w:r>
        <w:instrText xml:space="preserve"> </w:instrText>
      </w:r>
      <w:r>
        <w:rPr>
          <w:rFonts w:hint="eastAsia"/>
        </w:rPr>
        <w:instrText xml:space="preserve">REF 设备类型 \h</w:instrText>
      </w:r>
      <w:r>
        <w:instrText xml:space="preserve"> </w:instrText>
      </w:r>
      <w:r>
        <w:fldChar w:fldCharType="separate"/>
      </w:r>
      <w:r>
        <w:rPr>
          <w:rFonts w:hint="eastAsia"/>
        </w:rPr>
        <w:t>施工升降机</w:t>
      </w:r>
      <w:r>
        <w:fldChar w:fldCharType="end"/>
      </w:r>
      <w:r>
        <w:rPr>
          <w:rFonts w:hint="eastAsia"/>
        </w:rPr>
        <w:t>过程中，组织管理人员检查设备安全装置与限位装置进行验收。</w:t>
      </w:r>
    </w:p>
    <w:p w14:paraId="22EFAC89">
      <w:pPr>
        <w:numPr>
          <w:ilvl w:val="0"/>
          <w:numId w:val="78"/>
        </w:numPr>
        <w:ind w:firstLine="480"/>
      </w:pPr>
      <w:r>
        <w:rPr>
          <w:rFonts w:hint="eastAsia"/>
        </w:rPr>
        <w:t>大型机械设备经检验合格，持有效证件，组拼完毕后由项目设备管理部组织验收，验收合格后方能使用。</w:t>
      </w:r>
    </w:p>
    <w:p w14:paraId="5FBAD045">
      <w:pPr>
        <w:numPr>
          <w:ilvl w:val="0"/>
          <w:numId w:val="78"/>
        </w:numPr>
        <w:ind w:firstLine="480"/>
      </w:pPr>
      <w:r>
        <w:rPr>
          <w:rFonts w:hint="eastAsia"/>
        </w:rPr>
        <w:t>小型机具使用前，由项目设备管理部组织验收，填写书面验收记录、合格后挂牌方可使用。</w:t>
      </w:r>
    </w:p>
    <w:p w14:paraId="1CD4D25E">
      <w:pPr>
        <w:numPr>
          <w:ilvl w:val="0"/>
          <w:numId w:val="78"/>
        </w:numPr>
        <w:ind w:firstLine="480"/>
      </w:pPr>
      <w:r>
        <w:rPr>
          <w:rFonts w:hint="eastAsia"/>
        </w:rPr>
        <w:t>临时用电设施、装置通电前由项目设备管理部组织验收，验收合格后方可通电使用，并做好验收记录。</w:t>
      </w:r>
    </w:p>
    <w:p w14:paraId="2B9717D2">
      <w:pPr>
        <w:numPr>
          <w:ilvl w:val="0"/>
          <w:numId w:val="78"/>
        </w:numPr>
        <w:ind w:firstLine="480"/>
      </w:pPr>
      <w:r>
        <w:rPr>
          <w:rFonts w:hint="eastAsia"/>
        </w:rPr>
        <w:t>施工现场所有的临边安全防护设施，由项目安全管理部组织验收，合格后方可投入使用，每验收一次须做好验收记录。</w:t>
      </w:r>
    </w:p>
    <w:p w14:paraId="5E79AB8E">
      <w:pPr>
        <w:ind w:firstLine="480"/>
      </w:pPr>
      <w:r>
        <w:rPr>
          <w:rFonts w:hint="eastAsia"/>
        </w:rPr>
        <w:t>（8）起重吊装工索具由项目技术管理部组织验收，验收合格后方可投入使用。</w:t>
      </w:r>
    </w:p>
    <w:p w14:paraId="3BB4EECD">
      <w:pPr>
        <w:pStyle w:val="3"/>
      </w:pPr>
      <w:bookmarkStart w:id="164" w:name="_Toc15125"/>
      <w:r>
        <w:rPr>
          <w:rFonts w:hint="eastAsia"/>
        </w:rPr>
        <w:t>验收内容</w:t>
      </w:r>
      <w:bookmarkEnd w:id="160"/>
      <w:bookmarkEnd w:id="161"/>
      <w:bookmarkEnd w:id="162"/>
      <w:bookmarkEnd w:id="163"/>
      <w:bookmarkEnd w:id="164"/>
    </w:p>
    <w:p w14:paraId="1935C41A">
      <w:pPr>
        <w:numPr>
          <w:ilvl w:val="0"/>
          <w:numId w:val="79"/>
        </w:numPr>
        <w:ind w:firstLine="480"/>
      </w:pPr>
      <w:r>
        <w:rPr>
          <w:rFonts w:hint="eastAsia"/>
        </w:rPr>
        <w:t>吊装区域：地基承载力、起重机支腿、起重机性能、吊点吊具、吊装区域（受限空间、高压电线、四周建筑等）、人员证件、劳保用品（安全带等）的检查。</w:t>
      </w:r>
    </w:p>
    <w:p w14:paraId="3EB0C97A">
      <w:pPr>
        <w:numPr>
          <w:ilvl w:val="0"/>
          <w:numId w:val="79"/>
        </w:numPr>
        <w:ind w:firstLine="480"/>
      </w:pPr>
      <w:r>
        <w:rPr>
          <w:rFonts w:hint="eastAsia"/>
        </w:rPr>
        <w:t>焊接与气割：接地情况、开关箱、一机一闸、气瓶安全距离、气瓶存储方式、动火作业申请、人员证件、劳保用品、消防设施的检查。</w:t>
      </w:r>
    </w:p>
    <w:p w14:paraId="1F2E1CDC">
      <w:pPr>
        <w:numPr>
          <w:ilvl w:val="0"/>
          <w:numId w:val="79"/>
        </w:numPr>
        <w:ind w:firstLine="480"/>
      </w:pPr>
      <w:r>
        <w:rPr>
          <w:rFonts w:hint="eastAsia"/>
        </w:rPr>
        <w:t>临时用电检查：电箱、开关箱、电缆线。</w:t>
      </w:r>
    </w:p>
    <w:p w14:paraId="05B28634">
      <w:pPr>
        <w:pStyle w:val="3"/>
      </w:pPr>
      <w:bookmarkStart w:id="165" w:name="_Toc5936"/>
      <w:r>
        <w:rPr>
          <w:rFonts w:hint="eastAsia"/>
        </w:rPr>
        <w:t>验收人员</w:t>
      </w:r>
      <w:bookmarkEnd w:id="165"/>
    </w:p>
    <w:p w14:paraId="5E7D33B1">
      <w:pPr>
        <w:ind w:firstLine="480"/>
      </w:pPr>
      <w:bookmarkStart w:id="166" w:name="_Toc28613976"/>
      <w:bookmarkStart w:id="167" w:name="_Toc20052"/>
      <w:bookmarkStart w:id="168" w:name="_Toc40778453"/>
      <w:r>
        <w:rPr>
          <w:rFonts w:hint="eastAsia"/>
        </w:rPr>
        <w:t>参与验收人员包括：安拆单位现场负责人、安拆班组长、项目部代表（含技术、安全、设备管理人员）等，需要监理验收的通知监理参与验收。</w:t>
      </w:r>
    </w:p>
    <w:p w14:paraId="74A8144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6F1FD777">
      <w:pPr>
        <w:pStyle w:val="2"/>
      </w:pPr>
      <w:bookmarkStart w:id="169" w:name="_Toc32680"/>
      <w:bookmarkStart w:id="170" w:name="_Toc15669"/>
      <w:r>
        <w:rPr>
          <w:rFonts w:hint="eastAsia"/>
        </w:rPr>
        <w:t>应急处置措施</w:t>
      </w:r>
      <w:bookmarkEnd w:id="166"/>
      <w:bookmarkEnd w:id="167"/>
      <w:bookmarkEnd w:id="168"/>
      <w:bookmarkEnd w:id="169"/>
      <w:bookmarkEnd w:id="170"/>
    </w:p>
    <w:p w14:paraId="02A079C1">
      <w:pPr>
        <w:pStyle w:val="3"/>
      </w:pPr>
      <w:bookmarkStart w:id="171" w:name="_Toc21328"/>
      <w:bookmarkStart w:id="172" w:name="_Toc40778454"/>
      <w:bookmarkStart w:id="173" w:name="_Toc28613977"/>
      <w:bookmarkStart w:id="174" w:name="_Toc23556"/>
      <w:bookmarkStart w:id="175" w:name="_Toc88642976"/>
      <w:bookmarkStart w:id="176" w:name="_Toc86675425"/>
      <w:bookmarkStart w:id="177" w:name="_Toc21017"/>
      <w:bookmarkStart w:id="178" w:name="_Toc40778456"/>
      <w:bookmarkStart w:id="179" w:name="_Toc63185590"/>
      <w:bookmarkStart w:id="180" w:name="_Toc22714"/>
      <w:r>
        <w:rPr>
          <w:rFonts w:hint="eastAsia"/>
        </w:rPr>
        <w:t>组织</w:t>
      </w:r>
      <w:bookmarkEnd w:id="171"/>
      <w:bookmarkEnd w:id="172"/>
      <w:bookmarkEnd w:id="173"/>
      <w:bookmarkEnd w:id="174"/>
      <w:r>
        <w:rPr>
          <w:rFonts w:hint="eastAsia"/>
        </w:rPr>
        <w:t>机构</w:t>
      </w:r>
      <w:bookmarkEnd w:id="175"/>
      <w:bookmarkEnd w:id="176"/>
      <w:bookmarkEnd w:id="177"/>
    </w:p>
    <w:p w14:paraId="23A221E0">
      <w:pPr>
        <w:ind w:firstLine="480"/>
      </w:pPr>
      <w:r>
        <w:rPr>
          <w:rFonts w:hint="eastAsia"/>
        </w:rPr>
        <w:t>根据本施工工程成立应急救援组织机构，其人员组成、职责及联系方式详见</w:t>
      </w:r>
      <w:r>
        <w:fldChar w:fldCharType="begin"/>
      </w:r>
      <w:r>
        <w:instrText xml:space="preserve"> </w:instrText>
      </w:r>
      <w:r>
        <w:rPr>
          <w:rFonts w:hint="eastAsia"/>
        </w:rPr>
        <w:instrText xml:space="preserve">REF _Ref124494803 \h</w:instrText>
      </w:r>
      <w:r>
        <w:instrText xml:space="preserve"> </w:instrText>
      </w:r>
      <w:r>
        <w:fldChar w:fldCharType="separate"/>
      </w:r>
      <w:r>
        <w:rPr>
          <w:rFonts w:hint="eastAsia"/>
        </w:rPr>
        <w:t>表</w:t>
      </w:r>
      <w:r>
        <w:t>9.1</w:t>
      </w:r>
      <w:r>
        <w:rPr>
          <w:rFonts w:hint="eastAsia"/>
        </w:rPr>
        <w:t>-</w:t>
      </w:r>
      <w:r>
        <w:t>1</w:t>
      </w:r>
      <w:r>
        <w:fldChar w:fldCharType="end"/>
      </w:r>
      <w:r>
        <w:rPr>
          <w:rFonts w:hint="eastAsia"/>
        </w:rPr>
        <w:t>所示。</w:t>
      </w:r>
    </w:p>
    <w:p w14:paraId="624937BD">
      <w:pPr>
        <w:pStyle w:val="15"/>
      </w:pPr>
      <w:bookmarkStart w:id="181" w:name="_Ref12449480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9.1</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81"/>
      <w:r>
        <w:rPr>
          <w:rFonts w:hint="eastAsia"/>
        </w:rPr>
        <w:t xml:space="preserve"> 应急救援组织机构、职责及联系方式</w:t>
      </w:r>
    </w:p>
    <w:tbl>
      <w:tblPr>
        <w:tblStyle w:val="106"/>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1316"/>
        <w:gridCol w:w="873"/>
        <w:gridCol w:w="3358"/>
        <w:gridCol w:w="1459"/>
        <w:gridCol w:w="801"/>
      </w:tblGrid>
      <w:tr w14:paraId="7DA440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blHeader/>
        </w:trPr>
        <w:tc>
          <w:tcPr>
            <w:tcW w:w="420" w:type="pct"/>
            <w:shd w:val="clear" w:color="auto" w:fill="auto"/>
            <w:vAlign w:val="center"/>
          </w:tcPr>
          <w:p w14:paraId="00961B82">
            <w:pPr>
              <w:pStyle w:val="16"/>
              <w:rPr>
                <w:b/>
              </w:rPr>
            </w:pPr>
            <w:r>
              <w:rPr>
                <w:rFonts w:hint="eastAsia"/>
                <w:b/>
              </w:rPr>
              <w:t>序号</w:t>
            </w:r>
          </w:p>
        </w:tc>
        <w:tc>
          <w:tcPr>
            <w:tcW w:w="772" w:type="pct"/>
            <w:shd w:val="clear" w:color="auto" w:fill="auto"/>
            <w:vAlign w:val="center"/>
          </w:tcPr>
          <w:p w14:paraId="19A9FF6E">
            <w:pPr>
              <w:pStyle w:val="16"/>
              <w:rPr>
                <w:b/>
              </w:rPr>
            </w:pPr>
            <w:r>
              <w:rPr>
                <w:rFonts w:hint="eastAsia"/>
                <w:b/>
              </w:rPr>
              <w:t>岗位</w:t>
            </w:r>
          </w:p>
        </w:tc>
        <w:tc>
          <w:tcPr>
            <w:tcW w:w="512" w:type="pct"/>
            <w:shd w:val="clear" w:color="auto" w:fill="auto"/>
            <w:vAlign w:val="center"/>
          </w:tcPr>
          <w:p w14:paraId="29B8D117">
            <w:pPr>
              <w:pStyle w:val="16"/>
              <w:rPr>
                <w:b/>
              </w:rPr>
            </w:pPr>
            <w:r>
              <w:rPr>
                <w:rFonts w:hint="eastAsia"/>
                <w:b/>
              </w:rPr>
              <w:t>姓名</w:t>
            </w:r>
          </w:p>
        </w:tc>
        <w:tc>
          <w:tcPr>
            <w:tcW w:w="1970" w:type="pct"/>
            <w:shd w:val="clear" w:color="auto" w:fill="auto"/>
            <w:vAlign w:val="center"/>
          </w:tcPr>
          <w:p w14:paraId="323A3231">
            <w:pPr>
              <w:pStyle w:val="16"/>
              <w:rPr>
                <w:b/>
              </w:rPr>
            </w:pPr>
            <w:r>
              <w:rPr>
                <w:rFonts w:hint="eastAsia"/>
                <w:b/>
              </w:rPr>
              <w:t>工作职责</w:t>
            </w:r>
          </w:p>
        </w:tc>
        <w:tc>
          <w:tcPr>
            <w:tcW w:w="856" w:type="pct"/>
            <w:shd w:val="clear" w:color="auto" w:fill="auto"/>
            <w:vAlign w:val="center"/>
          </w:tcPr>
          <w:p w14:paraId="33494FA5">
            <w:pPr>
              <w:pStyle w:val="16"/>
              <w:rPr>
                <w:b/>
              </w:rPr>
            </w:pPr>
            <w:r>
              <w:rPr>
                <w:rFonts w:hint="eastAsia"/>
                <w:b/>
              </w:rPr>
              <w:t>联系电话</w:t>
            </w:r>
          </w:p>
        </w:tc>
        <w:tc>
          <w:tcPr>
            <w:tcW w:w="470" w:type="pct"/>
            <w:shd w:val="clear" w:color="auto" w:fill="auto"/>
            <w:vAlign w:val="center"/>
          </w:tcPr>
          <w:p w14:paraId="27C47A77">
            <w:pPr>
              <w:pStyle w:val="16"/>
              <w:rPr>
                <w:b/>
              </w:rPr>
            </w:pPr>
            <w:r>
              <w:rPr>
                <w:rFonts w:hint="eastAsia"/>
                <w:b/>
              </w:rPr>
              <w:t>备注</w:t>
            </w:r>
          </w:p>
        </w:tc>
      </w:tr>
      <w:tr w14:paraId="3E8737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0" w:type="pct"/>
            <w:shd w:val="clear" w:color="auto" w:fill="auto"/>
            <w:vAlign w:val="center"/>
          </w:tcPr>
          <w:p w14:paraId="215BB25B">
            <w:pPr>
              <w:pStyle w:val="16"/>
              <w:numPr>
                <w:ilvl w:val="0"/>
                <w:numId w:val="80"/>
              </w:numPr>
            </w:pPr>
          </w:p>
        </w:tc>
        <w:tc>
          <w:tcPr>
            <w:tcW w:w="772" w:type="pct"/>
            <w:shd w:val="clear" w:color="auto" w:fill="auto"/>
            <w:vAlign w:val="center"/>
          </w:tcPr>
          <w:p w14:paraId="55D61EA8">
            <w:pPr>
              <w:pStyle w:val="16"/>
            </w:pPr>
            <w:r>
              <w:rPr>
                <w:rFonts w:hint="eastAsia"/>
              </w:rPr>
              <w:t>现场负责人</w:t>
            </w:r>
          </w:p>
        </w:tc>
        <w:tc>
          <w:tcPr>
            <w:tcW w:w="512" w:type="pct"/>
            <w:shd w:val="clear" w:color="auto" w:fill="auto"/>
            <w:vAlign w:val="center"/>
          </w:tcPr>
          <w:p w14:paraId="1262E575">
            <w:pPr>
              <w:pStyle w:val="16"/>
            </w:pPr>
            <w:r>
              <w:rPr>
                <w:rFonts w:hint="eastAsia"/>
                <w:color w:val="000000" w:themeColor="text1"/>
                <w14:textFill>
                  <w14:solidFill>
                    <w14:schemeClr w14:val="tx1"/>
                  </w14:solidFill>
                </w14:textFill>
              </w:rPr>
              <w:t>吕士昌</w:t>
            </w:r>
          </w:p>
        </w:tc>
        <w:tc>
          <w:tcPr>
            <w:tcW w:w="1970" w:type="pct"/>
            <w:shd w:val="clear" w:color="auto" w:fill="auto"/>
            <w:vAlign w:val="center"/>
          </w:tcPr>
          <w:p w14:paraId="7709657C">
            <w:pPr>
              <w:pStyle w:val="16"/>
              <w:jc w:val="both"/>
            </w:pPr>
            <w:r>
              <w:rPr>
                <w:rFonts w:hint="eastAsia"/>
              </w:rPr>
              <w:t>负责设备安装组织、实施及安全</w:t>
            </w:r>
          </w:p>
        </w:tc>
        <w:tc>
          <w:tcPr>
            <w:tcW w:w="856" w:type="pct"/>
            <w:shd w:val="clear" w:color="auto" w:fill="auto"/>
            <w:vAlign w:val="center"/>
          </w:tcPr>
          <w:p w14:paraId="5DB698A8">
            <w:pPr>
              <w:pStyle w:val="16"/>
            </w:pPr>
            <w:r>
              <w:rPr>
                <w:rFonts w:hint="eastAsia"/>
              </w:rPr>
              <w:t>13983589023</w:t>
            </w:r>
          </w:p>
        </w:tc>
        <w:tc>
          <w:tcPr>
            <w:tcW w:w="470" w:type="pct"/>
            <w:shd w:val="clear" w:color="auto" w:fill="auto"/>
            <w:vAlign w:val="center"/>
          </w:tcPr>
          <w:p w14:paraId="4E0C7DA9">
            <w:pPr>
              <w:pStyle w:val="16"/>
            </w:pPr>
          </w:p>
        </w:tc>
      </w:tr>
      <w:tr w14:paraId="0FD83C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0" w:type="pct"/>
            <w:shd w:val="clear" w:color="auto" w:fill="auto"/>
            <w:vAlign w:val="center"/>
          </w:tcPr>
          <w:p w14:paraId="64741008">
            <w:pPr>
              <w:pStyle w:val="16"/>
              <w:numPr>
                <w:ilvl w:val="0"/>
                <w:numId w:val="80"/>
              </w:numPr>
            </w:pPr>
          </w:p>
        </w:tc>
        <w:tc>
          <w:tcPr>
            <w:tcW w:w="772" w:type="pct"/>
            <w:shd w:val="clear" w:color="auto" w:fill="auto"/>
            <w:vAlign w:val="center"/>
          </w:tcPr>
          <w:p w14:paraId="5397DFF7">
            <w:pPr>
              <w:pStyle w:val="16"/>
            </w:pPr>
            <w:r>
              <w:rPr>
                <w:rFonts w:hint="eastAsia"/>
              </w:rPr>
              <w:t>设备安拆工</w:t>
            </w:r>
          </w:p>
        </w:tc>
        <w:tc>
          <w:tcPr>
            <w:tcW w:w="512" w:type="pct"/>
            <w:shd w:val="clear" w:color="auto" w:fill="auto"/>
            <w:vAlign w:val="center"/>
          </w:tcPr>
          <w:p w14:paraId="0477F780">
            <w:pPr>
              <w:pStyle w:val="16"/>
            </w:pPr>
            <w:r>
              <w:rPr>
                <w:rFonts w:hint="eastAsia"/>
                <w:color w:val="000000" w:themeColor="text1"/>
                <w14:textFill>
                  <w14:solidFill>
                    <w14:schemeClr w14:val="tx1"/>
                  </w14:solidFill>
                </w14:textFill>
              </w:rPr>
              <w:t>何小兵</w:t>
            </w:r>
          </w:p>
        </w:tc>
        <w:tc>
          <w:tcPr>
            <w:tcW w:w="1970" w:type="pct"/>
            <w:shd w:val="clear" w:color="auto" w:fill="auto"/>
            <w:vAlign w:val="center"/>
          </w:tcPr>
          <w:p w14:paraId="095EAB24">
            <w:pPr>
              <w:pStyle w:val="16"/>
              <w:jc w:val="both"/>
            </w:pPr>
            <w:r>
              <w:rPr>
                <w:rFonts w:hint="eastAsia"/>
              </w:rPr>
              <w:t>负责设备安装技术工作以及安全工作</w:t>
            </w:r>
          </w:p>
        </w:tc>
        <w:tc>
          <w:tcPr>
            <w:tcW w:w="856" w:type="pct"/>
            <w:shd w:val="clear" w:color="auto" w:fill="auto"/>
            <w:vAlign w:val="center"/>
          </w:tcPr>
          <w:p w14:paraId="6C518AD0">
            <w:pPr>
              <w:pStyle w:val="16"/>
            </w:pPr>
            <w:r>
              <w:rPr>
                <w:rFonts w:hint="eastAsia"/>
              </w:rPr>
              <w:t>15282749992</w:t>
            </w:r>
          </w:p>
        </w:tc>
        <w:tc>
          <w:tcPr>
            <w:tcW w:w="470" w:type="pct"/>
            <w:shd w:val="clear" w:color="auto" w:fill="auto"/>
            <w:vAlign w:val="center"/>
          </w:tcPr>
          <w:p w14:paraId="694B6457">
            <w:pPr>
              <w:pStyle w:val="16"/>
            </w:pPr>
          </w:p>
        </w:tc>
      </w:tr>
      <w:tr w14:paraId="0818A3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0" w:type="pct"/>
            <w:shd w:val="clear" w:color="auto" w:fill="auto"/>
            <w:vAlign w:val="center"/>
          </w:tcPr>
          <w:p w14:paraId="75848C7F">
            <w:pPr>
              <w:pStyle w:val="16"/>
              <w:numPr>
                <w:ilvl w:val="0"/>
                <w:numId w:val="80"/>
              </w:numPr>
            </w:pPr>
          </w:p>
        </w:tc>
        <w:tc>
          <w:tcPr>
            <w:tcW w:w="772" w:type="pct"/>
            <w:shd w:val="clear" w:color="auto" w:fill="auto"/>
            <w:vAlign w:val="center"/>
          </w:tcPr>
          <w:p w14:paraId="790ED2CD">
            <w:pPr>
              <w:pStyle w:val="16"/>
            </w:pPr>
            <w:r>
              <w:rPr>
                <w:rFonts w:hint="eastAsia"/>
              </w:rPr>
              <w:t>设备安拆工</w:t>
            </w:r>
          </w:p>
        </w:tc>
        <w:tc>
          <w:tcPr>
            <w:tcW w:w="512" w:type="pct"/>
            <w:shd w:val="clear" w:color="auto" w:fill="auto"/>
            <w:vAlign w:val="center"/>
          </w:tcPr>
          <w:p w14:paraId="48BA0D9D">
            <w:pPr>
              <w:pStyle w:val="16"/>
            </w:pPr>
            <w:r>
              <w:rPr>
                <w:rFonts w:hint="eastAsia"/>
                <w:color w:val="000000" w:themeColor="text1"/>
                <w14:textFill>
                  <w14:solidFill>
                    <w14:schemeClr w14:val="tx1"/>
                  </w14:solidFill>
                </w14:textFill>
              </w:rPr>
              <w:t>罗乾龙</w:t>
            </w:r>
          </w:p>
        </w:tc>
        <w:tc>
          <w:tcPr>
            <w:tcW w:w="1970" w:type="pct"/>
            <w:shd w:val="clear" w:color="auto" w:fill="auto"/>
            <w:vAlign w:val="center"/>
          </w:tcPr>
          <w:p w14:paraId="24A925B7">
            <w:pPr>
              <w:pStyle w:val="16"/>
              <w:jc w:val="both"/>
            </w:pPr>
            <w:r>
              <w:rPr>
                <w:rFonts w:hint="eastAsia"/>
              </w:rPr>
              <w:t>负责现场的安全组织、检查、监督、纠正</w:t>
            </w:r>
          </w:p>
        </w:tc>
        <w:tc>
          <w:tcPr>
            <w:tcW w:w="856" w:type="pct"/>
            <w:shd w:val="clear" w:color="auto" w:fill="auto"/>
            <w:vAlign w:val="center"/>
          </w:tcPr>
          <w:p w14:paraId="3B1805A0">
            <w:pPr>
              <w:pStyle w:val="16"/>
            </w:pPr>
            <w:r>
              <w:rPr>
                <w:rFonts w:hint="eastAsia"/>
              </w:rPr>
              <w:t>15823084797</w:t>
            </w:r>
          </w:p>
        </w:tc>
        <w:tc>
          <w:tcPr>
            <w:tcW w:w="470" w:type="pct"/>
            <w:shd w:val="clear" w:color="auto" w:fill="auto"/>
            <w:vAlign w:val="center"/>
          </w:tcPr>
          <w:p w14:paraId="40FFAB41">
            <w:pPr>
              <w:pStyle w:val="16"/>
            </w:pPr>
          </w:p>
        </w:tc>
      </w:tr>
      <w:tr w14:paraId="5A63C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0" w:type="pct"/>
            <w:shd w:val="clear" w:color="auto" w:fill="auto"/>
            <w:vAlign w:val="center"/>
          </w:tcPr>
          <w:p w14:paraId="29435DF2">
            <w:pPr>
              <w:pStyle w:val="16"/>
              <w:numPr>
                <w:ilvl w:val="0"/>
                <w:numId w:val="80"/>
              </w:numPr>
            </w:pPr>
          </w:p>
        </w:tc>
        <w:tc>
          <w:tcPr>
            <w:tcW w:w="772" w:type="pct"/>
            <w:shd w:val="clear" w:color="auto" w:fill="auto"/>
            <w:vAlign w:val="center"/>
          </w:tcPr>
          <w:p w14:paraId="1877E854">
            <w:pPr>
              <w:pStyle w:val="16"/>
            </w:pPr>
            <w:r>
              <w:rPr>
                <w:rFonts w:hint="eastAsia"/>
              </w:rPr>
              <w:t>设备安拆工</w:t>
            </w:r>
          </w:p>
        </w:tc>
        <w:tc>
          <w:tcPr>
            <w:tcW w:w="512" w:type="pct"/>
            <w:shd w:val="clear" w:color="auto" w:fill="auto"/>
            <w:vAlign w:val="center"/>
          </w:tcPr>
          <w:p w14:paraId="4B18A912">
            <w:pPr>
              <w:pStyle w:val="16"/>
            </w:pPr>
            <w:r>
              <w:rPr>
                <w:rFonts w:hint="eastAsia"/>
                <w:color w:val="000000" w:themeColor="text1"/>
                <w14:textFill>
                  <w14:solidFill>
                    <w14:schemeClr w14:val="tx1"/>
                  </w14:solidFill>
                </w14:textFill>
              </w:rPr>
              <w:t>刘云祥</w:t>
            </w:r>
          </w:p>
        </w:tc>
        <w:tc>
          <w:tcPr>
            <w:tcW w:w="1970" w:type="pct"/>
            <w:shd w:val="clear" w:color="auto" w:fill="auto"/>
            <w:vAlign w:val="center"/>
          </w:tcPr>
          <w:p w14:paraId="7E3C6F7A">
            <w:pPr>
              <w:pStyle w:val="16"/>
              <w:jc w:val="both"/>
            </w:pPr>
            <w:r>
              <w:rPr>
                <w:rFonts w:hint="eastAsia"/>
              </w:rPr>
              <w:t>负责设备安装的人员设备组织、协调；</w:t>
            </w:r>
          </w:p>
          <w:p w14:paraId="0C1AE71E">
            <w:pPr>
              <w:pStyle w:val="16"/>
              <w:jc w:val="both"/>
            </w:pPr>
            <w:r>
              <w:rPr>
                <w:rFonts w:hint="eastAsia"/>
              </w:rPr>
              <w:t>检查吊具、索具安全性，保证吊点正确，物件平稳，指挥信号清晰、明确。</w:t>
            </w:r>
          </w:p>
        </w:tc>
        <w:tc>
          <w:tcPr>
            <w:tcW w:w="856" w:type="pct"/>
            <w:shd w:val="clear" w:color="auto" w:fill="auto"/>
            <w:vAlign w:val="center"/>
          </w:tcPr>
          <w:p w14:paraId="7F2119A0">
            <w:pPr>
              <w:pStyle w:val="16"/>
            </w:pPr>
            <w:r>
              <w:rPr>
                <w:rFonts w:hint="eastAsia"/>
              </w:rPr>
              <w:t>18315192178</w:t>
            </w:r>
          </w:p>
        </w:tc>
        <w:tc>
          <w:tcPr>
            <w:tcW w:w="470" w:type="pct"/>
            <w:shd w:val="clear" w:color="auto" w:fill="auto"/>
            <w:vAlign w:val="center"/>
          </w:tcPr>
          <w:p w14:paraId="33E10404">
            <w:pPr>
              <w:pStyle w:val="16"/>
            </w:pPr>
          </w:p>
        </w:tc>
      </w:tr>
      <w:tr w14:paraId="2CB4056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420" w:type="pct"/>
            <w:shd w:val="clear" w:color="auto" w:fill="auto"/>
            <w:vAlign w:val="center"/>
          </w:tcPr>
          <w:p w14:paraId="12D5C3A7">
            <w:pPr>
              <w:pStyle w:val="16"/>
              <w:numPr>
                <w:ilvl w:val="0"/>
                <w:numId w:val="80"/>
              </w:numPr>
            </w:pPr>
          </w:p>
        </w:tc>
        <w:tc>
          <w:tcPr>
            <w:tcW w:w="772" w:type="pct"/>
            <w:shd w:val="clear" w:color="auto" w:fill="auto"/>
            <w:vAlign w:val="center"/>
          </w:tcPr>
          <w:p w14:paraId="2DBFA513">
            <w:pPr>
              <w:pStyle w:val="16"/>
            </w:pPr>
            <w:r>
              <w:rPr>
                <w:rFonts w:hint="eastAsia"/>
              </w:rPr>
              <w:t>电工</w:t>
            </w:r>
          </w:p>
        </w:tc>
        <w:tc>
          <w:tcPr>
            <w:tcW w:w="512" w:type="pct"/>
            <w:shd w:val="clear" w:color="auto" w:fill="auto"/>
            <w:vAlign w:val="center"/>
          </w:tcPr>
          <w:p w14:paraId="2C2CA7B7">
            <w:pPr>
              <w:pStyle w:val="16"/>
            </w:pPr>
            <w:r>
              <w:rPr>
                <w:rFonts w:hint="eastAsia"/>
                <w:color w:val="000000" w:themeColor="text1"/>
                <w14:textFill>
                  <w14:solidFill>
                    <w14:schemeClr w14:val="tx1"/>
                  </w14:solidFill>
                </w14:textFill>
              </w:rPr>
              <w:t>吴强</w:t>
            </w:r>
          </w:p>
        </w:tc>
        <w:tc>
          <w:tcPr>
            <w:tcW w:w="1970" w:type="pct"/>
            <w:shd w:val="clear" w:color="auto" w:fill="auto"/>
            <w:vAlign w:val="center"/>
          </w:tcPr>
          <w:p w14:paraId="482ADAD7">
            <w:pPr>
              <w:pStyle w:val="16"/>
              <w:jc w:val="both"/>
            </w:pPr>
            <w:r>
              <w:rPr>
                <w:rFonts w:hint="eastAsia"/>
              </w:rPr>
              <w:t>负责现场设备的电气安装、恢复、调试</w:t>
            </w:r>
          </w:p>
        </w:tc>
        <w:tc>
          <w:tcPr>
            <w:tcW w:w="856" w:type="pct"/>
            <w:shd w:val="clear" w:color="auto" w:fill="auto"/>
            <w:vAlign w:val="center"/>
          </w:tcPr>
          <w:p w14:paraId="2F1A4F43">
            <w:pPr>
              <w:pStyle w:val="16"/>
            </w:pPr>
            <w:r>
              <w:rPr>
                <w:rFonts w:hint="eastAsia"/>
              </w:rPr>
              <w:t>15884188081</w:t>
            </w:r>
          </w:p>
        </w:tc>
        <w:tc>
          <w:tcPr>
            <w:tcW w:w="470" w:type="pct"/>
            <w:shd w:val="clear" w:color="auto" w:fill="auto"/>
            <w:vAlign w:val="center"/>
          </w:tcPr>
          <w:p w14:paraId="1F5F790F">
            <w:pPr>
              <w:pStyle w:val="16"/>
            </w:pPr>
          </w:p>
        </w:tc>
      </w:tr>
    </w:tbl>
    <w:p w14:paraId="00A78F48">
      <w:pPr>
        <w:pStyle w:val="3"/>
      </w:pPr>
      <w:bookmarkStart w:id="182" w:name="_Toc9735"/>
      <w:bookmarkStart w:id="183" w:name="_Toc86675426"/>
      <w:bookmarkStart w:id="184" w:name="_Toc1874"/>
      <w:bookmarkStart w:id="185" w:name="_Toc40778455"/>
      <w:bookmarkStart w:id="186" w:name="_Toc7367"/>
      <w:bookmarkStart w:id="187" w:name="_Toc28613979"/>
      <w:bookmarkStart w:id="188" w:name="_Toc88642977"/>
      <w:r>
        <w:rPr>
          <w:rFonts w:hint="eastAsia"/>
        </w:rPr>
        <w:t>处置流程</w:t>
      </w:r>
      <w:bookmarkEnd w:id="182"/>
      <w:bookmarkEnd w:id="183"/>
      <w:bookmarkEnd w:id="184"/>
      <w:bookmarkEnd w:id="185"/>
      <w:bookmarkEnd w:id="186"/>
      <w:bookmarkEnd w:id="187"/>
      <w:bookmarkEnd w:id="188"/>
    </w:p>
    <w:p w14:paraId="671C5D16">
      <w:pPr>
        <w:ind w:firstLine="480"/>
      </w:pPr>
      <w:r>
        <w:rPr>
          <w:rFonts w:hint="eastAsia"/>
        </w:rPr>
        <w:t>现场发生事故征兆或生产安全事故，安拆单位人员立即向现场项目部管理人员汇报，并通知起重机司机、起重指挥人员停止吊装作业，协作项目部管理人员进行应急处置。</w:t>
      </w:r>
    </w:p>
    <w:bookmarkEnd w:id="178"/>
    <w:bookmarkEnd w:id="179"/>
    <w:bookmarkEnd w:id="180"/>
    <w:p w14:paraId="29C16035">
      <w:pPr>
        <w:pStyle w:val="3"/>
      </w:pPr>
      <w:bookmarkStart w:id="189" w:name="_Toc1564"/>
      <w:bookmarkStart w:id="190" w:name="_Toc86675428"/>
      <w:bookmarkStart w:id="191" w:name="_Toc88642979"/>
      <w:r>
        <w:rPr>
          <w:rFonts w:hint="eastAsia"/>
        </w:rPr>
        <w:t>应急处置措施</w:t>
      </w:r>
      <w:bookmarkEnd w:id="189"/>
    </w:p>
    <w:p w14:paraId="461C7F6D">
      <w:pPr>
        <w:pStyle w:val="4"/>
      </w:pPr>
      <w:r>
        <w:rPr>
          <w:rFonts w:hint="eastAsia"/>
        </w:rPr>
        <w:t>起重伤害应急处置措施</w:t>
      </w:r>
    </w:p>
    <w:p w14:paraId="673238F4">
      <w:pPr>
        <w:numPr>
          <w:ilvl w:val="0"/>
          <w:numId w:val="81"/>
        </w:numPr>
        <w:ind w:firstLine="480"/>
      </w:pPr>
      <w:r>
        <w:rPr>
          <w:rFonts w:hint="eastAsia"/>
        </w:rPr>
        <w:t>当发生起重吊装设备械倾覆事故时，首先查看起重机司机是否被困在操作室内，检查有无其他人员被砸伤或者掩埋在起重机下，相邻构筑物是否受到破坏。</w:t>
      </w:r>
    </w:p>
    <w:p w14:paraId="0CBFCF5F">
      <w:pPr>
        <w:numPr>
          <w:ilvl w:val="0"/>
          <w:numId w:val="81"/>
        </w:numPr>
        <w:ind w:firstLine="480"/>
      </w:pPr>
      <w:r>
        <w:rPr>
          <w:rFonts w:hint="eastAsia"/>
        </w:rPr>
        <w:t>若有人员被困，确定被埋人员的位置，立即组织现场急救。</w:t>
      </w:r>
    </w:p>
    <w:p w14:paraId="3583241D">
      <w:pPr>
        <w:numPr>
          <w:ilvl w:val="0"/>
          <w:numId w:val="81"/>
        </w:numPr>
        <w:ind w:firstLine="480"/>
      </w:pPr>
      <w:r>
        <w:rPr>
          <w:rFonts w:hint="eastAsia"/>
        </w:rPr>
        <w:t>当挖救被埋人员时，切勿使用机械挖救，以防伤人，同时调用其他起重设备将倾覆起重机缓慢拉起，设备部件固定牢固后，再组织抢救被埋人员。</w:t>
      </w:r>
    </w:p>
    <w:p w14:paraId="030D33A5">
      <w:pPr>
        <w:numPr>
          <w:ilvl w:val="0"/>
          <w:numId w:val="81"/>
        </w:numPr>
        <w:ind w:firstLine="480"/>
      </w:pPr>
      <w:r>
        <w:rPr>
          <w:rFonts w:hint="eastAsia"/>
        </w:rPr>
        <w:t>昏迷者应平卧，面部转向一侧，以防舌根下坠或分泌物、呕吐物吸入，发生喉阻塞。有骨折者，应初步固定后再搬运。</w:t>
      </w:r>
    </w:p>
    <w:p w14:paraId="2C8302E1">
      <w:pPr>
        <w:numPr>
          <w:ilvl w:val="0"/>
          <w:numId w:val="81"/>
        </w:numPr>
        <w:ind w:firstLine="480"/>
      </w:pPr>
      <w:r>
        <w:rPr>
          <w:rFonts w:hint="eastAsia"/>
        </w:rPr>
        <w:t>发现脊椎受伤者，创伤处用消毒的纱布或清洁布等覆盖伤口，用绷带或布条包扎，搬运时将伤者平卧放在帆布担架或硬板上，以免受伤的脊椎移位、断裂造成截瘫。</w:t>
      </w:r>
    </w:p>
    <w:p w14:paraId="24161F23">
      <w:pPr>
        <w:pStyle w:val="70"/>
        <w:numPr>
          <w:ilvl w:val="0"/>
          <w:numId w:val="81"/>
        </w:numPr>
        <w:ind w:firstLineChars="0"/>
      </w:pPr>
      <w:r>
        <w:rPr>
          <w:rFonts w:hint="eastAsia"/>
        </w:rPr>
        <w:t>吊装前应提前检查钢丝绳、卸扣等，发现钢丝绳存在断丝、断股、锈蚀严重等现象时必须立即更换钢丝绳。</w:t>
      </w:r>
    </w:p>
    <w:p w14:paraId="7FB5375C">
      <w:pPr>
        <w:pStyle w:val="70"/>
        <w:numPr>
          <w:ilvl w:val="0"/>
          <w:numId w:val="81"/>
        </w:numPr>
        <w:ind w:firstLineChars="0"/>
      </w:pPr>
      <w:r>
        <w:rPr>
          <w:rFonts w:hint="eastAsia"/>
        </w:rPr>
        <w:t>大型构件吊装之前必须进行试吊。</w:t>
      </w:r>
    </w:p>
    <w:p w14:paraId="6619C6B8">
      <w:pPr>
        <w:pStyle w:val="70"/>
        <w:numPr>
          <w:ilvl w:val="0"/>
          <w:numId w:val="81"/>
        </w:numPr>
        <w:ind w:firstLineChars="0"/>
      </w:pPr>
      <w:r>
        <w:rPr>
          <w:rFonts w:hint="eastAsia"/>
        </w:rPr>
        <w:t>吊装过程中若发生钢丝绳断裂，但吊物仍悬挂在空中时，首先应该立即停止吊装作业，将吊物缓缓下方至地面，更换钢丝绳检查无误后方可继续吊装。</w:t>
      </w:r>
    </w:p>
    <w:p w14:paraId="05E97C41">
      <w:pPr>
        <w:pStyle w:val="70"/>
        <w:numPr>
          <w:ilvl w:val="0"/>
          <w:numId w:val="81"/>
        </w:numPr>
        <w:ind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249CEBCE">
      <w:pPr>
        <w:pStyle w:val="4"/>
      </w:pPr>
      <w:r>
        <w:rPr>
          <w:rFonts w:hint="eastAsia"/>
        </w:rPr>
        <w:t>钢丝绳断裂、脱钩应急处置措施</w:t>
      </w:r>
    </w:p>
    <w:p w14:paraId="178CC902">
      <w:pPr>
        <w:pStyle w:val="70"/>
        <w:numPr>
          <w:ilvl w:val="0"/>
          <w:numId w:val="82"/>
        </w:numPr>
        <w:ind w:firstLineChars="0"/>
      </w:pPr>
      <w:r>
        <w:rPr>
          <w:rFonts w:hint="eastAsia"/>
        </w:rPr>
        <w:t>吊装前应提前检查钢丝绳、卸扣等，发现钢丝绳存在断丝、断股、锈蚀严重等现象时必须立即更换钢丝绳。</w:t>
      </w:r>
    </w:p>
    <w:p w14:paraId="0F0819D0">
      <w:pPr>
        <w:pStyle w:val="70"/>
        <w:numPr>
          <w:ilvl w:val="0"/>
          <w:numId w:val="82"/>
        </w:numPr>
        <w:ind w:firstLineChars="0"/>
      </w:pPr>
      <w:r>
        <w:rPr>
          <w:rFonts w:hint="eastAsia"/>
        </w:rPr>
        <w:t>大型构件吊装之前必须进行试吊。</w:t>
      </w:r>
    </w:p>
    <w:p w14:paraId="44D2E9FF">
      <w:pPr>
        <w:pStyle w:val="70"/>
        <w:numPr>
          <w:ilvl w:val="0"/>
          <w:numId w:val="82"/>
        </w:numPr>
        <w:ind w:firstLineChars="0"/>
      </w:pPr>
      <w:r>
        <w:rPr>
          <w:rFonts w:hint="eastAsia"/>
        </w:rPr>
        <w:t>吊装过程中若发生钢丝绳断裂，但吊物仍悬挂在空中时，首先应该立即停止吊装作业，将吊物缓缓下方至地面，更换钢丝绳检查无误后方可继续吊装。</w:t>
      </w:r>
    </w:p>
    <w:p w14:paraId="6A67C6A2">
      <w:pPr>
        <w:pStyle w:val="70"/>
        <w:numPr>
          <w:ilvl w:val="0"/>
          <w:numId w:val="82"/>
        </w:numPr>
        <w:ind w:firstLineChars="0"/>
      </w:pPr>
      <w:r>
        <w:rPr>
          <w:rFonts w:hint="eastAsia"/>
        </w:rPr>
        <w:t>若吊装过程中发生钢丝绳断裂，且吊物已经坠落。应首先排查坠落过程中是否造成人员伤亡，及时将受伤人员转移至安全区域等待救援车辆的到来。然后调来其他起重设备将汽车吊与吊物分离。同时检查吊车、吊物是否存在损坏现象。待确定吊物、吊车均已正常后方可重新安排吊装事宜。</w:t>
      </w:r>
    </w:p>
    <w:p w14:paraId="5C4AED59">
      <w:pPr>
        <w:pStyle w:val="4"/>
      </w:pPr>
      <w:r>
        <w:rPr>
          <w:rFonts w:hint="eastAsia"/>
        </w:rPr>
        <w:t>高处坠落应急处置措施</w:t>
      </w:r>
    </w:p>
    <w:p w14:paraId="70437E1A">
      <w:pPr>
        <w:numPr>
          <w:ilvl w:val="0"/>
          <w:numId w:val="83"/>
        </w:numPr>
        <w:ind w:firstLine="480"/>
      </w:pPr>
      <w:r>
        <w:rPr>
          <w:rFonts w:hint="eastAsia"/>
        </w:rPr>
        <w:t>发生高处坠落事故，应马上组织挽救伤者，首先观察伤者的受伤情况、部位、伤害性质，如伤员发生休克，应先处理休克。遇呼吸、心跳停止者，应立即进行人工呼吸，胸外心脏挤压。处于休克状态的伤员要认其安静、保暖、平卧、少动，并将下肢抬高约20度左右，尽快送医院进行抢救治疗。</w:t>
      </w:r>
    </w:p>
    <w:p w14:paraId="6849B1A4">
      <w:pPr>
        <w:numPr>
          <w:ilvl w:val="0"/>
          <w:numId w:val="84"/>
        </w:numPr>
        <w:ind w:firstLine="480"/>
      </w:pPr>
      <w:r>
        <w:rPr>
          <w:rFonts w:hint="eastAsia"/>
        </w:rPr>
        <w:t>出现颅脑损伤时，必须维持呼吸道畅通。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往就近有条件的医院治疗。</w:t>
      </w:r>
    </w:p>
    <w:p w14:paraId="6E30C6B4">
      <w:pPr>
        <w:numPr>
          <w:ilvl w:val="0"/>
          <w:numId w:val="84"/>
        </w:numPr>
        <w:ind w:firstLine="480"/>
      </w:pPr>
      <w:r>
        <w:rPr>
          <w:rFonts w:hint="eastAsia"/>
        </w:rPr>
        <w:t>发现脊椎受伤者，创伤处用消毒的纱布或清洁布等覆盖伤口，用绷带或布条包扎，搬运时将伤者平卧放在帆布担架或硬板上，以免受伤的脊椎移位、断裂造成截瘫，招致死亡。抢救脊椎受伤者，搬运过程中，严禁只抬伤者的两肩与两腿或单肩背运。</w:t>
      </w:r>
    </w:p>
    <w:p w14:paraId="6043D755">
      <w:pPr>
        <w:numPr>
          <w:ilvl w:val="0"/>
          <w:numId w:val="84"/>
        </w:numPr>
        <w:ind w:firstLine="480"/>
      </w:pPr>
      <w:r>
        <w:rPr>
          <w:rFonts w:hint="eastAsia"/>
        </w:rPr>
        <w:t>发现伤者手足骨折者，不要盲目搬动伤者。应在骨折部位用夹板把受伤的位置临时固定，使断端不再移位或刺伤肌肉、神经或血管。固定方法：以固定骨折处上下关节为原则，用夹板，也可就地取材，用木板、竹子等，在无材料的情况下，上肢可固定在身侧，下肢与腱侧下肢缚在一起。</w:t>
      </w:r>
    </w:p>
    <w:p w14:paraId="25A8C01B">
      <w:pPr>
        <w:numPr>
          <w:ilvl w:val="0"/>
          <w:numId w:val="84"/>
        </w:numPr>
        <w:ind w:firstLine="480"/>
      </w:pPr>
      <w:r>
        <w:rPr>
          <w:rFonts w:hint="eastAsia"/>
        </w:rPr>
        <w:t>遇有创伤性出血的伤员，应迅速包扎止血，使伤员保持在头底脚高的卧位，并注意保暖。正确的现场止血处理措施：</w:t>
      </w:r>
    </w:p>
    <w:p w14:paraId="55DE98AF">
      <w:pPr>
        <w:numPr>
          <w:ilvl w:val="0"/>
          <w:numId w:val="85"/>
        </w:numPr>
        <w:ind w:firstLine="480"/>
      </w:pPr>
      <w:r>
        <w:rPr>
          <w:rFonts w:hint="eastAsia"/>
        </w:rPr>
        <w:t>一般伤口的止血法：先用生理盐水（0.9%Nacl溶液）冲洗伤口，涂上红汞水，然后盖上消毒纱布，用绷带较紧地包扎。</w:t>
      </w:r>
    </w:p>
    <w:p w14:paraId="57945959">
      <w:pPr>
        <w:numPr>
          <w:ilvl w:val="0"/>
          <w:numId w:val="85"/>
        </w:numPr>
        <w:ind w:firstLine="480"/>
      </w:pPr>
      <w:r>
        <w:rPr>
          <w:rFonts w:hint="eastAsia"/>
        </w:rPr>
        <w:t>加压包扎止血法：用纱布、棉花等作成软件垫，放在伤口上再加包扎，来增强压力而达到止血。</w:t>
      </w:r>
    </w:p>
    <w:p w14:paraId="71349B1F">
      <w:pPr>
        <w:numPr>
          <w:ilvl w:val="0"/>
          <w:numId w:val="85"/>
        </w:numPr>
        <w:ind w:firstLine="480"/>
      </w:pPr>
      <w:r>
        <w:rPr>
          <w:rFonts w:hint="eastAsia"/>
        </w:rPr>
        <w:t>止血带止血法：选择弹性好的橡皮管、橡皮带或三角巾、毛巾、带状布条等，上肢出血结扎在上臂1/2处（靠近心脏位置），下肢出血结扎在大腿上1/3处（靠近心脏位置）。结扎时，在止血带与皮肤之间垫上纱布棉垫。每隔25—40分钟放松一次，每次放松0.5—1分钟。</w:t>
      </w:r>
    </w:p>
    <w:p w14:paraId="0A2FF4C4">
      <w:pPr>
        <w:numPr>
          <w:ilvl w:val="0"/>
          <w:numId w:val="84"/>
        </w:numPr>
        <w:ind w:firstLine="480"/>
      </w:pPr>
      <w:r>
        <w:rPr>
          <w:rFonts w:hint="eastAsia"/>
        </w:rPr>
        <w:t>动用最快的交通工具或其他措施，及时把伤者送往邻近医院抢救，运送途中应尽量减少颠簸。同时密切注意伤者的呼吸、脉搏、血压及伤口的情况。</w:t>
      </w:r>
    </w:p>
    <w:p w14:paraId="7C1AD583">
      <w:pPr>
        <w:pStyle w:val="4"/>
      </w:pPr>
      <w:r>
        <w:rPr>
          <w:rFonts w:hint="eastAsia"/>
        </w:rPr>
        <w:t>物体打击应急处置措施</w:t>
      </w:r>
    </w:p>
    <w:p w14:paraId="34A77A54">
      <w:pPr>
        <w:pStyle w:val="70"/>
        <w:numPr>
          <w:ilvl w:val="0"/>
          <w:numId w:val="86"/>
        </w:numPr>
        <w:ind w:firstLineChars="0"/>
      </w:pPr>
      <w:r>
        <w:rPr>
          <w:rFonts w:hint="eastAsia"/>
        </w:rPr>
        <w:t>当发生物体打击事故后，抢救的重点放在颅脑损伤、胸部骨折和出血上进行处理。</w:t>
      </w:r>
    </w:p>
    <w:p w14:paraId="180CBF10">
      <w:pPr>
        <w:pStyle w:val="70"/>
        <w:numPr>
          <w:ilvl w:val="0"/>
          <w:numId w:val="86"/>
        </w:numPr>
        <w:ind w:firstLineChars="0"/>
      </w:pPr>
      <w:r>
        <w:rPr>
          <w:rFonts w:hint="eastAsia"/>
        </w:rPr>
        <w:t>当施工人员发生物体打击时，首先观察伤者的受伤情况、部位、伤害性质，尽可能不要移动患者，尽量当场施救。如果处在不宜施工的场所时必须将患者搬运到能够安全施救的地方，搬运时应尽量多找一些人来搬运，观察患者呼吸和脸色的变化，如果是脊柱骨折，不要弯曲、扭动患者的颈部和身体，不要接触患者的伤口，要使患者身体放松，尽量将患者放到担架或平板上进行搬运。</w:t>
      </w:r>
    </w:p>
    <w:p w14:paraId="3C0A820F">
      <w:pPr>
        <w:pStyle w:val="70"/>
        <w:numPr>
          <w:ilvl w:val="0"/>
          <w:numId w:val="86"/>
        </w:numPr>
        <w:ind w:firstLineChars="0"/>
      </w:pPr>
      <w:r>
        <w:rPr>
          <w:rFonts w:hint="eastAsia"/>
        </w:rPr>
        <w:t>遇呼吸、心跳停止者，应立即进行人工呼吸，胸外心脏挤压。处于休克状态的伤员要让其安静、保暖、平卧、少动，并将下肢抬高约20度左右，尽快送医院进行抢救治疗。</w:t>
      </w:r>
    </w:p>
    <w:p w14:paraId="02233B85">
      <w:pPr>
        <w:pStyle w:val="70"/>
        <w:numPr>
          <w:ilvl w:val="0"/>
          <w:numId w:val="86"/>
        </w:numPr>
        <w:ind w:firstLineChars="0"/>
      </w:pPr>
      <w:r>
        <w:rPr>
          <w:rFonts w:hint="eastAsia"/>
        </w:rPr>
        <w:t>出现颅脑损伤，必须维持呼吸道通畅。昏迷者应平卧，面部转向一侧，以防舌根下坠或分泌物、呕吐物吸入，发生喉阻塞。有骨折者，应初步固定后再搬运。遇有凹陷骨折、严重的颅底骨折及严重的脑损伤症状出现，创伤处用消毒的纱布或清洁布等覆盖伤口，用绷带或布条包扎后，及时送医院治疗。</w:t>
      </w:r>
    </w:p>
    <w:p w14:paraId="24244A6E">
      <w:pPr>
        <w:pStyle w:val="4"/>
      </w:pPr>
      <w:r>
        <w:rPr>
          <w:rFonts w:hint="eastAsia"/>
        </w:rPr>
        <w:t>机械伤害应急处置措施</w:t>
      </w:r>
    </w:p>
    <w:p w14:paraId="5D0173E4">
      <w:pPr>
        <w:pStyle w:val="70"/>
        <w:numPr>
          <w:ilvl w:val="0"/>
          <w:numId w:val="87"/>
        </w:numPr>
        <w:ind w:firstLineChars="0"/>
      </w:pPr>
      <w:r>
        <w:rPr>
          <w:rFonts w:hint="eastAsia"/>
        </w:rPr>
        <w:t>当施工人员发生机械伤害事故时，迅速确定事故发生的准确位置、可能波及的范围、设备损坏的程度、人员伤亡等情况，观察伤者的受伤情况、部位、伤害性质，急救人员应尽快赶往出事地点。</w:t>
      </w:r>
    </w:p>
    <w:p w14:paraId="1BC7DE7A">
      <w:pPr>
        <w:pStyle w:val="70"/>
        <w:numPr>
          <w:ilvl w:val="0"/>
          <w:numId w:val="87"/>
        </w:numPr>
        <w:ind w:firstLineChars="0"/>
      </w:pPr>
      <w:r>
        <w:rPr>
          <w:rFonts w:hint="eastAsia"/>
        </w:rPr>
        <w:t>休克、昏迷急救</w:t>
      </w:r>
    </w:p>
    <w:p w14:paraId="5DAEB055">
      <w:pPr>
        <w:ind w:firstLine="480"/>
      </w:pPr>
      <w:r>
        <w:rPr>
          <w:rFonts w:hint="eastAsia"/>
        </w:rPr>
        <w:t>让休克者平卧、不用枕头，腿部抬高30度。若属于心原性休克同时伴有心力衰竭、气急，不能平卧时，可采用半卧，注意保暖和安静，尽量不要搬动，如必须搬动时，动作要轻。</w:t>
      </w:r>
    </w:p>
    <w:p w14:paraId="11AF87B2">
      <w:pPr>
        <w:pStyle w:val="70"/>
        <w:numPr>
          <w:ilvl w:val="0"/>
          <w:numId w:val="87"/>
        </w:numPr>
        <w:ind w:firstLineChars="0"/>
      </w:pPr>
      <w:r>
        <w:rPr>
          <w:rFonts w:hint="eastAsia"/>
        </w:rPr>
        <w:t>骨折急救</w:t>
      </w:r>
    </w:p>
    <w:p w14:paraId="15F570D6">
      <w:pPr>
        <w:pStyle w:val="70"/>
        <w:numPr>
          <w:ilvl w:val="0"/>
          <w:numId w:val="88"/>
        </w:numPr>
        <w:ind w:firstLineChars="0"/>
      </w:pPr>
      <w:r>
        <w:rPr>
          <w:rFonts w:hint="eastAsia"/>
        </w:rPr>
        <w:t xml:space="preserve">固定断骨的材料可就地取材，如棍、木板、拐杖、硬纸板等都可作为固定材料，长短要以能固定住骨折处上下两个关节或不使断骨错动为准。 </w:t>
      </w:r>
    </w:p>
    <w:p w14:paraId="03F68BED">
      <w:pPr>
        <w:pStyle w:val="70"/>
        <w:numPr>
          <w:ilvl w:val="0"/>
          <w:numId w:val="88"/>
        </w:numPr>
        <w:ind w:firstLineChars="0"/>
      </w:pPr>
      <w:r>
        <w:rPr>
          <w:rFonts w:hint="eastAsia"/>
        </w:rPr>
        <w:t xml:space="preserve">脊柱骨折或骨折或颈部骨折时，除非是特殊情况如室内失火，否则应让伤者留在原地，等待携有医疗器材的医护人员来搬动。  </w:t>
      </w:r>
    </w:p>
    <w:p w14:paraId="2462AFD5">
      <w:pPr>
        <w:pStyle w:val="70"/>
        <w:numPr>
          <w:ilvl w:val="0"/>
          <w:numId w:val="88"/>
        </w:numPr>
        <w:ind w:firstLineChars="0"/>
      </w:pPr>
      <w:r>
        <w:rPr>
          <w:rFonts w:hint="eastAsia"/>
        </w:rPr>
        <w:t>抬运伤者，从地上抬起时，要多人同时缓缓用力平托；运送时，必须用木板或硬材料，不能用布担架或绳床。木板上可垫棉被，但不能用枕头，颈椎骨骨折伤者的头须放正，两旁用沙袋将头夹住，不能让头随便晃动。</w:t>
      </w:r>
    </w:p>
    <w:p w14:paraId="790042B6">
      <w:pPr>
        <w:pStyle w:val="70"/>
        <w:numPr>
          <w:ilvl w:val="0"/>
          <w:numId w:val="87"/>
        </w:numPr>
        <w:ind w:firstLineChars="0"/>
      </w:pPr>
      <w:r>
        <w:rPr>
          <w:rFonts w:hint="eastAsia"/>
        </w:rPr>
        <w:t>严重出血的急救</w:t>
      </w:r>
    </w:p>
    <w:p w14:paraId="1A0C3322">
      <w:pPr>
        <w:ind w:firstLine="480"/>
      </w:pPr>
      <w:r>
        <w:rPr>
          <w:rFonts w:hint="eastAsia"/>
        </w:rPr>
        <w:t>止血的方法：</w:t>
      </w:r>
    </w:p>
    <w:p w14:paraId="6112724C">
      <w:pPr>
        <w:pStyle w:val="70"/>
        <w:numPr>
          <w:ilvl w:val="0"/>
          <w:numId w:val="89"/>
        </w:numPr>
        <w:ind w:firstLineChars="0"/>
      </w:pPr>
      <w:r>
        <w:rPr>
          <w:rFonts w:hint="eastAsia"/>
        </w:rPr>
        <w:t>一般止血法：一般伤口小的出血，先用生理盐水涂上红汞药水，然后盖上消毒纱布，用绷带较紧地包扎。</w:t>
      </w:r>
    </w:p>
    <w:p w14:paraId="1BB7AA60">
      <w:pPr>
        <w:pStyle w:val="70"/>
        <w:numPr>
          <w:ilvl w:val="0"/>
          <w:numId w:val="89"/>
        </w:numPr>
        <w:ind w:firstLineChars="0"/>
      </w:pPr>
      <w:r>
        <w:rPr>
          <w:rFonts w:hint="eastAsia"/>
        </w:rPr>
        <w:t>严重出血时，应使用压迫带止血法。这是一种最基本、最常用，也是最有效的止血方法。适用于头、颈、四肢动脉大血管出血的临时止血。即用手指或手掌用力压住比伤口靠近心脏更近部位的动脉跳动处（止血点）。只要位置找的准，这种方法能马上起到止血作用。</w:t>
      </w:r>
    </w:p>
    <w:p w14:paraId="700FD367">
      <w:pPr>
        <w:pStyle w:val="70"/>
        <w:numPr>
          <w:ilvl w:val="0"/>
          <w:numId w:val="87"/>
        </w:numPr>
        <w:ind w:firstLineChars="0"/>
      </w:pPr>
      <w:r>
        <w:rPr>
          <w:rFonts w:hint="eastAsia"/>
        </w:rPr>
        <w:t>肢体切断断肢（指）后，有时即刻造成伤者因流血或疼痛而发生休克，所以应设法首先止血，防止伤员休克。其急救要点为：</w:t>
      </w:r>
    </w:p>
    <w:p w14:paraId="2A2E0EE8">
      <w:pPr>
        <w:pStyle w:val="70"/>
        <w:numPr>
          <w:ilvl w:val="0"/>
          <w:numId w:val="90"/>
        </w:numPr>
        <w:ind w:firstLineChars="0"/>
      </w:pPr>
      <w:r>
        <w:rPr>
          <w:rFonts w:hint="eastAsia"/>
        </w:rPr>
        <w:t>让伤者躺下，用一块纱布或清洁布块（如翻出干净手帕的内面），放在断肢伤口上，再用绷带固定位置。如果找不到绷带，也可用围巾包扎。</w:t>
      </w:r>
    </w:p>
    <w:p w14:paraId="43FE90C1">
      <w:pPr>
        <w:pStyle w:val="70"/>
        <w:numPr>
          <w:ilvl w:val="0"/>
          <w:numId w:val="90"/>
        </w:numPr>
        <w:ind w:firstLineChars="0"/>
      </w:pPr>
      <w:r>
        <w:rPr>
          <w:rFonts w:hint="eastAsia"/>
        </w:rPr>
        <w:t>如是手臂切断，用绷带把断臂挂在胸前，固定位置；若是一条腿断了，则与另一条腿扎在一起。</w:t>
      </w:r>
    </w:p>
    <w:p w14:paraId="180417FA">
      <w:pPr>
        <w:pStyle w:val="70"/>
        <w:numPr>
          <w:ilvl w:val="0"/>
          <w:numId w:val="90"/>
        </w:numPr>
        <w:ind w:firstLineChars="0"/>
      </w:pPr>
      <w:r>
        <w:rPr>
          <w:rFonts w:hint="eastAsia"/>
        </w:rPr>
        <w:t>料理好伤者后，设法找回断肢。倘若离断的伤肢（指）仍在机器中，千万不能将肢体强行拉出，或将机器倒开（转），以免增加损伤的机会。正确的方法应是拆开机器后取出。</w:t>
      </w:r>
    </w:p>
    <w:p w14:paraId="70189FD1">
      <w:pPr>
        <w:pStyle w:val="70"/>
        <w:numPr>
          <w:ilvl w:val="0"/>
          <w:numId w:val="90"/>
        </w:numPr>
        <w:ind w:firstLineChars="0"/>
      </w:pPr>
      <w:r>
        <w:rPr>
          <w:rFonts w:hint="eastAsia"/>
        </w:rPr>
        <w:t xml:space="preserve">取下断落的肢（指）体后，立即用无菌纱布或干净布片包扎，然后放人塑料袋或橡皮袋中，结扎袋口。若一时未准备好袋子或消毒纱布，可暂置于4℃的冰箱内（不应放在冰冻室内，以免冻伤）。运送时应将装有断伤肢体的袋子放入合适的容器中，如广口保温桶等，周围用冰块或冰棍冷冻（注意防止冰块与其直接接触，以免冻伤），迅速同伤员一起送医院以备断肢（指）再植。   </w:t>
      </w:r>
    </w:p>
    <w:p w14:paraId="7BB8187F">
      <w:pPr>
        <w:pStyle w:val="70"/>
        <w:numPr>
          <w:ilvl w:val="0"/>
          <w:numId w:val="90"/>
        </w:numPr>
        <w:ind w:firstLineChars="0"/>
      </w:pPr>
      <w:r>
        <w:rPr>
          <w:rFonts w:hint="eastAsia"/>
        </w:rPr>
        <w:t>离断后的伤肢，如有少许皮肤或其他肌腱相连，不能将其离断，应放在夹板或阔竹片上，然后包扎，立即送到医院作紧急处理。</w:t>
      </w:r>
    </w:p>
    <w:p w14:paraId="6090BED7">
      <w:pPr>
        <w:pStyle w:val="70"/>
        <w:numPr>
          <w:ilvl w:val="0"/>
          <w:numId w:val="90"/>
        </w:numPr>
        <w:ind w:firstLineChars="0"/>
      </w:pPr>
      <w:r>
        <w:rPr>
          <w:rFonts w:hint="eastAsia"/>
        </w:rPr>
        <w:t>严禁在离断伤肢（指）的断端涂抹各种药物及药水（包括消毒剂），更不能涂抹牙膏、灶灰之类试图止血。</w:t>
      </w:r>
    </w:p>
    <w:p w14:paraId="2BF61DF1">
      <w:pPr>
        <w:pStyle w:val="70"/>
        <w:numPr>
          <w:ilvl w:val="0"/>
          <w:numId w:val="87"/>
        </w:numPr>
        <w:ind w:firstLineChars="0"/>
      </w:pPr>
      <w:r>
        <w:rPr>
          <w:rFonts w:hint="eastAsia"/>
        </w:rPr>
        <w:t>一般性外伤</w:t>
      </w:r>
    </w:p>
    <w:p w14:paraId="1BE7663E">
      <w:pPr>
        <w:pStyle w:val="70"/>
        <w:numPr>
          <w:ilvl w:val="1"/>
          <w:numId w:val="91"/>
        </w:numPr>
        <w:ind w:firstLineChars="0"/>
      </w:pPr>
      <w:r>
        <w:rPr>
          <w:rFonts w:hint="eastAsia"/>
        </w:rPr>
        <w:t>视伤情送往医院，防止破伤风。</w:t>
      </w:r>
    </w:p>
    <w:p w14:paraId="174A1B23">
      <w:pPr>
        <w:pStyle w:val="70"/>
        <w:numPr>
          <w:ilvl w:val="1"/>
          <w:numId w:val="91"/>
        </w:numPr>
        <w:ind w:firstLineChars="0"/>
      </w:pPr>
      <w:r>
        <w:rPr>
          <w:rFonts w:hint="eastAsia"/>
        </w:rPr>
        <w:t>轻微内伤，送医院检查。</w:t>
      </w:r>
    </w:p>
    <w:p w14:paraId="7708D80A">
      <w:pPr>
        <w:pStyle w:val="4"/>
      </w:pPr>
      <w:r>
        <w:rPr>
          <w:rFonts w:hint="eastAsia"/>
        </w:rPr>
        <w:t>触电应急处置措施</w:t>
      </w:r>
    </w:p>
    <w:p w14:paraId="543BCD0F">
      <w:pPr>
        <w:pStyle w:val="70"/>
        <w:numPr>
          <w:ilvl w:val="2"/>
          <w:numId w:val="92"/>
        </w:numPr>
        <w:ind w:firstLineChars="0"/>
      </w:pPr>
      <w:r>
        <w:rPr>
          <w:rFonts w:hint="eastAsia"/>
        </w:rPr>
        <w:t>迅速脱离电源</w:t>
      </w:r>
    </w:p>
    <w:p w14:paraId="1536A77F">
      <w:pPr>
        <w:ind w:firstLine="480"/>
      </w:pPr>
      <w:r>
        <w:rPr>
          <w:rFonts w:hint="eastAsia"/>
        </w:rPr>
        <w:t>人体触电以后，可能由于痉挛或失去知觉等原因而紧抓带电体，不能自己摆脱电源。抢救触电者的首要步骤就是使触电者尽快脱离电源。</w:t>
      </w:r>
    </w:p>
    <w:p w14:paraId="6CC46DF4">
      <w:pPr>
        <w:ind w:firstLine="480"/>
      </w:pPr>
      <w:r>
        <w:rPr>
          <w:rFonts w:hint="eastAsia"/>
        </w:rPr>
        <w:t>使触电者脱离电源的方法：</w:t>
      </w:r>
    </w:p>
    <w:p w14:paraId="46BB1A08">
      <w:pPr>
        <w:pStyle w:val="70"/>
        <w:numPr>
          <w:ilvl w:val="1"/>
          <w:numId w:val="93"/>
        </w:numPr>
        <w:ind w:firstLineChars="0"/>
      </w:pPr>
      <w:r>
        <w:rPr>
          <w:rFonts w:hint="eastAsia"/>
        </w:rPr>
        <w:t>立即将闸刀打开或将插头拨掉，切断电源。要注意，普通的电灯开关（如拉线开关）只能关断一根线，有时关断的不是相线，并未真正切断电源。</w:t>
      </w:r>
    </w:p>
    <w:p w14:paraId="12E2906E">
      <w:pPr>
        <w:pStyle w:val="70"/>
        <w:numPr>
          <w:ilvl w:val="1"/>
          <w:numId w:val="93"/>
        </w:numPr>
        <w:ind w:firstLineChars="0"/>
      </w:pPr>
      <w:r>
        <w:rPr>
          <w:rFonts w:hint="eastAsia"/>
        </w:rPr>
        <w:t>找不到开关或插头时，可用绝缘的物体（如干燥的木棒、竹杆、手套等）将电线拨开，使触电者脱离电源。</w:t>
      </w:r>
    </w:p>
    <w:p w14:paraId="18CB988A">
      <w:pPr>
        <w:pStyle w:val="70"/>
        <w:numPr>
          <w:ilvl w:val="1"/>
          <w:numId w:val="93"/>
        </w:numPr>
        <w:ind w:firstLineChars="0"/>
      </w:pPr>
      <w:r>
        <w:rPr>
          <w:rFonts w:hint="eastAsia"/>
        </w:rPr>
        <w:t>用绝缘工具（如带绝缘的电工钳、木柄斧头以及锄头等）切断电线来切断电源。</w:t>
      </w:r>
    </w:p>
    <w:p w14:paraId="55A7B209">
      <w:pPr>
        <w:pStyle w:val="70"/>
        <w:numPr>
          <w:ilvl w:val="1"/>
          <w:numId w:val="93"/>
        </w:numPr>
        <w:ind w:firstLineChars="0"/>
      </w:pPr>
      <w:r>
        <w:rPr>
          <w:rFonts w:hint="eastAsia"/>
        </w:rPr>
        <w:t>遇高压触电事故，立即通过有关部门停电。</w:t>
      </w:r>
    </w:p>
    <w:p w14:paraId="1D65DD30">
      <w:pPr>
        <w:ind w:firstLine="480"/>
      </w:pPr>
      <w:r>
        <w:rPr>
          <w:rFonts w:hint="eastAsia"/>
        </w:rPr>
        <w:t>总之，要因地制宜，灵活运用各种方法，快速切断电源，防止事故扩大。</w:t>
      </w:r>
    </w:p>
    <w:p w14:paraId="67E32CB6">
      <w:pPr>
        <w:pStyle w:val="70"/>
        <w:numPr>
          <w:ilvl w:val="2"/>
          <w:numId w:val="92"/>
        </w:numPr>
        <w:ind w:firstLineChars="0"/>
      </w:pPr>
      <w:r>
        <w:rPr>
          <w:rFonts w:hint="eastAsia"/>
        </w:rPr>
        <w:t>现场急救方法</w:t>
      </w:r>
    </w:p>
    <w:p w14:paraId="11373DC1">
      <w:pPr>
        <w:ind w:firstLine="480"/>
      </w:pPr>
      <w:r>
        <w:rPr>
          <w:rFonts w:hint="eastAsia"/>
        </w:rPr>
        <w:t>当触电者脱离电源后，应根据触电者的具体情况迅速对症救护，力争在触电后1分钟内进行救治。国内外一些资料表明，触电后在一分钟内进救治的，90％以上有良好的效果，而超过12分钟再开始救治的，基本无救活的可能。现场应用的主要方法是口对口人工呼吸和体外心脏挤压法，严禁打强心针。</w:t>
      </w:r>
    </w:p>
    <w:p w14:paraId="0F48BD5A">
      <w:pPr>
        <w:pStyle w:val="70"/>
        <w:numPr>
          <w:ilvl w:val="1"/>
          <w:numId w:val="94"/>
        </w:numPr>
        <w:ind w:firstLineChars="0"/>
      </w:pPr>
      <w:r>
        <w:rPr>
          <w:rFonts w:hint="eastAsia"/>
        </w:rPr>
        <w:t>口对口人工呼吸法：是用人工的方法来代替肺的呼吸活动，使空气有节律地进入和排出肺脏，供给体内足够的氧气，充分排出二氧化碳，维持正常的通气功能。</w:t>
      </w:r>
    </w:p>
    <w:p w14:paraId="7494EDEC">
      <w:pPr>
        <w:pStyle w:val="70"/>
        <w:numPr>
          <w:ilvl w:val="1"/>
          <w:numId w:val="94"/>
        </w:numPr>
        <w:ind w:firstLineChars="0"/>
      </w:pPr>
      <w:r>
        <w:rPr>
          <w:rFonts w:hint="eastAsia"/>
        </w:rPr>
        <w:t>体外心脏挤压法：是指有节律地对心脏挤压，用人工的方法代替心脏的自然收缩，使心脏恢复搏动功能，维持血液循环。</w:t>
      </w:r>
    </w:p>
    <w:p w14:paraId="10787AD6">
      <w:pPr>
        <w:pStyle w:val="70"/>
        <w:numPr>
          <w:ilvl w:val="2"/>
          <w:numId w:val="92"/>
        </w:numPr>
        <w:ind w:firstLineChars="0"/>
      </w:pPr>
      <w:r>
        <w:rPr>
          <w:rFonts w:hint="eastAsia"/>
        </w:rPr>
        <w:t>触电急救方法</w:t>
      </w:r>
    </w:p>
    <w:p w14:paraId="790D2035">
      <w:pPr>
        <w:ind w:firstLine="480"/>
      </w:pPr>
      <w:r>
        <w:rPr>
          <w:rFonts w:hint="eastAsia"/>
        </w:rPr>
        <w:t>触电病人一般有以下四种症状，可分别给予正确的对症救治：</w:t>
      </w:r>
    </w:p>
    <w:p w14:paraId="07998180">
      <w:pPr>
        <w:pStyle w:val="70"/>
        <w:numPr>
          <w:ilvl w:val="1"/>
          <w:numId w:val="95"/>
        </w:numPr>
        <w:ind w:firstLineChars="0"/>
      </w:pPr>
      <w:r>
        <w:rPr>
          <w:rFonts w:hint="eastAsia"/>
        </w:rPr>
        <w:t>神志尚清醒，但心慌力乏，四肢麻木。该类病人一般只需将其扶到清凉通风之处休息，让其自然慢慢恢复。但要派专人照料护理，因为有的病人在几小时后会发生病变而突然死亡。</w:t>
      </w:r>
    </w:p>
    <w:p w14:paraId="2709C2E0">
      <w:pPr>
        <w:pStyle w:val="70"/>
        <w:numPr>
          <w:ilvl w:val="1"/>
          <w:numId w:val="95"/>
        </w:numPr>
        <w:ind w:firstLineChars="0"/>
      </w:pPr>
      <w:r>
        <w:rPr>
          <w:rFonts w:hint="eastAsia"/>
        </w:rPr>
        <w:t>有心跳，但呼吸停止或极微弱。该类病人应该采用口对口人工呼吸法进行急救。人工呼吸法可按下述口诀进行，频率是每分钟约12次：清理口腔防堵塞，鼻孔朝天头后仰；贴嘴吹气胸扩张，放开口鼻换气畅。</w:t>
      </w:r>
    </w:p>
    <w:p w14:paraId="3C85C7C5">
      <w:pPr>
        <w:pStyle w:val="70"/>
        <w:numPr>
          <w:ilvl w:val="1"/>
          <w:numId w:val="95"/>
        </w:numPr>
        <w:ind w:firstLineChars="0"/>
      </w:pPr>
      <w:r>
        <w:rPr>
          <w:rFonts w:hint="eastAsia"/>
        </w:rPr>
        <w:t>有呼吸，但心跳停止或极微弱。该类病人应该采用人工胸外心脏挤压法来恢复病人的心跳。一般可以按下述口诀进行，频率是每分钟约60~80次。当胸一手掌，中指对凹膛；掌根用力向下压，压下突然收。</w:t>
      </w:r>
    </w:p>
    <w:p w14:paraId="734D9379">
      <w:pPr>
        <w:pStyle w:val="70"/>
        <w:numPr>
          <w:ilvl w:val="1"/>
          <w:numId w:val="95"/>
        </w:numPr>
        <w:ind w:firstLineChars="0"/>
      </w:pPr>
      <w:r>
        <w:rPr>
          <w:rFonts w:hint="eastAsia"/>
        </w:rPr>
        <w:t>心跳、呼吸均已停止者。该类病人的危险性最大，抢救的难度也最大。应该把以上两法同时使用，亦即采用“人工氧合”的方法。最好是两人一起抢救，如果仅有一人抢救时，应先吹气2～3次，再挤压心脏15次，如此反复交替进行。</w:t>
      </w:r>
    </w:p>
    <w:p w14:paraId="7990A5B0">
      <w:pPr>
        <w:pStyle w:val="4"/>
      </w:pPr>
      <w:r>
        <w:rPr>
          <w:rFonts w:hint="eastAsia"/>
        </w:rPr>
        <w:t>火灾应急处置措施</w:t>
      </w:r>
    </w:p>
    <w:p w14:paraId="5CE1ED5A">
      <w:pPr>
        <w:pStyle w:val="70"/>
        <w:numPr>
          <w:ilvl w:val="2"/>
          <w:numId w:val="96"/>
        </w:numPr>
        <w:ind w:firstLineChars="0"/>
      </w:pPr>
      <w:r>
        <w:rPr>
          <w:rFonts w:hint="eastAsia"/>
        </w:rPr>
        <w:t>现场人员发现火情第一时间及时通知现场负责人，现场负责人接到报告立即联系各应急处置部门及时赶到火灾地点。</w:t>
      </w:r>
    </w:p>
    <w:p w14:paraId="625B85F0">
      <w:pPr>
        <w:pStyle w:val="70"/>
        <w:numPr>
          <w:ilvl w:val="2"/>
          <w:numId w:val="96"/>
        </w:numPr>
        <w:ind w:firstLineChars="0"/>
      </w:pPr>
      <w:r>
        <w:rPr>
          <w:rFonts w:hint="eastAsia"/>
        </w:rPr>
        <w:t>负责人到达现场后根据火情，按照应急处置措施组织义务消防队和现场人员进行自救。火灾事故超出应急能力时，向社会请求支援。</w:t>
      </w:r>
    </w:p>
    <w:p w14:paraId="6C2E25C5">
      <w:pPr>
        <w:pStyle w:val="70"/>
        <w:numPr>
          <w:ilvl w:val="2"/>
          <w:numId w:val="96"/>
        </w:numPr>
        <w:ind w:firstLineChars="0"/>
      </w:pPr>
      <w:r>
        <w:rPr>
          <w:rFonts w:hint="eastAsia"/>
        </w:rPr>
        <w:t>火灾发生后，现场人员按照逃生线路图疏散至安全场所，在确保人员安全的前提下组织灭火。人员疏散要及时有序，防止次生事故发生。</w:t>
      </w:r>
    </w:p>
    <w:p w14:paraId="416BF1C0">
      <w:pPr>
        <w:pStyle w:val="70"/>
        <w:numPr>
          <w:ilvl w:val="2"/>
          <w:numId w:val="96"/>
        </w:numPr>
        <w:ind w:firstLineChars="0"/>
      </w:pPr>
      <w:r>
        <w:rPr>
          <w:rFonts w:hint="eastAsia"/>
        </w:rPr>
        <w:t>具备救援能力时，疏散和保护物资，减少火灾损失。</w:t>
      </w:r>
    </w:p>
    <w:p w14:paraId="65261DE7">
      <w:pPr>
        <w:pStyle w:val="70"/>
        <w:numPr>
          <w:ilvl w:val="2"/>
          <w:numId w:val="96"/>
        </w:numPr>
        <w:ind w:firstLineChars="0"/>
      </w:pPr>
      <w:r>
        <w:rPr>
          <w:rFonts w:hint="eastAsia"/>
        </w:rPr>
        <w:t>当易燃易爆物品有爆炸可能时，首先疏散人员，再采取其他控制措施。</w:t>
      </w:r>
    </w:p>
    <w:p w14:paraId="025607E1">
      <w:pPr>
        <w:pStyle w:val="70"/>
        <w:numPr>
          <w:ilvl w:val="2"/>
          <w:numId w:val="96"/>
        </w:numPr>
        <w:ind w:firstLineChars="0"/>
      </w:pPr>
      <w:r>
        <w:rPr>
          <w:rFonts w:hint="eastAsia"/>
        </w:rPr>
        <w:t>当电气设备发生火灾时，立即将有关设备的电源切断，采取紧急隔离停电措施。在电气设备灭火时，只准许在熟悉该设备带电部分的人员指挥或带领下进行，并使用干式灭火器、二氧化碳、1211灭火器灭火。</w:t>
      </w:r>
    </w:p>
    <w:p w14:paraId="3978F7DD">
      <w:pPr>
        <w:pStyle w:val="70"/>
        <w:numPr>
          <w:ilvl w:val="2"/>
          <w:numId w:val="96"/>
        </w:numPr>
        <w:ind w:firstLineChars="0"/>
      </w:pPr>
      <w:r>
        <w:rPr>
          <w:rFonts w:hint="eastAsia"/>
        </w:rPr>
        <w:t>电缆着火燃烧时，立即判明着火电缆所控制的设备，并断开其电源，组织人员用干粉灭火器、1211灭火器或二氧化碳灭火器进行灭火；也可用干燥的砂子或干土覆盖扑灭，不得用水或泡沫灭火器灭火，不得用手直接接触或移动电缆。</w:t>
      </w:r>
    </w:p>
    <w:p w14:paraId="70C9AACF">
      <w:pPr>
        <w:pStyle w:val="70"/>
        <w:numPr>
          <w:ilvl w:val="2"/>
          <w:numId w:val="96"/>
        </w:numPr>
        <w:ind w:firstLineChars="0"/>
      </w:pPr>
      <w:r>
        <w:rPr>
          <w:rFonts w:hint="eastAsia"/>
        </w:rPr>
        <w:t>拨打报警电话时要说明详细地址和受伤人员的性别、主要受伤部位、意识是否清晰等，留下联系电话并保持畅通。报警后由熟悉路况的人到最近的路口等候。</w:t>
      </w:r>
    </w:p>
    <w:p w14:paraId="237DC486">
      <w:pPr>
        <w:pStyle w:val="70"/>
        <w:numPr>
          <w:ilvl w:val="2"/>
          <w:numId w:val="96"/>
        </w:numPr>
        <w:ind w:firstLineChars="0"/>
      </w:pPr>
      <w:r>
        <w:rPr>
          <w:rFonts w:hint="eastAsia"/>
        </w:rPr>
        <w:t>拨打119报警时要报告详细单位名称和地点，要说明是什么物质着火和火势大小，留下联系电话并保持畅通。报警后，由熟悉情况的人到离火场最近的路口迎候消防车或指引通道，提供水源位置。</w:t>
      </w:r>
    </w:p>
    <w:p w14:paraId="39ED107F">
      <w:pPr>
        <w:pStyle w:val="4"/>
      </w:pPr>
      <w:r>
        <w:rPr>
          <w:rFonts w:hint="eastAsia"/>
        </w:rPr>
        <w:t>车辆伤害应急处置措施</w:t>
      </w:r>
    </w:p>
    <w:p w14:paraId="176742E9">
      <w:pPr>
        <w:numPr>
          <w:ilvl w:val="0"/>
          <w:numId w:val="97"/>
        </w:numPr>
        <w:ind w:firstLine="480"/>
      </w:pPr>
      <w:r>
        <w:rPr>
          <w:rFonts w:hint="eastAsia"/>
        </w:rPr>
        <w:t>现场人员发现车辆伤害事故立即通知现场负责人，现场负责人接到报告后立即组织人员进行救援。</w:t>
      </w:r>
    </w:p>
    <w:p w14:paraId="6F7E9C2A">
      <w:pPr>
        <w:numPr>
          <w:ilvl w:val="0"/>
          <w:numId w:val="97"/>
        </w:numPr>
        <w:ind w:firstLine="480"/>
      </w:pPr>
      <w:r>
        <w:rPr>
          <w:rFonts w:hint="eastAsia"/>
        </w:rPr>
        <w:t>首先查看人员是否被困在驾驶室内，检查有无其他人员被砸伤或者掩埋在设备构件下，相邻构筑物是否受到破坏。</w:t>
      </w:r>
    </w:p>
    <w:p w14:paraId="6739E7F3">
      <w:pPr>
        <w:numPr>
          <w:ilvl w:val="0"/>
          <w:numId w:val="97"/>
        </w:numPr>
        <w:ind w:firstLine="480"/>
      </w:pPr>
      <w:r>
        <w:rPr>
          <w:rFonts w:hint="eastAsia"/>
        </w:rPr>
        <w:t>若人员可被移动出车辆或构件外，应使用担架将伤员移动到安全区域，并立即进行止血，并固定可能骨折的部位。</w:t>
      </w:r>
    </w:p>
    <w:p w14:paraId="33843650">
      <w:pPr>
        <w:numPr>
          <w:ilvl w:val="0"/>
          <w:numId w:val="97"/>
        </w:numPr>
        <w:ind w:firstLine="480"/>
      </w:pPr>
      <w:r>
        <w:rPr>
          <w:rFonts w:hint="eastAsia"/>
        </w:rPr>
        <w:t>若人员被困在驾驶室内，不得盲目施救，应立即联系地方消防部门使用专用破除设备进行破除，之后进行人员救援。</w:t>
      </w:r>
    </w:p>
    <w:p w14:paraId="72245727">
      <w:pPr>
        <w:numPr>
          <w:ilvl w:val="0"/>
          <w:numId w:val="97"/>
        </w:numPr>
        <w:ind w:firstLine="480"/>
      </w:pPr>
      <w:r>
        <w:rPr>
          <w:rFonts w:hint="eastAsia"/>
        </w:rPr>
        <w:t>若人员被掩埋在设备构件下，切勿使用机械挖救，以防伤人，调用其他起重设备将倾覆构件缓慢拉起，设备构件固定牢固后，再组织抢救被埋人员。</w:t>
      </w:r>
    </w:p>
    <w:p w14:paraId="1B0E3637">
      <w:pPr>
        <w:pStyle w:val="3"/>
      </w:pPr>
      <w:bookmarkStart w:id="192" w:name="_Toc32174"/>
      <w:r>
        <w:rPr>
          <w:rFonts w:hint="eastAsia"/>
        </w:rPr>
        <w:t>应急车辆、物资及设备</w:t>
      </w:r>
      <w:bookmarkEnd w:id="190"/>
      <w:bookmarkEnd w:id="191"/>
      <w:bookmarkEnd w:id="192"/>
    </w:p>
    <w:p w14:paraId="0B42A97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项目部应急设备见</w:t>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w:instrText>
      </w:r>
      <w:r>
        <w:rPr>
          <w:rFonts w:hint="eastAsia"/>
          <w:color w:val="000000" w:themeColor="text1"/>
          <w14:textFill>
            <w14:solidFill>
              <w14:schemeClr w14:val="tx1"/>
            </w14:solidFill>
          </w14:textFill>
        </w:rPr>
        <w:instrText xml:space="preserve">REF _Ref85788245 \h</w:instrText>
      </w:r>
      <w:r>
        <w:rPr>
          <w:color w:val="000000" w:themeColor="text1"/>
          <w14:textFill>
            <w14:solidFill>
              <w14:schemeClr w14:val="tx1"/>
            </w14:solidFill>
          </w14:textFill>
        </w:rPr>
        <w:instrText xml:space="preserve"> </w:instrText>
      </w:r>
      <w:r>
        <w:rPr>
          <w:color w:val="000000" w:themeColor="text1"/>
          <w14:textFill>
            <w14:solidFill>
              <w14:schemeClr w14:val="tx1"/>
            </w14:solidFill>
          </w14:textFill>
        </w:rPr>
        <w:fldChar w:fldCharType="separate"/>
      </w:r>
      <w:r>
        <w:rPr>
          <w:rFonts w:hint="eastAsia"/>
        </w:rPr>
        <w:t>表</w:t>
      </w:r>
      <w:r>
        <w:t>9.4</w:t>
      </w:r>
      <w:r>
        <w:rPr>
          <w:rFonts w:hint="eastAsia"/>
        </w:rPr>
        <w:t>-</w:t>
      </w:r>
      <w:r>
        <w:t>1</w:t>
      </w:r>
      <w:r>
        <w:rPr>
          <w:color w:val="000000" w:themeColor="text1"/>
          <w14:textFill>
            <w14:solidFill>
              <w14:schemeClr w14:val="tx1"/>
            </w14:solidFill>
          </w14:textFill>
        </w:rPr>
        <w:fldChar w:fldCharType="end"/>
      </w:r>
      <w:r>
        <w:rPr>
          <w:rFonts w:hint="eastAsia"/>
          <w:color w:val="000000" w:themeColor="text1"/>
          <w14:textFill>
            <w14:solidFill>
              <w14:schemeClr w14:val="tx1"/>
            </w14:solidFill>
          </w14:textFill>
        </w:rPr>
        <w:t>。</w:t>
      </w:r>
    </w:p>
    <w:p w14:paraId="176BC04D">
      <w:pPr>
        <w:pStyle w:val="15"/>
      </w:pPr>
      <w:bookmarkStart w:id="193" w:name="_Ref85788245"/>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1</w:t>
      </w:r>
      <w:r>
        <w:fldChar w:fldCharType="end"/>
      </w:r>
      <w:bookmarkEnd w:id="193"/>
      <w:r>
        <w:t xml:space="preserve"> </w:t>
      </w:r>
      <w:r>
        <w:rPr>
          <w:rFonts w:hint="eastAsia"/>
        </w:rPr>
        <w:t>项目部应急设备</w:t>
      </w:r>
      <w:r>
        <w:t>表</w:t>
      </w:r>
    </w:p>
    <w:tbl>
      <w:tblPr>
        <w:tblStyle w:val="140"/>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772"/>
        <w:gridCol w:w="1069"/>
        <w:gridCol w:w="1773"/>
        <w:gridCol w:w="1069"/>
        <w:gridCol w:w="1771"/>
      </w:tblGrid>
      <w:tr w14:paraId="4DEAB1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63ED9688">
            <w:pPr>
              <w:spacing w:line="240" w:lineRule="auto"/>
              <w:ind w:firstLine="0" w:firstLineChars="0"/>
              <w:jc w:val="center"/>
              <w:rPr>
                <w:b/>
                <w:bCs/>
                <w:sz w:val="21"/>
              </w:rPr>
            </w:pPr>
            <w:r>
              <w:rPr>
                <w:b/>
                <w:bCs/>
                <w:sz w:val="21"/>
              </w:rPr>
              <w:t>序号</w:t>
            </w:r>
          </w:p>
        </w:tc>
        <w:tc>
          <w:tcPr>
            <w:tcW w:w="1040" w:type="pct"/>
            <w:vAlign w:val="center"/>
          </w:tcPr>
          <w:p w14:paraId="2CB4D6C5">
            <w:pPr>
              <w:spacing w:line="240" w:lineRule="auto"/>
              <w:ind w:firstLine="0" w:firstLineChars="0"/>
              <w:jc w:val="center"/>
              <w:rPr>
                <w:b/>
                <w:bCs/>
                <w:sz w:val="21"/>
              </w:rPr>
            </w:pPr>
            <w:r>
              <w:rPr>
                <w:rFonts w:hint="eastAsia"/>
                <w:b/>
                <w:bCs/>
                <w:sz w:val="21"/>
              </w:rPr>
              <w:t>设备名称</w:t>
            </w:r>
          </w:p>
        </w:tc>
        <w:tc>
          <w:tcPr>
            <w:tcW w:w="627" w:type="pct"/>
            <w:vAlign w:val="center"/>
          </w:tcPr>
          <w:p w14:paraId="30A0049B">
            <w:pPr>
              <w:spacing w:line="240" w:lineRule="auto"/>
              <w:ind w:firstLine="0" w:firstLineChars="0"/>
              <w:jc w:val="center"/>
              <w:rPr>
                <w:b/>
                <w:bCs/>
                <w:sz w:val="21"/>
              </w:rPr>
            </w:pPr>
            <w:r>
              <w:rPr>
                <w:rFonts w:hint="eastAsia"/>
                <w:b/>
                <w:bCs/>
                <w:sz w:val="21"/>
              </w:rPr>
              <w:t>单位</w:t>
            </w:r>
          </w:p>
        </w:tc>
        <w:tc>
          <w:tcPr>
            <w:tcW w:w="1040" w:type="pct"/>
            <w:vAlign w:val="center"/>
          </w:tcPr>
          <w:p w14:paraId="05DD7B44">
            <w:pPr>
              <w:spacing w:line="240" w:lineRule="auto"/>
              <w:ind w:firstLine="0" w:firstLineChars="0"/>
              <w:jc w:val="center"/>
              <w:rPr>
                <w:b/>
                <w:bCs/>
                <w:sz w:val="21"/>
              </w:rPr>
            </w:pPr>
            <w:r>
              <w:rPr>
                <w:rFonts w:hint="eastAsia"/>
                <w:b/>
                <w:bCs/>
                <w:sz w:val="21"/>
              </w:rPr>
              <w:t>投入数量</w:t>
            </w:r>
          </w:p>
        </w:tc>
        <w:tc>
          <w:tcPr>
            <w:tcW w:w="627" w:type="pct"/>
            <w:vAlign w:val="center"/>
          </w:tcPr>
          <w:p w14:paraId="1CCE81B9">
            <w:pPr>
              <w:spacing w:line="240" w:lineRule="auto"/>
              <w:ind w:firstLine="0" w:firstLineChars="0"/>
              <w:jc w:val="center"/>
              <w:rPr>
                <w:b/>
                <w:bCs/>
                <w:sz w:val="21"/>
              </w:rPr>
            </w:pPr>
            <w:r>
              <w:rPr>
                <w:rFonts w:hint="eastAsia"/>
                <w:b/>
                <w:bCs/>
                <w:sz w:val="21"/>
              </w:rPr>
              <w:t>性能</w:t>
            </w:r>
          </w:p>
        </w:tc>
        <w:tc>
          <w:tcPr>
            <w:tcW w:w="1040" w:type="pct"/>
            <w:vAlign w:val="center"/>
          </w:tcPr>
          <w:p w14:paraId="39535B84">
            <w:pPr>
              <w:spacing w:line="240" w:lineRule="auto"/>
              <w:ind w:firstLine="0" w:firstLineChars="0"/>
              <w:jc w:val="center"/>
              <w:rPr>
                <w:b/>
                <w:bCs/>
                <w:sz w:val="21"/>
              </w:rPr>
            </w:pPr>
            <w:r>
              <w:rPr>
                <w:rFonts w:hint="eastAsia"/>
                <w:b/>
                <w:bCs/>
                <w:sz w:val="21"/>
              </w:rPr>
              <w:t>存放地点</w:t>
            </w:r>
          </w:p>
        </w:tc>
      </w:tr>
      <w:tr w14:paraId="36CF47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3FA70C41">
            <w:pPr>
              <w:pStyle w:val="70"/>
              <w:numPr>
                <w:ilvl w:val="0"/>
                <w:numId w:val="98"/>
              </w:numPr>
              <w:spacing w:line="240" w:lineRule="auto"/>
              <w:ind w:firstLineChars="0"/>
              <w:jc w:val="center"/>
              <w:rPr>
                <w:sz w:val="21"/>
              </w:rPr>
            </w:pPr>
          </w:p>
        </w:tc>
        <w:tc>
          <w:tcPr>
            <w:tcW w:w="1040" w:type="pct"/>
            <w:vAlign w:val="center"/>
          </w:tcPr>
          <w:p w14:paraId="068DF448">
            <w:pPr>
              <w:spacing w:line="240" w:lineRule="auto"/>
              <w:ind w:firstLine="0" w:firstLineChars="0"/>
              <w:jc w:val="center"/>
              <w:rPr>
                <w:sz w:val="21"/>
              </w:rPr>
            </w:pPr>
            <w:r>
              <w:rPr>
                <w:rFonts w:hint="eastAsia"/>
                <w:sz w:val="21"/>
              </w:rPr>
              <w:t>轿车</w:t>
            </w:r>
          </w:p>
        </w:tc>
        <w:tc>
          <w:tcPr>
            <w:tcW w:w="627" w:type="pct"/>
            <w:vAlign w:val="center"/>
          </w:tcPr>
          <w:p w14:paraId="0EE11965">
            <w:pPr>
              <w:spacing w:line="240" w:lineRule="auto"/>
              <w:ind w:firstLine="0" w:firstLineChars="0"/>
              <w:jc w:val="center"/>
              <w:rPr>
                <w:sz w:val="21"/>
              </w:rPr>
            </w:pPr>
            <w:r>
              <w:rPr>
                <w:rFonts w:hint="eastAsia"/>
                <w:sz w:val="21"/>
              </w:rPr>
              <w:t>台</w:t>
            </w:r>
          </w:p>
        </w:tc>
        <w:tc>
          <w:tcPr>
            <w:tcW w:w="1040" w:type="pct"/>
            <w:vAlign w:val="center"/>
          </w:tcPr>
          <w:p w14:paraId="6C97E3BF">
            <w:pPr>
              <w:spacing w:line="240" w:lineRule="auto"/>
              <w:ind w:firstLine="0" w:firstLineChars="0"/>
              <w:jc w:val="center"/>
              <w:rPr>
                <w:sz w:val="21"/>
              </w:rPr>
            </w:pPr>
            <w:r>
              <w:rPr>
                <w:sz w:val="21"/>
              </w:rPr>
              <w:t>2</w:t>
            </w:r>
          </w:p>
        </w:tc>
        <w:tc>
          <w:tcPr>
            <w:tcW w:w="627" w:type="pct"/>
            <w:vAlign w:val="center"/>
          </w:tcPr>
          <w:p w14:paraId="1A090F19">
            <w:pPr>
              <w:spacing w:line="240" w:lineRule="auto"/>
              <w:ind w:firstLine="0" w:firstLineChars="0"/>
              <w:jc w:val="center"/>
              <w:rPr>
                <w:sz w:val="21"/>
              </w:rPr>
            </w:pPr>
            <w:r>
              <w:rPr>
                <w:rFonts w:hint="eastAsia"/>
                <w:sz w:val="21"/>
              </w:rPr>
              <w:t>优良</w:t>
            </w:r>
          </w:p>
        </w:tc>
        <w:tc>
          <w:tcPr>
            <w:tcW w:w="1040" w:type="pct"/>
            <w:vAlign w:val="center"/>
          </w:tcPr>
          <w:p w14:paraId="6894FD88">
            <w:pPr>
              <w:spacing w:line="240" w:lineRule="auto"/>
              <w:ind w:firstLine="0" w:firstLineChars="0"/>
              <w:jc w:val="center"/>
              <w:rPr>
                <w:sz w:val="21"/>
              </w:rPr>
            </w:pPr>
            <w:r>
              <w:rPr>
                <w:rFonts w:hint="eastAsia"/>
                <w:sz w:val="21"/>
              </w:rPr>
              <w:t>项目部</w:t>
            </w:r>
          </w:p>
        </w:tc>
      </w:tr>
      <w:tr w14:paraId="69360A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627" w:type="pct"/>
            <w:vAlign w:val="center"/>
          </w:tcPr>
          <w:p w14:paraId="48ECBA2A">
            <w:pPr>
              <w:pStyle w:val="70"/>
              <w:numPr>
                <w:ilvl w:val="0"/>
                <w:numId w:val="98"/>
              </w:numPr>
              <w:spacing w:line="240" w:lineRule="auto"/>
              <w:ind w:firstLineChars="0"/>
              <w:jc w:val="center"/>
              <w:rPr>
                <w:sz w:val="21"/>
              </w:rPr>
            </w:pPr>
          </w:p>
        </w:tc>
        <w:tc>
          <w:tcPr>
            <w:tcW w:w="1040" w:type="pct"/>
            <w:vAlign w:val="center"/>
          </w:tcPr>
          <w:p w14:paraId="3CAEB047">
            <w:pPr>
              <w:spacing w:line="240" w:lineRule="auto"/>
              <w:ind w:firstLine="0" w:firstLineChars="0"/>
              <w:jc w:val="center"/>
              <w:rPr>
                <w:sz w:val="21"/>
              </w:rPr>
            </w:pPr>
            <w:r>
              <w:rPr>
                <w:rFonts w:hint="eastAsia"/>
                <w:sz w:val="21"/>
              </w:rPr>
              <w:t>皮卡车</w:t>
            </w:r>
          </w:p>
        </w:tc>
        <w:tc>
          <w:tcPr>
            <w:tcW w:w="627" w:type="pct"/>
            <w:vAlign w:val="center"/>
          </w:tcPr>
          <w:p w14:paraId="14AD7787">
            <w:pPr>
              <w:spacing w:line="240" w:lineRule="auto"/>
              <w:ind w:firstLine="0" w:firstLineChars="0"/>
              <w:jc w:val="center"/>
              <w:rPr>
                <w:sz w:val="21"/>
              </w:rPr>
            </w:pPr>
            <w:r>
              <w:rPr>
                <w:rFonts w:hint="eastAsia"/>
                <w:sz w:val="21"/>
              </w:rPr>
              <w:t>台</w:t>
            </w:r>
          </w:p>
        </w:tc>
        <w:tc>
          <w:tcPr>
            <w:tcW w:w="1040" w:type="pct"/>
            <w:vAlign w:val="center"/>
          </w:tcPr>
          <w:p w14:paraId="5DCF2073">
            <w:pPr>
              <w:spacing w:line="240" w:lineRule="auto"/>
              <w:ind w:firstLine="0" w:firstLineChars="0"/>
              <w:jc w:val="center"/>
              <w:rPr>
                <w:sz w:val="21"/>
              </w:rPr>
            </w:pPr>
            <w:r>
              <w:rPr>
                <w:rFonts w:hint="eastAsia"/>
                <w:sz w:val="21"/>
              </w:rPr>
              <w:t>1</w:t>
            </w:r>
          </w:p>
        </w:tc>
        <w:tc>
          <w:tcPr>
            <w:tcW w:w="627" w:type="pct"/>
            <w:vAlign w:val="center"/>
          </w:tcPr>
          <w:p w14:paraId="6E1CD4A2">
            <w:pPr>
              <w:spacing w:line="240" w:lineRule="auto"/>
              <w:ind w:firstLine="0" w:firstLineChars="0"/>
              <w:jc w:val="center"/>
              <w:rPr>
                <w:sz w:val="21"/>
              </w:rPr>
            </w:pPr>
            <w:r>
              <w:rPr>
                <w:rFonts w:hint="eastAsia"/>
                <w:sz w:val="21"/>
              </w:rPr>
              <w:t>优良</w:t>
            </w:r>
          </w:p>
        </w:tc>
        <w:tc>
          <w:tcPr>
            <w:tcW w:w="1040" w:type="pct"/>
            <w:vAlign w:val="center"/>
          </w:tcPr>
          <w:p w14:paraId="63164A87">
            <w:pPr>
              <w:spacing w:line="240" w:lineRule="auto"/>
              <w:ind w:firstLine="0" w:firstLineChars="0"/>
              <w:jc w:val="center"/>
              <w:rPr>
                <w:sz w:val="21"/>
              </w:rPr>
            </w:pPr>
            <w:r>
              <w:rPr>
                <w:rFonts w:hint="eastAsia"/>
                <w:sz w:val="21"/>
              </w:rPr>
              <w:t>项目部</w:t>
            </w:r>
          </w:p>
        </w:tc>
      </w:tr>
    </w:tbl>
    <w:p w14:paraId="405ECD3B">
      <w:pPr>
        <w:ind w:firstLine="480"/>
      </w:pPr>
      <w:r>
        <w:rPr>
          <w:rFonts w:hint="eastAsia"/>
        </w:rPr>
        <w:t>施工安全应急物资及设备见</w:t>
      </w:r>
      <w:r>
        <w:fldChar w:fldCharType="begin"/>
      </w:r>
      <w:r>
        <w:instrText xml:space="preserve"> </w:instrText>
      </w:r>
      <w:r>
        <w:rPr>
          <w:rFonts w:hint="eastAsia"/>
        </w:rPr>
        <w:instrText xml:space="preserve">REF _Ref85788153 \h</w:instrText>
      </w:r>
      <w:r>
        <w:instrText xml:space="preserve"> </w:instrText>
      </w:r>
      <w:r>
        <w:fldChar w:fldCharType="separate"/>
      </w:r>
      <w:r>
        <w:rPr>
          <w:rFonts w:hint="eastAsia"/>
        </w:rPr>
        <w:t>表</w:t>
      </w:r>
      <w:r>
        <w:t>9.4</w:t>
      </w:r>
      <w:r>
        <w:rPr>
          <w:rFonts w:hint="eastAsia"/>
        </w:rPr>
        <w:t>-</w:t>
      </w:r>
      <w:r>
        <w:t>2</w:t>
      </w:r>
      <w:r>
        <w:fldChar w:fldCharType="end"/>
      </w:r>
      <w:r>
        <w:rPr>
          <w:rFonts w:hint="eastAsia"/>
        </w:rPr>
        <w:t>。</w:t>
      </w:r>
    </w:p>
    <w:p w14:paraId="0FF439C9">
      <w:pPr>
        <w:pStyle w:val="15"/>
      </w:pPr>
      <w:bookmarkStart w:id="194" w:name="_Ref85788153"/>
      <w:r>
        <w:rPr>
          <w:rFonts w:hint="eastAsia"/>
        </w:rPr>
        <w:t>表</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9.4</w:t>
      </w:r>
      <w:r>
        <w:fldChar w:fldCharType="end"/>
      </w:r>
      <w:r>
        <w:rPr>
          <w:rFonts w:hint="eastAsia"/>
        </w:rPr>
        <w:t>-</w:t>
      </w:r>
      <w:r>
        <w:fldChar w:fldCharType="begin"/>
      </w:r>
      <w:r>
        <w:instrText xml:space="preserve"> </w:instrText>
      </w:r>
      <w:r>
        <w:rPr>
          <w:rFonts w:hint="eastAsia"/>
        </w:rPr>
        <w:instrText xml:space="preserve">SEQ 表 \* ARABIC \s </w:instrText>
      </w:r>
      <w:r>
        <w:instrText xml:space="preserve">2 </w:instrText>
      </w:r>
      <w:r>
        <w:fldChar w:fldCharType="separate"/>
      </w:r>
      <w:r>
        <w:t>2</w:t>
      </w:r>
      <w:r>
        <w:fldChar w:fldCharType="end"/>
      </w:r>
      <w:bookmarkEnd w:id="194"/>
      <w:r>
        <w:t xml:space="preserve"> 施工</w:t>
      </w:r>
      <w:r>
        <w:rPr>
          <w:rFonts w:hint="eastAsia"/>
        </w:rPr>
        <w:t>应急物资及设备</w:t>
      </w:r>
      <w:r>
        <w:t>表</w:t>
      </w:r>
    </w:p>
    <w:tbl>
      <w:tblPr>
        <w:tblStyle w:val="141"/>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55"/>
        <w:gridCol w:w="1249"/>
        <w:gridCol w:w="1745"/>
        <w:gridCol w:w="755"/>
        <w:gridCol w:w="755"/>
        <w:gridCol w:w="1254"/>
        <w:gridCol w:w="1255"/>
        <w:gridCol w:w="754"/>
      </w:tblGrid>
      <w:tr w14:paraId="60C26DA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blHeader/>
        </w:trPr>
        <w:tc>
          <w:tcPr>
            <w:tcW w:w="443" w:type="pct"/>
            <w:vAlign w:val="center"/>
          </w:tcPr>
          <w:p w14:paraId="351AEBBC">
            <w:pPr>
              <w:spacing w:line="240" w:lineRule="auto"/>
              <w:ind w:firstLine="0" w:firstLineChars="0"/>
              <w:jc w:val="center"/>
              <w:rPr>
                <w:b/>
                <w:bCs/>
                <w:sz w:val="21"/>
              </w:rPr>
            </w:pPr>
            <w:r>
              <w:rPr>
                <w:b/>
                <w:bCs/>
                <w:sz w:val="21"/>
              </w:rPr>
              <w:t>序号</w:t>
            </w:r>
          </w:p>
        </w:tc>
        <w:tc>
          <w:tcPr>
            <w:tcW w:w="733" w:type="pct"/>
            <w:vAlign w:val="center"/>
          </w:tcPr>
          <w:p w14:paraId="64D25F4A">
            <w:pPr>
              <w:spacing w:line="240" w:lineRule="auto"/>
              <w:ind w:firstLine="0" w:firstLineChars="0"/>
              <w:jc w:val="center"/>
              <w:rPr>
                <w:b/>
                <w:bCs/>
                <w:sz w:val="21"/>
              </w:rPr>
            </w:pPr>
            <w:r>
              <w:rPr>
                <w:b/>
                <w:bCs/>
                <w:sz w:val="21"/>
              </w:rPr>
              <w:t>类别</w:t>
            </w:r>
          </w:p>
        </w:tc>
        <w:tc>
          <w:tcPr>
            <w:tcW w:w="1024" w:type="pct"/>
            <w:vAlign w:val="center"/>
          </w:tcPr>
          <w:p w14:paraId="759E8B79">
            <w:pPr>
              <w:spacing w:line="240" w:lineRule="auto"/>
              <w:ind w:firstLine="0" w:firstLineChars="0"/>
              <w:jc w:val="center"/>
              <w:rPr>
                <w:b/>
                <w:bCs/>
                <w:sz w:val="21"/>
              </w:rPr>
            </w:pPr>
            <w:r>
              <w:rPr>
                <w:b/>
                <w:bCs/>
                <w:sz w:val="21"/>
              </w:rPr>
              <w:t>物品名称</w:t>
            </w:r>
          </w:p>
        </w:tc>
        <w:tc>
          <w:tcPr>
            <w:tcW w:w="443" w:type="pct"/>
            <w:vAlign w:val="center"/>
          </w:tcPr>
          <w:p w14:paraId="5E5988E2">
            <w:pPr>
              <w:spacing w:line="240" w:lineRule="auto"/>
              <w:ind w:firstLine="0" w:firstLineChars="0"/>
              <w:jc w:val="center"/>
              <w:rPr>
                <w:b/>
                <w:bCs/>
                <w:sz w:val="21"/>
              </w:rPr>
            </w:pPr>
            <w:r>
              <w:rPr>
                <w:b/>
                <w:bCs/>
                <w:sz w:val="21"/>
              </w:rPr>
              <w:t>单位</w:t>
            </w:r>
          </w:p>
        </w:tc>
        <w:tc>
          <w:tcPr>
            <w:tcW w:w="443" w:type="pct"/>
            <w:vAlign w:val="center"/>
          </w:tcPr>
          <w:p w14:paraId="2BE51D8B">
            <w:pPr>
              <w:spacing w:line="240" w:lineRule="auto"/>
              <w:ind w:firstLine="0" w:firstLineChars="0"/>
              <w:jc w:val="center"/>
              <w:rPr>
                <w:b/>
                <w:bCs/>
                <w:sz w:val="21"/>
              </w:rPr>
            </w:pPr>
            <w:r>
              <w:rPr>
                <w:b/>
                <w:bCs/>
                <w:sz w:val="21"/>
              </w:rPr>
              <w:t>数量</w:t>
            </w:r>
          </w:p>
        </w:tc>
        <w:tc>
          <w:tcPr>
            <w:tcW w:w="736" w:type="pct"/>
            <w:vAlign w:val="center"/>
          </w:tcPr>
          <w:p w14:paraId="0FAB365D">
            <w:pPr>
              <w:spacing w:line="240" w:lineRule="auto"/>
              <w:ind w:firstLine="0" w:firstLineChars="0"/>
              <w:jc w:val="center"/>
              <w:rPr>
                <w:b/>
                <w:bCs/>
                <w:sz w:val="21"/>
              </w:rPr>
            </w:pPr>
            <w:r>
              <w:rPr>
                <w:b/>
                <w:bCs/>
                <w:sz w:val="21"/>
              </w:rPr>
              <w:t>存放位置</w:t>
            </w:r>
          </w:p>
        </w:tc>
        <w:tc>
          <w:tcPr>
            <w:tcW w:w="736" w:type="pct"/>
            <w:vAlign w:val="center"/>
          </w:tcPr>
          <w:p w14:paraId="36515199">
            <w:pPr>
              <w:spacing w:line="240" w:lineRule="auto"/>
              <w:ind w:firstLine="0" w:firstLineChars="0"/>
              <w:jc w:val="center"/>
              <w:rPr>
                <w:b/>
                <w:bCs/>
                <w:sz w:val="21"/>
              </w:rPr>
            </w:pPr>
            <w:r>
              <w:rPr>
                <w:b/>
                <w:bCs/>
                <w:sz w:val="21"/>
              </w:rPr>
              <w:t>储备状态</w:t>
            </w:r>
          </w:p>
        </w:tc>
        <w:tc>
          <w:tcPr>
            <w:tcW w:w="443" w:type="pct"/>
            <w:vAlign w:val="center"/>
          </w:tcPr>
          <w:p w14:paraId="68B41CD1">
            <w:pPr>
              <w:spacing w:line="240" w:lineRule="auto"/>
              <w:ind w:firstLine="0" w:firstLineChars="0"/>
              <w:jc w:val="center"/>
              <w:rPr>
                <w:b/>
                <w:bCs/>
                <w:sz w:val="21"/>
              </w:rPr>
            </w:pPr>
            <w:r>
              <w:rPr>
                <w:b/>
                <w:bCs/>
                <w:sz w:val="21"/>
              </w:rPr>
              <w:t>备注</w:t>
            </w:r>
          </w:p>
        </w:tc>
      </w:tr>
      <w:tr w14:paraId="7440CA3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DF5261D">
            <w:pPr>
              <w:pStyle w:val="70"/>
              <w:numPr>
                <w:ilvl w:val="0"/>
                <w:numId w:val="99"/>
              </w:numPr>
              <w:spacing w:line="240" w:lineRule="auto"/>
              <w:ind w:firstLineChars="0"/>
              <w:jc w:val="center"/>
              <w:rPr>
                <w:sz w:val="21"/>
              </w:rPr>
            </w:pPr>
          </w:p>
        </w:tc>
        <w:tc>
          <w:tcPr>
            <w:tcW w:w="733" w:type="pct"/>
            <w:vMerge w:val="restart"/>
            <w:vAlign w:val="center"/>
          </w:tcPr>
          <w:p w14:paraId="60C3F1D6">
            <w:pPr>
              <w:spacing w:line="240" w:lineRule="auto"/>
              <w:ind w:firstLine="0" w:firstLineChars="0"/>
              <w:jc w:val="center"/>
              <w:rPr>
                <w:sz w:val="21"/>
              </w:rPr>
            </w:pPr>
            <w:r>
              <w:rPr>
                <w:sz w:val="21"/>
              </w:rPr>
              <w:t>医疗器材</w:t>
            </w:r>
          </w:p>
        </w:tc>
        <w:tc>
          <w:tcPr>
            <w:tcW w:w="1024" w:type="pct"/>
            <w:vAlign w:val="center"/>
          </w:tcPr>
          <w:p w14:paraId="58218DA3">
            <w:pPr>
              <w:spacing w:line="240" w:lineRule="auto"/>
              <w:ind w:firstLine="0" w:firstLineChars="0"/>
              <w:jc w:val="center"/>
              <w:rPr>
                <w:sz w:val="21"/>
              </w:rPr>
            </w:pPr>
            <w:r>
              <w:rPr>
                <w:sz w:val="21"/>
              </w:rPr>
              <w:t>急救药箱</w:t>
            </w:r>
          </w:p>
        </w:tc>
        <w:tc>
          <w:tcPr>
            <w:tcW w:w="443" w:type="pct"/>
            <w:vAlign w:val="center"/>
          </w:tcPr>
          <w:p w14:paraId="1A437976">
            <w:pPr>
              <w:spacing w:line="240" w:lineRule="auto"/>
              <w:ind w:firstLine="0" w:firstLineChars="0"/>
              <w:jc w:val="center"/>
              <w:rPr>
                <w:sz w:val="21"/>
              </w:rPr>
            </w:pPr>
            <w:r>
              <w:rPr>
                <w:sz w:val="21"/>
              </w:rPr>
              <w:t>个</w:t>
            </w:r>
          </w:p>
        </w:tc>
        <w:tc>
          <w:tcPr>
            <w:tcW w:w="443" w:type="pct"/>
            <w:vAlign w:val="center"/>
          </w:tcPr>
          <w:p w14:paraId="29977624">
            <w:pPr>
              <w:spacing w:line="240" w:lineRule="auto"/>
              <w:ind w:firstLine="0" w:firstLineChars="0"/>
              <w:jc w:val="center"/>
              <w:rPr>
                <w:sz w:val="21"/>
              </w:rPr>
            </w:pPr>
            <w:r>
              <w:rPr>
                <w:sz w:val="21"/>
              </w:rPr>
              <w:t>1</w:t>
            </w:r>
          </w:p>
        </w:tc>
        <w:tc>
          <w:tcPr>
            <w:tcW w:w="736" w:type="pct"/>
            <w:vAlign w:val="center"/>
          </w:tcPr>
          <w:p w14:paraId="329C077D">
            <w:pPr>
              <w:spacing w:line="240" w:lineRule="auto"/>
              <w:ind w:firstLine="0" w:firstLineChars="0"/>
              <w:jc w:val="center"/>
              <w:rPr>
                <w:sz w:val="21"/>
              </w:rPr>
            </w:pPr>
            <w:r>
              <w:rPr>
                <w:sz w:val="21"/>
              </w:rPr>
              <w:t>现场仓库</w:t>
            </w:r>
          </w:p>
        </w:tc>
        <w:tc>
          <w:tcPr>
            <w:tcW w:w="736" w:type="pct"/>
            <w:vAlign w:val="center"/>
          </w:tcPr>
          <w:p w14:paraId="26D81A08">
            <w:pPr>
              <w:spacing w:line="240" w:lineRule="auto"/>
              <w:ind w:firstLine="0" w:firstLineChars="0"/>
              <w:jc w:val="center"/>
              <w:rPr>
                <w:sz w:val="21"/>
              </w:rPr>
            </w:pPr>
            <w:r>
              <w:rPr>
                <w:sz w:val="21"/>
              </w:rPr>
              <w:t>良好</w:t>
            </w:r>
          </w:p>
        </w:tc>
        <w:tc>
          <w:tcPr>
            <w:tcW w:w="443" w:type="pct"/>
            <w:vAlign w:val="center"/>
          </w:tcPr>
          <w:p w14:paraId="4B6B73A8">
            <w:pPr>
              <w:spacing w:line="240" w:lineRule="auto"/>
              <w:ind w:firstLine="0" w:firstLineChars="0"/>
              <w:jc w:val="center"/>
              <w:rPr>
                <w:sz w:val="21"/>
              </w:rPr>
            </w:pPr>
          </w:p>
        </w:tc>
      </w:tr>
      <w:tr w14:paraId="3BE68C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499DC05">
            <w:pPr>
              <w:pStyle w:val="70"/>
              <w:numPr>
                <w:ilvl w:val="0"/>
                <w:numId w:val="99"/>
              </w:numPr>
              <w:spacing w:line="240" w:lineRule="auto"/>
              <w:ind w:firstLineChars="0"/>
              <w:jc w:val="center"/>
              <w:rPr>
                <w:sz w:val="21"/>
              </w:rPr>
            </w:pPr>
          </w:p>
        </w:tc>
        <w:tc>
          <w:tcPr>
            <w:tcW w:w="733" w:type="pct"/>
            <w:vMerge w:val="continue"/>
            <w:vAlign w:val="center"/>
          </w:tcPr>
          <w:p w14:paraId="4D9A8F65">
            <w:pPr>
              <w:spacing w:line="240" w:lineRule="auto"/>
              <w:ind w:firstLine="0" w:firstLineChars="0"/>
              <w:jc w:val="center"/>
              <w:rPr>
                <w:sz w:val="21"/>
              </w:rPr>
            </w:pPr>
          </w:p>
        </w:tc>
        <w:tc>
          <w:tcPr>
            <w:tcW w:w="1024" w:type="pct"/>
            <w:vAlign w:val="center"/>
          </w:tcPr>
          <w:p w14:paraId="3D7BFEF7">
            <w:pPr>
              <w:spacing w:line="240" w:lineRule="auto"/>
              <w:ind w:firstLine="0" w:firstLineChars="0"/>
              <w:jc w:val="center"/>
              <w:rPr>
                <w:sz w:val="21"/>
              </w:rPr>
            </w:pPr>
            <w:r>
              <w:rPr>
                <w:sz w:val="21"/>
              </w:rPr>
              <w:t>纯棉弹性绷带</w:t>
            </w:r>
          </w:p>
        </w:tc>
        <w:tc>
          <w:tcPr>
            <w:tcW w:w="443" w:type="pct"/>
            <w:vAlign w:val="center"/>
          </w:tcPr>
          <w:p w14:paraId="58F12B70">
            <w:pPr>
              <w:spacing w:line="240" w:lineRule="auto"/>
              <w:ind w:firstLine="0" w:firstLineChars="0"/>
              <w:jc w:val="center"/>
              <w:rPr>
                <w:sz w:val="21"/>
              </w:rPr>
            </w:pPr>
            <w:r>
              <w:rPr>
                <w:sz w:val="21"/>
              </w:rPr>
              <w:t>卷</w:t>
            </w:r>
          </w:p>
        </w:tc>
        <w:tc>
          <w:tcPr>
            <w:tcW w:w="443" w:type="pct"/>
            <w:vAlign w:val="center"/>
          </w:tcPr>
          <w:p w14:paraId="371C3C22">
            <w:pPr>
              <w:spacing w:line="240" w:lineRule="auto"/>
              <w:ind w:firstLine="0" w:firstLineChars="0"/>
              <w:jc w:val="center"/>
              <w:rPr>
                <w:sz w:val="21"/>
              </w:rPr>
            </w:pPr>
            <w:r>
              <w:rPr>
                <w:sz w:val="21"/>
              </w:rPr>
              <w:t>30</w:t>
            </w:r>
          </w:p>
        </w:tc>
        <w:tc>
          <w:tcPr>
            <w:tcW w:w="736" w:type="pct"/>
            <w:vAlign w:val="center"/>
          </w:tcPr>
          <w:p w14:paraId="513BB307">
            <w:pPr>
              <w:spacing w:line="240" w:lineRule="auto"/>
              <w:ind w:firstLine="0" w:firstLineChars="0"/>
              <w:jc w:val="center"/>
              <w:rPr>
                <w:sz w:val="21"/>
              </w:rPr>
            </w:pPr>
            <w:r>
              <w:rPr>
                <w:sz w:val="21"/>
              </w:rPr>
              <w:t>现场仓库</w:t>
            </w:r>
          </w:p>
        </w:tc>
        <w:tc>
          <w:tcPr>
            <w:tcW w:w="736" w:type="pct"/>
            <w:vAlign w:val="center"/>
          </w:tcPr>
          <w:p w14:paraId="7A4FE2BD">
            <w:pPr>
              <w:spacing w:line="240" w:lineRule="auto"/>
              <w:ind w:firstLine="0" w:firstLineChars="0"/>
              <w:jc w:val="center"/>
              <w:rPr>
                <w:sz w:val="21"/>
              </w:rPr>
            </w:pPr>
            <w:r>
              <w:rPr>
                <w:sz w:val="21"/>
              </w:rPr>
              <w:t>良好</w:t>
            </w:r>
          </w:p>
        </w:tc>
        <w:tc>
          <w:tcPr>
            <w:tcW w:w="443" w:type="pct"/>
            <w:vAlign w:val="center"/>
          </w:tcPr>
          <w:p w14:paraId="65BA6CA3">
            <w:pPr>
              <w:spacing w:line="240" w:lineRule="auto"/>
              <w:ind w:firstLine="0" w:firstLineChars="0"/>
              <w:jc w:val="center"/>
              <w:rPr>
                <w:sz w:val="21"/>
              </w:rPr>
            </w:pPr>
          </w:p>
        </w:tc>
      </w:tr>
      <w:tr w14:paraId="340DAD7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6A2F1B9">
            <w:pPr>
              <w:pStyle w:val="70"/>
              <w:numPr>
                <w:ilvl w:val="0"/>
                <w:numId w:val="99"/>
              </w:numPr>
              <w:spacing w:line="240" w:lineRule="auto"/>
              <w:ind w:firstLineChars="0"/>
              <w:jc w:val="center"/>
              <w:rPr>
                <w:sz w:val="21"/>
              </w:rPr>
            </w:pPr>
          </w:p>
        </w:tc>
        <w:tc>
          <w:tcPr>
            <w:tcW w:w="733" w:type="pct"/>
            <w:vMerge w:val="continue"/>
            <w:vAlign w:val="center"/>
          </w:tcPr>
          <w:p w14:paraId="04201350">
            <w:pPr>
              <w:spacing w:line="240" w:lineRule="auto"/>
              <w:ind w:firstLine="0" w:firstLineChars="0"/>
              <w:jc w:val="center"/>
              <w:rPr>
                <w:sz w:val="21"/>
              </w:rPr>
            </w:pPr>
          </w:p>
        </w:tc>
        <w:tc>
          <w:tcPr>
            <w:tcW w:w="1024" w:type="pct"/>
            <w:vAlign w:val="center"/>
          </w:tcPr>
          <w:p w14:paraId="5D919404">
            <w:pPr>
              <w:spacing w:line="240" w:lineRule="auto"/>
              <w:ind w:firstLine="0" w:firstLineChars="0"/>
              <w:jc w:val="center"/>
              <w:rPr>
                <w:sz w:val="21"/>
              </w:rPr>
            </w:pPr>
            <w:r>
              <w:rPr>
                <w:sz w:val="21"/>
              </w:rPr>
              <w:t>止血布</w:t>
            </w:r>
          </w:p>
        </w:tc>
        <w:tc>
          <w:tcPr>
            <w:tcW w:w="443" w:type="pct"/>
            <w:vAlign w:val="center"/>
          </w:tcPr>
          <w:p w14:paraId="34E840E2">
            <w:pPr>
              <w:spacing w:line="240" w:lineRule="auto"/>
              <w:ind w:firstLine="0" w:firstLineChars="0"/>
              <w:jc w:val="center"/>
              <w:rPr>
                <w:sz w:val="21"/>
              </w:rPr>
            </w:pPr>
            <w:r>
              <w:rPr>
                <w:sz w:val="21"/>
              </w:rPr>
              <w:t>张</w:t>
            </w:r>
          </w:p>
        </w:tc>
        <w:tc>
          <w:tcPr>
            <w:tcW w:w="443" w:type="pct"/>
            <w:vAlign w:val="center"/>
          </w:tcPr>
          <w:p w14:paraId="4D0DF95D">
            <w:pPr>
              <w:spacing w:line="240" w:lineRule="auto"/>
              <w:ind w:firstLine="0" w:firstLineChars="0"/>
              <w:jc w:val="center"/>
              <w:rPr>
                <w:sz w:val="21"/>
              </w:rPr>
            </w:pPr>
            <w:r>
              <w:rPr>
                <w:sz w:val="21"/>
              </w:rPr>
              <w:t>30</w:t>
            </w:r>
          </w:p>
        </w:tc>
        <w:tc>
          <w:tcPr>
            <w:tcW w:w="736" w:type="pct"/>
            <w:vAlign w:val="center"/>
          </w:tcPr>
          <w:p w14:paraId="2C2447C4">
            <w:pPr>
              <w:spacing w:line="240" w:lineRule="auto"/>
              <w:ind w:firstLine="0" w:firstLineChars="0"/>
              <w:jc w:val="center"/>
              <w:rPr>
                <w:sz w:val="21"/>
              </w:rPr>
            </w:pPr>
            <w:r>
              <w:rPr>
                <w:sz w:val="21"/>
              </w:rPr>
              <w:t>现场仓库</w:t>
            </w:r>
          </w:p>
        </w:tc>
        <w:tc>
          <w:tcPr>
            <w:tcW w:w="736" w:type="pct"/>
            <w:vAlign w:val="center"/>
          </w:tcPr>
          <w:p w14:paraId="06E20206">
            <w:pPr>
              <w:spacing w:line="240" w:lineRule="auto"/>
              <w:ind w:firstLine="0" w:firstLineChars="0"/>
              <w:jc w:val="center"/>
              <w:rPr>
                <w:sz w:val="21"/>
              </w:rPr>
            </w:pPr>
            <w:r>
              <w:rPr>
                <w:sz w:val="21"/>
              </w:rPr>
              <w:t>良好</w:t>
            </w:r>
          </w:p>
        </w:tc>
        <w:tc>
          <w:tcPr>
            <w:tcW w:w="443" w:type="pct"/>
            <w:vAlign w:val="center"/>
          </w:tcPr>
          <w:p w14:paraId="27744F29">
            <w:pPr>
              <w:spacing w:line="240" w:lineRule="auto"/>
              <w:ind w:firstLine="0" w:firstLineChars="0"/>
              <w:jc w:val="center"/>
              <w:rPr>
                <w:sz w:val="21"/>
              </w:rPr>
            </w:pPr>
          </w:p>
        </w:tc>
      </w:tr>
      <w:tr w14:paraId="0A7936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BC47258">
            <w:pPr>
              <w:pStyle w:val="70"/>
              <w:numPr>
                <w:ilvl w:val="0"/>
                <w:numId w:val="99"/>
              </w:numPr>
              <w:spacing w:line="240" w:lineRule="auto"/>
              <w:ind w:firstLineChars="0"/>
              <w:jc w:val="center"/>
              <w:rPr>
                <w:sz w:val="21"/>
              </w:rPr>
            </w:pPr>
          </w:p>
        </w:tc>
        <w:tc>
          <w:tcPr>
            <w:tcW w:w="733" w:type="pct"/>
            <w:vMerge w:val="continue"/>
            <w:vAlign w:val="center"/>
          </w:tcPr>
          <w:p w14:paraId="0A6351B8">
            <w:pPr>
              <w:spacing w:line="240" w:lineRule="auto"/>
              <w:ind w:firstLine="0" w:firstLineChars="0"/>
              <w:jc w:val="center"/>
              <w:rPr>
                <w:sz w:val="21"/>
              </w:rPr>
            </w:pPr>
          </w:p>
        </w:tc>
        <w:tc>
          <w:tcPr>
            <w:tcW w:w="1024" w:type="pct"/>
            <w:vAlign w:val="center"/>
          </w:tcPr>
          <w:p w14:paraId="1F42B8B7">
            <w:pPr>
              <w:spacing w:line="240" w:lineRule="auto"/>
              <w:ind w:firstLine="0" w:firstLineChars="0"/>
              <w:jc w:val="center"/>
              <w:rPr>
                <w:sz w:val="21"/>
              </w:rPr>
            </w:pPr>
            <w:r>
              <w:rPr>
                <w:sz w:val="21"/>
              </w:rPr>
              <w:t>创可贴</w:t>
            </w:r>
          </w:p>
        </w:tc>
        <w:tc>
          <w:tcPr>
            <w:tcW w:w="443" w:type="pct"/>
            <w:vAlign w:val="center"/>
          </w:tcPr>
          <w:p w14:paraId="5DB51926">
            <w:pPr>
              <w:spacing w:line="240" w:lineRule="auto"/>
              <w:ind w:firstLine="0" w:firstLineChars="0"/>
              <w:jc w:val="center"/>
              <w:rPr>
                <w:sz w:val="21"/>
              </w:rPr>
            </w:pPr>
            <w:r>
              <w:rPr>
                <w:sz w:val="21"/>
              </w:rPr>
              <w:t>张</w:t>
            </w:r>
          </w:p>
        </w:tc>
        <w:tc>
          <w:tcPr>
            <w:tcW w:w="443" w:type="pct"/>
            <w:vAlign w:val="center"/>
          </w:tcPr>
          <w:p w14:paraId="0792AA63">
            <w:pPr>
              <w:spacing w:line="240" w:lineRule="auto"/>
              <w:ind w:firstLine="0" w:firstLineChars="0"/>
              <w:jc w:val="center"/>
              <w:rPr>
                <w:sz w:val="21"/>
              </w:rPr>
            </w:pPr>
            <w:r>
              <w:rPr>
                <w:sz w:val="21"/>
              </w:rPr>
              <w:t>200</w:t>
            </w:r>
          </w:p>
        </w:tc>
        <w:tc>
          <w:tcPr>
            <w:tcW w:w="736" w:type="pct"/>
            <w:vAlign w:val="center"/>
          </w:tcPr>
          <w:p w14:paraId="209F5ACE">
            <w:pPr>
              <w:spacing w:line="240" w:lineRule="auto"/>
              <w:ind w:firstLine="0" w:firstLineChars="0"/>
              <w:jc w:val="center"/>
              <w:rPr>
                <w:sz w:val="21"/>
              </w:rPr>
            </w:pPr>
            <w:r>
              <w:rPr>
                <w:sz w:val="21"/>
              </w:rPr>
              <w:t>现场仓库</w:t>
            </w:r>
          </w:p>
        </w:tc>
        <w:tc>
          <w:tcPr>
            <w:tcW w:w="736" w:type="pct"/>
            <w:vAlign w:val="center"/>
          </w:tcPr>
          <w:p w14:paraId="1C6B4537">
            <w:pPr>
              <w:spacing w:line="240" w:lineRule="auto"/>
              <w:ind w:firstLine="0" w:firstLineChars="0"/>
              <w:jc w:val="center"/>
              <w:rPr>
                <w:sz w:val="21"/>
              </w:rPr>
            </w:pPr>
            <w:r>
              <w:rPr>
                <w:sz w:val="21"/>
              </w:rPr>
              <w:t>良好</w:t>
            </w:r>
          </w:p>
        </w:tc>
        <w:tc>
          <w:tcPr>
            <w:tcW w:w="443" w:type="pct"/>
            <w:vAlign w:val="center"/>
          </w:tcPr>
          <w:p w14:paraId="5A4B012E">
            <w:pPr>
              <w:spacing w:line="240" w:lineRule="auto"/>
              <w:ind w:firstLine="0" w:firstLineChars="0"/>
              <w:jc w:val="center"/>
              <w:rPr>
                <w:sz w:val="21"/>
              </w:rPr>
            </w:pPr>
          </w:p>
        </w:tc>
      </w:tr>
      <w:tr w14:paraId="2797F8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727D398">
            <w:pPr>
              <w:pStyle w:val="70"/>
              <w:numPr>
                <w:ilvl w:val="0"/>
                <w:numId w:val="99"/>
              </w:numPr>
              <w:spacing w:line="240" w:lineRule="auto"/>
              <w:ind w:firstLineChars="0"/>
              <w:jc w:val="center"/>
              <w:rPr>
                <w:sz w:val="21"/>
              </w:rPr>
            </w:pPr>
          </w:p>
        </w:tc>
        <w:tc>
          <w:tcPr>
            <w:tcW w:w="733" w:type="pct"/>
            <w:vMerge w:val="continue"/>
            <w:vAlign w:val="center"/>
          </w:tcPr>
          <w:p w14:paraId="7DED5C6F">
            <w:pPr>
              <w:spacing w:line="240" w:lineRule="auto"/>
              <w:ind w:firstLine="0" w:firstLineChars="0"/>
              <w:jc w:val="center"/>
              <w:rPr>
                <w:sz w:val="21"/>
              </w:rPr>
            </w:pPr>
          </w:p>
        </w:tc>
        <w:tc>
          <w:tcPr>
            <w:tcW w:w="1024" w:type="pct"/>
            <w:vAlign w:val="center"/>
          </w:tcPr>
          <w:p w14:paraId="160015F3">
            <w:pPr>
              <w:spacing w:line="240" w:lineRule="auto"/>
              <w:ind w:firstLine="0" w:firstLineChars="0"/>
              <w:jc w:val="center"/>
              <w:rPr>
                <w:sz w:val="21"/>
              </w:rPr>
            </w:pPr>
            <w:r>
              <w:rPr>
                <w:sz w:val="21"/>
              </w:rPr>
              <w:t>脱脂棉</w:t>
            </w:r>
          </w:p>
        </w:tc>
        <w:tc>
          <w:tcPr>
            <w:tcW w:w="443" w:type="pct"/>
            <w:vAlign w:val="center"/>
          </w:tcPr>
          <w:p w14:paraId="1C56B610">
            <w:pPr>
              <w:spacing w:line="240" w:lineRule="auto"/>
              <w:ind w:firstLine="0" w:firstLineChars="0"/>
              <w:jc w:val="center"/>
              <w:rPr>
                <w:sz w:val="21"/>
              </w:rPr>
            </w:pPr>
            <w:r>
              <w:rPr>
                <w:sz w:val="21"/>
              </w:rPr>
              <w:t>卷</w:t>
            </w:r>
          </w:p>
        </w:tc>
        <w:tc>
          <w:tcPr>
            <w:tcW w:w="443" w:type="pct"/>
            <w:vAlign w:val="center"/>
          </w:tcPr>
          <w:p w14:paraId="459352C9">
            <w:pPr>
              <w:spacing w:line="240" w:lineRule="auto"/>
              <w:ind w:firstLine="0" w:firstLineChars="0"/>
              <w:jc w:val="center"/>
              <w:rPr>
                <w:sz w:val="21"/>
              </w:rPr>
            </w:pPr>
            <w:r>
              <w:rPr>
                <w:sz w:val="21"/>
              </w:rPr>
              <w:t>20</w:t>
            </w:r>
          </w:p>
        </w:tc>
        <w:tc>
          <w:tcPr>
            <w:tcW w:w="736" w:type="pct"/>
            <w:vAlign w:val="center"/>
          </w:tcPr>
          <w:p w14:paraId="3FDBD418">
            <w:pPr>
              <w:spacing w:line="240" w:lineRule="auto"/>
              <w:ind w:firstLine="0" w:firstLineChars="0"/>
              <w:jc w:val="center"/>
              <w:rPr>
                <w:sz w:val="21"/>
              </w:rPr>
            </w:pPr>
            <w:r>
              <w:rPr>
                <w:sz w:val="21"/>
              </w:rPr>
              <w:t>现场仓库</w:t>
            </w:r>
          </w:p>
        </w:tc>
        <w:tc>
          <w:tcPr>
            <w:tcW w:w="736" w:type="pct"/>
            <w:vAlign w:val="center"/>
          </w:tcPr>
          <w:p w14:paraId="6F6465D9">
            <w:pPr>
              <w:spacing w:line="240" w:lineRule="auto"/>
              <w:ind w:firstLine="0" w:firstLineChars="0"/>
              <w:jc w:val="center"/>
              <w:rPr>
                <w:sz w:val="21"/>
              </w:rPr>
            </w:pPr>
            <w:r>
              <w:rPr>
                <w:sz w:val="21"/>
              </w:rPr>
              <w:t>良好</w:t>
            </w:r>
          </w:p>
        </w:tc>
        <w:tc>
          <w:tcPr>
            <w:tcW w:w="443" w:type="pct"/>
            <w:vAlign w:val="center"/>
          </w:tcPr>
          <w:p w14:paraId="79A41A75">
            <w:pPr>
              <w:spacing w:line="240" w:lineRule="auto"/>
              <w:ind w:firstLine="0" w:firstLineChars="0"/>
              <w:jc w:val="center"/>
              <w:rPr>
                <w:sz w:val="21"/>
              </w:rPr>
            </w:pPr>
          </w:p>
        </w:tc>
      </w:tr>
      <w:tr w14:paraId="0708BF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C294720">
            <w:pPr>
              <w:pStyle w:val="70"/>
              <w:numPr>
                <w:ilvl w:val="0"/>
                <w:numId w:val="99"/>
              </w:numPr>
              <w:spacing w:line="240" w:lineRule="auto"/>
              <w:ind w:firstLineChars="0"/>
              <w:jc w:val="center"/>
              <w:rPr>
                <w:sz w:val="21"/>
              </w:rPr>
            </w:pPr>
          </w:p>
        </w:tc>
        <w:tc>
          <w:tcPr>
            <w:tcW w:w="733" w:type="pct"/>
            <w:vMerge w:val="continue"/>
            <w:vAlign w:val="center"/>
          </w:tcPr>
          <w:p w14:paraId="269A50EC">
            <w:pPr>
              <w:spacing w:line="240" w:lineRule="auto"/>
              <w:ind w:firstLine="0" w:firstLineChars="0"/>
              <w:jc w:val="center"/>
              <w:rPr>
                <w:sz w:val="21"/>
              </w:rPr>
            </w:pPr>
          </w:p>
        </w:tc>
        <w:tc>
          <w:tcPr>
            <w:tcW w:w="1024" w:type="pct"/>
            <w:vAlign w:val="center"/>
          </w:tcPr>
          <w:p w14:paraId="091F2D5A">
            <w:pPr>
              <w:spacing w:line="240" w:lineRule="auto"/>
              <w:ind w:firstLine="0" w:firstLineChars="0"/>
              <w:jc w:val="center"/>
              <w:rPr>
                <w:sz w:val="21"/>
              </w:rPr>
            </w:pPr>
            <w:r>
              <w:rPr>
                <w:sz w:val="21"/>
              </w:rPr>
              <w:t>消毒棉签</w:t>
            </w:r>
          </w:p>
        </w:tc>
        <w:tc>
          <w:tcPr>
            <w:tcW w:w="443" w:type="pct"/>
            <w:vAlign w:val="center"/>
          </w:tcPr>
          <w:p w14:paraId="0C1B9157">
            <w:pPr>
              <w:spacing w:line="240" w:lineRule="auto"/>
              <w:ind w:firstLine="0" w:firstLineChars="0"/>
              <w:jc w:val="center"/>
              <w:rPr>
                <w:sz w:val="21"/>
              </w:rPr>
            </w:pPr>
            <w:r>
              <w:rPr>
                <w:sz w:val="21"/>
              </w:rPr>
              <w:t>袋</w:t>
            </w:r>
          </w:p>
        </w:tc>
        <w:tc>
          <w:tcPr>
            <w:tcW w:w="443" w:type="pct"/>
            <w:vAlign w:val="center"/>
          </w:tcPr>
          <w:p w14:paraId="18A38090">
            <w:pPr>
              <w:spacing w:line="240" w:lineRule="auto"/>
              <w:ind w:firstLine="0" w:firstLineChars="0"/>
              <w:jc w:val="center"/>
              <w:rPr>
                <w:sz w:val="21"/>
              </w:rPr>
            </w:pPr>
            <w:r>
              <w:rPr>
                <w:sz w:val="21"/>
              </w:rPr>
              <w:t>20</w:t>
            </w:r>
          </w:p>
        </w:tc>
        <w:tc>
          <w:tcPr>
            <w:tcW w:w="736" w:type="pct"/>
            <w:vAlign w:val="center"/>
          </w:tcPr>
          <w:p w14:paraId="5387D281">
            <w:pPr>
              <w:spacing w:line="240" w:lineRule="auto"/>
              <w:ind w:firstLine="0" w:firstLineChars="0"/>
              <w:jc w:val="center"/>
              <w:rPr>
                <w:sz w:val="21"/>
              </w:rPr>
            </w:pPr>
            <w:r>
              <w:rPr>
                <w:sz w:val="21"/>
              </w:rPr>
              <w:t>现场仓库</w:t>
            </w:r>
          </w:p>
        </w:tc>
        <w:tc>
          <w:tcPr>
            <w:tcW w:w="736" w:type="pct"/>
            <w:vAlign w:val="center"/>
          </w:tcPr>
          <w:p w14:paraId="1CA36F90">
            <w:pPr>
              <w:spacing w:line="240" w:lineRule="auto"/>
              <w:ind w:firstLine="0" w:firstLineChars="0"/>
              <w:jc w:val="center"/>
              <w:rPr>
                <w:sz w:val="21"/>
              </w:rPr>
            </w:pPr>
            <w:r>
              <w:rPr>
                <w:sz w:val="21"/>
              </w:rPr>
              <w:t>良好</w:t>
            </w:r>
          </w:p>
        </w:tc>
        <w:tc>
          <w:tcPr>
            <w:tcW w:w="443" w:type="pct"/>
            <w:vAlign w:val="center"/>
          </w:tcPr>
          <w:p w14:paraId="44FBB2D7">
            <w:pPr>
              <w:spacing w:line="240" w:lineRule="auto"/>
              <w:ind w:firstLine="0" w:firstLineChars="0"/>
              <w:jc w:val="center"/>
              <w:rPr>
                <w:sz w:val="21"/>
              </w:rPr>
            </w:pPr>
          </w:p>
        </w:tc>
      </w:tr>
      <w:tr w14:paraId="22DA6D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75A8FE60">
            <w:pPr>
              <w:pStyle w:val="70"/>
              <w:numPr>
                <w:ilvl w:val="0"/>
                <w:numId w:val="99"/>
              </w:numPr>
              <w:spacing w:line="240" w:lineRule="auto"/>
              <w:ind w:firstLineChars="0"/>
              <w:jc w:val="center"/>
              <w:rPr>
                <w:sz w:val="21"/>
              </w:rPr>
            </w:pPr>
          </w:p>
        </w:tc>
        <w:tc>
          <w:tcPr>
            <w:tcW w:w="733" w:type="pct"/>
            <w:vMerge w:val="continue"/>
            <w:vAlign w:val="center"/>
          </w:tcPr>
          <w:p w14:paraId="6F33A2A2">
            <w:pPr>
              <w:spacing w:line="240" w:lineRule="auto"/>
              <w:ind w:firstLine="0" w:firstLineChars="0"/>
              <w:jc w:val="center"/>
              <w:rPr>
                <w:sz w:val="21"/>
              </w:rPr>
            </w:pPr>
          </w:p>
        </w:tc>
        <w:tc>
          <w:tcPr>
            <w:tcW w:w="1024" w:type="pct"/>
            <w:vAlign w:val="center"/>
          </w:tcPr>
          <w:p w14:paraId="2AF30123">
            <w:pPr>
              <w:spacing w:line="240" w:lineRule="auto"/>
              <w:ind w:firstLine="0" w:firstLineChars="0"/>
              <w:jc w:val="center"/>
              <w:rPr>
                <w:sz w:val="21"/>
              </w:rPr>
            </w:pPr>
            <w:r>
              <w:rPr>
                <w:sz w:val="21"/>
              </w:rPr>
              <w:t>其他医疗器材</w:t>
            </w:r>
          </w:p>
        </w:tc>
        <w:tc>
          <w:tcPr>
            <w:tcW w:w="443" w:type="pct"/>
            <w:vAlign w:val="center"/>
          </w:tcPr>
          <w:p w14:paraId="477F5EED">
            <w:pPr>
              <w:spacing w:line="240" w:lineRule="auto"/>
              <w:ind w:firstLine="0" w:firstLineChars="0"/>
              <w:jc w:val="center"/>
              <w:rPr>
                <w:sz w:val="21"/>
              </w:rPr>
            </w:pPr>
          </w:p>
        </w:tc>
        <w:tc>
          <w:tcPr>
            <w:tcW w:w="443" w:type="pct"/>
            <w:vAlign w:val="center"/>
          </w:tcPr>
          <w:p w14:paraId="7C698150">
            <w:pPr>
              <w:spacing w:line="240" w:lineRule="auto"/>
              <w:ind w:firstLine="0" w:firstLineChars="0"/>
              <w:jc w:val="center"/>
              <w:rPr>
                <w:sz w:val="21"/>
              </w:rPr>
            </w:pPr>
            <w:r>
              <w:rPr>
                <w:sz w:val="21"/>
              </w:rPr>
              <w:t>若干</w:t>
            </w:r>
          </w:p>
        </w:tc>
        <w:tc>
          <w:tcPr>
            <w:tcW w:w="736" w:type="pct"/>
            <w:vAlign w:val="center"/>
          </w:tcPr>
          <w:p w14:paraId="7692C462">
            <w:pPr>
              <w:spacing w:line="240" w:lineRule="auto"/>
              <w:ind w:firstLine="0" w:firstLineChars="0"/>
              <w:jc w:val="center"/>
              <w:rPr>
                <w:sz w:val="21"/>
              </w:rPr>
            </w:pPr>
            <w:r>
              <w:rPr>
                <w:sz w:val="21"/>
              </w:rPr>
              <w:t>现场仓库</w:t>
            </w:r>
          </w:p>
        </w:tc>
        <w:tc>
          <w:tcPr>
            <w:tcW w:w="736" w:type="pct"/>
            <w:vAlign w:val="center"/>
          </w:tcPr>
          <w:p w14:paraId="7784DA36">
            <w:pPr>
              <w:spacing w:line="240" w:lineRule="auto"/>
              <w:ind w:firstLine="0" w:firstLineChars="0"/>
              <w:jc w:val="center"/>
              <w:rPr>
                <w:sz w:val="21"/>
              </w:rPr>
            </w:pPr>
            <w:r>
              <w:rPr>
                <w:sz w:val="21"/>
              </w:rPr>
              <w:t>良好</w:t>
            </w:r>
          </w:p>
        </w:tc>
        <w:tc>
          <w:tcPr>
            <w:tcW w:w="443" w:type="pct"/>
            <w:vAlign w:val="center"/>
          </w:tcPr>
          <w:p w14:paraId="3EB43823">
            <w:pPr>
              <w:spacing w:line="240" w:lineRule="auto"/>
              <w:ind w:firstLine="0" w:firstLineChars="0"/>
              <w:jc w:val="center"/>
              <w:rPr>
                <w:sz w:val="21"/>
              </w:rPr>
            </w:pPr>
          </w:p>
        </w:tc>
      </w:tr>
      <w:tr w14:paraId="29DDA6F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0A9CE6F">
            <w:pPr>
              <w:pStyle w:val="70"/>
              <w:numPr>
                <w:ilvl w:val="0"/>
                <w:numId w:val="99"/>
              </w:numPr>
              <w:spacing w:line="240" w:lineRule="auto"/>
              <w:ind w:firstLineChars="0"/>
              <w:jc w:val="center"/>
              <w:rPr>
                <w:sz w:val="21"/>
              </w:rPr>
            </w:pPr>
          </w:p>
        </w:tc>
        <w:tc>
          <w:tcPr>
            <w:tcW w:w="733" w:type="pct"/>
            <w:vMerge w:val="restart"/>
            <w:vAlign w:val="center"/>
          </w:tcPr>
          <w:p w14:paraId="7D6136BC">
            <w:pPr>
              <w:spacing w:line="240" w:lineRule="auto"/>
              <w:ind w:firstLine="0" w:firstLineChars="0"/>
              <w:jc w:val="center"/>
              <w:rPr>
                <w:sz w:val="21"/>
              </w:rPr>
            </w:pPr>
            <w:r>
              <w:rPr>
                <w:sz w:val="21"/>
              </w:rPr>
              <w:t>抢救工具</w:t>
            </w:r>
          </w:p>
        </w:tc>
        <w:tc>
          <w:tcPr>
            <w:tcW w:w="1024" w:type="pct"/>
            <w:vAlign w:val="center"/>
          </w:tcPr>
          <w:p w14:paraId="157DD644">
            <w:pPr>
              <w:spacing w:line="240" w:lineRule="auto"/>
              <w:ind w:firstLine="0" w:firstLineChars="0"/>
              <w:jc w:val="center"/>
              <w:rPr>
                <w:sz w:val="21"/>
              </w:rPr>
            </w:pPr>
            <w:r>
              <w:rPr>
                <w:sz w:val="21"/>
              </w:rPr>
              <w:t>安全绳</w:t>
            </w:r>
          </w:p>
        </w:tc>
        <w:tc>
          <w:tcPr>
            <w:tcW w:w="443" w:type="pct"/>
            <w:vAlign w:val="center"/>
          </w:tcPr>
          <w:p w14:paraId="1791ADDF">
            <w:pPr>
              <w:spacing w:line="240" w:lineRule="auto"/>
              <w:ind w:firstLine="0" w:firstLineChars="0"/>
              <w:jc w:val="center"/>
              <w:rPr>
                <w:sz w:val="21"/>
              </w:rPr>
            </w:pPr>
            <w:r>
              <w:rPr>
                <w:sz w:val="21"/>
              </w:rPr>
              <w:t>米</w:t>
            </w:r>
          </w:p>
        </w:tc>
        <w:tc>
          <w:tcPr>
            <w:tcW w:w="443" w:type="pct"/>
            <w:vAlign w:val="center"/>
          </w:tcPr>
          <w:p w14:paraId="4AC7FC35">
            <w:pPr>
              <w:spacing w:line="240" w:lineRule="auto"/>
              <w:ind w:firstLine="0" w:firstLineChars="0"/>
              <w:jc w:val="center"/>
              <w:rPr>
                <w:sz w:val="21"/>
              </w:rPr>
            </w:pPr>
            <w:r>
              <w:rPr>
                <w:sz w:val="21"/>
              </w:rPr>
              <w:t>500</w:t>
            </w:r>
          </w:p>
        </w:tc>
        <w:tc>
          <w:tcPr>
            <w:tcW w:w="736" w:type="pct"/>
            <w:vAlign w:val="center"/>
          </w:tcPr>
          <w:p w14:paraId="75235FEE">
            <w:pPr>
              <w:spacing w:line="240" w:lineRule="auto"/>
              <w:ind w:firstLine="0" w:firstLineChars="0"/>
              <w:jc w:val="center"/>
              <w:rPr>
                <w:sz w:val="21"/>
              </w:rPr>
            </w:pPr>
            <w:r>
              <w:rPr>
                <w:sz w:val="21"/>
              </w:rPr>
              <w:t>现场</w:t>
            </w:r>
          </w:p>
        </w:tc>
        <w:tc>
          <w:tcPr>
            <w:tcW w:w="736" w:type="pct"/>
            <w:vAlign w:val="center"/>
          </w:tcPr>
          <w:p w14:paraId="69243621">
            <w:pPr>
              <w:spacing w:line="240" w:lineRule="auto"/>
              <w:ind w:firstLine="0" w:firstLineChars="0"/>
              <w:jc w:val="center"/>
              <w:rPr>
                <w:sz w:val="21"/>
              </w:rPr>
            </w:pPr>
            <w:r>
              <w:rPr>
                <w:sz w:val="21"/>
              </w:rPr>
              <w:t>良好</w:t>
            </w:r>
          </w:p>
        </w:tc>
        <w:tc>
          <w:tcPr>
            <w:tcW w:w="443" w:type="pct"/>
            <w:vAlign w:val="center"/>
          </w:tcPr>
          <w:p w14:paraId="2D3D75D1">
            <w:pPr>
              <w:spacing w:line="240" w:lineRule="auto"/>
              <w:ind w:firstLine="0" w:firstLineChars="0"/>
              <w:jc w:val="center"/>
              <w:rPr>
                <w:sz w:val="21"/>
              </w:rPr>
            </w:pPr>
          </w:p>
        </w:tc>
      </w:tr>
      <w:tr w14:paraId="6746AA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75C56D5">
            <w:pPr>
              <w:pStyle w:val="70"/>
              <w:numPr>
                <w:ilvl w:val="0"/>
                <w:numId w:val="99"/>
              </w:numPr>
              <w:spacing w:line="240" w:lineRule="auto"/>
              <w:ind w:firstLineChars="0"/>
              <w:jc w:val="center"/>
              <w:rPr>
                <w:sz w:val="21"/>
              </w:rPr>
            </w:pPr>
          </w:p>
        </w:tc>
        <w:tc>
          <w:tcPr>
            <w:tcW w:w="733" w:type="pct"/>
            <w:vMerge w:val="continue"/>
            <w:vAlign w:val="center"/>
          </w:tcPr>
          <w:p w14:paraId="6C7C0D2E">
            <w:pPr>
              <w:spacing w:line="240" w:lineRule="auto"/>
              <w:ind w:firstLine="0" w:firstLineChars="0"/>
              <w:jc w:val="center"/>
              <w:rPr>
                <w:sz w:val="21"/>
              </w:rPr>
            </w:pPr>
          </w:p>
        </w:tc>
        <w:tc>
          <w:tcPr>
            <w:tcW w:w="1024" w:type="pct"/>
            <w:vAlign w:val="center"/>
          </w:tcPr>
          <w:p w14:paraId="6E129BD0">
            <w:pPr>
              <w:spacing w:line="240" w:lineRule="auto"/>
              <w:ind w:firstLine="0" w:firstLineChars="0"/>
              <w:jc w:val="center"/>
              <w:rPr>
                <w:sz w:val="21"/>
              </w:rPr>
            </w:pPr>
            <w:r>
              <w:rPr>
                <w:sz w:val="21"/>
              </w:rPr>
              <w:t>安全带</w:t>
            </w:r>
          </w:p>
        </w:tc>
        <w:tc>
          <w:tcPr>
            <w:tcW w:w="443" w:type="pct"/>
            <w:vAlign w:val="center"/>
          </w:tcPr>
          <w:p w14:paraId="5AF06F60">
            <w:pPr>
              <w:spacing w:line="240" w:lineRule="auto"/>
              <w:ind w:firstLine="0" w:firstLineChars="0"/>
              <w:jc w:val="center"/>
              <w:rPr>
                <w:sz w:val="21"/>
              </w:rPr>
            </w:pPr>
            <w:r>
              <w:rPr>
                <w:sz w:val="21"/>
              </w:rPr>
              <w:t>副</w:t>
            </w:r>
          </w:p>
        </w:tc>
        <w:tc>
          <w:tcPr>
            <w:tcW w:w="443" w:type="pct"/>
            <w:vAlign w:val="center"/>
          </w:tcPr>
          <w:p w14:paraId="54ED969B">
            <w:pPr>
              <w:spacing w:line="240" w:lineRule="auto"/>
              <w:ind w:firstLine="0" w:firstLineChars="0"/>
              <w:jc w:val="center"/>
              <w:rPr>
                <w:sz w:val="21"/>
              </w:rPr>
            </w:pPr>
            <w:r>
              <w:rPr>
                <w:sz w:val="21"/>
              </w:rPr>
              <w:t>10</w:t>
            </w:r>
          </w:p>
        </w:tc>
        <w:tc>
          <w:tcPr>
            <w:tcW w:w="736" w:type="pct"/>
            <w:vAlign w:val="center"/>
          </w:tcPr>
          <w:p w14:paraId="39B7A541">
            <w:pPr>
              <w:spacing w:line="240" w:lineRule="auto"/>
              <w:ind w:firstLine="0" w:firstLineChars="0"/>
              <w:jc w:val="center"/>
              <w:rPr>
                <w:sz w:val="21"/>
              </w:rPr>
            </w:pPr>
            <w:r>
              <w:rPr>
                <w:sz w:val="21"/>
              </w:rPr>
              <w:t>现场仓库</w:t>
            </w:r>
          </w:p>
        </w:tc>
        <w:tc>
          <w:tcPr>
            <w:tcW w:w="736" w:type="pct"/>
            <w:vAlign w:val="center"/>
          </w:tcPr>
          <w:p w14:paraId="554B8C7F">
            <w:pPr>
              <w:spacing w:line="240" w:lineRule="auto"/>
              <w:ind w:firstLine="0" w:firstLineChars="0"/>
              <w:jc w:val="center"/>
              <w:rPr>
                <w:sz w:val="21"/>
              </w:rPr>
            </w:pPr>
            <w:r>
              <w:rPr>
                <w:sz w:val="21"/>
              </w:rPr>
              <w:t>良好</w:t>
            </w:r>
          </w:p>
        </w:tc>
        <w:tc>
          <w:tcPr>
            <w:tcW w:w="443" w:type="pct"/>
            <w:vAlign w:val="center"/>
          </w:tcPr>
          <w:p w14:paraId="4E59D4D4">
            <w:pPr>
              <w:spacing w:line="240" w:lineRule="auto"/>
              <w:ind w:firstLine="0" w:firstLineChars="0"/>
              <w:jc w:val="center"/>
              <w:rPr>
                <w:sz w:val="21"/>
              </w:rPr>
            </w:pPr>
          </w:p>
        </w:tc>
      </w:tr>
      <w:tr w14:paraId="65638F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CF670D1">
            <w:pPr>
              <w:pStyle w:val="70"/>
              <w:numPr>
                <w:ilvl w:val="0"/>
                <w:numId w:val="99"/>
              </w:numPr>
              <w:spacing w:line="240" w:lineRule="auto"/>
              <w:ind w:firstLineChars="0"/>
              <w:jc w:val="center"/>
              <w:rPr>
                <w:sz w:val="21"/>
              </w:rPr>
            </w:pPr>
          </w:p>
        </w:tc>
        <w:tc>
          <w:tcPr>
            <w:tcW w:w="733" w:type="pct"/>
            <w:vMerge w:val="continue"/>
            <w:vAlign w:val="center"/>
          </w:tcPr>
          <w:p w14:paraId="3552CF54">
            <w:pPr>
              <w:spacing w:line="240" w:lineRule="auto"/>
              <w:ind w:firstLine="0" w:firstLineChars="0"/>
              <w:jc w:val="center"/>
              <w:rPr>
                <w:sz w:val="21"/>
              </w:rPr>
            </w:pPr>
          </w:p>
        </w:tc>
        <w:tc>
          <w:tcPr>
            <w:tcW w:w="1024" w:type="pct"/>
            <w:vAlign w:val="center"/>
          </w:tcPr>
          <w:p w14:paraId="44E89558">
            <w:pPr>
              <w:spacing w:line="240" w:lineRule="auto"/>
              <w:ind w:firstLine="0" w:firstLineChars="0"/>
              <w:jc w:val="center"/>
              <w:rPr>
                <w:sz w:val="21"/>
              </w:rPr>
            </w:pPr>
            <w:r>
              <w:rPr>
                <w:sz w:val="21"/>
              </w:rPr>
              <w:t>铁锨</w:t>
            </w:r>
          </w:p>
        </w:tc>
        <w:tc>
          <w:tcPr>
            <w:tcW w:w="443" w:type="pct"/>
            <w:vAlign w:val="center"/>
          </w:tcPr>
          <w:p w14:paraId="29B623EB">
            <w:pPr>
              <w:spacing w:line="240" w:lineRule="auto"/>
              <w:ind w:firstLine="0" w:firstLineChars="0"/>
              <w:jc w:val="center"/>
              <w:rPr>
                <w:sz w:val="21"/>
              </w:rPr>
            </w:pPr>
            <w:r>
              <w:rPr>
                <w:sz w:val="21"/>
              </w:rPr>
              <w:t>把</w:t>
            </w:r>
          </w:p>
        </w:tc>
        <w:tc>
          <w:tcPr>
            <w:tcW w:w="443" w:type="pct"/>
            <w:vAlign w:val="center"/>
          </w:tcPr>
          <w:p w14:paraId="4B8CA4C5">
            <w:pPr>
              <w:spacing w:line="240" w:lineRule="auto"/>
              <w:ind w:firstLine="0" w:firstLineChars="0"/>
              <w:jc w:val="center"/>
              <w:rPr>
                <w:sz w:val="21"/>
              </w:rPr>
            </w:pPr>
            <w:r>
              <w:rPr>
                <w:sz w:val="21"/>
              </w:rPr>
              <w:t>5</w:t>
            </w:r>
          </w:p>
        </w:tc>
        <w:tc>
          <w:tcPr>
            <w:tcW w:w="736" w:type="pct"/>
            <w:vAlign w:val="center"/>
          </w:tcPr>
          <w:p w14:paraId="6D99EE75">
            <w:pPr>
              <w:spacing w:line="240" w:lineRule="auto"/>
              <w:ind w:firstLine="0" w:firstLineChars="0"/>
              <w:jc w:val="center"/>
              <w:rPr>
                <w:sz w:val="21"/>
              </w:rPr>
            </w:pPr>
            <w:r>
              <w:rPr>
                <w:sz w:val="21"/>
              </w:rPr>
              <w:t>现场仓库</w:t>
            </w:r>
          </w:p>
        </w:tc>
        <w:tc>
          <w:tcPr>
            <w:tcW w:w="736" w:type="pct"/>
            <w:vAlign w:val="center"/>
          </w:tcPr>
          <w:p w14:paraId="455DF6FD">
            <w:pPr>
              <w:spacing w:line="240" w:lineRule="auto"/>
              <w:ind w:firstLine="0" w:firstLineChars="0"/>
              <w:jc w:val="center"/>
              <w:rPr>
                <w:sz w:val="21"/>
              </w:rPr>
            </w:pPr>
            <w:r>
              <w:rPr>
                <w:sz w:val="21"/>
              </w:rPr>
              <w:t>良好</w:t>
            </w:r>
          </w:p>
        </w:tc>
        <w:tc>
          <w:tcPr>
            <w:tcW w:w="443" w:type="pct"/>
            <w:vAlign w:val="center"/>
          </w:tcPr>
          <w:p w14:paraId="40D924BF">
            <w:pPr>
              <w:spacing w:line="240" w:lineRule="auto"/>
              <w:ind w:firstLine="0" w:firstLineChars="0"/>
              <w:jc w:val="center"/>
              <w:rPr>
                <w:sz w:val="21"/>
              </w:rPr>
            </w:pPr>
          </w:p>
        </w:tc>
      </w:tr>
      <w:tr w14:paraId="7AC14A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77B5840">
            <w:pPr>
              <w:pStyle w:val="70"/>
              <w:numPr>
                <w:ilvl w:val="0"/>
                <w:numId w:val="99"/>
              </w:numPr>
              <w:spacing w:line="240" w:lineRule="auto"/>
              <w:ind w:firstLineChars="0"/>
              <w:jc w:val="center"/>
              <w:rPr>
                <w:sz w:val="21"/>
              </w:rPr>
            </w:pPr>
          </w:p>
        </w:tc>
        <w:tc>
          <w:tcPr>
            <w:tcW w:w="733" w:type="pct"/>
            <w:vMerge w:val="continue"/>
            <w:vAlign w:val="center"/>
          </w:tcPr>
          <w:p w14:paraId="11F56C77">
            <w:pPr>
              <w:spacing w:line="240" w:lineRule="auto"/>
              <w:ind w:firstLine="0" w:firstLineChars="0"/>
              <w:jc w:val="center"/>
              <w:rPr>
                <w:sz w:val="21"/>
              </w:rPr>
            </w:pPr>
          </w:p>
        </w:tc>
        <w:tc>
          <w:tcPr>
            <w:tcW w:w="1024" w:type="pct"/>
            <w:vAlign w:val="center"/>
          </w:tcPr>
          <w:p w14:paraId="0F4EC336">
            <w:pPr>
              <w:spacing w:line="240" w:lineRule="auto"/>
              <w:ind w:firstLine="0" w:firstLineChars="0"/>
              <w:jc w:val="center"/>
              <w:rPr>
                <w:sz w:val="21"/>
              </w:rPr>
            </w:pPr>
            <w:r>
              <w:rPr>
                <w:sz w:val="21"/>
              </w:rPr>
              <w:t>撬棍</w:t>
            </w:r>
          </w:p>
        </w:tc>
        <w:tc>
          <w:tcPr>
            <w:tcW w:w="443" w:type="pct"/>
            <w:vAlign w:val="center"/>
          </w:tcPr>
          <w:p w14:paraId="5BA3A803">
            <w:pPr>
              <w:spacing w:line="240" w:lineRule="auto"/>
              <w:ind w:firstLine="0" w:firstLineChars="0"/>
              <w:jc w:val="center"/>
              <w:rPr>
                <w:sz w:val="21"/>
              </w:rPr>
            </w:pPr>
            <w:r>
              <w:rPr>
                <w:sz w:val="21"/>
              </w:rPr>
              <w:t>把</w:t>
            </w:r>
          </w:p>
        </w:tc>
        <w:tc>
          <w:tcPr>
            <w:tcW w:w="443" w:type="pct"/>
            <w:vAlign w:val="center"/>
          </w:tcPr>
          <w:p w14:paraId="30715A2D">
            <w:pPr>
              <w:spacing w:line="240" w:lineRule="auto"/>
              <w:ind w:firstLine="0" w:firstLineChars="0"/>
              <w:jc w:val="center"/>
              <w:rPr>
                <w:sz w:val="21"/>
              </w:rPr>
            </w:pPr>
            <w:r>
              <w:rPr>
                <w:sz w:val="21"/>
              </w:rPr>
              <w:t>5</w:t>
            </w:r>
          </w:p>
        </w:tc>
        <w:tc>
          <w:tcPr>
            <w:tcW w:w="736" w:type="pct"/>
            <w:vAlign w:val="center"/>
          </w:tcPr>
          <w:p w14:paraId="079D3715">
            <w:pPr>
              <w:spacing w:line="240" w:lineRule="auto"/>
              <w:ind w:firstLine="0" w:firstLineChars="0"/>
              <w:jc w:val="center"/>
              <w:rPr>
                <w:sz w:val="21"/>
              </w:rPr>
            </w:pPr>
            <w:r>
              <w:rPr>
                <w:sz w:val="21"/>
              </w:rPr>
              <w:t>现场仓库</w:t>
            </w:r>
          </w:p>
        </w:tc>
        <w:tc>
          <w:tcPr>
            <w:tcW w:w="736" w:type="pct"/>
            <w:vAlign w:val="center"/>
          </w:tcPr>
          <w:p w14:paraId="3556E617">
            <w:pPr>
              <w:spacing w:line="240" w:lineRule="auto"/>
              <w:ind w:firstLine="0" w:firstLineChars="0"/>
              <w:jc w:val="center"/>
              <w:rPr>
                <w:sz w:val="21"/>
              </w:rPr>
            </w:pPr>
            <w:r>
              <w:rPr>
                <w:sz w:val="21"/>
              </w:rPr>
              <w:t>良好</w:t>
            </w:r>
          </w:p>
        </w:tc>
        <w:tc>
          <w:tcPr>
            <w:tcW w:w="443" w:type="pct"/>
            <w:vAlign w:val="center"/>
          </w:tcPr>
          <w:p w14:paraId="61C5C271">
            <w:pPr>
              <w:spacing w:line="240" w:lineRule="auto"/>
              <w:ind w:firstLine="0" w:firstLineChars="0"/>
              <w:jc w:val="center"/>
              <w:rPr>
                <w:sz w:val="21"/>
              </w:rPr>
            </w:pPr>
          </w:p>
        </w:tc>
      </w:tr>
      <w:tr w14:paraId="16CE8E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460A8CA">
            <w:pPr>
              <w:pStyle w:val="70"/>
              <w:numPr>
                <w:ilvl w:val="0"/>
                <w:numId w:val="99"/>
              </w:numPr>
              <w:spacing w:line="240" w:lineRule="auto"/>
              <w:ind w:firstLineChars="0"/>
              <w:jc w:val="center"/>
              <w:rPr>
                <w:sz w:val="21"/>
              </w:rPr>
            </w:pPr>
          </w:p>
        </w:tc>
        <w:tc>
          <w:tcPr>
            <w:tcW w:w="733" w:type="pct"/>
            <w:vMerge w:val="continue"/>
            <w:vAlign w:val="center"/>
          </w:tcPr>
          <w:p w14:paraId="6B383E4C">
            <w:pPr>
              <w:spacing w:line="240" w:lineRule="auto"/>
              <w:ind w:firstLine="0" w:firstLineChars="0"/>
              <w:jc w:val="center"/>
              <w:rPr>
                <w:sz w:val="21"/>
              </w:rPr>
            </w:pPr>
          </w:p>
        </w:tc>
        <w:tc>
          <w:tcPr>
            <w:tcW w:w="1024" w:type="pct"/>
            <w:vAlign w:val="center"/>
          </w:tcPr>
          <w:p w14:paraId="67BADF8B">
            <w:pPr>
              <w:spacing w:line="240" w:lineRule="auto"/>
              <w:ind w:firstLine="0" w:firstLineChars="0"/>
              <w:jc w:val="center"/>
              <w:rPr>
                <w:sz w:val="21"/>
              </w:rPr>
            </w:pPr>
            <w:r>
              <w:rPr>
                <w:sz w:val="21"/>
              </w:rPr>
              <w:t>气割工具</w:t>
            </w:r>
          </w:p>
        </w:tc>
        <w:tc>
          <w:tcPr>
            <w:tcW w:w="443" w:type="pct"/>
            <w:vAlign w:val="center"/>
          </w:tcPr>
          <w:p w14:paraId="071ED41B">
            <w:pPr>
              <w:spacing w:line="240" w:lineRule="auto"/>
              <w:ind w:firstLine="0" w:firstLineChars="0"/>
              <w:jc w:val="center"/>
              <w:rPr>
                <w:sz w:val="21"/>
              </w:rPr>
            </w:pPr>
            <w:r>
              <w:rPr>
                <w:sz w:val="21"/>
              </w:rPr>
              <w:t>套</w:t>
            </w:r>
          </w:p>
        </w:tc>
        <w:tc>
          <w:tcPr>
            <w:tcW w:w="443" w:type="pct"/>
            <w:vAlign w:val="center"/>
          </w:tcPr>
          <w:p w14:paraId="44BBC5E8">
            <w:pPr>
              <w:spacing w:line="240" w:lineRule="auto"/>
              <w:ind w:firstLine="0" w:firstLineChars="0"/>
              <w:jc w:val="center"/>
              <w:rPr>
                <w:sz w:val="21"/>
              </w:rPr>
            </w:pPr>
            <w:r>
              <w:rPr>
                <w:sz w:val="21"/>
              </w:rPr>
              <w:t>2</w:t>
            </w:r>
          </w:p>
        </w:tc>
        <w:tc>
          <w:tcPr>
            <w:tcW w:w="736" w:type="pct"/>
            <w:vAlign w:val="center"/>
          </w:tcPr>
          <w:p w14:paraId="72A434AA">
            <w:pPr>
              <w:spacing w:line="240" w:lineRule="auto"/>
              <w:ind w:firstLine="0" w:firstLineChars="0"/>
              <w:jc w:val="center"/>
              <w:rPr>
                <w:sz w:val="21"/>
              </w:rPr>
            </w:pPr>
            <w:r>
              <w:rPr>
                <w:sz w:val="21"/>
              </w:rPr>
              <w:t>现场仓库</w:t>
            </w:r>
          </w:p>
        </w:tc>
        <w:tc>
          <w:tcPr>
            <w:tcW w:w="736" w:type="pct"/>
            <w:vAlign w:val="center"/>
          </w:tcPr>
          <w:p w14:paraId="2085405E">
            <w:pPr>
              <w:spacing w:line="240" w:lineRule="auto"/>
              <w:ind w:firstLine="0" w:firstLineChars="0"/>
              <w:jc w:val="center"/>
              <w:rPr>
                <w:sz w:val="21"/>
              </w:rPr>
            </w:pPr>
            <w:r>
              <w:rPr>
                <w:sz w:val="21"/>
              </w:rPr>
              <w:t>良好</w:t>
            </w:r>
          </w:p>
        </w:tc>
        <w:tc>
          <w:tcPr>
            <w:tcW w:w="443" w:type="pct"/>
            <w:vAlign w:val="center"/>
          </w:tcPr>
          <w:p w14:paraId="33030B20">
            <w:pPr>
              <w:spacing w:line="240" w:lineRule="auto"/>
              <w:ind w:firstLine="0" w:firstLineChars="0"/>
              <w:jc w:val="center"/>
              <w:rPr>
                <w:sz w:val="21"/>
              </w:rPr>
            </w:pPr>
          </w:p>
        </w:tc>
      </w:tr>
      <w:tr w14:paraId="520811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0D328151">
            <w:pPr>
              <w:pStyle w:val="70"/>
              <w:numPr>
                <w:ilvl w:val="0"/>
                <w:numId w:val="99"/>
              </w:numPr>
              <w:spacing w:line="240" w:lineRule="auto"/>
              <w:ind w:firstLineChars="0"/>
              <w:jc w:val="center"/>
              <w:rPr>
                <w:sz w:val="21"/>
              </w:rPr>
            </w:pPr>
          </w:p>
        </w:tc>
        <w:tc>
          <w:tcPr>
            <w:tcW w:w="733" w:type="pct"/>
            <w:vMerge w:val="continue"/>
            <w:vAlign w:val="center"/>
          </w:tcPr>
          <w:p w14:paraId="6597AFC7">
            <w:pPr>
              <w:spacing w:line="240" w:lineRule="auto"/>
              <w:ind w:firstLine="0" w:firstLineChars="0"/>
              <w:jc w:val="center"/>
              <w:rPr>
                <w:sz w:val="21"/>
              </w:rPr>
            </w:pPr>
          </w:p>
        </w:tc>
        <w:tc>
          <w:tcPr>
            <w:tcW w:w="1024" w:type="pct"/>
            <w:vAlign w:val="center"/>
          </w:tcPr>
          <w:p w14:paraId="073F5DB5">
            <w:pPr>
              <w:spacing w:line="240" w:lineRule="auto"/>
              <w:ind w:firstLine="0" w:firstLineChars="0"/>
              <w:jc w:val="center"/>
              <w:rPr>
                <w:sz w:val="21"/>
              </w:rPr>
            </w:pPr>
            <w:r>
              <w:rPr>
                <w:sz w:val="21"/>
              </w:rPr>
              <w:t>电工工具</w:t>
            </w:r>
          </w:p>
        </w:tc>
        <w:tc>
          <w:tcPr>
            <w:tcW w:w="443" w:type="pct"/>
            <w:vAlign w:val="center"/>
          </w:tcPr>
          <w:p w14:paraId="24FA9843">
            <w:pPr>
              <w:spacing w:line="240" w:lineRule="auto"/>
              <w:ind w:firstLine="0" w:firstLineChars="0"/>
              <w:jc w:val="center"/>
              <w:rPr>
                <w:sz w:val="21"/>
              </w:rPr>
            </w:pPr>
            <w:r>
              <w:rPr>
                <w:sz w:val="21"/>
              </w:rPr>
              <w:t>套</w:t>
            </w:r>
          </w:p>
        </w:tc>
        <w:tc>
          <w:tcPr>
            <w:tcW w:w="443" w:type="pct"/>
            <w:vAlign w:val="center"/>
          </w:tcPr>
          <w:p w14:paraId="3CAFFBF6">
            <w:pPr>
              <w:spacing w:line="240" w:lineRule="auto"/>
              <w:ind w:firstLine="0" w:firstLineChars="0"/>
              <w:jc w:val="center"/>
              <w:rPr>
                <w:sz w:val="21"/>
              </w:rPr>
            </w:pPr>
            <w:r>
              <w:rPr>
                <w:sz w:val="21"/>
              </w:rPr>
              <w:t>若干　</w:t>
            </w:r>
          </w:p>
        </w:tc>
        <w:tc>
          <w:tcPr>
            <w:tcW w:w="736" w:type="pct"/>
            <w:vAlign w:val="center"/>
          </w:tcPr>
          <w:p w14:paraId="4661D9FE">
            <w:pPr>
              <w:spacing w:line="240" w:lineRule="auto"/>
              <w:ind w:firstLine="0" w:firstLineChars="0"/>
              <w:jc w:val="center"/>
              <w:rPr>
                <w:sz w:val="21"/>
              </w:rPr>
            </w:pPr>
            <w:r>
              <w:rPr>
                <w:sz w:val="21"/>
              </w:rPr>
              <w:t>现场仓库</w:t>
            </w:r>
          </w:p>
        </w:tc>
        <w:tc>
          <w:tcPr>
            <w:tcW w:w="736" w:type="pct"/>
            <w:vAlign w:val="center"/>
          </w:tcPr>
          <w:p w14:paraId="32F4C602">
            <w:pPr>
              <w:spacing w:line="240" w:lineRule="auto"/>
              <w:ind w:firstLine="0" w:firstLineChars="0"/>
              <w:jc w:val="center"/>
              <w:rPr>
                <w:sz w:val="21"/>
              </w:rPr>
            </w:pPr>
            <w:r>
              <w:rPr>
                <w:sz w:val="21"/>
              </w:rPr>
              <w:t>良好</w:t>
            </w:r>
          </w:p>
        </w:tc>
        <w:tc>
          <w:tcPr>
            <w:tcW w:w="443" w:type="pct"/>
            <w:vAlign w:val="center"/>
          </w:tcPr>
          <w:p w14:paraId="735D014E">
            <w:pPr>
              <w:spacing w:line="240" w:lineRule="auto"/>
              <w:ind w:firstLine="0" w:firstLineChars="0"/>
              <w:jc w:val="center"/>
              <w:rPr>
                <w:sz w:val="21"/>
              </w:rPr>
            </w:pPr>
          </w:p>
        </w:tc>
      </w:tr>
      <w:tr w14:paraId="308377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A9771E6">
            <w:pPr>
              <w:pStyle w:val="70"/>
              <w:numPr>
                <w:ilvl w:val="0"/>
                <w:numId w:val="99"/>
              </w:numPr>
              <w:spacing w:line="240" w:lineRule="auto"/>
              <w:ind w:firstLineChars="0"/>
              <w:jc w:val="center"/>
              <w:rPr>
                <w:sz w:val="21"/>
              </w:rPr>
            </w:pPr>
          </w:p>
        </w:tc>
        <w:tc>
          <w:tcPr>
            <w:tcW w:w="733" w:type="pct"/>
            <w:vMerge w:val="continue"/>
            <w:vAlign w:val="center"/>
          </w:tcPr>
          <w:p w14:paraId="3EF94631">
            <w:pPr>
              <w:spacing w:line="240" w:lineRule="auto"/>
              <w:ind w:firstLine="0" w:firstLineChars="0"/>
              <w:jc w:val="center"/>
              <w:rPr>
                <w:sz w:val="21"/>
              </w:rPr>
            </w:pPr>
          </w:p>
        </w:tc>
        <w:tc>
          <w:tcPr>
            <w:tcW w:w="1024" w:type="pct"/>
            <w:vAlign w:val="center"/>
          </w:tcPr>
          <w:p w14:paraId="7C06A422">
            <w:pPr>
              <w:spacing w:line="240" w:lineRule="auto"/>
              <w:ind w:firstLine="0" w:firstLineChars="0"/>
              <w:jc w:val="center"/>
              <w:rPr>
                <w:sz w:val="21"/>
              </w:rPr>
            </w:pPr>
            <w:r>
              <w:rPr>
                <w:sz w:val="21"/>
              </w:rPr>
              <w:t>简易担架</w:t>
            </w:r>
          </w:p>
        </w:tc>
        <w:tc>
          <w:tcPr>
            <w:tcW w:w="443" w:type="pct"/>
            <w:vAlign w:val="center"/>
          </w:tcPr>
          <w:p w14:paraId="25D3A07E">
            <w:pPr>
              <w:spacing w:line="240" w:lineRule="auto"/>
              <w:ind w:firstLine="0" w:firstLineChars="0"/>
              <w:jc w:val="center"/>
              <w:rPr>
                <w:sz w:val="21"/>
              </w:rPr>
            </w:pPr>
            <w:r>
              <w:rPr>
                <w:sz w:val="21"/>
              </w:rPr>
              <w:t>个</w:t>
            </w:r>
          </w:p>
        </w:tc>
        <w:tc>
          <w:tcPr>
            <w:tcW w:w="443" w:type="pct"/>
            <w:vAlign w:val="center"/>
          </w:tcPr>
          <w:p w14:paraId="42C0CA3B">
            <w:pPr>
              <w:spacing w:line="240" w:lineRule="auto"/>
              <w:ind w:firstLine="0" w:firstLineChars="0"/>
              <w:jc w:val="center"/>
              <w:rPr>
                <w:sz w:val="21"/>
              </w:rPr>
            </w:pPr>
            <w:r>
              <w:rPr>
                <w:sz w:val="21"/>
              </w:rPr>
              <w:t>2</w:t>
            </w:r>
          </w:p>
        </w:tc>
        <w:tc>
          <w:tcPr>
            <w:tcW w:w="736" w:type="pct"/>
            <w:vAlign w:val="center"/>
          </w:tcPr>
          <w:p w14:paraId="791B05B5">
            <w:pPr>
              <w:spacing w:line="240" w:lineRule="auto"/>
              <w:ind w:firstLine="0" w:firstLineChars="0"/>
              <w:jc w:val="center"/>
              <w:rPr>
                <w:sz w:val="21"/>
              </w:rPr>
            </w:pPr>
            <w:r>
              <w:rPr>
                <w:sz w:val="21"/>
              </w:rPr>
              <w:t>现场仓库</w:t>
            </w:r>
          </w:p>
        </w:tc>
        <w:tc>
          <w:tcPr>
            <w:tcW w:w="736" w:type="pct"/>
            <w:vAlign w:val="center"/>
          </w:tcPr>
          <w:p w14:paraId="1CB6ED83">
            <w:pPr>
              <w:spacing w:line="240" w:lineRule="auto"/>
              <w:ind w:firstLine="0" w:firstLineChars="0"/>
              <w:jc w:val="center"/>
              <w:rPr>
                <w:sz w:val="21"/>
              </w:rPr>
            </w:pPr>
            <w:r>
              <w:rPr>
                <w:sz w:val="21"/>
              </w:rPr>
              <w:t>良好</w:t>
            </w:r>
          </w:p>
        </w:tc>
        <w:tc>
          <w:tcPr>
            <w:tcW w:w="443" w:type="pct"/>
            <w:vAlign w:val="center"/>
          </w:tcPr>
          <w:p w14:paraId="30C27EB3">
            <w:pPr>
              <w:spacing w:line="240" w:lineRule="auto"/>
              <w:ind w:firstLine="0" w:firstLineChars="0"/>
              <w:jc w:val="center"/>
              <w:rPr>
                <w:sz w:val="21"/>
              </w:rPr>
            </w:pPr>
          </w:p>
        </w:tc>
      </w:tr>
      <w:tr w14:paraId="6A7BC2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3E7E58F3">
            <w:pPr>
              <w:pStyle w:val="70"/>
              <w:numPr>
                <w:ilvl w:val="0"/>
                <w:numId w:val="99"/>
              </w:numPr>
              <w:spacing w:line="240" w:lineRule="auto"/>
              <w:ind w:firstLineChars="0"/>
              <w:jc w:val="center"/>
              <w:rPr>
                <w:sz w:val="21"/>
              </w:rPr>
            </w:pPr>
          </w:p>
        </w:tc>
        <w:tc>
          <w:tcPr>
            <w:tcW w:w="733" w:type="pct"/>
            <w:vMerge w:val="restart"/>
            <w:vAlign w:val="center"/>
          </w:tcPr>
          <w:p w14:paraId="102736F3">
            <w:pPr>
              <w:spacing w:line="240" w:lineRule="auto"/>
              <w:ind w:firstLine="0" w:firstLineChars="0"/>
              <w:jc w:val="center"/>
              <w:rPr>
                <w:sz w:val="21"/>
              </w:rPr>
            </w:pPr>
            <w:r>
              <w:rPr>
                <w:sz w:val="21"/>
              </w:rPr>
              <w:t>照明器材</w:t>
            </w:r>
          </w:p>
        </w:tc>
        <w:tc>
          <w:tcPr>
            <w:tcW w:w="1024" w:type="pct"/>
            <w:vAlign w:val="center"/>
          </w:tcPr>
          <w:p w14:paraId="4B73C57E">
            <w:pPr>
              <w:spacing w:line="240" w:lineRule="auto"/>
              <w:ind w:firstLine="0" w:firstLineChars="0"/>
              <w:jc w:val="center"/>
              <w:rPr>
                <w:sz w:val="21"/>
              </w:rPr>
            </w:pPr>
            <w:r>
              <w:rPr>
                <w:sz w:val="21"/>
              </w:rPr>
              <w:t>手电筒</w:t>
            </w:r>
          </w:p>
        </w:tc>
        <w:tc>
          <w:tcPr>
            <w:tcW w:w="443" w:type="pct"/>
            <w:vAlign w:val="center"/>
          </w:tcPr>
          <w:p w14:paraId="336C5BF9">
            <w:pPr>
              <w:spacing w:line="240" w:lineRule="auto"/>
              <w:ind w:firstLine="0" w:firstLineChars="0"/>
              <w:jc w:val="center"/>
              <w:rPr>
                <w:sz w:val="21"/>
              </w:rPr>
            </w:pPr>
            <w:r>
              <w:rPr>
                <w:sz w:val="21"/>
              </w:rPr>
              <w:t>把</w:t>
            </w:r>
          </w:p>
        </w:tc>
        <w:tc>
          <w:tcPr>
            <w:tcW w:w="443" w:type="pct"/>
            <w:vAlign w:val="center"/>
          </w:tcPr>
          <w:p w14:paraId="5F113A32">
            <w:pPr>
              <w:spacing w:line="240" w:lineRule="auto"/>
              <w:ind w:firstLine="0" w:firstLineChars="0"/>
              <w:jc w:val="center"/>
              <w:rPr>
                <w:sz w:val="21"/>
              </w:rPr>
            </w:pPr>
            <w:r>
              <w:rPr>
                <w:sz w:val="21"/>
              </w:rPr>
              <w:t>10</w:t>
            </w:r>
          </w:p>
        </w:tc>
        <w:tc>
          <w:tcPr>
            <w:tcW w:w="736" w:type="pct"/>
            <w:vAlign w:val="center"/>
          </w:tcPr>
          <w:p w14:paraId="32F268BB">
            <w:pPr>
              <w:spacing w:line="240" w:lineRule="auto"/>
              <w:ind w:firstLine="0" w:firstLineChars="0"/>
              <w:jc w:val="center"/>
              <w:rPr>
                <w:sz w:val="21"/>
              </w:rPr>
            </w:pPr>
            <w:r>
              <w:rPr>
                <w:sz w:val="21"/>
              </w:rPr>
              <w:t>现场仓库</w:t>
            </w:r>
          </w:p>
        </w:tc>
        <w:tc>
          <w:tcPr>
            <w:tcW w:w="736" w:type="pct"/>
            <w:vAlign w:val="center"/>
          </w:tcPr>
          <w:p w14:paraId="18A89C3D">
            <w:pPr>
              <w:spacing w:line="240" w:lineRule="auto"/>
              <w:ind w:firstLine="0" w:firstLineChars="0"/>
              <w:jc w:val="center"/>
              <w:rPr>
                <w:sz w:val="21"/>
              </w:rPr>
            </w:pPr>
            <w:r>
              <w:rPr>
                <w:sz w:val="21"/>
              </w:rPr>
              <w:t>良好</w:t>
            </w:r>
          </w:p>
        </w:tc>
        <w:tc>
          <w:tcPr>
            <w:tcW w:w="443" w:type="pct"/>
            <w:vAlign w:val="center"/>
          </w:tcPr>
          <w:p w14:paraId="177E7C85">
            <w:pPr>
              <w:spacing w:line="240" w:lineRule="auto"/>
              <w:ind w:firstLine="0" w:firstLineChars="0"/>
              <w:jc w:val="center"/>
              <w:rPr>
                <w:sz w:val="21"/>
              </w:rPr>
            </w:pPr>
          </w:p>
        </w:tc>
      </w:tr>
      <w:tr w14:paraId="3834FA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28D4F33E">
            <w:pPr>
              <w:pStyle w:val="70"/>
              <w:numPr>
                <w:ilvl w:val="0"/>
                <w:numId w:val="99"/>
              </w:numPr>
              <w:spacing w:line="240" w:lineRule="auto"/>
              <w:ind w:firstLineChars="0"/>
              <w:jc w:val="center"/>
              <w:rPr>
                <w:sz w:val="21"/>
              </w:rPr>
            </w:pPr>
          </w:p>
        </w:tc>
        <w:tc>
          <w:tcPr>
            <w:tcW w:w="733" w:type="pct"/>
            <w:vMerge w:val="continue"/>
            <w:vAlign w:val="center"/>
          </w:tcPr>
          <w:p w14:paraId="0C846286">
            <w:pPr>
              <w:spacing w:line="240" w:lineRule="auto"/>
              <w:ind w:firstLine="0" w:firstLineChars="0"/>
              <w:jc w:val="center"/>
              <w:rPr>
                <w:sz w:val="21"/>
              </w:rPr>
            </w:pPr>
          </w:p>
        </w:tc>
        <w:tc>
          <w:tcPr>
            <w:tcW w:w="1024" w:type="pct"/>
            <w:vAlign w:val="center"/>
          </w:tcPr>
          <w:p w14:paraId="4DC46FB8">
            <w:pPr>
              <w:spacing w:line="240" w:lineRule="auto"/>
              <w:ind w:firstLine="0" w:firstLineChars="0"/>
              <w:jc w:val="center"/>
              <w:rPr>
                <w:sz w:val="21"/>
              </w:rPr>
            </w:pPr>
            <w:r>
              <w:rPr>
                <w:sz w:val="21"/>
              </w:rPr>
              <w:t>应急灯具</w:t>
            </w:r>
          </w:p>
        </w:tc>
        <w:tc>
          <w:tcPr>
            <w:tcW w:w="443" w:type="pct"/>
            <w:vAlign w:val="center"/>
          </w:tcPr>
          <w:p w14:paraId="03FEB2CD">
            <w:pPr>
              <w:spacing w:line="240" w:lineRule="auto"/>
              <w:ind w:firstLine="0" w:firstLineChars="0"/>
              <w:jc w:val="center"/>
              <w:rPr>
                <w:sz w:val="21"/>
              </w:rPr>
            </w:pPr>
            <w:r>
              <w:rPr>
                <w:sz w:val="21"/>
              </w:rPr>
              <w:t>个</w:t>
            </w:r>
          </w:p>
        </w:tc>
        <w:tc>
          <w:tcPr>
            <w:tcW w:w="443" w:type="pct"/>
            <w:vAlign w:val="center"/>
          </w:tcPr>
          <w:p w14:paraId="5D1E047D">
            <w:pPr>
              <w:spacing w:line="240" w:lineRule="auto"/>
              <w:ind w:firstLine="0" w:firstLineChars="0"/>
              <w:jc w:val="center"/>
              <w:rPr>
                <w:sz w:val="21"/>
              </w:rPr>
            </w:pPr>
            <w:r>
              <w:rPr>
                <w:sz w:val="21"/>
              </w:rPr>
              <w:t>10</w:t>
            </w:r>
          </w:p>
        </w:tc>
        <w:tc>
          <w:tcPr>
            <w:tcW w:w="736" w:type="pct"/>
            <w:vAlign w:val="center"/>
          </w:tcPr>
          <w:p w14:paraId="639F1B15">
            <w:pPr>
              <w:spacing w:line="240" w:lineRule="auto"/>
              <w:ind w:firstLine="0" w:firstLineChars="0"/>
              <w:jc w:val="center"/>
              <w:rPr>
                <w:sz w:val="21"/>
              </w:rPr>
            </w:pPr>
            <w:r>
              <w:rPr>
                <w:sz w:val="21"/>
              </w:rPr>
              <w:t>现场仓库</w:t>
            </w:r>
          </w:p>
        </w:tc>
        <w:tc>
          <w:tcPr>
            <w:tcW w:w="736" w:type="pct"/>
            <w:vAlign w:val="center"/>
          </w:tcPr>
          <w:p w14:paraId="69DECF24">
            <w:pPr>
              <w:spacing w:line="240" w:lineRule="auto"/>
              <w:ind w:firstLine="0" w:firstLineChars="0"/>
              <w:jc w:val="center"/>
              <w:rPr>
                <w:sz w:val="21"/>
              </w:rPr>
            </w:pPr>
            <w:r>
              <w:rPr>
                <w:sz w:val="21"/>
              </w:rPr>
              <w:t>良好</w:t>
            </w:r>
          </w:p>
        </w:tc>
        <w:tc>
          <w:tcPr>
            <w:tcW w:w="443" w:type="pct"/>
            <w:vAlign w:val="center"/>
          </w:tcPr>
          <w:p w14:paraId="23BD821B">
            <w:pPr>
              <w:spacing w:line="240" w:lineRule="auto"/>
              <w:ind w:firstLine="0" w:firstLineChars="0"/>
              <w:jc w:val="center"/>
              <w:rPr>
                <w:sz w:val="21"/>
              </w:rPr>
            </w:pPr>
          </w:p>
        </w:tc>
      </w:tr>
      <w:tr w14:paraId="0C542E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36BD5C4">
            <w:pPr>
              <w:pStyle w:val="70"/>
              <w:numPr>
                <w:ilvl w:val="0"/>
                <w:numId w:val="99"/>
              </w:numPr>
              <w:spacing w:line="240" w:lineRule="auto"/>
              <w:ind w:firstLineChars="0"/>
              <w:jc w:val="center"/>
              <w:rPr>
                <w:sz w:val="21"/>
              </w:rPr>
            </w:pPr>
          </w:p>
        </w:tc>
        <w:tc>
          <w:tcPr>
            <w:tcW w:w="733" w:type="pct"/>
            <w:vMerge w:val="restart"/>
            <w:vAlign w:val="center"/>
          </w:tcPr>
          <w:p w14:paraId="3AF4B8FD">
            <w:pPr>
              <w:spacing w:line="240" w:lineRule="auto"/>
              <w:ind w:firstLine="0" w:firstLineChars="0"/>
              <w:jc w:val="center"/>
              <w:rPr>
                <w:sz w:val="21"/>
              </w:rPr>
            </w:pPr>
            <w:r>
              <w:rPr>
                <w:sz w:val="21"/>
              </w:rPr>
              <w:t>通讯器材</w:t>
            </w:r>
          </w:p>
        </w:tc>
        <w:tc>
          <w:tcPr>
            <w:tcW w:w="1024" w:type="pct"/>
            <w:vAlign w:val="center"/>
          </w:tcPr>
          <w:p w14:paraId="59699441">
            <w:pPr>
              <w:spacing w:line="240" w:lineRule="auto"/>
              <w:ind w:firstLine="0" w:firstLineChars="0"/>
              <w:jc w:val="center"/>
              <w:rPr>
                <w:sz w:val="21"/>
              </w:rPr>
            </w:pPr>
            <w:r>
              <w:rPr>
                <w:sz w:val="21"/>
              </w:rPr>
              <w:t>对讲机</w:t>
            </w:r>
          </w:p>
        </w:tc>
        <w:tc>
          <w:tcPr>
            <w:tcW w:w="443" w:type="pct"/>
            <w:vAlign w:val="center"/>
          </w:tcPr>
          <w:p w14:paraId="4269735B">
            <w:pPr>
              <w:spacing w:line="240" w:lineRule="auto"/>
              <w:ind w:firstLine="0" w:firstLineChars="0"/>
              <w:jc w:val="center"/>
              <w:rPr>
                <w:sz w:val="21"/>
              </w:rPr>
            </w:pPr>
            <w:r>
              <w:rPr>
                <w:sz w:val="21"/>
              </w:rPr>
              <w:t>部</w:t>
            </w:r>
          </w:p>
        </w:tc>
        <w:tc>
          <w:tcPr>
            <w:tcW w:w="443" w:type="pct"/>
            <w:vAlign w:val="center"/>
          </w:tcPr>
          <w:p w14:paraId="627B398E">
            <w:pPr>
              <w:spacing w:line="240" w:lineRule="auto"/>
              <w:ind w:firstLine="0" w:firstLineChars="0"/>
              <w:jc w:val="center"/>
              <w:rPr>
                <w:sz w:val="21"/>
              </w:rPr>
            </w:pPr>
            <w:r>
              <w:rPr>
                <w:sz w:val="21"/>
              </w:rPr>
              <w:t>5</w:t>
            </w:r>
          </w:p>
        </w:tc>
        <w:tc>
          <w:tcPr>
            <w:tcW w:w="736" w:type="pct"/>
            <w:vAlign w:val="center"/>
          </w:tcPr>
          <w:p w14:paraId="2C5BF213">
            <w:pPr>
              <w:spacing w:line="240" w:lineRule="auto"/>
              <w:ind w:firstLine="0" w:firstLineChars="0"/>
              <w:jc w:val="center"/>
              <w:rPr>
                <w:sz w:val="21"/>
              </w:rPr>
            </w:pPr>
            <w:r>
              <w:rPr>
                <w:sz w:val="21"/>
              </w:rPr>
              <w:t>现场</w:t>
            </w:r>
          </w:p>
        </w:tc>
        <w:tc>
          <w:tcPr>
            <w:tcW w:w="736" w:type="pct"/>
            <w:vAlign w:val="center"/>
          </w:tcPr>
          <w:p w14:paraId="5E62958C">
            <w:pPr>
              <w:spacing w:line="240" w:lineRule="auto"/>
              <w:ind w:firstLine="0" w:firstLineChars="0"/>
              <w:jc w:val="center"/>
              <w:rPr>
                <w:sz w:val="21"/>
              </w:rPr>
            </w:pPr>
            <w:r>
              <w:rPr>
                <w:sz w:val="21"/>
              </w:rPr>
              <w:t>良好</w:t>
            </w:r>
          </w:p>
        </w:tc>
        <w:tc>
          <w:tcPr>
            <w:tcW w:w="443" w:type="pct"/>
            <w:vAlign w:val="center"/>
          </w:tcPr>
          <w:p w14:paraId="0710031D">
            <w:pPr>
              <w:spacing w:line="240" w:lineRule="auto"/>
              <w:ind w:firstLine="0" w:firstLineChars="0"/>
              <w:jc w:val="center"/>
              <w:rPr>
                <w:sz w:val="21"/>
              </w:rPr>
            </w:pPr>
          </w:p>
        </w:tc>
      </w:tr>
      <w:tr w14:paraId="289736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148AA7D9">
            <w:pPr>
              <w:pStyle w:val="70"/>
              <w:numPr>
                <w:ilvl w:val="0"/>
                <w:numId w:val="99"/>
              </w:numPr>
              <w:spacing w:line="240" w:lineRule="auto"/>
              <w:ind w:firstLineChars="0"/>
              <w:jc w:val="center"/>
              <w:rPr>
                <w:sz w:val="21"/>
              </w:rPr>
            </w:pPr>
          </w:p>
        </w:tc>
        <w:tc>
          <w:tcPr>
            <w:tcW w:w="733" w:type="pct"/>
            <w:vMerge w:val="continue"/>
            <w:vAlign w:val="center"/>
          </w:tcPr>
          <w:p w14:paraId="2655F465">
            <w:pPr>
              <w:spacing w:line="240" w:lineRule="auto"/>
              <w:ind w:firstLine="0" w:firstLineChars="0"/>
              <w:jc w:val="center"/>
              <w:rPr>
                <w:sz w:val="21"/>
              </w:rPr>
            </w:pPr>
          </w:p>
        </w:tc>
        <w:tc>
          <w:tcPr>
            <w:tcW w:w="1024" w:type="pct"/>
            <w:vAlign w:val="center"/>
          </w:tcPr>
          <w:p w14:paraId="4A8D81E2">
            <w:pPr>
              <w:spacing w:line="240" w:lineRule="auto"/>
              <w:ind w:firstLine="0" w:firstLineChars="0"/>
              <w:jc w:val="center"/>
              <w:rPr>
                <w:sz w:val="21"/>
              </w:rPr>
            </w:pPr>
            <w:r>
              <w:rPr>
                <w:sz w:val="21"/>
              </w:rPr>
              <w:t>手机</w:t>
            </w:r>
          </w:p>
        </w:tc>
        <w:tc>
          <w:tcPr>
            <w:tcW w:w="443" w:type="pct"/>
            <w:vAlign w:val="center"/>
          </w:tcPr>
          <w:p w14:paraId="31BCA7F9">
            <w:pPr>
              <w:spacing w:line="240" w:lineRule="auto"/>
              <w:ind w:firstLine="0" w:firstLineChars="0"/>
              <w:jc w:val="center"/>
              <w:rPr>
                <w:sz w:val="21"/>
              </w:rPr>
            </w:pPr>
            <w:r>
              <w:rPr>
                <w:sz w:val="21"/>
              </w:rPr>
              <w:t>部</w:t>
            </w:r>
          </w:p>
        </w:tc>
        <w:tc>
          <w:tcPr>
            <w:tcW w:w="443" w:type="pct"/>
            <w:vAlign w:val="center"/>
          </w:tcPr>
          <w:p w14:paraId="2D84D260">
            <w:pPr>
              <w:spacing w:line="240" w:lineRule="auto"/>
              <w:ind w:firstLine="0" w:firstLineChars="0"/>
              <w:jc w:val="center"/>
              <w:rPr>
                <w:sz w:val="21"/>
              </w:rPr>
            </w:pPr>
            <w:r>
              <w:rPr>
                <w:sz w:val="21"/>
              </w:rPr>
              <w:t>若干</w:t>
            </w:r>
          </w:p>
        </w:tc>
        <w:tc>
          <w:tcPr>
            <w:tcW w:w="736" w:type="pct"/>
            <w:vAlign w:val="center"/>
          </w:tcPr>
          <w:p w14:paraId="5B877B53">
            <w:pPr>
              <w:spacing w:line="240" w:lineRule="auto"/>
              <w:ind w:firstLine="0" w:firstLineChars="0"/>
              <w:jc w:val="center"/>
              <w:rPr>
                <w:sz w:val="21"/>
              </w:rPr>
            </w:pPr>
            <w:r>
              <w:rPr>
                <w:sz w:val="21"/>
              </w:rPr>
              <w:t>现场</w:t>
            </w:r>
          </w:p>
        </w:tc>
        <w:tc>
          <w:tcPr>
            <w:tcW w:w="736" w:type="pct"/>
            <w:vAlign w:val="center"/>
          </w:tcPr>
          <w:p w14:paraId="7792FFCF">
            <w:pPr>
              <w:spacing w:line="240" w:lineRule="auto"/>
              <w:ind w:firstLine="0" w:firstLineChars="0"/>
              <w:jc w:val="center"/>
              <w:rPr>
                <w:sz w:val="21"/>
              </w:rPr>
            </w:pPr>
            <w:r>
              <w:rPr>
                <w:sz w:val="21"/>
              </w:rPr>
              <w:t>良好</w:t>
            </w:r>
          </w:p>
        </w:tc>
        <w:tc>
          <w:tcPr>
            <w:tcW w:w="443" w:type="pct"/>
            <w:vAlign w:val="center"/>
          </w:tcPr>
          <w:p w14:paraId="5D6C8E2D">
            <w:pPr>
              <w:spacing w:line="240" w:lineRule="auto"/>
              <w:ind w:firstLine="0" w:firstLineChars="0"/>
              <w:jc w:val="center"/>
              <w:rPr>
                <w:sz w:val="21"/>
              </w:rPr>
            </w:pPr>
          </w:p>
        </w:tc>
      </w:tr>
      <w:tr w14:paraId="027F15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4C0FEAE2">
            <w:pPr>
              <w:pStyle w:val="70"/>
              <w:numPr>
                <w:ilvl w:val="0"/>
                <w:numId w:val="99"/>
              </w:numPr>
              <w:spacing w:line="240" w:lineRule="auto"/>
              <w:ind w:firstLineChars="0"/>
              <w:jc w:val="center"/>
              <w:rPr>
                <w:sz w:val="21"/>
              </w:rPr>
            </w:pPr>
          </w:p>
        </w:tc>
        <w:tc>
          <w:tcPr>
            <w:tcW w:w="733" w:type="pct"/>
            <w:vMerge w:val="restart"/>
            <w:vAlign w:val="center"/>
          </w:tcPr>
          <w:p w14:paraId="19B2C089">
            <w:pPr>
              <w:spacing w:line="240" w:lineRule="auto"/>
              <w:ind w:firstLine="0" w:firstLineChars="0"/>
              <w:jc w:val="center"/>
              <w:rPr>
                <w:sz w:val="21"/>
              </w:rPr>
            </w:pPr>
            <w:r>
              <w:rPr>
                <w:sz w:val="21"/>
              </w:rPr>
              <w:t>抢救设备</w:t>
            </w:r>
          </w:p>
        </w:tc>
        <w:tc>
          <w:tcPr>
            <w:tcW w:w="1024" w:type="pct"/>
            <w:vAlign w:val="center"/>
          </w:tcPr>
          <w:p w14:paraId="799118D7">
            <w:pPr>
              <w:spacing w:line="240" w:lineRule="auto"/>
              <w:ind w:firstLine="0" w:firstLineChars="0"/>
              <w:jc w:val="center"/>
              <w:rPr>
                <w:sz w:val="21"/>
              </w:rPr>
            </w:pPr>
            <w:r>
              <w:rPr>
                <w:sz w:val="21"/>
              </w:rPr>
              <w:t>汽车吊</w:t>
            </w:r>
          </w:p>
        </w:tc>
        <w:tc>
          <w:tcPr>
            <w:tcW w:w="443" w:type="pct"/>
            <w:vAlign w:val="center"/>
          </w:tcPr>
          <w:p w14:paraId="4E72DE79">
            <w:pPr>
              <w:spacing w:line="240" w:lineRule="auto"/>
              <w:ind w:firstLine="0" w:firstLineChars="0"/>
              <w:jc w:val="center"/>
              <w:rPr>
                <w:sz w:val="21"/>
              </w:rPr>
            </w:pPr>
            <w:r>
              <w:rPr>
                <w:sz w:val="21"/>
              </w:rPr>
              <w:t>辆</w:t>
            </w:r>
          </w:p>
        </w:tc>
        <w:tc>
          <w:tcPr>
            <w:tcW w:w="443" w:type="pct"/>
            <w:vAlign w:val="center"/>
          </w:tcPr>
          <w:p w14:paraId="27CDB73A">
            <w:pPr>
              <w:spacing w:line="240" w:lineRule="auto"/>
              <w:ind w:firstLine="0" w:firstLineChars="0"/>
              <w:jc w:val="center"/>
              <w:rPr>
                <w:sz w:val="21"/>
              </w:rPr>
            </w:pPr>
            <w:r>
              <w:rPr>
                <w:sz w:val="21"/>
              </w:rPr>
              <w:t>1</w:t>
            </w:r>
          </w:p>
        </w:tc>
        <w:tc>
          <w:tcPr>
            <w:tcW w:w="736" w:type="pct"/>
            <w:vAlign w:val="center"/>
          </w:tcPr>
          <w:p w14:paraId="19FAFBCC">
            <w:pPr>
              <w:spacing w:line="240" w:lineRule="auto"/>
              <w:ind w:firstLine="0" w:firstLineChars="0"/>
              <w:jc w:val="center"/>
              <w:rPr>
                <w:sz w:val="21"/>
              </w:rPr>
            </w:pPr>
            <w:r>
              <w:rPr>
                <w:sz w:val="21"/>
              </w:rPr>
              <w:t>现场仓库</w:t>
            </w:r>
          </w:p>
        </w:tc>
        <w:tc>
          <w:tcPr>
            <w:tcW w:w="736" w:type="pct"/>
            <w:vAlign w:val="center"/>
          </w:tcPr>
          <w:p w14:paraId="4C9A7EC6">
            <w:pPr>
              <w:spacing w:line="240" w:lineRule="auto"/>
              <w:ind w:firstLine="0" w:firstLineChars="0"/>
              <w:jc w:val="center"/>
              <w:rPr>
                <w:sz w:val="21"/>
              </w:rPr>
            </w:pPr>
            <w:r>
              <w:rPr>
                <w:sz w:val="21"/>
              </w:rPr>
              <w:t>良好</w:t>
            </w:r>
          </w:p>
        </w:tc>
        <w:tc>
          <w:tcPr>
            <w:tcW w:w="443" w:type="pct"/>
            <w:vAlign w:val="center"/>
          </w:tcPr>
          <w:p w14:paraId="5DFE5E93">
            <w:pPr>
              <w:spacing w:line="240" w:lineRule="auto"/>
              <w:ind w:firstLine="0" w:firstLineChars="0"/>
              <w:jc w:val="center"/>
              <w:rPr>
                <w:sz w:val="21"/>
              </w:rPr>
            </w:pPr>
          </w:p>
        </w:tc>
      </w:tr>
      <w:tr w14:paraId="1E4B38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43" w:type="pct"/>
            <w:vAlign w:val="center"/>
          </w:tcPr>
          <w:p w14:paraId="60734E1B">
            <w:pPr>
              <w:pStyle w:val="70"/>
              <w:numPr>
                <w:ilvl w:val="0"/>
                <w:numId w:val="99"/>
              </w:numPr>
              <w:spacing w:line="240" w:lineRule="auto"/>
              <w:ind w:firstLineChars="0"/>
              <w:jc w:val="center"/>
              <w:rPr>
                <w:sz w:val="21"/>
              </w:rPr>
            </w:pPr>
          </w:p>
        </w:tc>
        <w:tc>
          <w:tcPr>
            <w:tcW w:w="733" w:type="pct"/>
            <w:vMerge w:val="continue"/>
            <w:vAlign w:val="center"/>
          </w:tcPr>
          <w:p w14:paraId="42884158">
            <w:pPr>
              <w:spacing w:line="240" w:lineRule="auto"/>
              <w:ind w:firstLine="0" w:firstLineChars="0"/>
              <w:jc w:val="center"/>
              <w:rPr>
                <w:sz w:val="21"/>
              </w:rPr>
            </w:pPr>
          </w:p>
        </w:tc>
        <w:tc>
          <w:tcPr>
            <w:tcW w:w="1024" w:type="pct"/>
            <w:vAlign w:val="center"/>
          </w:tcPr>
          <w:p w14:paraId="003FAE28">
            <w:pPr>
              <w:spacing w:line="240" w:lineRule="auto"/>
              <w:ind w:firstLine="0" w:firstLineChars="0"/>
              <w:jc w:val="center"/>
              <w:rPr>
                <w:sz w:val="21"/>
              </w:rPr>
            </w:pPr>
            <w:r>
              <w:rPr>
                <w:sz w:val="21"/>
              </w:rPr>
              <w:t>小车</w:t>
            </w:r>
          </w:p>
        </w:tc>
        <w:tc>
          <w:tcPr>
            <w:tcW w:w="443" w:type="pct"/>
            <w:vAlign w:val="center"/>
          </w:tcPr>
          <w:p w14:paraId="2608D833">
            <w:pPr>
              <w:spacing w:line="240" w:lineRule="auto"/>
              <w:ind w:firstLine="0" w:firstLineChars="0"/>
              <w:jc w:val="center"/>
              <w:rPr>
                <w:sz w:val="21"/>
              </w:rPr>
            </w:pPr>
            <w:r>
              <w:rPr>
                <w:sz w:val="21"/>
              </w:rPr>
              <w:t>辆</w:t>
            </w:r>
          </w:p>
        </w:tc>
        <w:tc>
          <w:tcPr>
            <w:tcW w:w="443" w:type="pct"/>
            <w:vAlign w:val="center"/>
          </w:tcPr>
          <w:p w14:paraId="3C5AE1B0">
            <w:pPr>
              <w:spacing w:line="240" w:lineRule="auto"/>
              <w:ind w:firstLine="0" w:firstLineChars="0"/>
              <w:jc w:val="center"/>
              <w:rPr>
                <w:sz w:val="21"/>
              </w:rPr>
            </w:pPr>
            <w:r>
              <w:rPr>
                <w:sz w:val="21"/>
              </w:rPr>
              <w:t>1</w:t>
            </w:r>
          </w:p>
        </w:tc>
        <w:tc>
          <w:tcPr>
            <w:tcW w:w="736" w:type="pct"/>
            <w:vAlign w:val="center"/>
          </w:tcPr>
          <w:p w14:paraId="0590F7E8">
            <w:pPr>
              <w:spacing w:line="240" w:lineRule="auto"/>
              <w:ind w:firstLine="0" w:firstLineChars="0"/>
              <w:jc w:val="center"/>
              <w:rPr>
                <w:sz w:val="21"/>
              </w:rPr>
            </w:pPr>
            <w:r>
              <w:rPr>
                <w:sz w:val="21"/>
              </w:rPr>
              <w:t>现场仓库</w:t>
            </w:r>
          </w:p>
        </w:tc>
        <w:tc>
          <w:tcPr>
            <w:tcW w:w="736" w:type="pct"/>
            <w:vAlign w:val="center"/>
          </w:tcPr>
          <w:p w14:paraId="25832007">
            <w:pPr>
              <w:spacing w:line="240" w:lineRule="auto"/>
              <w:ind w:firstLine="0" w:firstLineChars="0"/>
              <w:jc w:val="center"/>
              <w:rPr>
                <w:sz w:val="21"/>
              </w:rPr>
            </w:pPr>
            <w:r>
              <w:rPr>
                <w:sz w:val="21"/>
              </w:rPr>
              <w:t>良好</w:t>
            </w:r>
          </w:p>
        </w:tc>
        <w:tc>
          <w:tcPr>
            <w:tcW w:w="443" w:type="pct"/>
            <w:vAlign w:val="center"/>
          </w:tcPr>
          <w:p w14:paraId="32706E7B">
            <w:pPr>
              <w:spacing w:line="240" w:lineRule="auto"/>
              <w:ind w:firstLine="0" w:firstLineChars="0"/>
              <w:jc w:val="center"/>
              <w:rPr>
                <w:sz w:val="21"/>
              </w:rPr>
            </w:pPr>
          </w:p>
        </w:tc>
      </w:tr>
    </w:tbl>
    <w:p w14:paraId="231C627B">
      <w:pPr>
        <w:pStyle w:val="3"/>
      </w:pPr>
      <w:bookmarkStart w:id="195" w:name="_Toc63185592"/>
      <w:bookmarkStart w:id="196" w:name="_Toc3384"/>
      <w:bookmarkStart w:id="197" w:name="_Toc12896"/>
      <w:bookmarkStart w:id="198" w:name="_Toc40778458"/>
      <w:bookmarkStart w:id="199" w:name="_Toc86675429"/>
      <w:bookmarkStart w:id="200" w:name="_Toc88642980"/>
      <w:r>
        <w:rPr>
          <w:rFonts w:hint="eastAsia"/>
        </w:rPr>
        <w:t>应急医院及线路图</w:t>
      </w:r>
      <w:bookmarkEnd w:id="195"/>
      <w:bookmarkEnd w:id="196"/>
      <w:bookmarkEnd w:id="197"/>
      <w:bookmarkEnd w:id="198"/>
      <w:bookmarkEnd w:id="199"/>
      <w:bookmarkEnd w:id="200"/>
    </w:p>
    <w:p w14:paraId="233A820B">
      <w:pPr>
        <w:pStyle w:val="15"/>
      </w:pPr>
      <w:r>
        <w:rPr>
          <w:rFonts w:hint="eastAsia"/>
        </w:rPr>
        <w:t>表</w:t>
      </w:r>
      <w:r>
        <w:fldChar w:fldCharType="begin"/>
      </w:r>
      <w:r>
        <w:instrText xml:space="preserve"> </w:instrText>
      </w:r>
      <w:r>
        <w:rPr>
          <w:rFonts w:hint="eastAsia"/>
        </w:rPr>
        <w:instrText xml:space="preserve">STYLEREF 2 \s</w:instrText>
      </w:r>
      <w:r>
        <w:instrText xml:space="preserve"> </w:instrText>
      </w:r>
      <w:r>
        <w:fldChar w:fldCharType="separate"/>
      </w:r>
      <w:r>
        <w:t>9.5</w:t>
      </w:r>
      <w:r>
        <w:fldChar w:fldCharType="end"/>
      </w:r>
      <w:r>
        <w:noBreakHyphen/>
      </w:r>
      <w:r>
        <w:fldChar w:fldCharType="begin"/>
      </w:r>
      <w:r>
        <w:instrText xml:space="preserve"> </w:instrText>
      </w:r>
      <w:r>
        <w:rPr>
          <w:rFonts w:hint="eastAsia"/>
        </w:rPr>
        <w:instrText xml:space="preserve">SEQ 表 \* ARABIC \s 2</w:instrText>
      </w:r>
      <w:r>
        <w:instrText xml:space="preserve"> </w:instrText>
      </w:r>
      <w:r>
        <w:fldChar w:fldCharType="separate"/>
      </w:r>
      <w:r>
        <w:t>1</w:t>
      </w:r>
      <w:r>
        <w:fldChar w:fldCharType="end"/>
      </w:r>
      <w:r>
        <w:t xml:space="preserve"> </w:t>
      </w:r>
      <w:r>
        <w:rPr>
          <w:rFonts w:hint="eastAsia"/>
        </w:rPr>
        <w:t>应急救援通信一览表</w:t>
      </w:r>
    </w:p>
    <w:tbl>
      <w:tblPr>
        <w:tblStyle w:val="36"/>
        <w:tblW w:w="5000" w:type="pct"/>
        <w:jc w:val="center"/>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shd w:val="clear" w:color="auto" w:fill="FFFFFF"/>
        <w:tblLayout w:type="autofit"/>
        <w:tblCellMar>
          <w:top w:w="0" w:type="dxa"/>
          <w:left w:w="108" w:type="dxa"/>
          <w:bottom w:w="0" w:type="dxa"/>
          <w:right w:w="108" w:type="dxa"/>
        </w:tblCellMar>
      </w:tblPr>
      <w:tblGrid>
        <w:gridCol w:w="1101"/>
        <w:gridCol w:w="3635"/>
        <w:gridCol w:w="2487"/>
        <w:gridCol w:w="1299"/>
      </w:tblGrid>
      <w:tr w14:paraId="01C23548">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6DE703DE">
            <w:pPr>
              <w:pStyle w:val="16"/>
              <w:rPr>
                <w:b/>
                <w:bCs/>
              </w:rPr>
            </w:pPr>
            <w:r>
              <w:rPr>
                <w:rFonts w:hint="eastAsia"/>
                <w:b/>
                <w:bCs/>
              </w:rPr>
              <w:t>序号</w:t>
            </w:r>
          </w:p>
        </w:tc>
        <w:tc>
          <w:tcPr>
            <w:tcW w:w="2133" w:type="pct"/>
            <w:shd w:val="clear" w:color="auto" w:fill="FFFFFF"/>
            <w:vAlign w:val="center"/>
          </w:tcPr>
          <w:p w14:paraId="528C4DFD">
            <w:pPr>
              <w:pStyle w:val="16"/>
              <w:rPr>
                <w:b/>
                <w:bCs/>
              </w:rPr>
            </w:pPr>
            <w:r>
              <w:rPr>
                <w:rFonts w:hint="eastAsia"/>
                <w:b/>
                <w:bCs/>
              </w:rPr>
              <w:t>单位</w:t>
            </w:r>
          </w:p>
        </w:tc>
        <w:tc>
          <w:tcPr>
            <w:tcW w:w="1459" w:type="pct"/>
            <w:shd w:val="clear" w:color="auto" w:fill="FFFFFF"/>
            <w:vAlign w:val="center"/>
          </w:tcPr>
          <w:p w14:paraId="6B98C3F1">
            <w:pPr>
              <w:pStyle w:val="16"/>
              <w:rPr>
                <w:b/>
                <w:bCs/>
              </w:rPr>
            </w:pPr>
            <w:r>
              <w:rPr>
                <w:rFonts w:hint="eastAsia"/>
                <w:b/>
                <w:bCs/>
              </w:rPr>
              <w:t>联系电话</w:t>
            </w:r>
          </w:p>
        </w:tc>
        <w:tc>
          <w:tcPr>
            <w:tcW w:w="762" w:type="pct"/>
            <w:shd w:val="clear" w:color="auto" w:fill="FFFFFF"/>
            <w:vAlign w:val="center"/>
          </w:tcPr>
          <w:p w14:paraId="5EA1D701">
            <w:pPr>
              <w:pStyle w:val="16"/>
              <w:rPr>
                <w:b/>
                <w:bCs/>
              </w:rPr>
            </w:pPr>
            <w:r>
              <w:rPr>
                <w:rFonts w:hint="eastAsia"/>
                <w:b/>
                <w:bCs/>
              </w:rPr>
              <w:t>备注</w:t>
            </w:r>
          </w:p>
        </w:tc>
      </w:tr>
      <w:tr w14:paraId="64D54405">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1282BE8F">
            <w:pPr>
              <w:pStyle w:val="16"/>
              <w:numPr>
                <w:ilvl w:val="0"/>
                <w:numId w:val="100"/>
              </w:numPr>
            </w:pPr>
          </w:p>
        </w:tc>
        <w:tc>
          <w:tcPr>
            <w:tcW w:w="2133" w:type="pct"/>
            <w:shd w:val="clear" w:color="auto" w:fill="FFFFFF"/>
            <w:vAlign w:val="center"/>
          </w:tcPr>
          <w:p w14:paraId="3CD53EA8">
            <w:pPr>
              <w:pStyle w:val="16"/>
            </w:pPr>
            <w:r>
              <w:rPr>
                <w:rFonts w:hint="eastAsia"/>
              </w:rPr>
              <w:t>麻栗坡县应急管理</w:t>
            </w:r>
            <w:r>
              <w:t>局</w:t>
            </w:r>
          </w:p>
        </w:tc>
        <w:tc>
          <w:tcPr>
            <w:tcW w:w="1459" w:type="pct"/>
            <w:shd w:val="clear" w:color="auto" w:fill="FFFFFF"/>
            <w:vAlign w:val="center"/>
          </w:tcPr>
          <w:p w14:paraId="5BD1812E">
            <w:pPr>
              <w:pStyle w:val="16"/>
            </w:pPr>
            <w:r>
              <w:rPr>
                <w:rFonts w:hint="eastAsia"/>
              </w:rPr>
              <w:t>0</w:t>
            </w:r>
            <w:r>
              <w:t>876-6627199</w:t>
            </w:r>
          </w:p>
        </w:tc>
        <w:tc>
          <w:tcPr>
            <w:tcW w:w="762" w:type="pct"/>
            <w:shd w:val="clear" w:color="auto" w:fill="FFFFFF"/>
            <w:vAlign w:val="center"/>
          </w:tcPr>
          <w:p w14:paraId="0F55ACDD">
            <w:pPr>
              <w:pStyle w:val="16"/>
            </w:pPr>
          </w:p>
        </w:tc>
      </w:tr>
      <w:tr w14:paraId="758C2CB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649F5452">
            <w:pPr>
              <w:pStyle w:val="16"/>
              <w:numPr>
                <w:ilvl w:val="0"/>
                <w:numId w:val="100"/>
              </w:numPr>
            </w:pPr>
          </w:p>
        </w:tc>
        <w:tc>
          <w:tcPr>
            <w:tcW w:w="2133" w:type="pct"/>
            <w:shd w:val="clear" w:color="auto" w:fill="FFFFFF"/>
            <w:vAlign w:val="center"/>
          </w:tcPr>
          <w:p w14:paraId="4F72CC31">
            <w:pPr>
              <w:pStyle w:val="16"/>
            </w:pPr>
            <w:r>
              <w:rPr>
                <w:rFonts w:hint="eastAsia"/>
              </w:rPr>
              <w:t>城子上村卫生院</w:t>
            </w:r>
          </w:p>
        </w:tc>
        <w:tc>
          <w:tcPr>
            <w:tcW w:w="1459" w:type="pct"/>
            <w:shd w:val="clear" w:color="auto" w:fill="FFFFFF"/>
            <w:vAlign w:val="center"/>
          </w:tcPr>
          <w:p w14:paraId="02105E0E">
            <w:pPr>
              <w:pStyle w:val="16"/>
            </w:pPr>
            <w:r>
              <w:rPr>
                <w:rFonts w:hint="eastAsia"/>
              </w:rPr>
              <w:t>0</w:t>
            </w:r>
            <w:r>
              <w:t>876-6550298</w:t>
            </w:r>
          </w:p>
        </w:tc>
        <w:tc>
          <w:tcPr>
            <w:tcW w:w="762" w:type="pct"/>
            <w:shd w:val="clear" w:color="auto" w:fill="FFFFFF"/>
            <w:vAlign w:val="center"/>
          </w:tcPr>
          <w:p w14:paraId="48F4E1ED">
            <w:pPr>
              <w:pStyle w:val="16"/>
            </w:pPr>
            <w:r>
              <w:rPr>
                <w:rFonts w:hint="eastAsia"/>
              </w:rPr>
              <w:t>1</w:t>
            </w:r>
            <w:r>
              <w:t>0</w:t>
            </w:r>
            <w:r>
              <w:rPr>
                <w:rFonts w:hint="eastAsia"/>
              </w:rPr>
              <w:t>min</w:t>
            </w:r>
          </w:p>
        </w:tc>
      </w:tr>
      <w:tr w14:paraId="5325BC72">
        <w:tblPrEx>
          <w:tblBorders>
            <w:top w:val="single" w:color="auto" w:sz="12" w:space="0"/>
            <w:left w:val="single" w:color="auto" w:sz="12" w:space="0"/>
            <w:bottom w:val="single" w:color="auto" w:sz="12" w:space="0"/>
            <w:right w:val="single" w:color="auto" w:sz="12" w:space="0"/>
            <w:insideH w:val="single" w:color="auto" w:sz="2" w:space="0"/>
            <w:insideV w:val="single" w:color="auto" w:sz="2" w:space="0"/>
          </w:tblBorders>
          <w:tblCellMar>
            <w:top w:w="0" w:type="dxa"/>
            <w:left w:w="108" w:type="dxa"/>
            <w:bottom w:w="0" w:type="dxa"/>
            <w:right w:w="108" w:type="dxa"/>
          </w:tblCellMar>
        </w:tblPrEx>
        <w:trPr>
          <w:trHeight w:val="227" w:hRule="atLeast"/>
          <w:jc w:val="center"/>
        </w:trPr>
        <w:tc>
          <w:tcPr>
            <w:tcW w:w="646" w:type="pct"/>
            <w:shd w:val="clear" w:color="auto" w:fill="FFFFFF"/>
            <w:vAlign w:val="center"/>
          </w:tcPr>
          <w:p w14:paraId="1D9B9337">
            <w:pPr>
              <w:pStyle w:val="16"/>
              <w:numPr>
                <w:ilvl w:val="0"/>
                <w:numId w:val="100"/>
              </w:numPr>
            </w:pPr>
          </w:p>
        </w:tc>
        <w:tc>
          <w:tcPr>
            <w:tcW w:w="2133" w:type="pct"/>
            <w:shd w:val="clear" w:color="auto" w:fill="FFFFFF"/>
            <w:vAlign w:val="center"/>
          </w:tcPr>
          <w:p w14:paraId="746B63D8">
            <w:pPr>
              <w:pStyle w:val="16"/>
            </w:pPr>
            <w:r>
              <w:rPr>
                <w:rFonts w:hint="eastAsia"/>
              </w:rPr>
              <w:t>麻栗坡县人民医院</w:t>
            </w:r>
          </w:p>
        </w:tc>
        <w:tc>
          <w:tcPr>
            <w:tcW w:w="1459" w:type="pct"/>
            <w:shd w:val="clear" w:color="auto" w:fill="FFFFFF"/>
            <w:vAlign w:val="center"/>
          </w:tcPr>
          <w:p w14:paraId="56E23E84">
            <w:pPr>
              <w:pStyle w:val="16"/>
            </w:pPr>
            <w:r>
              <w:rPr>
                <w:rFonts w:hint="eastAsia"/>
              </w:rPr>
              <w:t>0</w:t>
            </w:r>
            <w:r>
              <w:t>876-6622962</w:t>
            </w:r>
          </w:p>
        </w:tc>
        <w:tc>
          <w:tcPr>
            <w:tcW w:w="762" w:type="pct"/>
            <w:shd w:val="clear" w:color="auto" w:fill="FFFFFF"/>
            <w:vAlign w:val="center"/>
          </w:tcPr>
          <w:p w14:paraId="40854145">
            <w:pPr>
              <w:pStyle w:val="16"/>
            </w:pPr>
            <w:r>
              <w:rPr>
                <w:rFonts w:hint="eastAsia"/>
              </w:rPr>
              <w:t>7</w:t>
            </w:r>
            <w:r>
              <w:t>0</w:t>
            </w:r>
            <w:r>
              <w:rPr>
                <w:rFonts w:hint="eastAsia"/>
              </w:rPr>
              <w:t>min</w:t>
            </w:r>
          </w:p>
        </w:tc>
      </w:tr>
    </w:tbl>
    <w:p w14:paraId="4FAB11F4">
      <w:pPr>
        <w:ind w:firstLine="480"/>
      </w:pPr>
      <w:r>
        <w:rPr>
          <w:rFonts w:hint="eastAsia"/>
        </w:rPr>
        <w:t>如发生人员伤亡事故，应急小组根据伤情及时联络医疗机构并在第一时间将受伤人员经X351县道送往城子上村卫生院进行前期处理，沿途约4.5公里，预计10分钟路程。若伤情较重则经X351县道送往麻栗坡县人民医院，沿途约44.9公里，预计70分钟路程。</w:t>
      </w:r>
    </w:p>
    <w:p w14:paraId="49A4777B">
      <w:pPr>
        <w:ind w:firstLine="480"/>
      </w:pPr>
      <w:r>
        <w:t>施工现场去往医院线路见</w:t>
      </w:r>
      <w:r>
        <w:fldChar w:fldCharType="begin"/>
      </w:r>
      <w:r>
        <w:instrText xml:space="preserve"> </w:instrText>
      </w:r>
      <w:r>
        <w:rPr>
          <w:rFonts w:hint="eastAsia"/>
        </w:rPr>
        <w:instrText xml:space="preserve">REF _Ref85787898 \h</w:instrText>
      </w:r>
      <w:r>
        <w:instrText xml:space="preserve">  \* MERGEFORMAT </w:instrText>
      </w:r>
      <w:r>
        <w:fldChar w:fldCharType="separate"/>
      </w:r>
      <w:r>
        <w:rPr>
          <w:rFonts w:hint="eastAsia"/>
        </w:rPr>
        <w:t>图</w:t>
      </w:r>
      <w:r>
        <w:t>9.5</w:t>
      </w:r>
      <w:r>
        <w:rPr>
          <w:rFonts w:hint="eastAsia"/>
        </w:rPr>
        <w:t>-</w:t>
      </w:r>
      <w:r>
        <w:t>1</w:t>
      </w:r>
      <w:r>
        <w:fldChar w:fldCharType="end"/>
      </w:r>
      <w:r>
        <w:rPr>
          <w:rFonts w:hint="eastAsia"/>
        </w:rPr>
        <w:t>。</w:t>
      </w:r>
    </w:p>
    <w:p w14:paraId="48ECD6AD">
      <w:pPr>
        <w:pStyle w:val="109"/>
      </w:pPr>
      <w:r>
        <w:drawing>
          <wp:inline distT="0" distB="0" distL="0" distR="0">
            <wp:extent cx="2886075" cy="1979930"/>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2886125" cy="1980000"/>
                    </a:xfrm>
                    <a:prstGeom prst="rect">
                      <a:avLst/>
                    </a:prstGeom>
                    <a:noFill/>
                    <a:ln>
                      <a:noFill/>
                    </a:ln>
                    <a:effectLst/>
                  </pic:spPr>
                </pic:pic>
              </a:graphicData>
            </a:graphic>
          </wp:inline>
        </w:drawing>
      </w:r>
      <w:r>
        <w:rPr>
          <w:rFonts w:hint="eastAsia"/>
        </w:rPr>
        <w:drawing>
          <wp:inline distT="0" distB="0" distL="0" distR="0">
            <wp:extent cx="2287905" cy="1979930"/>
            <wp:effectExtent l="0" t="0" r="0" b="1270"/>
            <wp:docPr id="9" name="图片 9" descr="7]OC0ZC%ZWTOK~3@`A@S]Q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OC0ZC%ZWTOK~3@`A@S]Q2"/>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2288000" cy="1980000"/>
                    </a:xfrm>
                    <a:prstGeom prst="rect">
                      <a:avLst/>
                    </a:prstGeom>
                    <a:noFill/>
                    <a:ln>
                      <a:noFill/>
                    </a:ln>
                    <a:effectLst/>
                  </pic:spPr>
                </pic:pic>
              </a:graphicData>
            </a:graphic>
          </wp:inline>
        </w:drawing>
      </w:r>
    </w:p>
    <w:p w14:paraId="1EF716B4">
      <w:pPr>
        <w:pStyle w:val="108"/>
      </w:pPr>
      <w:bookmarkStart w:id="201" w:name="_Ref85787898"/>
      <w:r>
        <w:rPr>
          <w:rFonts w:hint="eastAsia"/>
        </w:rPr>
        <w:t>图</w:t>
      </w:r>
      <w:r>
        <w:fldChar w:fldCharType="begin"/>
      </w:r>
      <w:r>
        <w:instrText xml:space="preserve"> </w:instrText>
      </w:r>
      <w:r>
        <w:rPr>
          <w:rFonts w:hint="eastAsia"/>
        </w:rPr>
        <w:instrText xml:space="preserve">STYLEREF </w:instrText>
      </w:r>
      <w:r>
        <w:instrText xml:space="preserve">2</w:instrText>
      </w:r>
      <w:r>
        <w:rPr>
          <w:rFonts w:hint="eastAsia"/>
        </w:rPr>
        <w:instrText xml:space="preserve"> \s</w:instrText>
      </w:r>
      <w:r>
        <w:instrText xml:space="preserve"> </w:instrText>
      </w:r>
      <w:r>
        <w:fldChar w:fldCharType="separate"/>
      </w:r>
      <w:r>
        <w:t>9.5</w:t>
      </w:r>
      <w:r>
        <w:fldChar w:fldCharType="end"/>
      </w:r>
      <w:r>
        <w:rPr>
          <w:rFonts w:hint="eastAsia"/>
        </w:rPr>
        <w:t>-</w:t>
      </w:r>
      <w:r>
        <w:fldChar w:fldCharType="begin"/>
      </w:r>
      <w:r>
        <w:instrText xml:space="preserve"> </w:instrText>
      </w:r>
      <w:r>
        <w:rPr>
          <w:rFonts w:hint="eastAsia"/>
        </w:rPr>
        <w:instrText xml:space="preserve">SEQ 图 \* ARABIC \s </w:instrText>
      </w:r>
      <w:r>
        <w:instrText xml:space="preserve">2 </w:instrText>
      </w:r>
      <w:r>
        <w:fldChar w:fldCharType="separate"/>
      </w:r>
      <w:r>
        <w:t>1</w:t>
      </w:r>
      <w:r>
        <w:fldChar w:fldCharType="end"/>
      </w:r>
      <w:bookmarkEnd w:id="201"/>
      <w:r>
        <w:rPr>
          <w:rFonts w:hint="eastAsia"/>
        </w:rPr>
        <w:t xml:space="preserve"> 救援线路图</w:t>
      </w:r>
    </w:p>
    <w:p w14:paraId="25CE0A50">
      <w:pPr>
        <w:pStyle w:val="3"/>
        <w:rPr>
          <w:rFonts w:ascii="宋体" w:hAnsi="宋体" w:cs="宋体"/>
          <w:szCs w:val="24"/>
        </w:rPr>
      </w:pPr>
      <w:bookmarkStart w:id="202" w:name="_Toc54792208"/>
      <w:bookmarkStart w:id="203" w:name="_Toc66869784"/>
      <w:bookmarkStart w:id="204" w:name="_Toc69220330"/>
      <w:bookmarkStart w:id="205" w:name="_Toc2311"/>
      <w:r>
        <w:rPr>
          <w:rFonts w:hint="eastAsia"/>
        </w:rPr>
        <w:t>事故善后及恢复生产</w:t>
      </w:r>
      <w:bookmarkEnd w:id="202"/>
      <w:bookmarkEnd w:id="203"/>
      <w:bookmarkEnd w:id="204"/>
      <w:bookmarkEnd w:id="205"/>
    </w:p>
    <w:p w14:paraId="17248750">
      <w:pPr>
        <w:ind w:firstLine="480"/>
      </w:pPr>
      <w:r>
        <w:t>应急小组在抢援工作结束后，对发生人员伤亡、机损事故和财产损失等事故的，遵循下列原则进行处理。</w:t>
      </w:r>
    </w:p>
    <w:p w14:paraId="6F67C37A">
      <w:pPr>
        <w:numPr>
          <w:ilvl w:val="0"/>
          <w:numId w:val="101"/>
        </w:numPr>
      </w:pPr>
      <w:r>
        <w:t>伤员处理</w:t>
      </w:r>
    </w:p>
    <w:p w14:paraId="7AC32118">
      <w:pPr>
        <w:ind w:firstLine="480"/>
      </w:pPr>
      <w:r>
        <w:t>按国家有关规定，做好事后伤亡家属的接待、安抚和善后处理以及保险赔偿工作。</w:t>
      </w:r>
    </w:p>
    <w:p w14:paraId="2AD986A3">
      <w:pPr>
        <w:numPr>
          <w:ilvl w:val="0"/>
          <w:numId w:val="101"/>
        </w:numPr>
      </w:pPr>
      <w:r>
        <w:t>调查分析</w:t>
      </w:r>
    </w:p>
    <w:p w14:paraId="760EEADC">
      <w:pPr>
        <w:ind w:firstLine="480"/>
      </w:pPr>
      <w:r>
        <w:t>对事故原因调查分析，确定责任和应该吸取的教训。</w:t>
      </w:r>
    </w:p>
    <w:p w14:paraId="3554FD59">
      <w:pPr>
        <w:numPr>
          <w:ilvl w:val="0"/>
          <w:numId w:val="101"/>
        </w:numPr>
      </w:pPr>
      <w:r>
        <w:t>事故处理</w:t>
      </w:r>
    </w:p>
    <w:p w14:paraId="188809E3">
      <w:pPr>
        <w:ind w:firstLine="480"/>
      </w:pPr>
      <w:r>
        <w:t>根据事故调查结果，按“四不放过”原则，认真总结事故经验教训，对发生事故的责任人或责任部门依照相关法律法规，提出事故处理意见。</w:t>
      </w:r>
    </w:p>
    <w:p w14:paraId="35F0190A">
      <w:pPr>
        <w:numPr>
          <w:ilvl w:val="0"/>
          <w:numId w:val="101"/>
        </w:numPr>
      </w:pPr>
      <w:r>
        <w:t>事故总结</w:t>
      </w:r>
    </w:p>
    <w:p w14:paraId="56FD6AB9">
      <w:pPr>
        <w:ind w:firstLine="480"/>
      </w:pPr>
      <w:r>
        <w:t>事故处理完毕后，认真总结经验教训，完善管理，对事故后的处理过程认真分析总结、防范措施及应急预案进行补充和修改。</w:t>
      </w:r>
    </w:p>
    <w:p w14:paraId="52F43018">
      <w:pPr>
        <w:numPr>
          <w:ilvl w:val="0"/>
          <w:numId w:val="101"/>
        </w:numPr>
      </w:pPr>
      <w:r>
        <w:t>恢复生产</w:t>
      </w:r>
    </w:p>
    <w:p w14:paraId="539596AA">
      <w:pPr>
        <w:ind w:firstLine="480"/>
      </w:pPr>
      <w:r>
        <w:t>对现场隐患进行全面排查，整改完毕后报请业主、监理单位审批，同意后方可组织恢复生产工作。</w:t>
      </w:r>
    </w:p>
    <w:p w14:paraId="3038E82B">
      <w:pPr>
        <w:ind w:firstLine="480"/>
      </w:pPr>
      <w:r>
        <w:rPr>
          <w:color w:val="000000" w:themeColor="text1"/>
          <w14:textFill>
            <w14:solidFill>
              <w14:schemeClr w14:val="tx1"/>
            </w14:solidFill>
          </w14:textFill>
        </w:rPr>
        <w:br w:type="page"/>
      </w:r>
    </w:p>
    <w:p w14:paraId="5785D35A">
      <w:pPr>
        <w:pStyle w:val="2"/>
      </w:pPr>
      <w:bookmarkStart w:id="206" w:name="_Toc11976"/>
      <w:r>
        <w:rPr>
          <w:rFonts w:hint="eastAsia"/>
        </w:rPr>
        <w:t>附件</w:t>
      </w:r>
      <w:bookmarkEnd w:id="206"/>
    </w:p>
    <w:p w14:paraId="7BCB89E1">
      <w:pPr>
        <w:pStyle w:val="217"/>
      </w:pPr>
      <w:bookmarkStart w:id="207" w:name="_Toc26793"/>
      <w:r>
        <w:rPr>
          <w:rFonts w:hint="eastAsia"/>
        </w:rPr>
        <w:t>本单位与相关施工人员资质证件</w:t>
      </w:r>
      <w:bookmarkEnd w:id="207"/>
    </w:p>
    <w:p w14:paraId="0EED9DE2">
      <w:pPr>
        <w:pStyle w:val="217"/>
      </w:pPr>
      <w:bookmarkStart w:id="208" w:name="_Toc5508"/>
      <w:r>
        <w:fldChar w:fldCharType="begin"/>
      </w:r>
      <w:r>
        <w:instrText xml:space="preserve"> REF 设备类型 \h  \* MERGEFORMAT </w:instrText>
      </w:r>
      <w:r>
        <w:fldChar w:fldCharType="separate"/>
      </w:r>
      <w:r>
        <w:rPr>
          <w:rFonts w:hint="eastAsia"/>
        </w:rPr>
        <w:t>施工升降机</w:t>
      </w:r>
      <w:r>
        <w:fldChar w:fldCharType="end"/>
      </w:r>
      <w:r>
        <w:rPr>
          <w:rFonts w:hint="eastAsia"/>
        </w:rPr>
        <w:t>说明书</w:t>
      </w:r>
      <w:bookmarkEnd w:id="208"/>
    </w:p>
    <w:p w14:paraId="7BD71358">
      <w:pPr>
        <w:pStyle w:val="217"/>
      </w:pPr>
      <w:bookmarkStart w:id="209" w:name="_Toc11181"/>
      <w:r>
        <w:fldChar w:fldCharType="begin"/>
      </w:r>
      <w:r>
        <w:instrText xml:space="preserve"> REF 设备类型 \h  \* MERGEFORMAT </w:instrText>
      </w:r>
      <w:r>
        <w:fldChar w:fldCharType="separate"/>
      </w:r>
      <w:r>
        <w:rPr>
          <w:rFonts w:hint="eastAsia"/>
        </w:rPr>
        <w:t>施工升降机</w:t>
      </w:r>
      <w:r>
        <w:fldChar w:fldCharType="end"/>
      </w:r>
      <w:r>
        <w:rPr>
          <w:rFonts w:hint="eastAsia"/>
        </w:rPr>
        <w:t>附墙设计图</w:t>
      </w:r>
      <w:bookmarkEnd w:id="209"/>
    </w:p>
    <w:p w14:paraId="54662DD3">
      <w:pPr>
        <w:pStyle w:val="217"/>
      </w:pPr>
      <w:bookmarkStart w:id="210" w:name="_Toc20088"/>
      <w:r>
        <w:fldChar w:fldCharType="begin"/>
      </w:r>
      <w:r>
        <w:instrText xml:space="preserve"> REF 设备类型 \h  \* MERGEFORMAT </w:instrText>
      </w:r>
      <w:r>
        <w:fldChar w:fldCharType="separate"/>
      </w:r>
      <w:r>
        <w:rPr>
          <w:rFonts w:hint="eastAsia"/>
        </w:rPr>
        <w:t>施工升降机</w:t>
      </w:r>
      <w:r>
        <w:fldChar w:fldCharType="end"/>
      </w:r>
      <w:r>
        <w:rPr>
          <w:rFonts w:hint="eastAsia"/>
        </w:rPr>
        <w:t>附墙计算书</w:t>
      </w:r>
      <w:bookmarkEnd w:id="210"/>
    </w:p>
    <w:sectPr>
      <w:pgSz w:w="11906" w:h="16838"/>
      <w:pgMar w:top="1440" w:right="1800" w:bottom="1440" w:left="1800" w:header="851" w:footer="992" w:gutter="0"/>
      <w:cols w:space="425"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Haifeng Zhu" w:date="2024-03-17T16:02:00Z" w:initials="HZ">
    <w:p w14:paraId="3DDB1718">
      <w:pPr>
        <w:pStyle w:val="18"/>
        <w:ind w:firstLine="420"/>
      </w:pPr>
      <w:r>
        <w:rPr>
          <w:rFonts w:hint="eastAsia"/>
        </w:rPr>
        <w:t>补充附墙及预埋件拆除内容</w:t>
      </w:r>
    </w:p>
    <w:p w14:paraId="5455C26C">
      <w:pPr>
        <w:pStyle w:val="18"/>
        <w:ind w:firstLine="480"/>
        <w:rPr>
          <w:rFonts w:hint="eastAsia"/>
        </w:rPr>
      </w:pPr>
      <w:r>
        <w:rPr>
          <w:rFonts w:hint="eastAsia"/>
        </w:rPr>
        <w:t>加点好点的照片（安装/拆除）</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5455C26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SJQY">
    <w:altName w:val="宋体"/>
    <w:panose1 w:val="02010600030101010101"/>
    <w:charset w:val="86"/>
    <w:family w:val="auto"/>
    <w:pitch w:val="default"/>
    <w:sig w:usb0="00000000" w:usb1="00000000" w:usb2="00000010"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6CD3E">
    <w:pPr>
      <w:pStyle w:val="24"/>
      <w:ind w:firstLine="360"/>
    </w:pPr>
  </w:p>
  <w:p w14:paraId="649CAD2C">
    <w:pPr>
      <w:pStyle w:val="24"/>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75379">
    <w:pPr>
      <w:pStyle w:val="24"/>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2B57B">
    <w:pPr>
      <w:pStyle w:val="24"/>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0908422"/>
      <w:docPartObj>
        <w:docPartGallery w:val="autotext"/>
      </w:docPartObj>
    </w:sdtPr>
    <w:sdtContent>
      <w:p w14:paraId="0E6B16AA">
        <w:pPr>
          <w:pStyle w:val="24"/>
          <w:ind w:firstLine="360"/>
        </w:pPr>
        <w:r>
          <w:fldChar w:fldCharType="begin"/>
        </w:r>
        <w:r>
          <w:instrText xml:space="preserve">PAGE   \* MERGEFORMAT</w:instrText>
        </w:r>
        <w:r>
          <w:fldChar w:fldCharType="separate"/>
        </w:r>
        <w:r>
          <w:t>III</w:t>
        </w:r>
        <w: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9F270">
    <w:pPr>
      <w:pStyle w:val="24"/>
      <w:ind w:firstLine="0" w:firstLineChars="0"/>
      <w:jc w:val="cente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9" name="文本框 1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6170"/>
                          </w:sdtPr>
                          <w:sdtContent>
                            <w:p w14:paraId="578A4EFA">
                              <w:pPr>
                                <w:pStyle w:val="24"/>
                                <w:ind w:firstLine="0" w:firstLineChars="0"/>
                                <w:jc w:val="center"/>
                              </w:pPr>
                              <w:r>
                                <w:fldChar w:fldCharType="begin"/>
                              </w:r>
                              <w:r>
                                <w:instrText xml:space="preserve">PAGE   \* MERGEFORMAT</w:instrText>
                              </w:r>
                              <w:r>
                                <w:fldChar w:fldCharType="separate"/>
                              </w:r>
                              <w:r>
                                <w:rPr>
                                  <w:lang w:val="zh-CN"/>
                                </w:rPr>
                                <w:t>2</w:t>
                              </w:r>
                              <w:r>
                                <w:fldChar w:fldCharType="end"/>
                              </w:r>
                            </w:p>
                          </w:sdtContent>
                        </w:sdt>
                        <w:p w14:paraId="043BC387">
                          <w:pPr>
                            <w:pStyle w:val="12"/>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nzkI0AgAAZQ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I585CNAIAAGUEAAAOAAAAAAAAAAEAIAAAAB8BAABkcnMvZTJvRG9jLnhtbFBL&#10;BQYAAAAABgAGAFkBAADFBQAAAAA=&#10;">
              <v:fill on="f" focussize="0,0"/>
              <v:stroke on="f" weight="0.5pt"/>
              <v:imagedata o:title=""/>
              <o:lock v:ext="edit" aspectratio="f"/>
              <v:textbox inset="0mm,0mm,0mm,0mm" style="mso-fit-shape-to-text:t;">
                <w:txbxContent>
                  <w:sdt>
                    <w:sdtPr>
                      <w:id w:val="147456170"/>
                    </w:sdtPr>
                    <w:sdtContent>
                      <w:p w14:paraId="578A4EFA">
                        <w:pPr>
                          <w:pStyle w:val="24"/>
                          <w:ind w:firstLine="0" w:firstLineChars="0"/>
                          <w:jc w:val="center"/>
                        </w:pPr>
                        <w:r>
                          <w:fldChar w:fldCharType="begin"/>
                        </w:r>
                        <w:r>
                          <w:instrText xml:space="preserve">PAGE   \* MERGEFORMAT</w:instrText>
                        </w:r>
                        <w:r>
                          <w:fldChar w:fldCharType="separate"/>
                        </w:r>
                        <w:r>
                          <w:rPr>
                            <w:lang w:val="zh-CN"/>
                          </w:rPr>
                          <w:t>2</w:t>
                        </w:r>
                        <w:r>
                          <w:fldChar w:fldCharType="end"/>
                        </w:r>
                      </w:p>
                    </w:sdtContent>
                  </w:sdt>
                  <w:p w14:paraId="043BC387">
                    <w:pPr>
                      <w:pStyle w:val="12"/>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55174736"/>
      <w:docPartObj>
        <w:docPartGallery w:val="autotext"/>
      </w:docPartObj>
    </w:sdtPr>
    <w:sdtContent>
      <w:sdt>
        <w:sdtPr>
          <w:id w:val="546421725"/>
          <w:docPartObj>
            <w:docPartGallery w:val="autotext"/>
          </w:docPartObj>
        </w:sdtPr>
        <w:sdtContent>
          <w:p w14:paraId="6D34E251">
            <w:pPr>
              <w:pStyle w:val="24"/>
              <w:ind w:firstLine="360"/>
            </w:pPr>
            <w:r>
              <w:rPr>
                <w:rFonts w:hint="eastAsia"/>
              </w:rPr>
              <w:t xml:space="preserve">第 </w:t>
            </w:r>
            <w:r>
              <w:fldChar w:fldCharType="begin"/>
            </w:r>
            <w:r>
              <w:instrText xml:space="preserve">PAGE   \* MERGEFORMAT</w:instrText>
            </w:r>
            <w:r>
              <w:fldChar w:fldCharType="separate"/>
            </w:r>
            <w:r>
              <w:t>60</w:t>
            </w:r>
            <w:r>
              <w:fldChar w:fldCharType="end"/>
            </w:r>
            <w:r>
              <w:t xml:space="preserve"> </w:t>
            </w:r>
            <w:r>
              <w:rPr>
                <w:rFonts w:hint="eastAsia"/>
              </w:rPr>
              <w:t xml:space="preserve">页 </w:t>
            </w:r>
            <w:r>
              <w:t xml:space="preserve"> </w:t>
            </w:r>
            <w:r>
              <w:rPr>
                <w:rFonts w:hint="eastAsia"/>
              </w:rPr>
              <w:t xml:space="preserve">共 </w:t>
            </w:r>
            <w:r>
              <w:fldChar w:fldCharType="begin"/>
            </w:r>
            <w:r>
              <w:instrText xml:space="preserve"> =</w:instrText>
            </w:r>
            <w:r>
              <w:fldChar w:fldCharType="begin"/>
            </w:r>
            <w:r>
              <w:instrText xml:space="preserve"> NUMPAGES   \* MERGEFORMAT </w:instrText>
            </w:r>
            <w:r>
              <w:fldChar w:fldCharType="separate"/>
            </w:r>
            <w:r>
              <w:instrText xml:space="preserve">100</w:instrText>
            </w:r>
            <w:r>
              <w:fldChar w:fldCharType="end"/>
            </w:r>
            <w:r>
              <w:instrText xml:space="preserve">-4 </w:instrText>
            </w:r>
            <w:r>
              <w:fldChar w:fldCharType="separate"/>
            </w:r>
            <w:r>
              <w:t>96</w:t>
            </w:r>
            <w:r>
              <w:fldChar w:fldCharType="end"/>
            </w:r>
            <w:r>
              <w:t xml:space="preserve"> </w:t>
            </w:r>
            <w:r>
              <w:rPr>
                <w:rFonts w:hint="eastAsia"/>
              </w:rPr>
              <w:t>页</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DC468">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CC6209">
    <w:pPr>
      <w:pStyle w:val="25"/>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60AD4">
    <w:pPr>
      <w:pStyle w:val="25"/>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A1D94">
    <w:pPr>
      <w:pStyle w:val="25"/>
      <w:tabs>
        <w:tab w:val="right" w:pos="13200"/>
        <w:tab w:val="clear" w:pos="4153"/>
        <w:tab w:val="clear" w:pos="8306"/>
      </w:tabs>
    </w:pPr>
    <w:r>
      <w:rPr>
        <w:rFonts w:hint="eastAsia"/>
      </w:rPr>
      <w:t>十堰经镇坪至巫溪高速公路溢水至镇坪段SWYZ-2标</w:t>
    </w:r>
    <w:r>
      <w:rPr>
        <w:rFonts w:hint="eastAsia"/>
        <w:lang w:eastAsia="zh-CN"/>
      </w:rPr>
      <w:ptab w:relativeTo="margin" w:alignment="right" w:leader="none"/>
    </w:r>
    <w:r>
      <w:rPr>
        <w:rFonts w:hint="eastAsia"/>
        <w:lang w:eastAsia="zh-CN"/>
      </w:rPr>
      <w:t>新洲特大桥</w:t>
    </w:r>
    <w:r>
      <w:rPr>
        <w:rFonts w:hint="eastAsia"/>
      </w:rPr>
      <w:t>索塔</w:t>
    </w:r>
    <w:r>
      <w:rPr>
        <w:rFonts w:hint="eastAsia"/>
        <w:lang w:val="en-US" w:eastAsia="zh-CN"/>
      </w:rPr>
      <w:t>施工升降机安装</w:t>
    </w:r>
    <w:r>
      <w:rPr>
        <w:rFonts w:hint="eastAsia"/>
      </w:rPr>
      <w:t>专项施工方案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5BDF19">
    <w:pPr>
      <w:pStyle w:val="25"/>
      <w:jc w:val="distribute"/>
    </w:pPr>
    <w:r>
      <w:rPr>
        <w:rFonts w:hint="eastAsia" w:ascii="Times New Roman" w:hAnsi="Times New Roman" w:eastAsia="楷体" w:cs="楷体"/>
        <w:sz w:val="18"/>
        <w:szCs w:val="18"/>
        <w:lang w:val="en-US" w:eastAsia="zh-CN"/>
      </w:rPr>
      <w:t>中交二航局十巫南高速公路SWYZ-2项目                   新洲特大桥索塔</w:t>
    </w:r>
    <w:r>
      <w:rPr>
        <w:rFonts w:hint="eastAsia" w:ascii="Times New Roman" w:hAnsi="Times New Roman" w:cs="楷体"/>
        <w:sz w:val="18"/>
        <w:szCs w:val="18"/>
        <w:lang w:val="en-US" w:eastAsia="zh-CN"/>
      </w:rPr>
      <w:t>施工升降机</w:t>
    </w:r>
    <w:r>
      <w:rPr>
        <w:rFonts w:hint="eastAsia" w:ascii="Times New Roman" w:hAnsi="Times New Roman" w:eastAsia="楷体" w:cs="楷体"/>
        <w:sz w:val="18"/>
        <w:szCs w:val="18"/>
        <w:lang w:val="en-US" w:eastAsia="zh-CN"/>
      </w:rPr>
      <w:t>专项施工方案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DE886C"/>
    <w:multiLevelType w:val="singleLevel"/>
    <w:tmpl w:val="9CDE886C"/>
    <w:lvl w:ilvl="0" w:tentative="0">
      <w:start w:val="1"/>
      <w:numFmt w:val="decimal"/>
      <w:suff w:val="nothing"/>
      <w:lvlText w:val="（%1）"/>
      <w:lvlJc w:val="left"/>
    </w:lvl>
  </w:abstractNum>
  <w:abstractNum w:abstractNumId="1">
    <w:nsid w:val="01205E23"/>
    <w:multiLevelType w:val="multilevel"/>
    <w:tmpl w:val="01205E23"/>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2220C86"/>
    <w:multiLevelType w:val="multilevel"/>
    <w:tmpl w:val="02220C8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02271ACA"/>
    <w:multiLevelType w:val="singleLevel"/>
    <w:tmpl w:val="02271ACA"/>
    <w:lvl w:ilvl="0" w:tentative="0">
      <w:start w:val="1"/>
      <w:numFmt w:val="decimal"/>
      <w:suff w:val="nothing"/>
      <w:lvlText w:val="（%1）"/>
      <w:lvlJc w:val="left"/>
    </w:lvl>
  </w:abstractNum>
  <w:abstractNum w:abstractNumId="4">
    <w:nsid w:val="02F46867"/>
    <w:multiLevelType w:val="multilevel"/>
    <w:tmpl w:val="02F46867"/>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033C3CFC"/>
    <w:multiLevelType w:val="multilevel"/>
    <w:tmpl w:val="033C3C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044615A5"/>
    <w:multiLevelType w:val="multilevel"/>
    <w:tmpl w:val="044615A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04D800DD"/>
    <w:multiLevelType w:val="multilevel"/>
    <w:tmpl w:val="04D800DD"/>
    <w:lvl w:ilvl="0" w:tentative="0">
      <w:start w:val="1"/>
      <w:numFmt w:val="decimal"/>
      <w:pStyle w:val="103"/>
      <w:suff w:val="nothing"/>
      <w:lvlText w:val="（%1）"/>
      <w:lvlJc w:val="left"/>
      <w:pPr>
        <w:ind w:left="0" w:firstLine="482"/>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
    <w:nsid w:val="05F779BA"/>
    <w:multiLevelType w:val="multilevel"/>
    <w:tmpl w:val="05F779BA"/>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06562F80"/>
    <w:multiLevelType w:val="multilevel"/>
    <w:tmpl w:val="06562F8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0">
    <w:nsid w:val="07796466"/>
    <w:multiLevelType w:val="multilevel"/>
    <w:tmpl w:val="0779646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1">
    <w:nsid w:val="07D47F01"/>
    <w:multiLevelType w:val="multilevel"/>
    <w:tmpl w:val="07D47F0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D7F0274"/>
    <w:multiLevelType w:val="multilevel"/>
    <w:tmpl w:val="0D7F0274"/>
    <w:lvl w:ilvl="0" w:tentative="0">
      <w:start w:val="1"/>
      <w:numFmt w:val="decimal"/>
      <w:lvlText w:val="%1"/>
      <w:lvlJc w:val="left"/>
      <w:pPr>
        <w:ind w:left="425" w:hanging="425"/>
      </w:pPr>
      <w:rPr>
        <w:rFonts w:hint="eastAsia"/>
      </w:rPr>
    </w:lvl>
    <w:lvl w:ilvl="1" w:tentative="0">
      <w:start w:val="1"/>
      <w:numFmt w:val="decimal"/>
      <w:pStyle w:val="217"/>
      <w:suff w:val="nothing"/>
      <w:lvlText w:val="附件%2："/>
      <w:lvlJc w:val="left"/>
      <w:pPr>
        <w:ind w:left="0" w:firstLine="0"/>
      </w:pPr>
      <w:rPr>
        <w:rFonts w:hint="default" w:ascii="Times New Roman" w:hAnsi="Times New Roman" w:eastAsia="宋体"/>
        <w:b/>
        <w:i w:val="0"/>
        <w:sz w:val="28"/>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3">
    <w:nsid w:val="0EC25B78"/>
    <w:multiLevelType w:val="multilevel"/>
    <w:tmpl w:val="0EC25B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4">
    <w:nsid w:val="0F0274CD"/>
    <w:multiLevelType w:val="multilevel"/>
    <w:tmpl w:val="0F0274C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0FA42BA4"/>
    <w:multiLevelType w:val="multilevel"/>
    <w:tmpl w:val="0FA42BA4"/>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166F56DF"/>
    <w:multiLevelType w:val="multilevel"/>
    <w:tmpl w:val="166F56DF"/>
    <w:lvl w:ilvl="0" w:tentative="0">
      <w:start w:val="1"/>
      <w:numFmt w:val="decimal"/>
      <w:pStyle w:val="187"/>
      <w:suff w:val="nothing"/>
      <w:lvlText w:val="（%1）"/>
      <w:lvlJc w:val="left"/>
      <w:pPr>
        <w:ind w:left="0" w:firstLine="400"/>
      </w:pPr>
      <w:rPr>
        <w:rFonts w:hint="default" w:ascii="Times New Roman" w:hAnsi="Times New Roman" w:eastAsia="宋体"/>
        <w:b w:val="0"/>
        <w:i w:val="0"/>
        <w:sz w:val="24"/>
      </w:rPr>
    </w:lvl>
    <w:lvl w:ilvl="1" w:tentative="0">
      <w:start w:val="1"/>
      <w:numFmt w:val="lowerLetter"/>
      <w:lvlText w:val="%2)"/>
      <w:lvlJc w:val="left"/>
      <w:pPr>
        <w:ind w:left="0" w:firstLine="0"/>
      </w:pPr>
      <w:rPr>
        <w:rFonts w:hint="eastAsia"/>
      </w:rPr>
    </w:lvl>
    <w:lvl w:ilvl="2" w:tentative="0">
      <w:start w:val="1"/>
      <w:numFmt w:val="lowerRoman"/>
      <w:lvlText w:val="%3."/>
      <w:lvlJc w:val="right"/>
      <w:pPr>
        <w:ind w:left="0" w:firstLine="0"/>
      </w:pPr>
      <w:rPr>
        <w:rFonts w:hint="eastAsia"/>
      </w:rPr>
    </w:lvl>
    <w:lvl w:ilvl="3" w:tentative="0">
      <w:start w:val="1"/>
      <w:numFmt w:val="decimal"/>
      <w:lvlText w:val="%4."/>
      <w:lvlJc w:val="left"/>
      <w:pPr>
        <w:ind w:left="0" w:firstLine="0"/>
      </w:pPr>
      <w:rPr>
        <w:rFonts w:hint="eastAsia"/>
      </w:rPr>
    </w:lvl>
    <w:lvl w:ilvl="4" w:tentative="0">
      <w:start w:val="1"/>
      <w:numFmt w:val="lowerLetter"/>
      <w:lvlText w:val="%5)"/>
      <w:lvlJc w:val="left"/>
      <w:pPr>
        <w:ind w:left="0" w:firstLine="0"/>
      </w:pPr>
      <w:rPr>
        <w:rFonts w:hint="eastAsia"/>
      </w:rPr>
    </w:lvl>
    <w:lvl w:ilvl="5" w:tentative="0">
      <w:start w:val="1"/>
      <w:numFmt w:val="lowerRoman"/>
      <w:lvlText w:val="%6."/>
      <w:lvlJc w:val="right"/>
      <w:pPr>
        <w:ind w:left="0" w:firstLine="0"/>
      </w:pPr>
      <w:rPr>
        <w:rFonts w:hint="eastAsia"/>
      </w:rPr>
    </w:lvl>
    <w:lvl w:ilvl="6" w:tentative="0">
      <w:start w:val="1"/>
      <w:numFmt w:val="decimal"/>
      <w:lvlText w:val="%7."/>
      <w:lvlJc w:val="left"/>
      <w:pPr>
        <w:ind w:left="0" w:firstLine="0"/>
      </w:pPr>
      <w:rPr>
        <w:rFonts w:hint="eastAsia"/>
      </w:rPr>
    </w:lvl>
    <w:lvl w:ilvl="7" w:tentative="0">
      <w:start w:val="1"/>
      <w:numFmt w:val="lowerLetter"/>
      <w:lvlText w:val="%8)"/>
      <w:lvlJc w:val="left"/>
      <w:pPr>
        <w:ind w:left="0" w:firstLine="0"/>
      </w:pPr>
      <w:rPr>
        <w:rFonts w:hint="eastAsia"/>
      </w:rPr>
    </w:lvl>
    <w:lvl w:ilvl="8" w:tentative="0">
      <w:start w:val="1"/>
      <w:numFmt w:val="lowerRoman"/>
      <w:lvlText w:val="%9."/>
      <w:lvlJc w:val="right"/>
      <w:pPr>
        <w:ind w:left="0" w:firstLine="0"/>
      </w:pPr>
      <w:rPr>
        <w:rFonts w:hint="eastAsia"/>
      </w:rPr>
    </w:lvl>
  </w:abstractNum>
  <w:abstractNum w:abstractNumId="17">
    <w:nsid w:val="17775896"/>
    <w:multiLevelType w:val="multilevel"/>
    <w:tmpl w:val="1777589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17BB0625"/>
    <w:multiLevelType w:val="multilevel"/>
    <w:tmpl w:val="17BB0625"/>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18F47DD6"/>
    <w:multiLevelType w:val="multilevel"/>
    <w:tmpl w:val="18F47DD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1A817450"/>
    <w:multiLevelType w:val="multilevel"/>
    <w:tmpl w:val="1A817450"/>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1">
    <w:nsid w:val="1B7B647C"/>
    <w:multiLevelType w:val="multilevel"/>
    <w:tmpl w:val="1B7B647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1BCA573E"/>
    <w:multiLevelType w:val="multilevel"/>
    <w:tmpl w:val="1BCA573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3">
    <w:nsid w:val="1CCA18AB"/>
    <w:multiLevelType w:val="multilevel"/>
    <w:tmpl w:val="1CCA18AB"/>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1D0869BD"/>
    <w:multiLevelType w:val="multilevel"/>
    <w:tmpl w:val="1D0869B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5">
    <w:nsid w:val="1D8C2DFD"/>
    <w:multiLevelType w:val="multilevel"/>
    <w:tmpl w:val="1D8C2DF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Letter"/>
      <w:lvlText w:val="%3."/>
      <w:lvlJc w:val="left"/>
      <w:pPr>
        <w:ind w:left="1680" w:hanging="360"/>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6">
    <w:nsid w:val="1F7F77FF"/>
    <w:multiLevelType w:val="multilevel"/>
    <w:tmpl w:val="1F7F77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7">
    <w:nsid w:val="20FA52A8"/>
    <w:multiLevelType w:val="multilevel"/>
    <w:tmpl w:val="20FA52A8"/>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8">
    <w:nsid w:val="22095F80"/>
    <w:multiLevelType w:val="multilevel"/>
    <w:tmpl w:val="22095F80"/>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9">
    <w:nsid w:val="225E2CFE"/>
    <w:multiLevelType w:val="multilevel"/>
    <w:tmpl w:val="225E2CF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0">
    <w:nsid w:val="22E900D8"/>
    <w:multiLevelType w:val="multilevel"/>
    <w:tmpl w:val="22E900D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1">
    <w:nsid w:val="237323FF"/>
    <w:multiLevelType w:val="multilevel"/>
    <w:tmpl w:val="237323F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2">
    <w:nsid w:val="23DA23FB"/>
    <w:multiLevelType w:val="multilevel"/>
    <w:tmpl w:val="23DA23FB"/>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3">
    <w:nsid w:val="23DD165C"/>
    <w:multiLevelType w:val="multilevel"/>
    <w:tmpl w:val="23DD165C"/>
    <w:lvl w:ilvl="0" w:tentative="0">
      <w:start w:val="1"/>
      <w:numFmt w:val="decimal"/>
      <w:suff w:val="nothing"/>
      <w:lvlText w:val="（%1）"/>
      <w:lvlJc w:val="left"/>
      <w:pPr>
        <w:ind w:left="0" w:firstLine="480"/>
      </w:pPr>
      <w:rPr>
        <w:rFonts w:hint="default" w:ascii="Times New Roman" w:hAnsi="Times New Roman" w:eastAsia="宋体" w:cs="Times New Roman"/>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24C67998"/>
    <w:multiLevelType w:val="multilevel"/>
    <w:tmpl w:val="24C67998"/>
    <w:lvl w:ilvl="0" w:tentative="0">
      <w:start w:val="1"/>
      <w:numFmt w:val="decimal"/>
      <w:suff w:val="nothing"/>
      <w:lvlText w:val="（%1）"/>
      <w:lvlJc w:val="left"/>
      <w:pPr>
        <w:ind w:left="2"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5">
    <w:nsid w:val="24EE0783"/>
    <w:multiLevelType w:val="multilevel"/>
    <w:tmpl w:val="24EE0783"/>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6">
    <w:nsid w:val="25B5427F"/>
    <w:multiLevelType w:val="multilevel"/>
    <w:tmpl w:val="25B5427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28753BF7"/>
    <w:multiLevelType w:val="multilevel"/>
    <w:tmpl w:val="28753BF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8">
    <w:nsid w:val="2D0400F8"/>
    <w:multiLevelType w:val="singleLevel"/>
    <w:tmpl w:val="2D0400F8"/>
    <w:lvl w:ilvl="0" w:tentative="0">
      <w:start w:val="1"/>
      <w:numFmt w:val="decimal"/>
      <w:suff w:val="nothing"/>
      <w:lvlText w:val="（%1）"/>
      <w:lvlJc w:val="left"/>
    </w:lvl>
  </w:abstractNum>
  <w:abstractNum w:abstractNumId="39">
    <w:nsid w:val="2D67166D"/>
    <w:multiLevelType w:val="multilevel"/>
    <w:tmpl w:val="2D67166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0">
    <w:nsid w:val="2E2321FC"/>
    <w:multiLevelType w:val="multilevel"/>
    <w:tmpl w:val="2E2321F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1">
    <w:nsid w:val="2F8363A2"/>
    <w:multiLevelType w:val="multilevel"/>
    <w:tmpl w:val="2F8363A2"/>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2">
    <w:nsid w:val="2FC67928"/>
    <w:multiLevelType w:val="multilevel"/>
    <w:tmpl w:val="2FC6792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3">
    <w:nsid w:val="33B730C1"/>
    <w:multiLevelType w:val="multilevel"/>
    <w:tmpl w:val="33B730C1"/>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decimal"/>
      <w:suff w:val="nothing"/>
      <w:lvlText w:val="（%3）"/>
      <w:lvlJc w:val="left"/>
      <w:pPr>
        <w:ind w:left="0" w:firstLine="482"/>
      </w:pPr>
      <w:rPr>
        <w:rFonts w:hint="default"/>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4">
    <w:nsid w:val="34043A4C"/>
    <w:multiLevelType w:val="multilevel"/>
    <w:tmpl w:val="34043A4C"/>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5">
    <w:nsid w:val="341D0D03"/>
    <w:multiLevelType w:val="multilevel"/>
    <w:tmpl w:val="341D0D03"/>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6">
    <w:nsid w:val="34FC5520"/>
    <w:multiLevelType w:val="multilevel"/>
    <w:tmpl w:val="34FC5520"/>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7">
    <w:nsid w:val="3625651A"/>
    <w:multiLevelType w:val="multilevel"/>
    <w:tmpl w:val="3625651A"/>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8">
    <w:nsid w:val="36273973"/>
    <w:multiLevelType w:val="multilevel"/>
    <w:tmpl w:val="36273973"/>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9">
    <w:nsid w:val="36CB39F2"/>
    <w:multiLevelType w:val="multilevel"/>
    <w:tmpl w:val="36CB39F2"/>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0">
    <w:nsid w:val="39CA451E"/>
    <w:multiLevelType w:val="multilevel"/>
    <w:tmpl w:val="39CA451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1">
    <w:nsid w:val="3D145619"/>
    <w:multiLevelType w:val="multilevel"/>
    <w:tmpl w:val="3D145619"/>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2">
    <w:nsid w:val="40CE5C25"/>
    <w:multiLevelType w:val="multilevel"/>
    <w:tmpl w:val="40CE5C2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3">
    <w:nsid w:val="42DD4FC1"/>
    <w:multiLevelType w:val="multilevel"/>
    <w:tmpl w:val="42DD4FC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4">
    <w:nsid w:val="43E03799"/>
    <w:multiLevelType w:val="multilevel"/>
    <w:tmpl w:val="43E0379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5">
    <w:nsid w:val="44D268F5"/>
    <w:multiLevelType w:val="multilevel"/>
    <w:tmpl w:val="44D268F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6">
    <w:nsid w:val="4521537E"/>
    <w:multiLevelType w:val="multilevel"/>
    <w:tmpl w:val="4521537E"/>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7">
    <w:nsid w:val="46E16618"/>
    <w:multiLevelType w:val="multilevel"/>
    <w:tmpl w:val="46E1661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8">
    <w:nsid w:val="47D4485E"/>
    <w:multiLevelType w:val="multilevel"/>
    <w:tmpl w:val="47D4485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9">
    <w:nsid w:val="4B5C54D9"/>
    <w:multiLevelType w:val="multilevel"/>
    <w:tmpl w:val="4B5C54D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0">
    <w:nsid w:val="4BBC29E0"/>
    <w:multiLevelType w:val="singleLevel"/>
    <w:tmpl w:val="4BBC29E0"/>
    <w:lvl w:ilvl="0" w:tentative="0">
      <w:start w:val="1"/>
      <w:numFmt w:val="decimal"/>
      <w:suff w:val="nothing"/>
      <w:lvlText w:val="（%1）"/>
      <w:lvlJc w:val="left"/>
    </w:lvl>
  </w:abstractNum>
  <w:abstractNum w:abstractNumId="61">
    <w:nsid w:val="4C3D1204"/>
    <w:multiLevelType w:val="multilevel"/>
    <w:tmpl w:val="4C3D1204"/>
    <w:lvl w:ilvl="0" w:tentative="0">
      <w:start w:val="1"/>
      <w:numFmt w:val="decimal"/>
      <w:suff w:val="nothing"/>
      <w:lvlText w:val="%1"/>
      <w:lvlJc w:val="center"/>
      <w:pPr>
        <w:ind w:left="420" w:hanging="420"/>
      </w:pPr>
      <w:rPr>
        <w:rFonts w:hint="default" w:ascii="Times New Roman" w:hAnsi="Times New Roman"/>
        <w:b w:val="0"/>
        <w:i w:val="0"/>
        <w:sz w:val="21"/>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62">
    <w:nsid w:val="4D4929C9"/>
    <w:multiLevelType w:val="multilevel"/>
    <w:tmpl w:val="4D4929C9"/>
    <w:lvl w:ilvl="0" w:tentative="0">
      <w:start w:val="1"/>
      <w:numFmt w:val="decimal"/>
      <w:pStyle w:val="2"/>
      <w:suff w:val="space"/>
      <w:lvlText w:val="%1"/>
      <w:lvlJc w:val="left"/>
      <w:pPr>
        <w:ind w:left="0" w:firstLine="0"/>
      </w:pPr>
      <w:rPr>
        <w:rFonts w:hint="default" w:ascii="Times New Roman" w:hAnsi="Times New Roman" w:eastAsia="宋体"/>
      </w:rPr>
    </w:lvl>
    <w:lvl w:ilvl="1" w:tentative="0">
      <w:start w:val="1"/>
      <w:numFmt w:val="decimal"/>
      <w:pStyle w:val="3"/>
      <w:isLgl/>
      <w:suff w:val="space"/>
      <w:lvlText w:val="%1.%2"/>
      <w:lvlJc w:val="left"/>
      <w:pPr>
        <w:ind w:left="0" w:firstLine="0"/>
      </w:pPr>
      <w:rPr>
        <w:rFonts w:hint="default" w:ascii="Times New Roman" w:hAnsi="Times New Roman" w:eastAsia="宋体"/>
      </w:rPr>
    </w:lvl>
    <w:lvl w:ilvl="2" w:tentative="0">
      <w:start w:val="1"/>
      <w:numFmt w:val="decimal"/>
      <w:pStyle w:val="4"/>
      <w:isLgl/>
      <w:suff w:val="space"/>
      <w:lvlText w:val="%1.%2.%3"/>
      <w:lvlJc w:val="left"/>
      <w:pPr>
        <w:ind w:left="0" w:firstLine="0"/>
      </w:pPr>
      <w:rPr>
        <w:rFonts w:hint="default" w:ascii="Times New Roman" w:hAnsi="Times New Roman" w:eastAsia="宋体"/>
      </w:rPr>
    </w:lvl>
    <w:lvl w:ilvl="3" w:tentative="0">
      <w:start w:val="1"/>
      <w:numFmt w:val="decimal"/>
      <w:pStyle w:val="5"/>
      <w:isLgl/>
      <w:suff w:val="space"/>
      <w:lvlText w:val="%1.%2.%3.%4"/>
      <w:lvlJc w:val="left"/>
      <w:pPr>
        <w:ind w:left="0" w:firstLine="0"/>
      </w:pPr>
      <w:rPr>
        <w:rFonts w:hint="default" w:ascii="Times New Roman" w:hAnsi="Times New Roman" w:eastAsia="宋体"/>
      </w:rPr>
    </w:lvl>
    <w:lvl w:ilvl="4" w:tentative="0">
      <w:start w:val="1"/>
      <w:numFmt w:val="decimal"/>
      <w:pStyle w:val="148"/>
      <w:isLgl/>
      <w:suff w:val="space"/>
      <w:lvlText w:val="%1.%2.%3.%4.%5"/>
      <w:lvlJc w:val="left"/>
      <w:pPr>
        <w:ind w:left="0" w:firstLine="0"/>
      </w:pPr>
      <w:rPr>
        <w:rFonts w:hint="default" w:ascii="Times New Roman" w:hAnsi="Times New Roman" w:eastAsia="宋体"/>
        <w:b/>
        <w:i w:val="0"/>
        <w:sz w:val="24"/>
      </w:rPr>
    </w:lvl>
    <w:lvl w:ilvl="5" w:tentative="0">
      <w:start w:val="1"/>
      <w:numFmt w:val="decimal"/>
      <w:isLgl/>
      <w:lvlText w:val="%1.%2.%3.%4.%5.%6"/>
      <w:lvlJc w:val="left"/>
      <w:pPr>
        <w:ind w:left="0" w:firstLine="0"/>
      </w:pPr>
      <w:rPr>
        <w:rFonts w:hint="default"/>
      </w:rPr>
    </w:lvl>
    <w:lvl w:ilvl="6" w:tentative="0">
      <w:start w:val="1"/>
      <w:numFmt w:val="decimal"/>
      <w:isLgl/>
      <w:lvlText w:val="%1.%2.%3.%4.%5.%6.%7"/>
      <w:lvlJc w:val="left"/>
      <w:pPr>
        <w:ind w:left="0" w:firstLine="0"/>
      </w:pPr>
      <w:rPr>
        <w:rFonts w:hint="default"/>
      </w:rPr>
    </w:lvl>
    <w:lvl w:ilvl="7" w:tentative="0">
      <w:start w:val="1"/>
      <w:numFmt w:val="decimal"/>
      <w:isLgl/>
      <w:lvlText w:val="%1.%2.%3.%4.%5.%6.%7.%8"/>
      <w:lvlJc w:val="left"/>
      <w:pPr>
        <w:ind w:left="0" w:firstLine="0"/>
      </w:pPr>
      <w:rPr>
        <w:rFonts w:hint="default"/>
      </w:rPr>
    </w:lvl>
    <w:lvl w:ilvl="8" w:tentative="0">
      <w:start w:val="1"/>
      <w:numFmt w:val="decimal"/>
      <w:isLgl/>
      <w:lvlText w:val="%1.%2.%3.%4.%5.%6.%7.%8.%9"/>
      <w:lvlJc w:val="left"/>
      <w:pPr>
        <w:ind w:left="0" w:firstLine="0"/>
      </w:pPr>
      <w:rPr>
        <w:rFonts w:hint="default"/>
      </w:rPr>
    </w:lvl>
  </w:abstractNum>
  <w:abstractNum w:abstractNumId="63">
    <w:nsid w:val="4DA903D4"/>
    <w:multiLevelType w:val="multilevel"/>
    <w:tmpl w:val="4DA903D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4">
    <w:nsid w:val="4EA5520A"/>
    <w:multiLevelType w:val="multilevel"/>
    <w:tmpl w:val="4EA5520A"/>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5">
    <w:nsid w:val="4FAD579C"/>
    <w:multiLevelType w:val="multilevel"/>
    <w:tmpl w:val="4FAD579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6">
    <w:nsid w:val="50FD5345"/>
    <w:multiLevelType w:val="multilevel"/>
    <w:tmpl w:val="50FD5345"/>
    <w:lvl w:ilvl="0" w:tentative="0">
      <w:start w:val="1"/>
      <w:numFmt w:val="decimal"/>
      <w:pStyle w:val="126"/>
      <w:suff w:val="nothing"/>
      <w:lvlText w:val="%1、"/>
      <w:lvlJc w:val="left"/>
      <w:pPr>
        <w:ind w:left="0" w:firstLine="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7">
    <w:nsid w:val="51434234"/>
    <w:multiLevelType w:val="multilevel"/>
    <w:tmpl w:val="5143423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8">
    <w:nsid w:val="540D2E8E"/>
    <w:multiLevelType w:val="multilevel"/>
    <w:tmpl w:val="540D2E8E"/>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9">
    <w:nsid w:val="564146E5"/>
    <w:multiLevelType w:val="multilevel"/>
    <w:tmpl w:val="564146E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0">
    <w:nsid w:val="57534A0B"/>
    <w:multiLevelType w:val="multilevel"/>
    <w:tmpl w:val="57534A0B"/>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1">
    <w:nsid w:val="5F481554"/>
    <w:multiLevelType w:val="multilevel"/>
    <w:tmpl w:val="5F48155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2">
    <w:nsid w:val="61541125"/>
    <w:multiLevelType w:val="multilevel"/>
    <w:tmpl w:val="61541125"/>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3">
    <w:nsid w:val="619605FA"/>
    <w:multiLevelType w:val="multilevel"/>
    <w:tmpl w:val="619605FA"/>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4">
    <w:nsid w:val="62180085"/>
    <w:multiLevelType w:val="singleLevel"/>
    <w:tmpl w:val="62180085"/>
    <w:lvl w:ilvl="0" w:tentative="0">
      <w:start w:val="1"/>
      <w:numFmt w:val="decimal"/>
      <w:suff w:val="nothing"/>
      <w:lvlText w:val="（%1）"/>
      <w:lvlJc w:val="left"/>
      <w:pPr>
        <w:ind w:left="0" w:firstLine="482"/>
      </w:pPr>
      <w:rPr>
        <w:rFonts w:hint="eastAsia"/>
      </w:rPr>
    </w:lvl>
  </w:abstractNum>
  <w:abstractNum w:abstractNumId="75">
    <w:nsid w:val="63741511"/>
    <w:multiLevelType w:val="multilevel"/>
    <w:tmpl w:val="63741511"/>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6">
    <w:nsid w:val="63AF0736"/>
    <w:multiLevelType w:val="multilevel"/>
    <w:tmpl w:val="63AF0736"/>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7">
    <w:nsid w:val="644160A8"/>
    <w:multiLevelType w:val="multilevel"/>
    <w:tmpl w:val="644160A8"/>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8">
    <w:nsid w:val="66552978"/>
    <w:multiLevelType w:val="multilevel"/>
    <w:tmpl w:val="6655297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9">
    <w:nsid w:val="687F1259"/>
    <w:multiLevelType w:val="multilevel"/>
    <w:tmpl w:val="687F125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0">
    <w:nsid w:val="69A05EDD"/>
    <w:multiLevelType w:val="multilevel"/>
    <w:tmpl w:val="69A05EDD"/>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1">
    <w:nsid w:val="6AB577A1"/>
    <w:multiLevelType w:val="multilevel"/>
    <w:tmpl w:val="6AB577A1"/>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2">
    <w:nsid w:val="6B5277C9"/>
    <w:multiLevelType w:val="multilevel"/>
    <w:tmpl w:val="6B5277C9"/>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3">
    <w:nsid w:val="6C1E1AB8"/>
    <w:multiLevelType w:val="multilevel"/>
    <w:tmpl w:val="6C1E1AB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4">
    <w:nsid w:val="6C4D06A4"/>
    <w:multiLevelType w:val="multilevel"/>
    <w:tmpl w:val="6C4D06A4"/>
    <w:lvl w:ilvl="0" w:tentative="0">
      <w:start w:val="1"/>
      <w:numFmt w:val="decimalEnclosedCircle"/>
      <w:suff w:val="nothing"/>
      <w:lvlText w:val="%1"/>
      <w:lvlJc w:val="left"/>
      <w:pPr>
        <w:ind w:left="0" w:firstLine="480"/>
      </w:pPr>
      <w:rPr>
        <w:rFonts w:ascii="宋体" w:hAnsi="宋体" w:eastAsia="宋体" w:cs="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5">
    <w:nsid w:val="704843E9"/>
    <w:multiLevelType w:val="multilevel"/>
    <w:tmpl w:val="704843E9"/>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6">
    <w:nsid w:val="70F07ABE"/>
    <w:multiLevelType w:val="multilevel"/>
    <w:tmpl w:val="70F07ABE"/>
    <w:lvl w:ilvl="0" w:tentative="0">
      <w:start w:val="1"/>
      <w:numFmt w:val="decimal"/>
      <w:suff w:val="nothing"/>
      <w:lvlText w:val="（%1）"/>
      <w:lvlJc w:val="left"/>
      <w:pPr>
        <w:ind w:left="0" w:firstLine="0"/>
      </w:pPr>
      <w:rPr>
        <w:rFonts w:hint="default" w:ascii="Times New Roman" w:hAnsi="Times New Roman" w:eastAsia="宋体"/>
        <w:b w:val="0"/>
        <w:i w:val="0"/>
        <w:sz w:val="24"/>
        <w:lang w:val="en-U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7">
    <w:nsid w:val="730546B6"/>
    <w:multiLevelType w:val="multilevel"/>
    <w:tmpl w:val="730546B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decimal"/>
      <w:suff w:val="nothing"/>
      <w:lvlText w:val="（%3）"/>
      <w:lvlJc w:val="left"/>
      <w:pPr>
        <w:ind w:left="0" w:firstLine="480"/>
      </w:pPr>
      <w:rPr>
        <w:rFonts w:hint="default" w:ascii="Times New Roman" w:hAnsi="Times New Roman" w:eastAsia="宋体"/>
        <w:b w:val="0"/>
        <w:i w:val="0"/>
        <w:sz w:val="24"/>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8">
    <w:nsid w:val="73357FAF"/>
    <w:multiLevelType w:val="multilevel"/>
    <w:tmpl w:val="73357FAF"/>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89">
    <w:nsid w:val="745000D6"/>
    <w:multiLevelType w:val="multilevel"/>
    <w:tmpl w:val="745000D6"/>
    <w:lvl w:ilvl="0" w:tentative="0">
      <w:start w:val="1"/>
      <w:numFmt w:val="decimal"/>
      <w:lvlText w:val="（%1）"/>
      <w:lvlJc w:val="left"/>
      <w:pPr>
        <w:ind w:left="900" w:hanging="420"/>
      </w:pPr>
      <w:rPr>
        <w:rFonts w:hint="default" w:ascii="Times New Roman" w:hAnsi="Times New Roman" w:eastAsia="宋体"/>
        <w:b w:val="0"/>
        <w:i w:val="0"/>
        <w:sz w:val="24"/>
      </w:rPr>
    </w:lvl>
    <w:lvl w:ilvl="1" w:tentative="0">
      <w:start w:val="1"/>
      <w:numFmt w:val="decimal"/>
      <w:suff w:val="nothing"/>
      <w:lvlText w:val="（%2）"/>
      <w:lvlJc w:val="left"/>
      <w:pPr>
        <w:ind w:left="0" w:firstLine="480"/>
      </w:pPr>
      <w:rPr>
        <w:rFonts w:hint="default" w:ascii="Times New Roman" w:hAnsi="Times New Roman" w:eastAsia="宋体"/>
        <w:b w:val="0"/>
        <w:i w:val="0"/>
        <w:sz w:val="24"/>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0">
    <w:nsid w:val="74907EAD"/>
    <w:multiLevelType w:val="multilevel"/>
    <w:tmpl w:val="74907EA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1">
    <w:nsid w:val="74F53F22"/>
    <w:multiLevelType w:val="multilevel"/>
    <w:tmpl w:val="74F53F22"/>
    <w:lvl w:ilvl="0" w:tentative="0">
      <w:start w:val="1"/>
      <w:numFmt w:val="chineseCountingThousand"/>
      <w:suff w:val="nothing"/>
      <w:lvlText w:val="第%1章  "/>
      <w:lvlJc w:val="left"/>
      <w:pPr>
        <w:ind w:left="0" w:firstLine="0"/>
      </w:pPr>
      <w:rPr>
        <w:rFonts w:hint="eastAsia" w:ascii="宋体" w:hAnsi="宋体" w:eastAsia="宋体"/>
        <w:b/>
        <w:i w:val="0"/>
        <w:color w:val="000000"/>
        <w:sz w:val="32"/>
        <w:u w:val="none"/>
      </w:rPr>
    </w:lvl>
    <w:lvl w:ilvl="1" w:tentative="0">
      <w:start w:val="1"/>
      <w:numFmt w:val="chineseCountingThousand"/>
      <w:pStyle w:val="207"/>
      <w:suff w:val="nothing"/>
      <w:lvlText w:val="%2、  "/>
      <w:lvlJc w:val="left"/>
      <w:pPr>
        <w:ind w:left="0" w:firstLine="0"/>
      </w:pPr>
      <w:rPr>
        <w:rFonts w:hint="eastAsia" w:ascii="宋体" w:hAnsi="宋体" w:eastAsia="宋体"/>
        <w:b/>
        <w:i w:val="0"/>
        <w:color w:val="000000"/>
        <w:sz w:val="28"/>
        <w:u w:val="none"/>
      </w:rPr>
    </w:lvl>
    <w:lvl w:ilvl="2" w:tentative="0">
      <w:start w:val="1"/>
      <w:numFmt w:val="decimal"/>
      <w:suff w:val="nothing"/>
      <w:lvlText w:val="%3、  "/>
      <w:lvlJc w:val="left"/>
      <w:pPr>
        <w:ind w:left="0" w:firstLine="0"/>
      </w:pPr>
      <w:rPr>
        <w:rFonts w:hint="eastAsia" w:ascii="宋体" w:hAnsi="宋体" w:eastAsia="宋体"/>
        <w:b/>
        <w:i w:val="0"/>
        <w:color w:val="000000"/>
        <w:sz w:val="24"/>
        <w:u w:val="none"/>
      </w:rPr>
    </w:lvl>
    <w:lvl w:ilvl="3" w:tentative="0">
      <w:start w:val="1"/>
      <w:numFmt w:val="decimal"/>
      <w:suff w:val="nothing"/>
      <w:lvlText w:val="%4、  "/>
      <w:lvlJc w:val="left"/>
      <w:pPr>
        <w:ind w:left="0" w:firstLine="0"/>
      </w:pPr>
      <w:rPr>
        <w:rFonts w:hint="eastAsia" w:ascii="宋体" w:hAnsi="宋体" w:eastAsia="宋体"/>
        <w:b/>
        <w:i w:val="0"/>
        <w:color w:val="000000"/>
        <w:sz w:val="24"/>
        <w:u w:val="none"/>
      </w:rPr>
    </w:lvl>
    <w:lvl w:ilvl="4" w:tentative="0">
      <w:start w:val="1"/>
      <w:numFmt w:val="upperRoman"/>
      <w:suff w:val="nothing"/>
      <w:lvlText w:val="%5、  "/>
      <w:lvlJc w:val="left"/>
      <w:pPr>
        <w:ind w:left="0" w:firstLine="0"/>
      </w:pPr>
      <w:rPr>
        <w:rFonts w:hint="eastAsia" w:ascii="宋体" w:hAnsi="宋体" w:eastAsia="宋体"/>
        <w:b/>
        <w:i w:val="0"/>
        <w:color w:val="000000"/>
        <w:sz w:val="24"/>
        <w:u w:val="none"/>
      </w:rPr>
    </w:lvl>
    <w:lvl w:ilvl="5" w:tentative="0">
      <w:start w:val="1"/>
      <w:numFmt w:val="none"/>
      <w:suff w:val="nothing"/>
      <w:lvlText w:val=""/>
      <w:lvlJc w:val="left"/>
      <w:pPr>
        <w:ind w:left="0" w:firstLine="0"/>
      </w:pPr>
      <w:rPr>
        <w:rFonts w:hint="eastAsia" w:ascii="宋体" w:hAnsi="宋体" w:eastAsia="宋体"/>
        <w:b/>
        <w:i w:val="0"/>
        <w:color w:val="000000"/>
        <w:sz w:val="24"/>
        <w:u w:val="none"/>
      </w:rPr>
    </w:lvl>
    <w:lvl w:ilvl="6" w:tentative="0">
      <w:start w:val="1"/>
      <w:numFmt w:val="none"/>
      <w:suff w:val="nothing"/>
      <w:lvlText w:val=""/>
      <w:lvlJc w:val="left"/>
      <w:pPr>
        <w:ind w:left="0" w:firstLine="0"/>
      </w:pPr>
      <w:rPr>
        <w:rFonts w:hint="eastAsia" w:ascii="宋体" w:hAnsi="宋体" w:eastAsia="宋体"/>
        <w:b/>
        <w:i w:val="0"/>
        <w:color w:val="000000"/>
        <w:sz w:val="24"/>
        <w:u w:val="none"/>
      </w:rPr>
    </w:lvl>
    <w:lvl w:ilvl="7" w:tentative="0">
      <w:start w:val="1"/>
      <w:numFmt w:val="none"/>
      <w:suff w:val="nothing"/>
      <w:lvlText w:val=""/>
      <w:lvlJc w:val="left"/>
      <w:pPr>
        <w:ind w:left="0" w:firstLine="0"/>
      </w:pPr>
      <w:rPr>
        <w:rFonts w:hint="eastAsia" w:ascii="宋体" w:hAnsi="宋体" w:eastAsia="宋体"/>
        <w:b/>
        <w:i w:val="0"/>
        <w:color w:val="000000"/>
        <w:sz w:val="24"/>
        <w:u w:val="none"/>
      </w:rPr>
    </w:lvl>
    <w:lvl w:ilvl="8" w:tentative="0">
      <w:start w:val="1"/>
      <w:numFmt w:val="none"/>
      <w:suff w:val="nothing"/>
      <w:lvlText w:val=""/>
      <w:lvlJc w:val="left"/>
      <w:pPr>
        <w:ind w:left="0" w:firstLine="0"/>
      </w:pPr>
      <w:rPr>
        <w:rFonts w:hint="eastAsia" w:ascii="宋体" w:hAnsi="宋体" w:eastAsia="宋体"/>
        <w:b/>
        <w:i w:val="0"/>
        <w:color w:val="000000"/>
        <w:sz w:val="24"/>
        <w:u w:val="none"/>
      </w:rPr>
    </w:lvl>
  </w:abstractNum>
  <w:abstractNum w:abstractNumId="92">
    <w:nsid w:val="74FC2647"/>
    <w:multiLevelType w:val="multilevel"/>
    <w:tmpl w:val="74FC2647"/>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3">
    <w:nsid w:val="75947EAC"/>
    <w:multiLevelType w:val="multilevel"/>
    <w:tmpl w:val="75947EAC"/>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4">
    <w:nsid w:val="75CC62E1"/>
    <w:multiLevelType w:val="multilevel"/>
    <w:tmpl w:val="75CC62E1"/>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5">
    <w:nsid w:val="78582707"/>
    <w:multiLevelType w:val="multilevel"/>
    <w:tmpl w:val="78582707"/>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decimal"/>
      <w:lvlText w:val="（%2）"/>
      <w:lvlJc w:val="left"/>
      <w:pPr>
        <w:ind w:left="1620" w:hanging="72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6">
    <w:nsid w:val="7A8E6424"/>
    <w:multiLevelType w:val="multilevel"/>
    <w:tmpl w:val="7A8E6424"/>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97">
    <w:nsid w:val="7C3E286D"/>
    <w:multiLevelType w:val="multilevel"/>
    <w:tmpl w:val="7C3E286D"/>
    <w:lvl w:ilvl="0" w:tentative="0">
      <w:start w:val="1"/>
      <w:numFmt w:val="decimal"/>
      <w:suff w:val="nothing"/>
      <w:lvlText w:val="%1"/>
      <w:lvlJc w:val="center"/>
      <w:pPr>
        <w:ind w:left="0" w:firstLine="0"/>
      </w:pPr>
      <w:rPr>
        <w:rFonts w:hint="default" w:ascii="Times New Roman" w:hAnsi="Times New Roman" w:eastAsia="宋体"/>
        <w:b w:val="0"/>
        <w:i w:val="0"/>
        <w:sz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8">
    <w:nsid w:val="7C6A4418"/>
    <w:multiLevelType w:val="multilevel"/>
    <w:tmpl w:val="7C6A4418"/>
    <w:lvl w:ilvl="0" w:tentative="0">
      <w:start w:val="1"/>
      <w:numFmt w:val="decimal"/>
      <w:suff w:val="nothing"/>
      <w:lvlText w:val="%1、"/>
      <w:lvlJc w:val="left"/>
      <w:pPr>
        <w:ind w:left="0" w:firstLine="480"/>
      </w:pPr>
      <w:rPr>
        <w:rFonts w:hint="default" w:ascii="Times New Roman" w:hAnsi="Times New Roman" w:eastAsia="宋体"/>
        <w:b w:val="0"/>
        <w:i w:val="0"/>
        <w:sz w:val="24"/>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62"/>
  </w:num>
  <w:num w:numId="2">
    <w:abstractNumId w:val="7"/>
  </w:num>
  <w:num w:numId="3">
    <w:abstractNumId w:val="66"/>
  </w:num>
  <w:num w:numId="4">
    <w:abstractNumId w:val="16"/>
  </w:num>
  <w:num w:numId="5">
    <w:abstractNumId w:val="91"/>
  </w:num>
  <w:num w:numId="6">
    <w:abstractNumId w:val="12"/>
  </w:num>
  <w:num w:numId="7">
    <w:abstractNumId w:val="8"/>
  </w:num>
  <w:num w:numId="8">
    <w:abstractNumId w:val="71"/>
  </w:num>
  <w:num w:numId="9">
    <w:abstractNumId w:val="39"/>
  </w:num>
  <w:num w:numId="10">
    <w:abstractNumId w:val="34"/>
  </w:num>
  <w:num w:numId="11">
    <w:abstractNumId w:val="50"/>
  </w:num>
  <w:num w:numId="12">
    <w:abstractNumId w:val="59"/>
  </w:num>
  <w:num w:numId="13">
    <w:abstractNumId w:val="53"/>
  </w:num>
  <w:num w:numId="14">
    <w:abstractNumId w:val="69"/>
  </w:num>
  <w:num w:numId="15">
    <w:abstractNumId w:val="41"/>
  </w:num>
  <w:num w:numId="16">
    <w:abstractNumId w:val="70"/>
  </w:num>
  <w:num w:numId="17">
    <w:abstractNumId w:val="27"/>
  </w:num>
  <w:num w:numId="18">
    <w:abstractNumId w:val="94"/>
  </w:num>
  <w:num w:numId="19">
    <w:abstractNumId w:val="20"/>
  </w:num>
  <w:num w:numId="20">
    <w:abstractNumId w:val="45"/>
  </w:num>
  <w:num w:numId="21">
    <w:abstractNumId w:val="68"/>
  </w:num>
  <w:num w:numId="22">
    <w:abstractNumId w:val="54"/>
  </w:num>
  <w:num w:numId="23">
    <w:abstractNumId w:val="14"/>
  </w:num>
  <w:num w:numId="24">
    <w:abstractNumId w:val="1"/>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7"/>
  </w:num>
  <w:num w:numId="27">
    <w:abstractNumId w:val="26"/>
  </w:num>
  <w:num w:numId="28">
    <w:abstractNumId w:val="6"/>
  </w:num>
  <w:num w:numId="29">
    <w:abstractNumId w:val="83"/>
  </w:num>
  <w:num w:numId="30">
    <w:abstractNumId w:val="24"/>
  </w:num>
  <w:num w:numId="31">
    <w:abstractNumId w:val="5"/>
  </w:num>
  <w:num w:numId="32">
    <w:abstractNumId w:val="31"/>
  </w:num>
  <w:num w:numId="33">
    <w:abstractNumId w:val="96"/>
  </w:num>
  <w:num w:numId="34">
    <w:abstractNumId w:val="95"/>
  </w:num>
  <w:num w:numId="35">
    <w:abstractNumId w:val="28"/>
  </w:num>
  <w:num w:numId="36">
    <w:abstractNumId w:val="55"/>
  </w:num>
  <w:num w:numId="37">
    <w:abstractNumId w:val="10"/>
  </w:num>
  <w:num w:numId="38">
    <w:abstractNumId w:val="52"/>
  </w:num>
  <w:num w:numId="39">
    <w:abstractNumId w:val="98"/>
  </w:num>
  <w:num w:numId="40">
    <w:abstractNumId w:val="47"/>
  </w:num>
  <w:num w:numId="41">
    <w:abstractNumId w:val="84"/>
  </w:num>
  <w:num w:numId="42">
    <w:abstractNumId w:val="29"/>
  </w:num>
  <w:num w:numId="43">
    <w:abstractNumId w:val="72"/>
  </w:num>
  <w:num w:numId="44">
    <w:abstractNumId w:val="65"/>
  </w:num>
  <w:num w:numId="45">
    <w:abstractNumId w:val="25"/>
  </w:num>
  <w:num w:numId="46">
    <w:abstractNumId w:val="48"/>
  </w:num>
  <w:num w:numId="47">
    <w:abstractNumId w:val="93"/>
  </w:num>
  <w:num w:numId="48">
    <w:abstractNumId w:val="30"/>
  </w:num>
  <w:num w:numId="49">
    <w:abstractNumId w:val="22"/>
  </w:num>
  <w:num w:numId="50">
    <w:abstractNumId w:val="32"/>
  </w:num>
  <w:num w:numId="51">
    <w:abstractNumId w:val="19"/>
  </w:num>
  <w:num w:numId="52">
    <w:abstractNumId w:val="75"/>
  </w:num>
  <w:num w:numId="53">
    <w:abstractNumId w:val="58"/>
  </w:num>
  <w:num w:numId="54">
    <w:abstractNumId w:val="40"/>
  </w:num>
  <w:num w:numId="55">
    <w:abstractNumId w:val="90"/>
  </w:num>
  <w:num w:numId="56">
    <w:abstractNumId w:val="64"/>
  </w:num>
  <w:num w:numId="57">
    <w:abstractNumId w:val="73"/>
  </w:num>
  <w:num w:numId="58">
    <w:abstractNumId w:val="18"/>
  </w:num>
  <w:num w:numId="59">
    <w:abstractNumId w:val="61"/>
  </w:num>
  <w:num w:numId="60">
    <w:abstractNumId w:val="85"/>
  </w:num>
  <w:num w:numId="61">
    <w:abstractNumId w:val="89"/>
  </w:num>
  <w:num w:numId="62">
    <w:abstractNumId w:val="77"/>
  </w:num>
  <w:num w:numId="63">
    <w:abstractNumId w:val="88"/>
  </w:num>
  <w:num w:numId="64">
    <w:abstractNumId w:val="11"/>
  </w:num>
  <w:num w:numId="65">
    <w:abstractNumId w:val="82"/>
  </w:num>
  <w:num w:numId="66">
    <w:abstractNumId w:val="21"/>
  </w:num>
  <w:num w:numId="67">
    <w:abstractNumId w:val="56"/>
  </w:num>
  <w:num w:numId="68">
    <w:abstractNumId w:val="13"/>
  </w:num>
  <w:num w:numId="69">
    <w:abstractNumId w:val="76"/>
  </w:num>
  <w:num w:numId="70">
    <w:abstractNumId w:val="46"/>
  </w:num>
  <w:num w:numId="71">
    <w:abstractNumId w:val="57"/>
  </w:num>
  <w:num w:numId="72">
    <w:abstractNumId w:val="9"/>
  </w:num>
  <w:num w:numId="73">
    <w:abstractNumId w:val="78"/>
  </w:num>
  <w:num w:numId="74">
    <w:abstractNumId w:val="42"/>
  </w:num>
  <w:num w:numId="75">
    <w:abstractNumId w:val="79"/>
  </w:num>
  <w:num w:numId="76">
    <w:abstractNumId w:val="92"/>
  </w:num>
  <w:num w:numId="77">
    <w:abstractNumId w:val="81"/>
  </w:num>
  <w:num w:numId="78">
    <w:abstractNumId w:val="0"/>
  </w:num>
  <w:num w:numId="79">
    <w:abstractNumId w:val="74"/>
  </w:num>
  <w:num w:numId="80">
    <w:abstractNumId w:val="23"/>
  </w:num>
  <w:num w:numId="81">
    <w:abstractNumId w:val="38"/>
  </w:num>
  <w:num w:numId="82">
    <w:abstractNumId w:val="60"/>
  </w:num>
  <w:num w:numId="83">
    <w:abstractNumId w:val="86"/>
    <w:lvlOverride w:ilvl="0">
      <w:startOverride w:val="1"/>
    </w:lvlOverride>
  </w:num>
  <w:num w:numId="84">
    <w:abstractNumId w:val="86"/>
  </w:num>
  <w:num w:numId="85">
    <w:abstractNumId w:val="66"/>
    <w:lvlOverride w:ilvl="0">
      <w:startOverride w:val="1"/>
    </w:lvlOverride>
  </w:num>
  <w:num w:numId="86">
    <w:abstractNumId w:val="80"/>
  </w:num>
  <w:num w:numId="87">
    <w:abstractNumId w:val="63"/>
  </w:num>
  <w:num w:numId="88">
    <w:abstractNumId w:val="17"/>
  </w:num>
  <w:num w:numId="89">
    <w:abstractNumId w:val="36"/>
  </w:num>
  <w:num w:numId="90">
    <w:abstractNumId w:val="67"/>
  </w:num>
  <w:num w:numId="91">
    <w:abstractNumId w:val="43"/>
  </w:num>
  <w:num w:numId="92">
    <w:abstractNumId w:val="87"/>
  </w:num>
  <w:num w:numId="93">
    <w:abstractNumId w:val="2"/>
  </w:num>
  <w:num w:numId="94">
    <w:abstractNumId w:val="35"/>
  </w:num>
  <w:num w:numId="95">
    <w:abstractNumId w:val="4"/>
  </w:num>
  <w:num w:numId="96">
    <w:abstractNumId w:val="51"/>
  </w:num>
  <w:num w:numId="97">
    <w:abstractNumId w:val="3"/>
  </w:num>
  <w:num w:numId="98">
    <w:abstractNumId w:val="49"/>
  </w:num>
  <w:num w:numId="99">
    <w:abstractNumId w:val="44"/>
  </w:num>
  <w:num w:numId="100">
    <w:abstractNumId w:val="15"/>
  </w:num>
  <w:num w:numId="101">
    <w:abstractNumId w:val="3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Haifeng Zhu">
    <w15:presenceInfo w15:providerId="None" w15:userId="Haifeng Zh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documentProtection w:enforcement="0"/>
  <w:defaultTabStop w:val="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JjNTQxMzI5N2U2YmJmZjM0ZmIzYTE2OWQ0MTYxNjAifQ=="/>
  </w:docVars>
  <w:rsids>
    <w:rsidRoot w:val="002B2E32"/>
    <w:rsid w:val="0000041E"/>
    <w:rsid w:val="000005B2"/>
    <w:rsid w:val="00000934"/>
    <w:rsid w:val="00000A5A"/>
    <w:rsid w:val="00000CA4"/>
    <w:rsid w:val="00000FB1"/>
    <w:rsid w:val="0000178D"/>
    <w:rsid w:val="00001D52"/>
    <w:rsid w:val="00002141"/>
    <w:rsid w:val="00002222"/>
    <w:rsid w:val="00002394"/>
    <w:rsid w:val="00002603"/>
    <w:rsid w:val="00002ABE"/>
    <w:rsid w:val="000048DF"/>
    <w:rsid w:val="00004C0B"/>
    <w:rsid w:val="0000592B"/>
    <w:rsid w:val="00005AF2"/>
    <w:rsid w:val="00005C09"/>
    <w:rsid w:val="00005C37"/>
    <w:rsid w:val="0000739E"/>
    <w:rsid w:val="00007A61"/>
    <w:rsid w:val="00010888"/>
    <w:rsid w:val="00010A4F"/>
    <w:rsid w:val="00010CB5"/>
    <w:rsid w:val="000112F2"/>
    <w:rsid w:val="000113B8"/>
    <w:rsid w:val="00011A77"/>
    <w:rsid w:val="00011CC6"/>
    <w:rsid w:val="00011D54"/>
    <w:rsid w:val="00011E11"/>
    <w:rsid w:val="00012B68"/>
    <w:rsid w:val="00012C32"/>
    <w:rsid w:val="000135E0"/>
    <w:rsid w:val="000139F5"/>
    <w:rsid w:val="00014E01"/>
    <w:rsid w:val="000150E7"/>
    <w:rsid w:val="000153B1"/>
    <w:rsid w:val="000154DA"/>
    <w:rsid w:val="00015CD6"/>
    <w:rsid w:val="00016442"/>
    <w:rsid w:val="00016B91"/>
    <w:rsid w:val="00016CCB"/>
    <w:rsid w:val="00016E0B"/>
    <w:rsid w:val="0001767D"/>
    <w:rsid w:val="00017C97"/>
    <w:rsid w:val="00017F9A"/>
    <w:rsid w:val="00020314"/>
    <w:rsid w:val="00020488"/>
    <w:rsid w:val="00020799"/>
    <w:rsid w:val="00020B92"/>
    <w:rsid w:val="00020CDA"/>
    <w:rsid w:val="000212A0"/>
    <w:rsid w:val="000212C7"/>
    <w:rsid w:val="00021DD4"/>
    <w:rsid w:val="00022317"/>
    <w:rsid w:val="00022432"/>
    <w:rsid w:val="000224BA"/>
    <w:rsid w:val="00023244"/>
    <w:rsid w:val="00023246"/>
    <w:rsid w:val="00023CD5"/>
    <w:rsid w:val="000242C0"/>
    <w:rsid w:val="000246A5"/>
    <w:rsid w:val="00024A47"/>
    <w:rsid w:val="0002501E"/>
    <w:rsid w:val="0002525F"/>
    <w:rsid w:val="0002597B"/>
    <w:rsid w:val="00025A38"/>
    <w:rsid w:val="0002607A"/>
    <w:rsid w:val="000269B8"/>
    <w:rsid w:val="000269DB"/>
    <w:rsid w:val="00026A4D"/>
    <w:rsid w:val="00026A54"/>
    <w:rsid w:val="00026C3D"/>
    <w:rsid w:val="0002725C"/>
    <w:rsid w:val="000273A0"/>
    <w:rsid w:val="00027512"/>
    <w:rsid w:val="000279DD"/>
    <w:rsid w:val="00027C5F"/>
    <w:rsid w:val="00030159"/>
    <w:rsid w:val="0003098E"/>
    <w:rsid w:val="000309B2"/>
    <w:rsid w:val="00030AC0"/>
    <w:rsid w:val="00030B7E"/>
    <w:rsid w:val="00030C17"/>
    <w:rsid w:val="00030DEA"/>
    <w:rsid w:val="0003115A"/>
    <w:rsid w:val="00031312"/>
    <w:rsid w:val="00031458"/>
    <w:rsid w:val="00031C95"/>
    <w:rsid w:val="00031CC0"/>
    <w:rsid w:val="000320AE"/>
    <w:rsid w:val="000320BA"/>
    <w:rsid w:val="0003218C"/>
    <w:rsid w:val="0003233C"/>
    <w:rsid w:val="0003317C"/>
    <w:rsid w:val="000339C5"/>
    <w:rsid w:val="00033DED"/>
    <w:rsid w:val="00034FA3"/>
    <w:rsid w:val="0003530A"/>
    <w:rsid w:val="00035C46"/>
    <w:rsid w:val="00035E86"/>
    <w:rsid w:val="00036025"/>
    <w:rsid w:val="00036ED9"/>
    <w:rsid w:val="000371E3"/>
    <w:rsid w:val="00037289"/>
    <w:rsid w:val="000377A9"/>
    <w:rsid w:val="00037C22"/>
    <w:rsid w:val="0004018D"/>
    <w:rsid w:val="00040732"/>
    <w:rsid w:val="000408E9"/>
    <w:rsid w:val="00040A30"/>
    <w:rsid w:val="00040F5C"/>
    <w:rsid w:val="000414F3"/>
    <w:rsid w:val="00041A12"/>
    <w:rsid w:val="00042F82"/>
    <w:rsid w:val="0004324E"/>
    <w:rsid w:val="00043610"/>
    <w:rsid w:val="000439D2"/>
    <w:rsid w:val="000439E4"/>
    <w:rsid w:val="00044593"/>
    <w:rsid w:val="000448B4"/>
    <w:rsid w:val="00044BBB"/>
    <w:rsid w:val="00044DC3"/>
    <w:rsid w:val="00045954"/>
    <w:rsid w:val="00046489"/>
    <w:rsid w:val="0004674B"/>
    <w:rsid w:val="000468D6"/>
    <w:rsid w:val="00046BE8"/>
    <w:rsid w:val="00046D5A"/>
    <w:rsid w:val="00046E7E"/>
    <w:rsid w:val="0004721E"/>
    <w:rsid w:val="00047238"/>
    <w:rsid w:val="00047C63"/>
    <w:rsid w:val="00047F7C"/>
    <w:rsid w:val="0005032B"/>
    <w:rsid w:val="000504A4"/>
    <w:rsid w:val="00050C79"/>
    <w:rsid w:val="00050FE0"/>
    <w:rsid w:val="0005110A"/>
    <w:rsid w:val="000514B1"/>
    <w:rsid w:val="000515ED"/>
    <w:rsid w:val="00051A3D"/>
    <w:rsid w:val="00052036"/>
    <w:rsid w:val="00052090"/>
    <w:rsid w:val="000523D4"/>
    <w:rsid w:val="0005317E"/>
    <w:rsid w:val="0005324F"/>
    <w:rsid w:val="00053AF4"/>
    <w:rsid w:val="00053BED"/>
    <w:rsid w:val="0005404C"/>
    <w:rsid w:val="000546CE"/>
    <w:rsid w:val="00054B1A"/>
    <w:rsid w:val="00054C08"/>
    <w:rsid w:val="00055224"/>
    <w:rsid w:val="00055EC0"/>
    <w:rsid w:val="00055F1C"/>
    <w:rsid w:val="00056605"/>
    <w:rsid w:val="0005660D"/>
    <w:rsid w:val="00056655"/>
    <w:rsid w:val="0005683E"/>
    <w:rsid w:val="00057706"/>
    <w:rsid w:val="00057C20"/>
    <w:rsid w:val="00060308"/>
    <w:rsid w:val="0006040C"/>
    <w:rsid w:val="0006057C"/>
    <w:rsid w:val="000606B7"/>
    <w:rsid w:val="0006099A"/>
    <w:rsid w:val="00060BD8"/>
    <w:rsid w:val="00060CA9"/>
    <w:rsid w:val="00061784"/>
    <w:rsid w:val="0006215F"/>
    <w:rsid w:val="0006225D"/>
    <w:rsid w:val="0006268D"/>
    <w:rsid w:val="00062A3C"/>
    <w:rsid w:val="00062E7D"/>
    <w:rsid w:val="00062F50"/>
    <w:rsid w:val="000635F2"/>
    <w:rsid w:val="00063E2C"/>
    <w:rsid w:val="0006444E"/>
    <w:rsid w:val="000648C8"/>
    <w:rsid w:val="000648E9"/>
    <w:rsid w:val="00065318"/>
    <w:rsid w:val="00065872"/>
    <w:rsid w:val="000659C0"/>
    <w:rsid w:val="00066426"/>
    <w:rsid w:val="00066E1E"/>
    <w:rsid w:val="00066E2C"/>
    <w:rsid w:val="000674C2"/>
    <w:rsid w:val="0007000E"/>
    <w:rsid w:val="000700AD"/>
    <w:rsid w:val="00070191"/>
    <w:rsid w:val="000701E1"/>
    <w:rsid w:val="00070249"/>
    <w:rsid w:val="0007041A"/>
    <w:rsid w:val="00070506"/>
    <w:rsid w:val="0007054B"/>
    <w:rsid w:val="000706F2"/>
    <w:rsid w:val="00070789"/>
    <w:rsid w:val="0007088E"/>
    <w:rsid w:val="000709E5"/>
    <w:rsid w:val="00070A8F"/>
    <w:rsid w:val="00070C61"/>
    <w:rsid w:val="00070F91"/>
    <w:rsid w:val="000711FA"/>
    <w:rsid w:val="0007215B"/>
    <w:rsid w:val="0007222C"/>
    <w:rsid w:val="000728F9"/>
    <w:rsid w:val="00072BF3"/>
    <w:rsid w:val="00072C58"/>
    <w:rsid w:val="00073142"/>
    <w:rsid w:val="000732A5"/>
    <w:rsid w:val="00073475"/>
    <w:rsid w:val="00073A30"/>
    <w:rsid w:val="00073AD6"/>
    <w:rsid w:val="00073B31"/>
    <w:rsid w:val="00074087"/>
    <w:rsid w:val="00074500"/>
    <w:rsid w:val="000749A9"/>
    <w:rsid w:val="00074E8A"/>
    <w:rsid w:val="00076CAE"/>
    <w:rsid w:val="00076F5D"/>
    <w:rsid w:val="00077433"/>
    <w:rsid w:val="00077923"/>
    <w:rsid w:val="00077B4A"/>
    <w:rsid w:val="000800FE"/>
    <w:rsid w:val="00080321"/>
    <w:rsid w:val="0008047A"/>
    <w:rsid w:val="00080772"/>
    <w:rsid w:val="00081104"/>
    <w:rsid w:val="000811EA"/>
    <w:rsid w:val="000813BC"/>
    <w:rsid w:val="0008172C"/>
    <w:rsid w:val="00081A1C"/>
    <w:rsid w:val="00081D85"/>
    <w:rsid w:val="00081E62"/>
    <w:rsid w:val="00082394"/>
    <w:rsid w:val="000828D6"/>
    <w:rsid w:val="00082BCA"/>
    <w:rsid w:val="000833B1"/>
    <w:rsid w:val="00083413"/>
    <w:rsid w:val="00083611"/>
    <w:rsid w:val="00083701"/>
    <w:rsid w:val="00083841"/>
    <w:rsid w:val="00083A81"/>
    <w:rsid w:val="0008419E"/>
    <w:rsid w:val="0008432B"/>
    <w:rsid w:val="0008435D"/>
    <w:rsid w:val="0008437E"/>
    <w:rsid w:val="000845C3"/>
    <w:rsid w:val="00084DDE"/>
    <w:rsid w:val="00084F3B"/>
    <w:rsid w:val="000851A1"/>
    <w:rsid w:val="000851E7"/>
    <w:rsid w:val="00085BF1"/>
    <w:rsid w:val="00085CEA"/>
    <w:rsid w:val="00085F40"/>
    <w:rsid w:val="00086027"/>
    <w:rsid w:val="000864A7"/>
    <w:rsid w:val="00086563"/>
    <w:rsid w:val="000865E8"/>
    <w:rsid w:val="00086699"/>
    <w:rsid w:val="00086BE6"/>
    <w:rsid w:val="0008713E"/>
    <w:rsid w:val="00087972"/>
    <w:rsid w:val="000879B9"/>
    <w:rsid w:val="00087E4D"/>
    <w:rsid w:val="0009010D"/>
    <w:rsid w:val="0009029D"/>
    <w:rsid w:val="000904D8"/>
    <w:rsid w:val="00090740"/>
    <w:rsid w:val="0009101B"/>
    <w:rsid w:val="0009142F"/>
    <w:rsid w:val="00091F51"/>
    <w:rsid w:val="000928D3"/>
    <w:rsid w:val="00092E1C"/>
    <w:rsid w:val="00092F62"/>
    <w:rsid w:val="00092FFA"/>
    <w:rsid w:val="00093104"/>
    <w:rsid w:val="00093636"/>
    <w:rsid w:val="0009382B"/>
    <w:rsid w:val="000938FC"/>
    <w:rsid w:val="00093E48"/>
    <w:rsid w:val="000941AD"/>
    <w:rsid w:val="00094213"/>
    <w:rsid w:val="00094315"/>
    <w:rsid w:val="00094F84"/>
    <w:rsid w:val="000955A1"/>
    <w:rsid w:val="00095608"/>
    <w:rsid w:val="000959BA"/>
    <w:rsid w:val="00095AF5"/>
    <w:rsid w:val="000966A3"/>
    <w:rsid w:val="000967CC"/>
    <w:rsid w:val="00096AF3"/>
    <w:rsid w:val="000A0A9A"/>
    <w:rsid w:val="000A10A1"/>
    <w:rsid w:val="000A12BB"/>
    <w:rsid w:val="000A1564"/>
    <w:rsid w:val="000A18AC"/>
    <w:rsid w:val="000A28E1"/>
    <w:rsid w:val="000A2B83"/>
    <w:rsid w:val="000A2BEF"/>
    <w:rsid w:val="000A2D94"/>
    <w:rsid w:val="000A2DD4"/>
    <w:rsid w:val="000A4D1F"/>
    <w:rsid w:val="000A51A8"/>
    <w:rsid w:val="000A5F75"/>
    <w:rsid w:val="000A663D"/>
    <w:rsid w:val="000A6A6F"/>
    <w:rsid w:val="000A6D21"/>
    <w:rsid w:val="000A6F35"/>
    <w:rsid w:val="000A79C2"/>
    <w:rsid w:val="000A7CBD"/>
    <w:rsid w:val="000B0107"/>
    <w:rsid w:val="000B077E"/>
    <w:rsid w:val="000B0FDA"/>
    <w:rsid w:val="000B1026"/>
    <w:rsid w:val="000B13A4"/>
    <w:rsid w:val="000B17A7"/>
    <w:rsid w:val="000B1C2E"/>
    <w:rsid w:val="000B2364"/>
    <w:rsid w:val="000B2B72"/>
    <w:rsid w:val="000B2EBB"/>
    <w:rsid w:val="000B300A"/>
    <w:rsid w:val="000B314C"/>
    <w:rsid w:val="000B32B2"/>
    <w:rsid w:val="000B34C1"/>
    <w:rsid w:val="000B365C"/>
    <w:rsid w:val="000B38DE"/>
    <w:rsid w:val="000B3ADA"/>
    <w:rsid w:val="000B3B99"/>
    <w:rsid w:val="000B3D73"/>
    <w:rsid w:val="000B3D80"/>
    <w:rsid w:val="000B43B6"/>
    <w:rsid w:val="000B4584"/>
    <w:rsid w:val="000B4BCD"/>
    <w:rsid w:val="000B4F18"/>
    <w:rsid w:val="000B631C"/>
    <w:rsid w:val="000B6559"/>
    <w:rsid w:val="000B6B74"/>
    <w:rsid w:val="000B6DC5"/>
    <w:rsid w:val="000B701B"/>
    <w:rsid w:val="000B718A"/>
    <w:rsid w:val="000B753B"/>
    <w:rsid w:val="000B789A"/>
    <w:rsid w:val="000B7A94"/>
    <w:rsid w:val="000B7B84"/>
    <w:rsid w:val="000B7CA5"/>
    <w:rsid w:val="000C0146"/>
    <w:rsid w:val="000C027F"/>
    <w:rsid w:val="000C09BF"/>
    <w:rsid w:val="000C0AE0"/>
    <w:rsid w:val="000C0BAA"/>
    <w:rsid w:val="000C1167"/>
    <w:rsid w:val="000C11EF"/>
    <w:rsid w:val="000C1AD5"/>
    <w:rsid w:val="000C1BB2"/>
    <w:rsid w:val="000C2144"/>
    <w:rsid w:val="000C28CF"/>
    <w:rsid w:val="000C304F"/>
    <w:rsid w:val="000C3A22"/>
    <w:rsid w:val="000C3B06"/>
    <w:rsid w:val="000C3E9B"/>
    <w:rsid w:val="000C3FDC"/>
    <w:rsid w:val="000C46BC"/>
    <w:rsid w:val="000C46F4"/>
    <w:rsid w:val="000C476A"/>
    <w:rsid w:val="000C4892"/>
    <w:rsid w:val="000C4BFE"/>
    <w:rsid w:val="000C512D"/>
    <w:rsid w:val="000C587C"/>
    <w:rsid w:val="000C5AD3"/>
    <w:rsid w:val="000C5DA6"/>
    <w:rsid w:val="000C5ED6"/>
    <w:rsid w:val="000C5FCA"/>
    <w:rsid w:val="000C61C4"/>
    <w:rsid w:val="000C684A"/>
    <w:rsid w:val="000C70E7"/>
    <w:rsid w:val="000C74BD"/>
    <w:rsid w:val="000C7979"/>
    <w:rsid w:val="000C7CC7"/>
    <w:rsid w:val="000C7F97"/>
    <w:rsid w:val="000D0A31"/>
    <w:rsid w:val="000D113D"/>
    <w:rsid w:val="000D1194"/>
    <w:rsid w:val="000D1345"/>
    <w:rsid w:val="000D1464"/>
    <w:rsid w:val="000D1623"/>
    <w:rsid w:val="000D1F53"/>
    <w:rsid w:val="000D22B9"/>
    <w:rsid w:val="000D2497"/>
    <w:rsid w:val="000D320C"/>
    <w:rsid w:val="000D3804"/>
    <w:rsid w:val="000D3947"/>
    <w:rsid w:val="000D3C80"/>
    <w:rsid w:val="000D3CC4"/>
    <w:rsid w:val="000D3CD3"/>
    <w:rsid w:val="000D3DD1"/>
    <w:rsid w:val="000D4236"/>
    <w:rsid w:val="000D5080"/>
    <w:rsid w:val="000D50F0"/>
    <w:rsid w:val="000D51A9"/>
    <w:rsid w:val="000D597E"/>
    <w:rsid w:val="000D5A80"/>
    <w:rsid w:val="000D5B6A"/>
    <w:rsid w:val="000D6207"/>
    <w:rsid w:val="000D6503"/>
    <w:rsid w:val="000D6FBB"/>
    <w:rsid w:val="000D70CC"/>
    <w:rsid w:val="000D7A1E"/>
    <w:rsid w:val="000D7F5B"/>
    <w:rsid w:val="000E00FD"/>
    <w:rsid w:val="000E1190"/>
    <w:rsid w:val="000E1919"/>
    <w:rsid w:val="000E299F"/>
    <w:rsid w:val="000E32E6"/>
    <w:rsid w:val="000E35AE"/>
    <w:rsid w:val="000E39E7"/>
    <w:rsid w:val="000E3D06"/>
    <w:rsid w:val="000E3D32"/>
    <w:rsid w:val="000E471F"/>
    <w:rsid w:val="000E4726"/>
    <w:rsid w:val="000E478A"/>
    <w:rsid w:val="000E47BA"/>
    <w:rsid w:val="000E47F3"/>
    <w:rsid w:val="000E4B94"/>
    <w:rsid w:val="000E4DF8"/>
    <w:rsid w:val="000E4E74"/>
    <w:rsid w:val="000E4E77"/>
    <w:rsid w:val="000E5C2B"/>
    <w:rsid w:val="000E5E39"/>
    <w:rsid w:val="000E66D7"/>
    <w:rsid w:val="000E6B6A"/>
    <w:rsid w:val="000E6BF6"/>
    <w:rsid w:val="000E7090"/>
    <w:rsid w:val="000E7116"/>
    <w:rsid w:val="000E7257"/>
    <w:rsid w:val="000E7764"/>
    <w:rsid w:val="000E7825"/>
    <w:rsid w:val="000E78B2"/>
    <w:rsid w:val="000F0078"/>
    <w:rsid w:val="000F0643"/>
    <w:rsid w:val="000F06CF"/>
    <w:rsid w:val="000F0AFF"/>
    <w:rsid w:val="000F0B4F"/>
    <w:rsid w:val="000F0E26"/>
    <w:rsid w:val="000F0FCB"/>
    <w:rsid w:val="000F158F"/>
    <w:rsid w:val="000F1B29"/>
    <w:rsid w:val="000F25B8"/>
    <w:rsid w:val="000F26B2"/>
    <w:rsid w:val="000F26CD"/>
    <w:rsid w:val="000F292C"/>
    <w:rsid w:val="000F3E62"/>
    <w:rsid w:val="000F41A4"/>
    <w:rsid w:val="000F4215"/>
    <w:rsid w:val="000F43F3"/>
    <w:rsid w:val="000F440A"/>
    <w:rsid w:val="000F4638"/>
    <w:rsid w:val="000F46F8"/>
    <w:rsid w:val="000F50BE"/>
    <w:rsid w:val="000F52FB"/>
    <w:rsid w:val="000F69DE"/>
    <w:rsid w:val="000F6CF3"/>
    <w:rsid w:val="000F6D17"/>
    <w:rsid w:val="000F7018"/>
    <w:rsid w:val="000F74F3"/>
    <w:rsid w:val="000F77E1"/>
    <w:rsid w:val="000F77F2"/>
    <w:rsid w:val="000F7ACF"/>
    <w:rsid w:val="000F7FD2"/>
    <w:rsid w:val="001002AF"/>
    <w:rsid w:val="0010034F"/>
    <w:rsid w:val="00100669"/>
    <w:rsid w:val="00100B0D"/>
    <w:rsid w:val="00100BD9"/>
    <w:rsid w:val="00100CE0"/>
    <w:rsid w:val="00100CEF"/>
    <w:rsid w:val="00100E25"/>
    <w:rsid w:val="00101571"/>
    <w:rsid w:val="001015B6"/>
    <w:rsid w:val="001015B9"/>
    <w:rsid w:val="0010170C"/>
    <w:rsid w:val="00101A6E"/>
    <w:rsid w:val="00101CFB"/>
    <w:rsid w:val="001021D0"/>
    <w:rsid w:val="001025B1"/>
    <w:rsid w:val="00102791"/>
    <w:rsid w:val="0010287D"/>
    <w:rsid w:val="00102A7B"/>
    <w:rsid w:val="00102C2C"/>
    <w:rsid w:val="00102EFD"/>
    <w:rsid w:val="001031A2"/>
    <w:rsid w:val="001032A2"/>
    <w:rsid w:val="00103467"/>
    <w:rsid w:val="001037C5"/>
    <w:rsid w:val="00104624"/>
    <w:rsid w:val="0010496D"/>
    <w:rsid w:val="00104E5A"/>
    <w:rsid w:val="001056EE"/>
    <w:rsid w:val="0010598E"/>
    <w:rsid w:val="001063DF"/>
    <w:rsid w:val="00106402"/>
    <w:rsid w:val="00106724"/>
    <w:rsid w:val="00106A5E"/>
    <w:rsid w:val="00106AD8"/>
    <w:rsid w:val="0010728A"/>
    <w:rsid w:val="00107615"/>
    <w:rsid w:val="001101E7"/>
    <w:rsid w:val="00110CC8"/>
    <w:rsid w:val="00110F2E"/>
    <w:rsid w:val="00111305"/>
    <w:rsid w:val="00111787"/>
    <w:rsid w:val="0011183C"/>
    <w:rsid w:val="00111BF0"/>
    <w:rsid w:val="00111EB5"/>
    <w:rsid w:val="001121EB"/>
    <w:rsid w:val="0011275F"/>
    <w:rsid w:val="0011290A"/>
    <w:rsid w:val="00112D1A"/>
    <w:rsid w:val="001137BD"/>
    <w:rsid w:val="00114114"/>
    <w:rsid w:val="00114184"/>
    <w:rsid w:val="0011449B"/>
    <w:rsid w:val="00114603"/>
    <w:rsid w:val="00114802"/>
    <w:rsid w:val="00114A31"/>
    <w:rsid w:val="00114DEB"/>
    <w:rsid w:val="00115533"/>
    <w:rsid w:val="00115643"/>
    <w:rsid w:val="00115AFB"/>
    <w:rsid w:val="00116105"/>
    <w:rsid w:val="001164E2"/>
    <w:rsid w:val="00116586"/>
    <w:rsid w:val="001166E1"/>
    <w:rsid w:val="0011672E"/>
    <w:rsid w:val="0011674E"/>
    <w:rsid w:val="00116E9E"/>
    <w:rsid w:val="001171D1"/>
    <w:rsid w:val="001173CF"/>
    <w:rsid w:val="00117572"/>
    <w:rsid w:val="00117904"/>
    <w:rsid w:val="00117DD9"/>
    <w:rsid w:val="0012016E"/>
    <w:rsid w:val="00120C08"/>
    <w:rsid w:val="0012141B"/>
    <w:rsid w:val="00121751"/>
    <w:rsid w:val="00121A55"/>
    <w:rsid w:val="00121C6D"/>
    <w:rsid w:val="00121E5C"/>
    <w:rsid w:val="00121FDB"/>
    <w:rsid w:val="001227EB"/>
    <w:rsid w:val="0012281C"/>
    <w:rsid w:val="00122B47"/>
    <w:rsid w:val="00123210"/>
    <w:rsid w:val="00123C16"/>
    <w:rsid w:val="00124226"/>
    <w:rsid w:val="001249C0"/>
    <w:rsid w:val="00124AD1"/>
    <w:rsid w:val="00125364"/>
    <w:rsid w:val="0012541F"/>
    <w:rsid w:val="001254AB"/>
    <w:rsid w:val="001254BE"/>
    <w:rsid w:val="001256FF"/>
    <w:rsid w:val="0012580D"/>
    <w:rsid w:val="001259A1"/>
    <w:rsid w:val="001260CF"/>
    <w:rsid w:val="001261D7"/>
    <w:rsid w:val="001265CA"/>
    <w:rsid w:val="001266DC"/>
    <w:rsid w:val="0012683C"/>
    <w:rsid w:val="00126FA1"/>
    <w:rsid w:val="001272D1"/>
    <w:rsid w:val="001275EF"/>
    <w:rsid w:val="001276B3"/>
    <w:rsid w:val="00127799"/>
    <w:rsid w:val="00130430"/>
    <w:rsid w:val="001308D2"/>
    <w:rsid w:val="00130DAB"/>
    <w:rsid w:val="00130F35"/>
    <w:rsid w:val="00131251"/>
    <w:rsid w:val="0013176B"/>
    <w:rsid w:val="00132AA3"/>
    <w:rsid w:val="00133316"/>
    <w:rsid w:val="00134709"/>
    <w:rsid w:val="00134775"/>
    <w:rsid w:val="00134D1B"/>
    <w:rsid w:val="00134DF1"/>
    <w:rsid w:val="00134ED2"/>
    <w:rsid w:val="00134EE2"/>
    <w:rsid w:val="00135516"/>
    <w:rsid w:val="00135B96"/>
    <w:rsid w:val="00135C3F"/>
    <w:rsid w:val="001368C4"/>
    <w:rsid w:val="00136A2C"/>
    <w:rsid w:val="00136DB4"/>
    <w:rsid w:val="001372C2"/>
    <w:rsid w:val="0013736C"/>
    <w:rsid w:val="0013740C"/>
    <w:rsid w:val="0013764C"/>
    <w:rsid w:val="00137B9C"/>
    <w:rsid w:val="00140FCE"/>
    <w:rsid w:val="0014166D"/>
    <w:rsid w:val="00141BB9"/>
    <w:rsid w:val="00141BDE"/>
    <w:rsid w:val="00141CFA"/>
    <w:rsid w:val="00142AB2"/>
    <w:rsid w:val="00142D9E"/>
    <w:rsid w:val="00143119"/>
    <w:rsid w:val="0014318C"/>
    <w:rsid w:val="0014318E"/>
    <w:rsid w:val="001432CC"/>
    <w:rsid w:val="00143BFC"/>
    <w:rsid w:val="00144385"/>
    <w:rsid w:val="0014452C"/>
    <w:rsid w:val="00144707"/>
    <w:rsid w:val="00144DC1"/>
    <w:rsid w:val="0014520E"/>
    <w:rsid w:val="00145360"/>
    <w:rsid w:val="001453E3"/>
    <w:rsid w:val="00145D1A"/>
    <w:rsid w:val="00145FB1"/>
    <w:rsid w:val="001463EB"/>
    <w:rsid w:val="001466FA"/>
    <w:rsid w:val="001469C2"/>
    <w:rsid w:val="001469EF"/>
    <w:rsid w:val="00146E46"/>
    <w:rsid w:val="00147042"/>
    <w:rsid w:val="00147618"/>
    <w:rsid w:val="001477E5"/>
    <w:rsid w:val="00150453"/>
    <w:rsid w:val="00150736"/>
    <w:rsid w:val="00150B4A"/>
    <w:rsid w:val="00151262"/>
    <w:rsid w:val="001513E4"/>
    <w:rsid w:val="00151800"/>
    <w:rsid w:val="0015262E"/>
    <w:rsid w:val="001538A9"/>
    <w:rsid w:val="00154222"/>
    <w:rsid w:val="0015454C"/>
    <w:rsid w:val="00154939"/>
    <w:rsid w:val="001554EA"/>
    <w:rsid w:val="00155DDC"/>
    <w:rsid w:val="00156054"/>
    <w:rsid w:val="0015648F"/>
    <w:rsid w:val="00156746"/>
    <w:rsid w:val="00156871"/>
    <w:rsid w:val="00156A1D"/>
    <w:rsid w:val="00156B17"/>
    <w:rsid w:val="00156C5D"/>
    <w:rsid w:val="00156F35"/>
    <w:rsid w:val="00157071"/>
    <w:rsid w:val="001608AF"/>
    <w:rsid w:val="00160AC9"/>
    <w:rsid w:val="00160C66"/>
    <w:rsid w:val="00160C9E"/>
    <w:rsid w:val="00160ED4"/>
    <w:rsid w:val="00160F4F"/>
    <w:rsid w:val="001613E9"/>
    <w:rsid w:val="00161DAA"/>
    <w:rsid w:val="001625CA"/>
    <w:rsid w:val="001627FB"/>
    <w:rsid w:val="00162B36"/>
    <w:rsid w:val="00162C50"/>
    <w:rsid w:val="00163F17"/>
    <w:rsid w:val="00164DD0"/>
    <w:rsid w:val="00165ADC"/>
    <w:rsid w:val="00165B11"/>
    <w:rsid w:val="00166473"/>
    <w:rsid w:val="001666F8"/>
    <w:rsid w:val="001672BE"/>
    <w:rsid w:val="001672CE"/>
    <w:rsid w:val="0016739C"/>
    <w:rsid w:val="001679A9"/>
    <w:rsid w:val="00167B26"/>
    <w:rsid w:val="00167F97"/>
    <w:rsid w:val="0017044C"/>
    <w:rsid w:val="00170A2F"/>
    <w:rsid w:val="00171090"/>
    <w:rsid w:val="001711B6"/>
    <w:rsid w:val="00171490"/>
    <w:rsid w:val="00171D44"/>
    <w:rsid w:val="00171E46"/>
    <w:rsid w:val="00171E67"/>
    <w:rsid w:val="00171E9D"/>
    <w:rsid w:val="0017217A"/>
    <w:rsid w:val="00172545"/>
    <w:rsid w:val="00172D51"/>
    <w:rsid w:val="001732AE"/>
    <w:rsid w:val="0017396E"/>
    <w:rsid w:val="00173C2E"/>
    <w:rsid w:val="001745F6"/>
    <w:rsid w:val="0017481B"/>
    <w:rsid w:val="00174AC1"/>
    <w:rsid w:val="00174D18"/>
    <w:rsid w:val="00174FF3"/>
    <w:rsid w:val="001765D1"/>
    <w:rsid w:val="0017678F"/>
    <w:rsid w:val="001769FE"/>
    <w:rsid w:val="00176A43"/>
    <w:rsid w:val="00176E99"/>
    <w:rsid w:val="00176F60"/>
    <w:rsid w:val="00177F75"/>
    <w:rsid w:val="00180068"/>
    <w:rsid w:val="00180AD0"/>
    <w:rsid w:val="0018114A"/>
    <w:rsid w:val="00181C04"/>
    <w:rsid w:val="00181CD3"/>
    <w:rsid w:val="0018208B"/>
    <w:rsid w:val="00182148"/>
    <w:rsid w:val="001821CF"/>
    <w:rsid w:val="001827F1"/>
    <w:rsid w:val="00182D4D"/>
    <w:rsid w:val="001836EB"/>
    <w:rsid w:val="001849AE"/>
    <w:rsid w:val="00184DC6"/>
    <w:rsid w:val="00185901"/>
    <w:rsid w:val="00185FC7"/>
    <w:rsid w:val="0018614F"/>
    <w:rsid w:val="0018620B"/>
    <w:rsid w:val="00186290"/>
    <w:rsid w:val="00186A1A"/>
    <w:rsid w:val="00187362"/>
    <w:rsid w:val="00187450"/>
    <w:rsid w:val="00187732"/>
    <w:rsid w:val="0018785C"/>
    <w:rsid w:val="0018789C"/>
    <w:rsid w:val="00187BDF"/>
    <w:rsid w:val="00187D3A"/>
    <w:rsid w:val="00187FAE"/>
    <w:rsid w:val="00190497"/>
    <w:rsid w:val="00190649"/>
    <w:rsid w:val="001910F1"/>
    <w:rsid w:val="0019138D"/>
    <w:rsid w:val="00192653"/>
    <w:rsid w:val="0019287C"/>
    <w:rsid w:val="00192F49"/>
    <w:rsid w:val="00193639"/>
    <w:rsid w:val="00193851"/>
    <w:rsid w:val="001938C1"/>
    <w:rsid w:val="00194541"/>
    <w:rsid w:val="001947C3"/>
    <w:rsid w:val="00194C47"/>
    <w:rsid w:val="001955CE"/>
    <w:rsid w:val="00195718"/>
    <w:rsid w:val="001959D4"/>
    <w:rsid w:val="0019623F"/>
    <w:rsid w:val="00196466"/>
    <w:rsid w:val="00196560"/>
    <w:rsid w:val="0019667E"/>
    <w:rsid w:val="001969C9"/>
    <w:rsid w:val="00196AF5"/>
    <w:rsid w:val="001975A1"/>
    <w:rsid w:val="0019787F"/>
    <w:rsid w:val="001A0106"/>
    <w:rsid w:val="001A0170"/>
    <w:rsid w:val="001A0680"/>
    <w:rsid w:val="001A07BB"/>
    <w:rsid w:val="001A0D2C"/>
    <w:rsid w:val="001A1842"/>
    <w:rsid w:val="001A1D84"/>
    <w:rsid w:val="001A1D94"/>
    <w:rsid w:val="001A2009"/>
    <w:rsid w:val="001A311C"/>
    <w:rsid w:val="001A3232"/>
    <w:rsid w:val="001A4708"/>
    <w:rsid w:val="001A50DB"/>
    <w:rsid w:val="001A518A"/>
    <w:rsid w:val="001A51CA"/>
    <w:rsid w:val="001A56CF"/>
    <w:rsid w:val="001A593B"/>
    <w:rsid w:val="001A5A39"/>
    <w:rsid w:val="001A5C4A"/>
    <w:rsid w:val="001A5DEB"/>
    <w:rsid w:val="001A5EB3"/>
    <w:rsid w:val="001A6042"/>
    <w:rsid w:val="001A693A"/>
    <w:rsid w:val="001A69A0"/>
    <w:rsid w:val="001A7259"/>
    <w:rsid w:val="001A7296"/>
    <w:rsid w:val="001A7469"/>
    <w:rsid w:val="001A75B6"/>
    <w:rsid w:val="001A7674"/>
    <w:rsid w:val="001A78A5"/>
    <w:rsid w:val="001A7F26"/>
    <w:rsid w:val="001B0201"/>
    <w:rsid w:val="001B035F"/>
    <w:rsid w:val="001B07F2"/>
    <w:rsid w:val="001B0D02"/>
    <w:rsid w:val="001B2388"/>
    <w:rsid w:val="001B2465"/>
    <w:rsid w:val="001B2580"/>
    <w:rsid w:val="001B3285"/>
    <w:rsid w:val="001B3E1C"/>
    <w:rsid w:val="001B4023"/>
    <w:rsid w:val="001B4345"/>
    <w:rsid w:val="001B5175"/>
    <w:rsid w:val="001B5193"/>
    <w:rsid w:val="001B59A7"/>
    <w:rsid w:val="001B5F7E"/>
    <w:rsid w:val="001B622D"/>
    <w:rsid w:val="001B66C6"/>
    <w:rsid w:val="001B67CC"/>
    <w:rsid w:val="001B77EC"/>
    <w:rsid w:val="001C0001"/>
    <w:rsid w:val="001C0C12"/>
    <w:rsid w:val="001C0C45"/>
    <w:rsid w:val="001C1041"/>
    <w:rsid w:val="001C12CC"/>
    <w:rsid w:val="001C1588"/>
    <w:rsid w:val="001C1D6E"/>
    <w:rsid w:val="001C2FC4"/>
    <w:rsid w:val="001C301A"/>
    <w:rsid w:val="001C3059"/>
    <w:rsid w:val="001C326E"/>
    <w:rsid w:val="001C350D"/>
    <w:rsid w:val="001C38C5"/>
    <w:rsid w:val="001C39A3"/>
    <w:rsid w:val="001C39C1"/>
    <w:rsid w:val="001C3DB8"/>
    <w:rsid w:val="001C3DEE"/>
    <w:rsid w:val="001C3EF3"/>
    <w:rsid w:val="001C42A4"/>
    <w:rsid w:val="001C4C34"/>
    <w:rsid w:val="001C4C41"/>
    <w:rsid w:val="001C54FD"/>
    <w:rsid w:val="001C5823"/>
    <w:rsid w:val="001C621D"/>
    <w:rsid w:val="001C673D"/>
    <w:rsid w:val="001C68F4"/>
    <w:rsid w:val="001C699B"/>
    <w:rsid w:val="001C69AC"/>
    <w:rsid w:val="001C6DA0"/>
    <w:rsid w:val="001C6DF3"/>
    <w:rsid w:val="001C6F0C"/>
    <w:rsid w:val="001C7301"/>
    <w:rsid w:val="001C7432"/>
    <w:rsid w:val="001C79E0"/>
    <w:rsid w:val="001D040A"/>
    <w:rsid w:val="001D0445"/>
    <w:rsid w:val="001D06D1"/>
    <w:rsid w:val="001D07B3"/>
    <w:rsid w:val="001D0E32"/>
    <w:rsid w:val="001D15B1"/>
    <w:rsid w:val="001D1806"/>
    <w:rsid w:val="001D273D"/>
    <w:rsid w:val="001D2E3D"/>
    <w:rsid w:val="001D33A5"/>
    <w:rsid w:val="001D37FB"/>
    <w:rsid w:val="001D3BC0"/>
    <w:rsid w:val="001D4B2A"/>
    <w:rsid w:val="001D58A3"/>
    <w:rsid w:val="001D5DDF"/>
    <w:rsid w:val="001D5FDD"/>
    <w:rsid w:val="001D6805"/>
    <w:rsid w:val="001D6B54"/>
    <w:rsid w:val="001D7492"/>
    <w:rsid w:val="001D7675"/>
    <w:rsid w:val="001D77D5"/>
    <w:rsid w:val="001D7827"/>
    <w:rsid w:val="001D7A65"/>
    <w:rsid w:val="001D7C48"/>
    <w:rsid w:val="001E0532"/>
    <w:rsid w:val="001E071B"/>
    <w:rsid w:val="001E12C7"/>
    <w:rsid w:val="001E14C7"/>
    <w:rsid w:val="001E15AD"/>
    <w:rsid w:val="001E1E03"/>
    <w:rsid w:val="001E1E90"/>
    <w:rsid w:val="001E1EDE"/>
    <w:rsid w:val="001E23BA"/>
    <w:rsid w:val="001E2E86"/>
    <w:rsid w:val="001E2EEE"/>
    <w:rsid w:val="001E335E"/>
    <w:rsid w:val="001E4112"/>
    <w:rsid w:val="001E42DA"/>
    <w:rsid w:val="001E46A9"/>
    <w:rsid w:val="001E5653"/>
    <w:rsid w:val="001E57A9"/>
    <w:rsid w:val="001E65D2"/>
    <w:rsid w:val="001E67CF"/>
    <w:rsid w:val="001E69E3"/>
    <w:rsid w:val="001E6DFF"/>
    <w:rsid w:val="001E6EFE"/>
    <w:rsid w:val="001E7241"/>
    <w:rsid w:val="001E7479"/>
    <w:rsid w:val="001E75B3"/>
    <w:rsid w:val="001E7B13"/>
    <w:rsid w:val="001E7BF5"/>
    <w:rsid w:val="001F057E"/>
    <w:rsid w:val="001F0863"/>
    <w:rsid w:val="001F086D"/>
    <w:rsid w:val="001F1053"/>
    <w:rsid w:val="001F125B"/>
    <w:rsid w:val="001F1856"/>
    <w:rsid w:val="001F1B32"/>
    <w:rsid w:val="001F1C13"/>
    <w:rsid w:val="001F1C21"/>
    <w:rsid w:val="001F1D39"/>
    <w:rsid w:val="001F28B8"/>
    <w:rsid w:val="001F2A79"/>
    <w:rsid w:val="001F3B1C"/>
    <w:rsid w:val="001F41D5"/>
    <w:rsid w:val="001F4393"/>
    <w:rsid w:val="001F45F6"/>
    <w:rsid w:val="001F4618"/>
    <w:rsid w:val="001F4AA8"/>
    <w:rsid w:val="001F4C81"/>
    <w:rsid w:val="001F50A9"/>
    <w:rsid w:val="001F5316"/>
    <w:rsid w:val="001F5B78"/>
    <w:rsid w:val="001F5E97"/>
    <w:rsid w:val="001F5F00"/>
    <w:rsid w:val="001F65DD"/>
    <w:rsid w:val="001F70C8"/>
    <w:rsid w:val="001F71F3"/>
    <w:rsid w:val="001F7D9E"/>
    <w:rsid w:val="001F7DF3"/>
    <w:rsid w:val="0020066C"/>
    <w:rsid w:val="00200AFB"/>
    <w:rsid w:val="00201455"/>
    <w:rsid w:val="002015E8"/>
    <w:rsid w:val="00201697"/>
    <w:rsid w:val="0020195F"/>
    <w:rsid w:val="00202004"/>
    <w:rsid w:val="0020241D"/>
    <w:rsid w:val="00202659"/>
    <w:rsid w:val="002028C8"/>
    <w:rsid w:val="00202C76"/>
    <w:rsid w:val="00202EC0"/>
    <w:rsid w:val="0020323F"/>
    <w:rsid w:val="0020340E"/>
    <w:rsid w:val="00203FA1"/>
    <w:rsid w:val="002041F7"/>
    <w:rsid w:val="0020420E"/>
    <w:rsid w:val="0020445C"/>
    <w:rsid w:val="00204600"/>
    <w:rsid w:val="00204AF5"/>
    <w:rsid w:val="002059B2"/>
    <w:rsid w:val="0020612B"/>
    <w:rsid w:val="00206265"/>
    <w:rsid w:val="0020634B"/>
    <w:rsid w:val="00206AAB"/>
    <w:rsid w:val="00206D10"/>
    <w:rsid w:val="00207035"/>
    <w:rsid w:val="00207205"/>
    <w:rsid w:val="00207216"/>
    <w:rsid w:val="00207581"/>
    <w:rsid w:val="002076A0"/>
    <w:rsid w:val="00207759"/>
    <w:rsid w:val="00207829"/>
    <w:rsid w:val="00207F13"/>
    <w:rsid w:val="00210A8A"/>
    <w:rsid w:val="00210ABF"/>
    <w:rsid w:val="0021124A"/>
    <w:rsid w:val="002115B7"/>
    <w:rsid w:val="00211725"/>
    <w:rsid w:val="00211AE7"/>
    <w:rsid w:val="00211D74"/>
    <w:rsid w:val="00212329"/>
    <w:rsid w:val="002123AF"/>
    <w:rsid w:val="002124B2"/>
    <w:rsid w:val="002125D1"/>
    <w:rsid w:val="00212D31"/>
    <w:rsid w:val="00212D5C"/>
    <w:rsid w:val="002130E3"/>
    <w:rsid w:val="002138B5"/>
    <w:rsid w:val="00213C4C"/>
    <w:rsid w:val="00213C7E"/>
    <w:rsid w:val="00213DCC"/>
    <w:rsid w:val="00213DF4"/>
    <w:rsid w:val="00214A6C"/>
    <w:rsid w:val="0021524E"/>
    <w:rsid w:val="0021539A"/>
    <w:rsid w:val="00215491"/>
    <w:rsid w:val="0021598F"/>
    <w:rsid w:val="00215F99"/>
    <w:rsid w:val="002163DC"/>
    <w:rsid w:val="00216752"/>
    <w:rsid w:val="00216DAB"/>
    <w:rsid w:val="00216E52"/>
    <w:rsid w:val="00217038"/>
    <w:rsid w:val="002174CA"/>
    <w:rsid w:val="00217505"/>
    <w:rsid w:val="002176C4"/>
    <w:rsid w:val="00217AC6"/>
    <w:rsid w:val="00217D23"/>
    <w:rsid w:val="00220322"/>
    <w:rsid w:val="0022086B"/>
    <w:rsid w:val="00221591"/>
    <w:rsid w:val="002218A5"/>
    <w:rsid w:val="002219D5"/>
    <w:rsid w:val="00221BFE"/>
    <w:rsid w:val="00221C17"/>
    <w:rsid w:val="00221C37"/>
    <w:rsid w:val="002222F9"/>
    <w:rsid w:val="0022234B"/>
    <w:rsid w:val="00222AE0"/>
    <w:rsid w:val="00223933"/>
    <w:rsid w:val="00223BCA"/>
    <w:rsid w:val="00223E03"/>
    <w:rsid w:val="0022407C"/>
    <w:rsid w:val="002255CE"/>
    <w:rsid w:val="002256E5"/>
    <w:rsid w:val="00225C51"/>
    <w:rsid w:val="002266E0"/>
    <w:rsid w:val="00227716"/>
    <w:rsid w:val="00227BBA"/>
    <w:rsid w:val="00227C4C"/>
    <w:rsid w:val="00230526"/>
    <w:rsid w:val="002305DB"/>
    <w:rsid w:val="002307A1"/>
    <w:rsid w:val="00230CA8"/>
    <w:rsid w:val="00230D0C"/>
    <w:rsid w:val="00230E41"/>
    <w:rsid w:val="002312D4"/>
    <w:rsid w:val="002314A0"/>
    <w:rsid w:val="0023167C"/>
    <w:rsid w:val="0023226C"/>
    <w:rsid w:val="002323AF"/>
    <w:rsid w:val="002323DE"/>
    <w:rsid w:val="00232BEA"/>
    <w:rsid w:val="00232DEF"/>
    <w:rsid w:val="00233E2B"/>
    <w:rsid w:val="0023457B"/>
    <w:rsid w:val="00234A90"/>
    <w:rsid w:val="00234C09"/>
    <w:rsid w:val="00235982"/>
    <w:rsid w:val="00235B08"/>
    <w:rsid w:val="0023620A"/>
    <w:rsid w:val="00236893"/>
    <w:rsid w:val="00236A11"/>
    <w:rsid w:val="00236D74"/>
    <w:rsid w:val="00236E65"/>
    <w:rsid w:val="00236FEA"/>
    <w:rsid w:val="002376D3"/>
    <w:rsid w:val="00237DC5"/>
    <w:rsid w:val="00240093"/>
    <w:rsid w:val="00240699"/>
    <w:rsid w:val="00240BFD"/>
    <w:rsid w:val="002411A3"/>
    <w:rsid w:val="00241E14"/>
    <w:rsid w:val="00241F18"/>
    <w:rsid w:val="00242283"/>
    <w:rsid w:val="002424BC"/>
    <w:rsid w:val="002428E3"/>
    <w:rsid w:val="00242BC9"/>
    <w:rsid w:val="00242FA6"/>
    <w:rsid w:val="0024315B"/>
    <w:rsid w:val="002431DD"/>
    <w:rsid w:val="002435E1"/>
    <w:rsid w:val="002437F9"/>
    <w:rsid w:val="002444D2"/>
    <w:rsid w:val="00244AA4"/>
    <w:rsid w:val="00244CEA"/>
    <w:rsid w:val="002458F9"/>
    <w:rsid w:val="00246575"/>
    <w:rsid w:val="002467DF"/>
    <w:rsid w:val="0024689D"/>
    <w:rsid w:val="00246C90"/>
    <w:rsid w:val="00247054"/>
    <w:rsid w:val="002470AB"/>
    <w:rsid w:val="00247943"/>
    <w:rsid w:val="00247C02"/>
    <w:rsid w:val="00247D3A"/>
    <w:rsid w:val="00247FBE"/>
    <w:rsid w:val="00250104"/>
    <w:rsid w:val="00250379"/>
    <w:rsid w:val="00250B71"/>
    <w:rsid w:val="00251140"/>
    <w:rsid w:val="0025129F"/>
    <w:rsid w:val="002512B0"/>
    <w:rsid w:val="002517D1"/>
    <w:rsid w:val="00251825"/>
    <w:rsid w:val="002519E7"/>
    <w:rsid w:val="00251A5A"/>
    <w:rsid w:val="00251BDA"/>
    <w:rsid w:val="0025224E"/>
    <w:rsid w:val="0025242B"/>
    <w:rsid w:val="00252435"/>
    <w:rsid w:val="0025253B"/>
    <w:rsid w:val="0025289B"/>
    <w:rsid w:val="00252A6C"/>
    <w:rsid w:val="00252E05"/>
    <w:rsid w:val="00252ED5"/>
    <w:rsid w:val="00252F1B"/>
    <w:rsid w:val="00253854"/>
    <w:rsid w:val="00253DA0"/>
    <w:rsid w:val="00253ED3"/>
    <w:rsid w:val="0025469D"/>
    <w:rsid w:val="002546E9"/>
    <w:rsid w:val="0025472D"/>
    <w:rsid w:val="00254856"/>
    <w:rsid w:val="00254A40"/>
    <w:rsid w:val="0025531A"/>
    <w:rsid w:val="002553EE"/>
    <w:rsid w:val="00255795"/>
    <w:rsid w:val="00256414"/>
    <w:rsid w:val="00256FB2"/>
    <w:rsid w:val="0025726E"/>
    <w:rsid w:val="002578CE"/>
    <w:rsid w:val="002579D2"/>
    <w:rsid w:val="00257E7D"/>
    <w:rsid w:val="002600D7"/>
    <w:rsid w:val="002602EC"/>
    <w:rsid w:val="00260450"/>
    <w:rsid w:val="0026117D"/>
    <w:rsid w:val="00261604"/>
    <w:rsid w:val="00261865"/>
    <w:rsid w:val="00261987"/>
    <w:rsid w:val="00261AE9"/>
    <w:rsid w:val="002622EF"/>
    <w:rsid w:val="002624B1"/>
    <w:rsid w:val="00262508"/>
    <w:rsid w:val="00262BBC"/>
    <w:rsid w:val="00262EFE"/>
    <w:rsid w:val="00263116"/>
    <w:rsid w:val="0026315E"/>
    <w:rsid w:val="002635E6"/>
    <w:rsid w:val="002635EA"/>
    <w:rsid w:val="00263A58"/>
    <w:rsid w:val="00264177"/>
    <w:rsid w:val="002648CC"/>
    <w:rsid w:val="00264BFF"/>
    <w:rsid w:val="002652CF"/>
    <w:rsid w:val="002653E4"/>
    <w:rsid w:val="002657A2"/>
    <w:rsid w:val="00265E10"/>
    <w:rsid w:val="00265EFA"/>
    <w:rsid w:val="00265F0B"/>
    <w:rsid w:val="002660F7"/>
    <w:rsid w:val="00266216"/>
    <w:rsid w:val="002667EE"/>
    <w:rsid w:val="0026684F"/>
    <w:rsid w:val="002670A3"/>
    <w:rsid w:val="00267384"/>
    <w:rsid w:val="0026742C"/>
    <w:rsid w:val="0026744E"/>
    <w:rsid w:val="00267947"/>
    <w:rsid w:val="00267C57"/>
    <w:rsid w:val="00267EDC"/>
    <w:rsid w:val="002701B9"/>
    <w:rsid w:val="002702CD"/>
    <w:rsid w:val="0027036E"/>
    <w:rsid w:val="0027065B"/>
    <w:rsid w:val="0027073F"/>
    <w:rsid w:val="00270A73"/>
    <w:rsid w:val="00270B34"/>
    <w:rsid w:val="00270BB5"/>
    <w:rsid w:val="00270D8C"/>
    <w:rsid w:val="002710AE"/>
    <w:rsid w:val="00271BE7"/>
    <w:rsid w:val="00272118"/>
    <w:rsid w:val="002721C6"/>
    <w:rsid w:val="002726E3"/>
    <w:rsid w:val="00272714"/>
    <w:rsid w:val="002737D4"/>
    <w:rsid w:val="0027388C"/>
    <w:rsid w:val="00273EC8"/>
    <w:rsid w:val="00274012"/>
    <w:rsid w:val="0027408F"/>
    <w:rsid w:val="00274179"/>
    <w:rsid w:val="00274811"/>
    <w:rsid w:val="00274886"/>
    <w:rsid w:val="002752C7"/>
    <w:rsid w:val="00275A95"/>
    <w:rsid w:val="002762F8"/>
    <w:rsid w:val="002764CA"/>
    <w:rsid w:val="002764D7"/>
    <w:rsid w:val="0027677A"/>
    <w:rsid w:val="00276CEF"/>
    <w:rsid w:val="00276E1E"/>
    <w:rsid w:val="00277117"/>
    <w:rsid w:val="00277C27"/>
    <w:rsid w:val="00277C48"/>
    <w:rsid w:val="00277FEA"/>
    <w:rsid w:val="0028005C"/>
    <w:rsid w:val="002803C5"/>
    <w:rsid w:val="00281700"/>
    <w:rsid w:val="00281CFB"/>
    <w:rsid w:val="00281D36"/>
    <w:rsid w:val="00281DDD"/>
    <w:rsid w:val="00282136"/>
    <w:rsid w:val="00282742"/>
    <w:rsid w:val="00282817"/>
    <w:rsid w:val="00283DD2"/>
    <w:rsid w:val="002846E3"/>
    <w:rsid w:val="00285F16"/>
    <w:rsid w:val="002860B6"/>
    <w:rsid w:val="00286911"/>
    <w:rsid w:val="002869AB"/>
    <w:rsid w:val="00286A15"/>
    <w:rsid w:val="00286B5C"/>
    <w:rsid w:val="00286F66"/>
    <w:rsid w:val="00287190"/>
    <w:rsid w:val="002873C3"/>
    <w:rsid w:val="0028756C"/>
    <w:rsid w:val="002900B0"/>
    <w:rsid w:val="002900C0"/>
    <w:rsid w:val="0029039B"/>
    <w:rsid w:val="0029059D"/>
    <w:rsid w:val="00290675"/>
    <w:rsid w:val="002909F5"/>
    <w:rsid w:val="00290B6E"/>
    <w:rsid w:val="00291156"/>
    <w:rsid w:val="0029120A"/>
    <w:rsid w:val="0029150E"/>
    <w:rsid w:val="00291518"/>
    <w:rsid w:val="00291545"/>
    <w:rsid w:val="00291908"/>
    <w:rsid w:val="00291AE8"/>
    <w:rsid w:val="00291D7F"/>
    <w:rsid w:val="002922B8"/>
    <w:rsid w:val="00292336"/>
    <w:rsid w:val="002923C8"/>
    <w:rsid w:val="00292755"/>
    <w:rsid w:val="00292F4F"/>
    <w:rsid w:val="002945F0"/>
    <w:rsid w:val="00294D7A"/>
    <w:rsid w:val="00294EA9"/>
    <w:rsid w:val="00295092"/>
    <w:rsid w:val="00295AEF"/>
    <w:rsid w:val="00295FE2"/>
    <w:rsid w:val="00296A47"/>
    <w:rsid w:val="00297D9F"/>
    <w:rsid w:val="00297F07"/>
    <w:rsid w:val="00297FD7"/>
    <w:rsid w:val="002A04BA"/>
    <w:rsid w:val="002A0553"/>
    <w:rsid w:val="002A0DBE"/>
    <w:rsid w:val="002A0FEF"/>
    <w:rsid w:val="002A1E3B"/>
    <w:rsid w:val="002A225B"/>
    <w:rsid w:val="002A22BB"/>
    <w:rsid w:val="002A33EC"/>
    <w:rsid w:val="002A36F5"/>
    <w:rsid w:val="002A3ADE"/>
    <w:rsid w:val="002A42B6"/>
    <w:rsid w:val="002A4BF4"/>
    <w:rsid w:val="002A5316"/>
    <w:rsid w:val="002A62CA"/>
    <w:rsid w:val="002A69D6"/>
    <w:rsid w:val="002A6F40"/>
    <w:rsid w:val="002A70F3"/>
    <w:rsid w:val="002A7150"/>
    <w:rsid w:val="002A7328"/>
    <w:rsid w:val="002B06BF"/>
    <w:rsid w:val="002B0837"/>
    <w:rsid w:val="002B0898"/>
    <w:rsid w:val="002B08FD"/>
    <w:rsid w:val="002B0A44"/>
    <w:rsid w:val="002B0A84"/>
    <w:rsid w:val="002B100B"/>
    <w:rsid w:val="002B11C0"/>
    <w:rsid w:val="002B13D7"/>
    <w:rsid w:val="002B1784"/>
    <w:rsid w:val="002B1B9D"/>
    <w:rsid w:val="002B25E6"/>
    <w:rsid w:val="002B28E4"/>
    <w:rsid w:val="002B2AEB"/>
    <w:rsid w:val="002B2BB2"/>
    <w:rsid w:val="002B2E32"/>
    <w:rsid w:val="002B3482"/>
    <w:rsid w:val="002B3F02"/>
    <w:rsid w:val="002B4845"/>
    <w:rsid w:val="002B4C00"/>
    <w:rsid w:val="002B5236"/>
    <w:rsid w:val="002B666E"/>
    <w:rsid w:val="002B6730"/>
    <w:rsid w:val="002B673C"/>
    <w:rsid w:val="002B68B7"/>
    <w:rsid w:val="002B6D62"/>
    <w:rsid w:val="002B74AF"/>
    <w:rsid w:val="002B758B"/>
    <w:rsid w:val="002B7FEB"/>
    <w:rsid w:val="002C0716"/>
    <w:rsid w:val="002C1051"/>
    <w:rsid w:val="002C1823"/>
    <w:rsid w:val="002C1896"/>
    <w:rsid w:val="002C1D98"/>
    <w:rsid w:val="002C21D0"/>
    <w:rsid w:val="002C2298"/>
    <w:rsid w:val="002C2545"/>
    <w:rsid w:val="002C2985"/>
    <w:rsid w:val="002C2DA1"/>
    <w:rsid w:val="002C2F32"/>
    <w:rsid w:val="002C30D8"/>
    <w:rsid w:val="002C342F"/>
    <w:rsid w:val="002C3512"/>
    <w:rsid w:val="002C36EB"/>
    <w:rsid w:val="002C379B"/>
    <w:rsid w:val="002C3E2D"/>
    <w:rsid w:val="002C4392"/>
    <w:rsid w:val="002C467C"/>
    <w:rsid w:val="002C485A"/>
    <w:rsid w:val="002C4ACA"/>
    <w:rsid w:val="002C5541"/>
    <w:rsid w:val="002C5F33"/>
    <w:rsid w:val="002C5F95"/>
    <w:rsid w:val="002C62F3"/>
    <w:rsid w:val="002C74F9"/>
    <w:rsid w:val="002C7918"/>
    <w:rsid w:val="002C7AF6"/>
    <w:rsid w:val="002D0C07"/>
    <w:rsid w:val="002D0C1A"/>
    <w:rsid w:val="002D0D70"/>
    <w:rsid w:val="002D1081"/>
    <w:rsid w:val="002D11A6"/>
    <w:rsid w:val="002D16FB"/>
    <w:rsid w:val="002D1D4B"/>
    <w:rsid w:val="002D1F87"/>
    <w:rsid w:val="002D23C0"/>
    <w:rsid w:val="002D2402"/>
    <w:rsid w:val="002D266F"/>
    <w:rsid w:val="002D2BFD"/>
    <w:rsid w:val="002D2E5F"/>
    <w:rsid w:val="002D44EF"/>
    <w:rsid w:val="002D489C"/>
    <w:rsid w:val="002D4A02"/>
    <w:rsid w:val="002D4C44"/>
    <w:rsid w:val="002D5B60"/>
    <w:rsid w:val="002D5EF4"/>
    <w:rsid w:val="002D60DE"/>
    <w:rsid w:val="002D6282"/>
    <w:rsid w:val="002D665D"/>
    <w:rsid w:val="002D6B96"/>
    <w:rsid w:val="002D6C40"/>
    <w:rsid w:val="002D6C63"/>
    <w:rsid w:val="002D7893"/>
    <w:rsid w:val="002D7DCC"/>
    <w:rsid w:val="002E0180"/>
    <w:rsid w:val="002E0778"/>
    <w:rsid w:val="002E123D"/>
    <w:rsid w:val="002E1318"/>
    <w:rsid w:val="002E1C6D"/>
    <w:rsid w:val="002E1EFA"/>
    <w:rsid w:val="002E1F0E"/>
    <w:rsid w:val="002E3122"/>
    <w:rsid w:val="002E31AA"/>
    <w:rsid w:val="002E42F8"/>
    <w:rsid w:val="002E49E9"/>
    <w:rsid w:val="002E4BF8"/>
    <w:rsid w:val="002E4FF1"/>
    <w:rsid w:val="002E53F9"/>
    <w:rsid w:val="002E5742"/>
    <w:rsid w:val="002E5A2A"/>
    <w:rsid w:val="002E5F5B"/>
    <w:rsid w:val="002E6143"/>
    <w:rsid w:val="002E61C8"/>
    <w:rsid w:val="002E640D"/>
    <w:rsid w:val="002E679B"/>
    <w:rsid w:val="002E67A3"/>
    <w:rsid w:val="002E6EDF"/>
    <w:rsid w:val="002E764A"/>
    <w:rsid w:val="002E7C76"/>
    <w:rsid w:val="002E7CA7"/>
    <w:rsid w:val="002F0050"/>
    <w:rsid w:val="002F04A0"/>
    <w:rsid w:val="002F0F2F"/>
    <w:rsid w:val="002F1677"/>
    <w:rsid w:val="002F1ACD"/>
    <w:rsid w:val="002F2270"/>
    <w:rsid w:val="002F3117"/>
    <w:rsid w:val="002F3C4B"/>
    <w:rsid w:val="002F4499"/>
    <w:rsid w:val="002F456B"/>
    <w:rsid w:val="002F48B3"/>
    <w:rsid w:val="002F52A6"/>
    <w:rsid w:val="002F53BB"/>
    <w:rsid w:val="002F5613"/>
    <w:rsid w:val="002F62A5"/>
    <w:rsid w:val="002F62E5"/>
    <w:rsid w:val="002F63CE"/>
    <w:rsid w:val="002F689E"/>
    <w:rsid w:val="002F7021"/>
    <w:rsid w:val="002F7589"/>
    <w:rsid w:val="002F75C4"/>
    <w:rsid w:val="002F7853"/>
    <w:rsid w:val="0030000B"/>
    <w:rsid w:val="003003D7"/>
    <w:rsid w:val="00300BB1"/>
    <w:rsid w:val="00300BFC"/>
    <w:rsid w:val="003014A5"/>
    <w:rsid w:val="00301A81"/>
    <w:rsid w:val="00302794"/>
    <w:rsid w:val="00302A4E"/>
    <w:rsid w:val="00303117"/>
    <w:rsid w:val="003032EC"/>
    <w:rsid w:val="0030352A"/>
    <w:rsid w:val="00303D81"/>
    <w:rsid w:val="00303FCB"/>
    <w:rsid w:val="003047D7"/>
    <w:rsid w:val="00304957"/>
    <w:rsid w:val="00304A1A"/>
    <w:rsid w:val="00304DAF"/>
    <w:rsid w:val="003051C6"/>
    <w:rsid w:val="0030533A"/>
    <w:rsid w:val="0030539A"/>
    <w:rsid w:val="003053BB"/>
    <w:rsid w:val="00305B6F"/>
    <w:rsid w:val="0030655F"/>
    <w:rsid w:val="0030665B"/>
    <w:rsid w:val="003066F8"/>
    <w:rsid w:val="00306FC8"/>
    <w:rsid w:val="003073CB"/>
    <w:rsid w:val="0030741D"/>
    <w:rsid w:val="00307C8B"/>
    <w:rsid w:val="0031086B"/>
    <w:rsid w:val="003109E5"/>
    <w:rsid w:val="00310C61"/>
    <w:rsid w:val="00310FD6"/>
    <w:rsid w:val="0031177D"/>
    <w:rsid w:val="00311A95"/>
    <w:rsid w:val="00311CAB"/>
    <w:rsid w:val="00311D3B"/>
    <w:rsid w:val="0031244D"/>
    <w:rsid w:val="00313874"/>
    <w:rsid w:val="00313CD0"/>
    <w:rsid w:val="00313F8A"/>
    <w:rsid w:val="0031430E"/>
    <w:rsid w:val="00314DEC"/>
    <w:rsid w:val="003155CB"/>
    <w:rsid w:val="003158C4"/>
    <w:rsid w:val="00315A86"/>
    <w:rsid w:val="00315CF0"/>
    <w:rsid w:val="00315E4C"/>
    <w:rsid w:val="00315F3D"/>
    <w:rsid w:val="003165A5"/>
    <w:rsid w:val="00316A43"/>
    <w:rsid w:val="00316DF8"/>
    <w:rsid w:val="003172C9"/>
    <w:rsid w:val="00317C7C"/>
    <w:rsid w:val="00317CD9"/>
    <w:rsid w:val="00317FCF"/>
    <w:rsid w:val="00320381"/>
    <w:rsid w:val="003203EC"/>
    <w:rsid w:val="003212B0"/>
    <w:rsid w:val="00321A1C"/>
    <w:rsid w:val="003221EC"/>
    <w:rsid w:val="00322530"/>
    <w:rsid w:val="00323713"/>
    <w:rsid w:val="00323868"/>
    <w:rsid w:val="00324409"/>
    <w:rsid w:val="003245B6"/>
    <w:rsid w:val="0032508D"/>
    <w:rsid w:val="00325A4C"/>
    <w:rsid w:val="00325EB6"/>
    <w:rsid w:val="0032611E"/>
    <w:rsid w:val="003264B0"/>
    <w:rsid w:val="0032674D"/>
    <w:rsid w:val="003270F4"/>
    <w:rsid w:val="0032754C"/>
    <w:rsid w:val="00327B95"/>
    <w:rsid w:val="00327C15"/>
    <w:rsid w:val="00327DC8"/>
    <w:rsid w:val="0033009D"/>
    <w:rsid w:val="003306F5"/>
    <w:rsid w:val="00330929"/>
    <w:rsid w:val="003309A9"/>
    <w:rsid w:val="00330A21"/>
    <w:rsid w:val="00330F18"/>
    <w:rsid w:val="0033126B"/>
    <w:rsid w:val="0033187B"/>
    <w:rsid w:val="003319B6"/>
    <w:rsid w:val="00331A50"/>
    <w:rsid w:val="003324DD"/>
    <w:rsid w:val="00332855"/>
    <w:rsid w:val="00332897"/>
    <w:rsid w:val="003328C0"/>
    <w:rsid w:val="00332DAA"/>
    <w:rsid w:val="00333084"/>
    <w:rsid w:val="003333F7"/>
    <w:rsid w:val="003336CA"/>
    <w:rsid w:val="00333AD9"/>
    <w:rsid w:val="00334262"/>
    <w:rsid w:val="00334CF0"/>
    <w:rsid w:val="00335079"/>
    <w:rsid w:val="00335B0F"/>
    <w:rsid w:val="003367E2"/>
    <w:rsid w:val="00336882"/>
    <w:rsid w:val="00336ED8"/>
    <w:rsid w:val="00337751"/>
    <w:rsid w:val="003401A1"/>
    <w:rsid w:val="003404C6"/>
    <w:rsid w:val="00340C42"/>
    <w:rsid w:val="00340FC7"/>
    <w:rsid w:val="003410CD"/>
    <w:rsid w:val="00341403"/>
    <w:rsid w:val="003415C6"/>
    <w:rsid w:val="00341B82"/>
    <w:rsid w:val="00341C7C"/>
    <w:rsid w:val="003424A7"/>
    <w:rsid w:val="00342C12"/>
    <w:rsid w:val="00342F59"/>
    <w:rsid w:val="00343B98"/>
    <w:rsid w:val="0034400C"/>
    <w:rsid w:val="00344267"/>
    <w:rsid w:val="00344332"/>
    <w:rsid w:val="00344835"/>
    <w:rsid w:val="003450C2"/>
    <w:rsid w:val="00345360"/>
    <w:rsid w:val="0034545F"/>
    <w:rsid w:val="003455C8"/>
    <w:rsid w:val="003457B3"/>
    <w:rsid w:val="00345A13"/>
    <w:rsid w:val="00345A16"/>
    <w:rsid w:val="00345B42"/>
    <w:rsid w:val="00345BE4"/>
    <w:rsid w:val="00345E91"/>
    <w:rsid w:val="00346419"/>
    <w:rsid w:val="00346B15"/>
    <w:rsid w:val="00346E5C"/>
    <w:rsid w:val="0034730D"/>
    <w:rsid w:val="0034762F"/>
    <w:rsid w:val="00347642"/>
    <w:rsid w:val="00347643"/>
    <w:rsid w:val="0034776E"/>
    <w:rsid w:val="0034786C"/>
    <w:rsid w:val="00350070"/>
    <w:rsid w:val="00350354"/>
    <w:rsid w:val="003507CB"/>
    <w:rsid w:val="003512BA"/>
    <w:rsid w:val="0035174A"/>
    <w:rsid w:val="00351B21"/>
    <w:rsid w:val="00351C9F"/>
    <w:rsid w:val="00351D41"/>
    <w:rsid w:val="0035206A"/>
    <w:rsid w:val="0035263D"/>
    <w:rsid w:val="003530C1"/>
    <w:rsid w:val="00353344"/>
    <w:rsid w:val="00353774"/>
    <w:rsid w:val="00353ACE"/>
    <w:rsid w:val="00354121"/>
    <w:rsid w:val="00354380"/>
    <w:rsid w:val="003545C6"/>
    <w:rsid w:val="003549B6"/>
    <w:rsid w:val="00354E55"/>
    <w:rsid w:val="003554CF"/>
    <w:rsid w:val="00355A13"/>
    <w:rsid w:val="00355AF1"/>
    <w:rsid w:val="00355F13"/>
    <w:rsid w:val="003560F2"/>
    <w:rsid w:val="00356313"/>
    <w:rsid w:val="003565F3"/>
    <w:rsid w:val="00356632"/>
    <w:rsid w:val="00356DE1"/>
    <w:rsid w:val="003573DE"/>
    <w:rsid w:val="00357904"/>
    <w:rsid w:val="00357BBF"/>
    <w:rsid w:val="0036009A"/>
    <w:rsid w:val="003600F6"/>
    <w:rsid w:val="00360175"/>
    <w:rsid w:val="00360233"/>
    <w:rsid w:val="00360739"/>
    <w:rsid w:val="00360935"/>
    <w:rsid w:val="00360942"/>
    <w:rsid w:val="00360A33"/>
    <w:rsid w:val="00360DFB"/>
    <w:rsid w:val="003618C6"/>
    <w:rsid w:val="00361E41"/>
    <w:rsid w:val="00362F12"/>
    <w:rsid w:val="00362FC5"/>
    <w:rsid w:val="00363C03"/>
    <w:rsid w:val="00363DF8"/>
    <w:rsid w:val="00363EB9"/>
    <w:rsid w:val="0036458E"/>
    <w:rsid w:val="0036485E"/>
    <w:rsid w:val="00364A2F"/>
    <w:rsid w:val="00364E2E"/>
    <w:rsid w:val="00365075"/>
    <w:rsid w:val="003657AD"/>
    <w:rsid w:val="00365CC4"/>
    <w:rsid w:val="00365D5D"/>
    <w:rsid w:val="0036610A"/>
    <w:rsid w:val="003664B9"/>
    <w:rsid w:val="003665A7"/>
    <w:rsid w:val="00366D93"/>
    <w:rsid w:val="00366F5B"/>
    <w:rsid w:val="003671E9"/>
    <w:rsid w:val="00367D07"/>
    <w:rsid w:val="00367E97"/>
    <w:rsid w:val="0037021C"/>
    <w:rsid w:val="003703ED"/>
    <w:rsid w:val="00370836"/>
    <w:rsid w:val="00370C38"/>
    <w:rsid w:val="00371617"/>
    <w:rsid w:val="0037166D"/>
    <w:rsid w:val="0037175E"/>
    <w:rsid w:val="00371A7B"/>
    <w:rsid w:val="00371E00"/>
    <w:rsid w:val="003723D2"/>
    <w:rsid w:val="003723EC"/>
    <w:rsid w:val="003726E9"/>
    <w:rsid w:val="0037299F"/>
    <w:rsid w:val="00372EFB"/>
    <w:rsid w:val="003730DA"/>
    <w:rsid w:val="003733CD"/>
    <w:rsid w:val="003733FC"/>
    <w:rsid w:val="003734C6"/>
    <w:rsid w:val="00373BD7"/>
    <w:rsid w:val="00373DC9"/>
    <w:rsid w:val="0037406B"/>
    <w:rsid w:val="003740CC"/>
    <w:rsid w:val="0037466A"/>
    <w:rsid w:val="00374753"/>
    <w:rsid w:val="003748F7"/>
    <w:rsid w:val="00374DB7"/>
    <w:rsid w:val="00374DCB"/>
    <w:rsid w:val="00375324"/>
    <w:rsid w:val="00375333"/>
    <w:rsid w:val="00375659"/>
    <w:rsid w:val="00375E95"/>
    <w:rsid w:val="003760EA"/>
    <w:rsid w:val="00376ADB"/>
    <w:rsid w:val="00376D07"/>
    <w:rsid w:val="00377986"/>
    <w:rsid w:val="003779DB"/>
    <w:rsid w:val="00377DD7"/>
    <w:rsid w:val="0038006B"/>
    <w:rsid w:val="003802FB"/>
    <w:rsid w:val="003803D0"/>
    <w:rsid w:val="00380B25"/>
    <w:rsid w:val="00380E8D"/>
    <w:rsid w:val="00381901"/>
    <w:rsid w:val="003821A3"/>
    <w:rsid w:val="00382B9A"/>
    <w:rsid w:val="00382DCC"/>
    <w:rsid w:val="00383701"/>
    <w:rsid w:val="00383E57"/>
    <w:rsid w:val="00383F6D"/>
    <w:rsid w:val="00384282"/>
    <w:rsid w:val="00384C41"/>
    <w:rsid w:val="00385D34"/>
    <w:rsid w:val="00386020"/>
    <w:rsid w:val="00386193"/>
    <w:rsid w:val="0038630C"/>
    <w:rsid w:val="00386317"/>
    <w:rsid w:val="00386534"/>
    <w:rsid w:val="00386799"/>
    <w:rsid w:val="00386A65"/>
    <w:rsid w:val="00386D20"/>
    <w:rsid w:val="00386D8C"/>
    <w:rsid w:val="00386F37"/>
    <w:rsid w:val="00387529"/>
    <w:rsid w:val="00387E0E"/>
    <w:rsid w:val="0039003F"/>
    <w:rsid w:val="003909FE"/>
    <w:rsid w:val="00390A30"/>
    <w:rsid w:val="00390B84"/>
    <w:rsid w:val="003910E1"/>
    <w:rsid w:val="00391255"/>
    <w:rsid w:val="003913C3"/>
    <w:rsid w:val="003915FD"/>
    <w:rsid w:val="00391888"/>
    <w:rsid w:val="00391D2D"/>
    <w:rsid w:val="003921FE"/>
    <w:rsid w:val="00392C95"/>
    <w:rsid w:val="00393312"/>
    <w:rsid w:val="003934B1"/>
    <w:rsid w:val="003937B5"/>
    <w:rsid w:val="003937D0"/>
    <w:rsid w:val="00393A8A"/>
    <w:rsid w:val="00393C08"/>
    <w:rsid w:val="00393EB5"/>
    <w:rsid w:val="003942BF"/>
    <w:rsid w:val="00394495"/>
    <w:rsid w:val="00394671"/>
    <w:rsid w:val="003947C4"/>
    <w:rsid w:val="003947D6"/>
    <w:rsid w:val="00394ED9"/>
    <w:rsid w:val="00395F8E"/>
    <w:rsid w:val="00396915"/>
    <w:rsid w:val="00396B41"/>
    <w:rsid w:val="00396CF6"/>
    <w:rsid w:val="0039760B"/>
    <w:rsid w:val="00397952"/>
    <w:rsid w:val="003A0110"/>
    <w:rsid w:val="003A04FC"/>
    <w:rsid w:val="003A094D"/>
    <w:rsid w:val="003A099C"/>
    <w:rsid w:val="003A14CB"/>
    <w:rsid w:val="003A1673"/>
    <w:rsid w:val="003A19BE"/>
    <w:rsid w:val="003A19E7"/>
    <w:rsid w:val="003A1A22"/>
    <w:rsid w:val="003A1BB6"/>
    <w:rsid w:val="003A261C"/>
    <w:rsid w:val="003A2C64"/>
    <w:rsid w:val="003A2F4B"/>
    <w:rsid w:val="003A301A"/>
    <w:rsid w:val="003A32F7"/>
    <w:rsid w:val="003A3C21"/>
    <w:rsid w:val="003A3DA4"/>
    <w:rsid w:val="003A3DB4"/>
    <w:rsid w:val="003A446B"/>
    <w:rsid w:val="003A4875"/>
    <w:rsid w:val="003A4BBF"/>
    <w:rsid w:val="003A4F33"/>
    <w:rsid w:val="003A54F2"/>
    <w:rsid w:val="003A5AAB"/>
    <w:rsid w:val="003A5BB9"/>
    <w:rsid w:val="003A6135"/>
    <w:rsid w:val="003A6410"/>
    <w:rsid w:val="003A66B2"/>
    <w:rsid w:val="003A67BE"/>
    <w:rsid w:val="003A695A"/>
    <w:rsid w:val="003A6C2E"/>
    <w:rsid w:val="003A781B"/>
    <w:rsid w:val="003A7934"/>
    <w:rsid w:val="003A7EC4"/>
    <w:rsid w:val="003B0119"/>
    <w:rsid w:val="003B0BC4"/>
    <w:rsid w:val="003B0C0D"/>
    <w:rsid w:val="003B10BF"/>
    <w:rsid w:val="003B112A"/>
    <w:rsid w:val="003B1277"/>
    <w:rsid w:val="003B13D8"/>
    <w:rsid w:val="003B141D"/>
    <w:rsid w:val="003B18BF"/>
    <w:rsid w:val="003B3228"/>
    <w:rsid w:val="003B32EA"/>
    <w:rsid w:val="003B333E"/>
    <w:rsid w:val="003B38C8"/>
    <w:rsid w:val="003B3E52"/>
    <w:rsid w:val="003B4121"/>
    <w:rsid w:val="003B4C9B"/>
    <w:rsid w:val="003B4F47"/>
    <w:rsid w:val="003B5097"/>
    <w:rsid w:val="003B521C"/>
    <w:rsid w:val="003B54F6"/>
    <w:rsid w:val="003B6445"/>
    <w:rsid w:val="003B649A"/>
    <w:rsid w:val="003B65AB"/>
    <w:rsid w:val="003B6ECA"/>
    <w:rsid w:val="003B703A"/>
    <w:rsid w:val="003B7460"/>
    <w:rsid w:val="003B76AA"/>
    <w:rsid w:val="003B7A21"/>
    <w:rsid w:val="003C0072"/>
    <w:rsid w:val="003C05EE"/>
    <w:rsid w:val="003C0614"/>
    <w:rsid w:val="003C0B2B"/>
    <w:rsid w:val="003C1327"/>
    <w:rsid w:val="003C14FD"/>
    <w:rsid w:val="003C1592"/>
    <w:rsid w:val="003C17A1"/>
    <w:rsid w:val="003C1DFC"/>
    <w:rsid w:val="003C1EE8"/>
    <w:rsid w:val="003C1F98"/>
    <w:rsid w:val="003C2212"/>
    <w:rsid w:val="003C3ADC"/>
    <w:rsid w:val="003C4095"/>
    <w:rsid w:val="003C49F9"/>
    <w:rsid w:val="003C4E6F"/>
    <w:rsid w:val="003C528C"/>
    <w:rsid w:val="003C545D"/>
    <w:rsid w:val="003C5AA5"/>
    <w:rsid w:val="003C61AA"/>
    <w:rsid w:val="003C628A"/>
    <w:rsid w:val="003C651D"/>
    <w:rsid w:val="003C69B5"/>
    <w:rsid w:val="003C72CF"/>
    <w:rsid w:val="003C7735"/>
    <w:rsid w:val="003D0093"/>
    <w:rsid w:val="003D03D1"/>
    <w:rsid w:val="003D056B"/>
    <w:rsid w:val="003D0852"/>
    <w:rsid w:val="003D0AA4"/>
    <w:rsid w:val="003D0C68"/>
    <w:rsid w:val="003D15B6"/>
    <w:rsid w:val="003D16CA"/>
    <w:rsid w:val="003D1BDF"/>
    <w:rsid w:val="003D1F42"/>
    <w:rsid w:val="003D2761"/>
    <w:rsid w:val="003D2ED6"/>
    <w:rsid w:val="003D3763"/>
    <w:rsid w:val="003D3944"/>
    <w:rsid w:val="003D3D90"/>
    <w:rsid w:val="003D40C5"/>
    <w:rsid w:val="003D4574"/>
    <w:rsid w:val="003D4F16"/>
    <w:rsid w:val="003D5B54"/>
    <w:rsid w:val="003D5F7B"/>
    <w:rsid w:val="003D6083"/>
    <w:rsid w:val="003D624F"/>
    <w:rsid w:val="003D65C5"/>
    <w:rsid w:val="003D65DE"/>
    <w:rsid w:val="003D6F2B"/>
    <w:rsid w:val="003D72A8"/>
    <w:rsid w:val="003D73DA"/>
    <w:rsid w:val="003D7458"/>
    <w:rsid w:val="003D7698"/>
    <w:rsid w:val="003D7A81"/>
    <w:rsid w:val="003D7DDE"/>
    <w:rsid w:val="003E0410"/>
    <w:rsid w:val="003E0531"/>
    <w:rsid w:val="003E119F"/>
    <w:rsid w:val="003E2983"/>
    <w:rsid w:val="003E2F03"/>
    <w:rsid w:val="003E31AA"/>
    <w:rsid w:val="003E367B"/>
    <w:rsid w:val="003E3D5A"/>
    <w:rsid w:val="003E3E75"/>
    <w:rsid w:val="003E435B"/>
    <w:rsid w:val="003E479A"/>
    <w:rsid w:val="003E4F79"/>
    <w:rsid w:val="003E555D"/>
    <w:rsid w:val="003E6DB9"/>
    <w:rsid w:val="003E6FCB"/>
    <w:rsid w:val="003E7331"/>
    <w:rsid w:val="003E7963"/>
    <w:rsid w:val="003E7AF9"/>
    <w:rsid w:val="003E7B9C"/>
    <w:rsid w:val="003F0FA9"/>
    <w:rsid w:val="003F1AD2"/>
    <w:rsid w:val="003F1C46"/>
    <w:rsid w:val="003F1F25"/>
    <w:rsid w:val="003F2305"/>
    <w:rsid w:val="003F2602"/>
    <w:rsid w:val="003F2EEA"/>
    <w:rsid w:val="003F309A"/>
    <w:rsid w:val="003F3368"/>
    <w:rsid w:val="003F3801"/>
    <w:rsid w:val="003F3A7F"/>
    <w:rsid w:val="003F3ACE"/>
    <w:rsid w:val="003F3CA5"/>
    <w:rsid w:val="003F3D6D"/>
    <w:rsid w:val="003F413F"/>
    <w:rsid w:val="003F4908"/>
    <w:rsid w:val="003F4AD8"/>
    <w:rsid w:val="003F4EAD"/>
    <w:rsid w:val="003F4F77"/>
    <w:rsid w:val="003F5A4C"/>
    <w:rsid w:val="003F5B5F"/>
    <w:rsid w:val="003F5F73"/>
    <w:rsid w:val="003F66FD"/>
    <w:rsid w:val="003F69DF"/>
    <w:rsid w:val="003F6BC4"/>
    <w:rsid w:val="003F77FC"/>
    <w:rsid w:val="003F7994"/>
    <w:rsid w:val="00400229"/>
    <w:rsid w:val="00400280"/>
    <w:rsid w:val="004014B7"/>
    <w:rsid w:val="00401EBA"/>
    <w:rsid w:val="00401F32"/>
    <w:rsid w:val="004020AB"/>
    <w:rsid w:val="00402927"/>
    <w:rsid w:val="00402B7F"/>
    <w:rsid w:val="00402D40"/>
    <w:rsid w:val="00402EA3"/>
    <w:rsid w:val="00402EEB"/>
    <w:rsid w:val="004030D4"/>
    <w:rsid w:val="004030EB"/>
    <w:rsid w:val="0040327C"/>
    <w:rsid w:val="004037A9"/>
    <w:rsid w:val="00404B34"/>
    <w:rsid w:val="00404B3C"/>
    <w:rsid w:val="00404B8A"/>
    <w:rsid w:val="00404FAE"/>
    <w:rsid w:val="00405212"/>
    <w:rsid w:val="004054D0"/>
    <w:rsid w:val="00405670"/>
    <w:rsid w:val="00405721"/>
    <w:rsid w:val="00405C61"/>
    <w:rsid w:val="00405DD8"/>
    <w:rsid w:val="00405E47"/>
    <w:rsid w:val="004067A2"/>
    <w:rsid w:val="004078FC"/>
    <w:rsid w:val="00410070"/>
    <w:rsid w:val="004100EE"/>
    <w:rsid w:val="0041014C"/>
    <w:rsid w:val="00410293"/>
    <w:rsid w:val="00410416"/>
    <w:rsid w:val="004105F0"/>
    <w:rsid w:val="0041076D"/>
    <w:rsid w:val="00410F02"/>
    <w:rsid w:val="0041197F"/>
    <w:rsid w:val="004122BB"/>
    <w:rsid w:val="004123D5"/>
    <w:rsid w:val="004128BA"/>
    <w:rsid w:val="00412A8D"/>
    <w:rsid w:val="00412AF8"/>
    <w:rsid w:val="00413031"/>
    <w:rsid w:val="0041342D"/>
    <w:rsid w:val="0041354E"/>
    <w:rsid w:val="0041384D"/>
    <w:rsid w:val="00413D35"/>
    <w:rsid w:val="00413F28"/>
    <w:rsid w:val="004140DC"/>
    <w:rsid w:val="00414551"/>
    <w:rsid w:val="004147C0"/>
    <w:rsid w:val="004156F2"/>
    <w:rsid w:val="004158DF"/>
    <w:rsid w:val="004163F9"/>
    <w:rsid w:val="00416B6A"/>
    <w:rsid w:val="00416C05"/>
    <w:rsid w:val="00416C1E"/>
    <w:rsid w:val="0042062A"/>
    <w:rsid w:val="0042063C"/>
    <w:rsid w:val="00420669"/>
    <w:rsid w:val="00420FE7"/>
    <w:rsid w:val="00421DAE"/>
    <w:rsid w:val="00422051"/>
    <w:rsid w:val="00422122"/>
    <w:rsid w:val="004225C7"/>
    <w:rsid w:val="00422B2E"/>
    <w:rsid w:val="00422E6D"/>
    <w:rsid w:val="0042353A"/>
    <w:rsid w:val="004235AD"/>
    <w:rsid w:val="0042403D"/>
    <w:rsid w:val="0042445C"/>
    <w:rsid w:val="00424C07"/>
    <w:rsid w:val="00424DFF"/>
    <w:rsid w:val="00424EA8"/>
    <w:rsid w:val="004257F9"/>
    <w:rsid w:val="00425E28"/>
    <w:rsid w:val="00425FFC"/>
    <w:rsid w:val="0042628C"/>
    <w:rsid w:val="00427070"/>
    <w:rsid w:val="0043085A"/>
    <w:rsid w:val="0043128C"/>
    <w:rsid w:val="00431420"/>
    <w:rsid w:val="0043143D"/>
    <w:rsid w:val="00431562"/>
    <w:rsid w:val="00431735"/>
    <w:rsid w:val="00431B75"/>
    <w:rsid w:val="00431E9D"/>
    <w:rsid w:val="00432399"/>
    <w:rsid w:val="00432E1A"/>
    <w:rsid w:val="004333EA"/>
    <w:rsid w:val="00433888"/>
    <w:rsid w:val="00433A6D"/>
    <w:rsid w:val="00433DEA"/>
    <w:rsid w:val="00433EEF"/>
    <w:rsid w:val="00434527"/>
    <w:rsid w:val="0043473A"/>
    <w:rsid w:val="004349D3"/>
    <w:rsid w:val="00434ADC"/>
    <w:rsid w:val="00434B54"/>
    <w:rsid w:val="00435D20"/>
    <w:rsid w:val="00435D8B"/>
    <w:rsid w:val="0043614D"/>
    <w:rsid w:val="00436403"/>
    <w:rsid w:val="004364A0"/>
    <w:rsid w:val="00436502"/>
    <w:rsid w:val="00436D33"/>
    <w:rsid w:val="00436EF8"/>
    <w:rsid w:val="00437182"/>
    <w:rsid w:val="00437932"/>
    <w:rsid w:val="004379F9"/>
    <w:rsid w:val="004400A9"/>
    <w:rsid w:val="0044019C"/>
    <w:rsid w:val="0044069E"/>
    <w:rsid w:val="00440789"/>
    <w:rsid w:val="00440E1C"/>
    <w:rsid w:val="00441125"/>
    <w:rsid w:val="00441314"/>
    <w:rsid w:val="00442473"/>
    <w:rsid w:val="004427FB"/>
    <w:rsid w:val="00442AEB"/>
    <w:rsid w:val="00442CB1"/>
    <w:rsid w:val="00442E2B"/>
    <w:rsid w:val="00443549"/>
    <w:rsid w:val="00443579"/>
    <w:rsid w:val="004436DB"/>
    <w:rsid w:val="0044387E"/>
    <w:rsid w:val="0044439A"/>
    <w:rsid w:val="00444F65"/>
    <w:rsid w:val="00446236"/>
    <w:rsid w:val="00446B76"/>
    <w:rsid w:val="00446C28"/>
    <w:rsid w:val="00446CE6"/>
    <w:rsid w:val="004472E4"/>
    <w:rsid w:val="00447A1E"/>
    <w:rsid w:val="00451EEE"/>
    <w:rsid w:val="0045228B"/>
    <w:rsid w:val="004522D6"/>
    <w:rsid w:val="0045248E"/>
    <w:rsid w:val="004528D8"/>
    <w:rsid w:val="00452FB9"/>
    <w:rsid w:val="004533C2"/>
    <w:rsid w:val="0045412D"/>
    <w:rsid w:val="004541D3"/>
    <w:rsid w:val="004543FC"/>
    <w:rsid w:val="00454630"/>
    <w:rsid w:val="004548D0"/>
    <w:rsid w:val="00454A61"/>
    <w:rsid w:val="00454BE9"/>
    <w:rsid w:val="00454F69"/>
    <w:rsid w:val="0045619D"/>
    <w:rsid w:val="00456B61"/>
    <w:rsid w:val="00456D44"/>
    <w:rsid w:val="004576E0"/>
    <w:rsid w:val="00457791"/>
    <w:rsid w:val="00460A11"/>
    <w:rsid w:val="00460A5F"/>
    <w:rsid w:val="0046132E"/>
    <w:rsid w:val="0046269C"/>
    <w:rsid w:val="0046326B"/>
    <w:rsid w:val="004632CA"/>
    <w:rsid w:val="00463C49"/>
    <w:rsid w:val="00463C6E"/>
    <w:rsid w:val="004642A2"/>
    <w:rsid w:val="0046437E"/>
    <w:rsid w:val="00464CBA"/>
    <w:rsid w:val="00464D77"/>
    <w:rsid w:val="00464DD1"/>
    <w:rsid w:val="004650AF"/>
    <w:rsid w:val="00465137"/>
    <w:rsid w:val="00465308"/>
    <w:rsid w:val="0046584A"/>
    <w:rsid w:val="00466173"/>
    <w:rsid w:val="004663DE"/>
    <w:rsid w:val="00467102"/>
    <w:rsid w:val="004676DD"/>
    <w:rsid w:val="00467B15"/>
    <w:rsid w:val="00467DA4"/>
    <w:rsid w:val="00470E65"/>
    <w:rsid w:val="00471698"/>
    <w:rsid w:val="00471E56"/>
    <w:rsid w:val="00471F9D"/>
    <w:rsid w:val="0047281A"/>
    <w:rsid w:val="00472CF3"/>
    <w:rsid w:val="00473FB2"/>
    <w:rsid w:val="00474598"/>
    <w:rsid w:val="00474D93"/>
    <w:rsid w:val="004751C4"/>
    <w:rsid w:val="0047537A"/>
    <w:rsid w:val="004758DD"/>
    <w:rsid w:val="00475EE6"/>
    <w:rsid w:val="004762A1"/>
    <w:rsid w:val="004767E6"/>
    <w:rsid w:val="00476AB0"/>
    <w:rsid w:val="00476C27"/>
    <w:rsid w:val="00477F4E"/>
    <w:rsid w:val="00480AF5"/>
    <w:rsid w:val="00480C7E"/>
    <w:rsid w:val="00481435"/>
    <w:rsid w:val="0048176B"/>
    <w:rsid w:val="00481A8D"/>
    <w:rsid w:val="00481CE2"/>
    <w:rsid w:val="004822F8"/>
    <w:rsid w:val="00482A28"/>
    <w:rsid w:val="00482C71"/>
    <w:rsid w:val="00483483"/>
    <w:rsid w:val="00483CA1"/>
    <w:rsid w:val="004846A9"/>
    <w:rsid w:val="00484984"/>
    <w:rsid w:val="00484ACA"/>
    <w:rsid w:val="00484B1E"/>
    <w:rsid w:val="00484E79"/>
    <w:rsid w:val="00485562"/>
    <w:rsid w:val="004857ED"/>
    <w:rsid w:val="004866C2"/>
    <w:rsid w:val="0048693D"/>
    <w:rsid w:val="00486D76"/>
    <w:rsid w:val="00486F44"/>
    <w:rsid w:val="00486F8E"/>
    <w:rsid w:val="00487019"/>
    <w:rsid w:val="00487099"/>
    <w:rsid w:val="004871F2"/>
    <w:rsid w:val="00487707"/>
    <w:rsid w:val="00487843"/>
    <w:rsid w:val="004879C3"/>
    <w:rsid w:val="00487B2B"/>
    <w:rsid w:val="00487FC0"/>
    <w:rsid w:val="00490766"/>
    <w:rsid w:val="0049093C"/>
    <w:rsid w:val="00490B30"/>
    <w:rsid w:val="00490ED9"/>
    <w:rsid w:val="00491030"/>
    <w:rsid w:val="0049149C"/>
    <w:rsid w:val="00491563"/>
    <w:rsid w:val="0049171B"/>
    <w:rsid w:val="0049186A"/>
    <w:rsid w:val="00491DCD"/>
    <w:rsid w:val="00492227"/>
    <w:rsid w:val="004930C5"/>
    <w:rsid w:val="004934B8"/>
    <w:rsid w:val="004937CB"/>
    <w:rsid w:val="00493813"/>
    <w:rsid w:val="00494D47"/>
    <w:rsid w:val="00495259"/>
    <w:rsid w:val="00495378"/>
    <w:rsid w:val="004955AF"/>
    <w:rsid w:val="00495DB8"/>
    <w:rsid w:val="00495F6C"/>
    <w:rsid w:val="004962B4"/>
    <w:rsid w:val="00496609"/>
    <w:rsid w:val="00496967"/>
    <w:rsid w:val="00496B9A"/>
    <w:rsid w:val="00496D9D"/>
    <w:rsid w:val="0049734F"/>
    <w:rsid w:val="00497BB4"/>
    <w:rsid w:val="004A032A"/>
    <w:rsid w:val="004A0765"/>
    <w:rsid w:val="004A086B"/>
    <w:rsid w:val="004A0A4C"/>
    <w:rsid w:val="004A0AD5"/>
    <w:rsid w:val="004A0C2B"/>
    <w:rsid w:val="004A11E5"/>
    <w:rsid w:val="004A16EB"/>
    <w:rsid w:val="004A200D"/>
    <w:rsid w:val="004A221D"/>
    <w:rsid w:val="004A2D66"/>
    <w:rsid w:val="004A33E6"/>
    <w:rsid w:val="004A363D"/>
    <w:rsid w:val="004A36D1"/>
    <w:rsid w:val="004A40C7"/>
    <w:rsid w:val="004A42A0"/>
    <w:rsid w:val="004A42CB"/>
    <w:rsid w:val="004A4344"/>
    <w:rsid w:val="004A478D"/>
    <w:rsid w:val="004A4A99"/>
    <w:rsid w:val="004A5331"/>
    <w:rsid w:val="004A58A7"/>
    <w:rsid w:val="004A5C25"/>
    <w:rsid w:val="004A5CCE"/>
    <w:rsid w:val="004A6048"/>
    <w:rsid w:val="004A673B"/>
    <w:rsid w:val="004A6EFF"/>
    <w:rsid w:val="004A77BA"/>
    <w:rsid w:val="004A7AFC"/>
    <w:rsid w:val="004A7CB6"/>
    <w:rsid w:val="004A7E55"/>
    <w:rsid w:val="004B0003"/>
    <w:rsid w:val="004B0C16"/>
    <w:rsid w:val="004B0FFA"/>
    <w:rsid w:val="004B12EA"/>
    <w:rsid w:val="004B1338"/>
    <w:rsid w:val="004B13FC"/>
    <w:rsid w:val="004B147C"/>
    <w:rsid w:val="004B1607"/>
    <w:rsid w:val="004B1C7D"/>
    <w:rsid w:val="004B1E7F"/>
    <w:rsid w:val="004B200D"/>
    <w:rsid w:val="004B20C7"/>
    <w:rsid w:val="004B2594"/>
    <w:rsid w:val="004B29F7"/>
    <w:rsid w:val="004B2B45"/>
    <w:rsid w:val="004B2E90"/>
    <w:rsid w:val="004B2FE0"/>
    <w:rsid w:val="004B3C55"/>
    <w:rsid w:val="004B41A1"/>
    <w:rsid w:val="004B4214"/>
    <w:rsid w:val="004B4567"/>
    <w:rsid w:val="004B470E"/>
    <w:rsid w:val="004B48DF"/>
    <w:rsid w:val="004B503D"/>
    <w:rsid w:val="004B584F"/>
    <w:rsid w:val="004B5DF9"/>
    <w:rsid w:val="004B610A"/>
    <w:rsid w:val="004B61DE"/>
    <w:rsid w:val="004B62F4"/>
    <w:rsid w:val="004B6930"/>
    <w:rsid w:val="004B6C72"/>
    <w:rsid w:val="004B6D73"/>
    <w:rsid w:val="004B6D7C"/>
    <w:rsid w:val="004B70DB"/>
    <w:rsid w:val="004B7153"/>
    <w:rsid w:val="004B7439"/>
    <w:rsid w:val="004B7B78"/>
    <w:rsid w:val="004B7E41"/>
    <w:rsid w:val="004B7E4A"/>
    <w:rsid w:val="004C0139"/>
    <w:rsid w:val="004C03C1"/>
    <w:rsid w:val="004C0685"/>
    <w:rsid w:val="004C09E7"/>
    <w:rsid w:val="004C0C48"/>
    <w:rsid w:val="004C0F82"/>
    <w:rsid w:val="004C0FE1"/>
    <w:rsid w:val="004C178A"/>
    <w:rsid w:val="004C1970"/>
    <w:rsid w:val="004C1AEB"/>
    <w:rsid w:val="004C1F4D"/>
    <w:rsid w:val="004C21D8"/>
    <w:rsid w:val="004C22D3"/>
    <w:rsid w:val="004C2614"/>
    <w:rsid w:val="004C2BCD"/>
    <w:rsid w:val="004C3958"/>
    <w:rsid w:val="004C39E6"/>
    <w:rsid w:val="004C3BE7"/>
    <w:rsid w:val="004C4485"/>
    <w:rsid w:val="004C4A07"/>
    <w:rsid w:val="004C55D4"/>
    <w:rsid w:val="004C5666"/>
    <w:rsid w:val="004C570D"/>
    <w:rsid w:val="004C5A7D"/>
    <w:rsid w:val="004C5B8D"/>
    <w:rsid w:val="004C5DB6"/>
    <w:rsid w:val="004C5F16"/>
    <w:rsid w:val="004C63C8"/>
    <w:rsid w:val="004C6443"/>
    <w:rsid w:val="004C66FB"/>
    <w:rsid w:val="004C69AB"/>
    <w:rsid w:val="004C6F13"/>
    <w:rsid w:val="004C7369"/>
    <w:rsid w:val="004C769A"/>
    <w:rsid w:val="004C7749"/>
    <w:rsid w:val="004C776A"/>
    <w:rsid w:val="004C7AD3"/>
    <w:rsid w:val="004C7DB1"/>
    <w:rsid w:val="004D0826"/>
    <w:rsid w:val="004D1795"/>
    <w:rsid w:val="004D1DB2"/>
    <w:rsid w:val="004D2364"/>
    <w:rsid w:val="004D26EC"/>
    <w:rsid w:val="004D2AF5"/>
    <w:rsid w:val="004D313D"/>
    <w:rsid w:val="004D3690"/>
    <w:rsid w:val="004D4253"/>
    <w:rsid w:val="004D45D4"/>
    <w:rsid w:val="004D5467"/>
    <w:rsid w:val="004D576B"/>
    <w:rsid w:val="004D5DB6"/>
    <w:rsid w:val="004D603C"/>
    <w:rsid w:val="004D6622"/>
    <w:rsid w:val="004D69D5"/>
    <w:rsid w:val="004D69D7"/>
    <w:rsid w:val="004D6EAC"/>
    <w:rsid w:val="004D72A4"/>
    <w:rsid w:val="004D7308"/>
    <w:rsid w:val="004D7348"/>
    <w:rsid w:val="004D7D2C"/>
    <w:rsid w:val="004E0234"/>
    <w:rsid w:val="004E0433"/>
    <w:rsid w:val="004E0488"/>
    <w:rsid w:val="004E0592"/>
    <w:rsid w:val="004E0633"/>
    <w:rsid w:val="004E0787"/>
    <w:rsid w:val="004E0A45"/>
    <w:rsid w:val="004E0C98"/>
    <w:rsid w:val="004E0EB6"/>
    <w:rsid w:val="004E10D0"/>
    <w:rsid w:val="004E1132"/>
    <w:rsid w:val="004E134B"/>
    <w:rsid w:val="004E1442"/>
    <w:rsid w:val="004E1D4C"/>
    <w:rsid w:val="004E1EA7"/>
    <w:rsid w:val="004E1F8B"/>
    <w:rsid w:val="004E1FC1"/>
    <w:rsid w:val="004E28D9"/>
    <w:rsid w:val="004E306E"/>
    <w:rsid w:val="004E3110"/>
    <w:rsid w:val="004E3237"/>
    <w:rsid w:val="004E3B87"/>
    <w:rsid w:val="004E404F"/>
    <w:rsid w:val="004E47A7"/>
    <w:rsid w:val="004E4874"/>
    <w:rsid w:val="004E580C"/>
    <w:rsid w:val="004E5A25"/>
    <w:rsid w:val="004E5E2A"/>
    <w:rsid w:val="004E66CE"/>
    <w:rsid w:val="004E6B90"/>
    <w:rsid w:val="004E775C"/>
    <w:rsid w:val="004E7E49"/>
    <w:rsid w:val="004F0236"/>
    <w:rsid w:val="004F0843"/>
    <w:rsid w:val="004F0A64"/>
    <w:rsid w:val="004F0BD0"/>
    <w:rsid w:val="004F1C87"/>
    <w:rsid w:val="004F2489"/>
    <w:rsid w:val="004F25CE"/>
    <w:rsid w:val="004F2FD7"/>
    <w:rsid w:val="004F3143"/>
    <w:rsid w:val="004F37F5"/>
    <w:rsid w:val="004F3DD5"/>
    <w:rsid w:val="004F4213"/>
    <w:rsid w:val="004F45E4"/>
    <w:rsid w:val="004F540C"/>
    <w:rsid w:val="004F637D"/>
    <w:rsid w:val="004F6810"/>
    <w:rsid w:val="004F68A2"/>
    <w:rsid w:val="004F6C01"/>
    <w:rsid w:val="004F7466"/>
    <w:rsid w:val="004F754B"/>
    <w:rsid w:val="004F7E5A"/>
    <w:rsid w:val="004F7FAF"/>
    <w:rsid w:val="0050023C"/>
    <w:rsid w:val="00500C90"/>
    <w:rsid w:val="00500F56"/>
    <w:rsid w:val="005017F4"/>
    <w:rsid w:val="00501A1C"/>
    <w:rsid w:val="00501BF4"/>
    <w:rsid w:val="005020C5"/>
    <w:rsid w:val="00502429"/>
    <w:rsid w:val="00502803"/>
    <w:rsid w:val="005028CB"/>
    <w:rsid w:val="00502B1B"/>
    <w:rsid w:val="00502FA3"/>
    <w:rsid w:val="005035C7"/>
    <w:rsid w:val="00503A13"/>
    <w:rsid w:val="00503AEF"/>
    <w:rsid w:val="00503E6D"/>
    <w:rsid w:val="00503FF0"/>
    <w:rsid w:val="00504CE2"/>
    <w:rsid w:val="00505257"/>
    <w:rsid w:val="00505805"/>
    <w:rsid w:val="005073D3"/>
    <w:rsid w:val="00507BE4"/>
    <w:rsid w:val="00510328"/>
    <w:rsid w:val="005106E6"/>
    <w:rsid w:val="00510739"/>
    <w:rsid w:val="00510FEA"/>
    <w:rsid w:val="00511913"/>
    <w:rsid w:val="00511FB1"/>
    <w:rsid w:val="005121E8"/>
    <w:rsid w:val="0051257D"/>
    <w:rsid w:val="00512962"/>
    <w:rsid w:val="00512E46"/>
    <w:rsid w:val="00513604"/>
    <w:rsid w:val="005136EB"/>
    <w:rsid w:val="005137DB"/>
    <w:rsid w:val="0051440C"/>
    <w:rsid w:val="00514848"/>
    <w:rsid w:val="00514A9B"/>
    <w:rsid w:val="00514AA4"/>
    <w:rsid w:val="00514AD0"/>
    <w:rsid w:val="00514D77"/>
    <w:rsid w:val="00514D82"/>
    <w:rsid w:val="0051530F"/>
    <w:rsid w:val="0051582B"/>
    <w:rsid w:val="00515953"/>
    <w:rsid w:val="0051623A"/>
    <w:rsid w:val="0051638E"/>
    <w:rsid w:val="00516B8B"/>
    <w:rsid w:val="00516DD0"/>
    <w:rsid w:val="00516FB1"/>
    <w:rsid w:val="00517384"/>
    <w:rsid w:val="005176C4"/>
    <w:rsid w:val="005178E5"/>
    <w:rsid w:val="00520090"/>
    <w:rsid w:val="005205FB"/>
    <w:rsid w:val="00520702"/>
    <w:rsid w:val="005207F3"/>
    <w:rsid w:val="00520B2A"/>
    <w:rsid w:val="00520B6D"/>
    <w:rsid w:val="00520B8A"/>
    <w:rsid w:val="00521094"/>
    <w:rsid w:val="00521916"/>
    <w:rsid w:val="0052193D"/>
    <w:rsid w:val="00521C40"/>
    <w:rsid w:val="00521C66"/>
    <w:rsid w:val="005223E1"/>
    <w:rsid w:val="0052358E"/>
    <w:rsid w:val="0052393C"/>
    <w:rsid w:val="00523BAF"/>
    <w:rsid w:val="00523BBF"/>
    <w:rsid w:val="00523D8E"/>
    <w:rsid w:val="00523DB1"/>
    <w:rsid w:val="00523ED2"/>
    <w:rsid w:val="00523EFF"/>
    <w:rsid w:val="00524811"/>
    <w:rsid w:val="00524853"/>
    <w:rsid w:val="00524E7E"/>
    <w:rsid w:val="00524FC0"/>
    <w:rsid w:val="005250B6"/>
    <w:rsid w:val="0052527E"/>
    <w:rsid w:val="005253BA"/>
    <w:rsid w:val="005255BF"/>
    <w:rsid w:val="00525E63"/>
    <w:rsid w:val="00525E8F"/>
    <w:rsid w:val="0052649A"/>
    <w:rsid w:val="00526878"/>
    <w:rsid w:val="00526B44"/>
    <w:rsid w:val="0052710F"/>
    <w:rsid w:val="00527279"/>
    <w:rsid w:val="00527A52"/>
    <w:rsid w:val="00530483"/>
    <w:rsid w:val="0053064E"/>
    <w:rsid w:val="005308B5"/>
    <w:rsid w:val="00530AD3"/>
    <w:rsid w:val="00531562"/>
    <w:rsid w:val="0053171E"/>
    <w:rsid w:val="005319B4"/>
    <w:rsid w:val="00531B80"/>
    <w:rsid w:val="00531D30"/>
    <w:rsid w:val="00531DA5"/>
    <w:rsid w:val="00531E28"/>
    <w:rsid w:val="0053200F"/>
    <w:rsid w:val="005324B6"/>
    <w:rsid w:val="0053261F"/>
    <w:rsid w:val="00532C33"/>
    <w:rsid w:val="00532CA6"/>
    <w:rsid w:val="00532FD8"/>
    <w:rsid w:val="00533337"/>
    <w:rsid w:val="005333BE"/>
    <w:rsid w:val="005336C5"/>
    <w:rsid w:val="00533C9C"/>
    <w:rsid w:val="00533F95"/>
    <w:rsid w:val="00534576"/>
    <w:rsid w:val="00534863"/>
    <w:rsid w:val="0053583D"/>
    <w:rsid w:val="00535915"/>
    <w:rsid w:val="00535D3E"/>
    <w:rsid w:val="00535D6C"/>
    <w:rsid w:val="00535FEE"/>
    <w:rsid w:val="00536415"/>
    <w:rsid w:val="0053683B"/>
    <w:rsid w:val="00536869"/>
    <w:rsid w:val="005369E4"/>
    <w:rsid w:val="00536FE7"/>
    <w:rsid w:val="00537047"/>
    <w:rsid w:val="00537647"/>
    <w:rsid w:val="0053766C"/>
    <w:rsid w:val="005378AD"/>
    <w:rsid w:val="00537A62"/>
    <w:rsid w:val="00540016"/>
    <w:rsid w:val="00540132"/>
    <w:rsid w:val="00540AEB"/>
    <w:rsid w:val="0054108B"/>
    <w:rsid w:val="00541459"/>
    <w:rsid w:val="0054145D"/>
    <w:rsid w:val="005414F2"/>
    <w:rsid w:val="005414FE"/>
    <w:rsid w:val="0054171F"/>
    <w:rsid w:val="00541A49"/>
    <w:rsid w:val="00541D86"/>
    <w:rsid w:val="00542086"/>
    <w:rsid w:val="00542EDA"/>
    <w:rsid w:val="005437CC"/>
    <w:rsid w:val="00543951"/>
    <w:rsid w:val="00544409"/>
    <w:rsid w:val="00544701"/>
    <w:rsid w:val="005447F4"/>
    <w:rsid w:val="00544899"/>
    <w:rsid w:val="0054490E"/>
    <w:rsid w:val="005454AB"/>
    <w:rsid w:val="0054632B"/>
    <w:rsid w:val="005470E6"/>
    <w:rsid w:val="0054745E"/>
    <w:rsid w:val="00547D4C"/>
    <w:rsid w:val="00547FAF"/>
    <w:rsid w:val="005501FE"/>
    <w:rsid w:val="005502B3"/>
    <w:rsid w:val="005509BC"/>
    <w:rsid w:val="00552112"/>
    <w:rsid w:val="005529CD"/>
    <w:rsid w:val="00553035"/>
    <w:rsid w:val="005534D8"/>
    <w:rsid w:val="005534DD"/>
    <w:rsid w:val="0055397F"/>
    <w:rsid w:val="00554775"/>
    <w:rsid w:val="005547D2"/>
    <w:rsid w:val="00554856"/>
    <w:rsid w:val="00554C55"/>
    <w:rsid w:val="005554DD"/>
    <w:rsid w:val="0055573B"/>
    <w:rsid w:val="00555C45"/>
    <w:rsid w:val="00555F13"/>
    <w:rsid w:val="00556579"/>
    <w:rsid w:val="005575CF"/>
    <w:rsid w:val="005576DC"/>
    <w:rsid w:val="00557F39"/>
    <w:rsid w:val="00560243"/>
    <w:rsid w:val="00560D54"/>
    <w:rsid w:val="00560D86"/>
    <w:rsid w:val="00560F37"/>
    <w:rsid w:val="00561456"/>
    <w:rsid w:val="005615BC"/>
    <w:rsid w:val="005617B5"/>
    <w:rsid w:val="00561C81"/>
    <w:rsid w:val="00562441"/>
    <w:rsid w:val="0056246A"/>
    <w:rsid w:val="0056299B"/>
    <w:rsid w:val="0056322F"/>
    <w:rsid w:val="00563A77"/>
    <w:rsid w:val="00563B71"/>
    <w:rsid w:val="00563C19"/>
    <w:rsid w:val="00563C2A"/>
    <w:rsid w:val="005643DE"/>
    <w:rsid w:val="005646EE"/>
    <w:rsid w:val="00564D23"/>
    <w:rsid w:val="00564D8E"/>
    <w:rsid w:val="0056547E"/>
    <w:rsid w:val="00565699"/>
    <w:rsid w:val="005656FB"/>
    <w:rsid w:val="005658C7"/>
    <w:rsid w:val="00565F79"/>
    <w:rsid w:val="00566B3E"/>
    <w:rsid w:val="00566EF9"/>
    <w:rsid w:val="00566EFF"/>
    <w:rsid w:val="00567293"/>
    <w:rsid w:val="0056740A"/>
    <w:rsid w:val="00567653"/>
    <w:rsid w:val="00567D05"/>
    <w:rsid w:val="00567EBF"/>
    <w:rsid w:val="00570188"/>
    <w:rsid w:val="0057093C"/>
    <w:rsid w:val="00570FA3"/>
    <w:rsid w:val="00571123"/>
    <w:rsid w:val="005712E4"/>
    <w:rsid w:val="0057138F"/>
    <w:rsid w:val="00571527"/>
    <w:rsid w:val="005716D3"/>
    <w:rsid w:val="00571832"/>
    <w:rsid w:val="005718A6"/>
    <w:rsid w:val="0057197E"/>
    <w:rsid w:val="00571C05"/>
    <w:rsid w:val="0057242E"/>
    <w:rsid w:val="00572563"/>
    <w:rsid w:val="0057274A"/>
    <w:rsid w:val="00572805"/>
    <w:rsid w:val="00572869"/>
    <w:rsid w:val="00572C4F"/>
    <w:rsid w:val="00572EB2"/>
    <w:rsid w:val="00572F68"/>
    <w:rsid w:val="005734CC"/>
    <w:rsid w:val="005735A0"/>
    <w:rsid w:val="0057369D"/>
    <w:rsid w:val="005736D5"/>
    <w:rsid w:val="00573F1F"/>
    <w:rsid w:val="0057415A"/>
    <w:rsid w:val="00574911"/>
    <w:rsid w:val="00574BDB"/>
    <w:rsid w:val="00574FA6"/>
    <w:rsid w:val="005752A0"/>
    <w:rsid w:val="00575AE9"/>
    <w:rsid w:val="005762E5"/>
    <w:rsid w:val="005767BC"/>
    <w:rsid w:val="00577272"/>
    <w:rsid w:val="005772E5"/>
    <w:rsid w:val="005776FC"/>
    <w:rsid w:val="00580633"/>
    <w:rsid w:val="00580B18"/>
    <w:rsid w:val="005812A3"/>
    <w:rsid w:val="005814B6"/>
    <w:rsid w:val="00581533"/>
    <w:rsid w:val="00581906"/>
    <w:rsid w:val="00581EA5"/>
    <w:rsid w:val="00582043"/>
    <w:rsid w:val="00582639"/>
    <w:rsid w:val="0058293B"/>
    <w:rsid w:val="00582CC8"/>
    <w:rsid w:val="00584239"/>
    <w:rsid w:val="0058480F"/>
    <w:rsid w:val="00584A69"/>
    <w:rsid w:val="00584F01"/>
    <w:rsid w:val="00584FF2"/>
    <w:rsid w:val="00585EEE"/>
    <w:rsid w:val="0058632F"/>
    <w:rsid w:val="0058653F"/>
    <w:rsid w:val="00586881"/>
    <w:rsid w:val="00586B0A"/>
    <w:rsid w:val="00586C45"/>
    <w:rsid w:val="00586CF6"/>
    <w:rsid w:val="00587363"/>
    <w:rsid w:val="00587641"/>
    <w:rsid w:val="00587F3B"/>
    <w:rsid w:val="00590205"/>
    <w:rsid w:val="00590354"/>
    <w:rsid w:val="005906AD"/>
    <w:rsid w:val="00590713"/>
    <w:rsid w:val="00590CA1"/>
    <w:rsid w:val="00590E71"/>
    <w:rsid w:val="005912B3"/>
    <w:rsid w:val="00591401"/>
    <w:rsid w:val="00591C77"/>
    <w:rsid w:val="00591E37"/>
    <w:rsid w:val="00591F33"/>
    <w:rsid w:val="00591FEC"/>
    <w:rsid w:val="0059237A"/>
    <w:rsid w:val="005925F3"/>
    <w:rsid w:val="0059264C"/>
    <w:rsid w:val="005929C6"/>
    <w:rsid w:val="00592A85"/>
    <w:rsid w:val="0059321B"/>
    <w:rsid w:val="005937D4"/>
    <w:rsid w:val="00593BB1"/>
    <w:rsid w:val="00594364"/>
    <w:rsid w:val="005943FD"/>
    <w:rsid w:val="00594C20"/>
    <w:rsid w:val="00594C32"/>
    <w:rsid w:val="00594D03"/>
    <w:rsid w:val="005959B1"/>
    <w:rsid w:val="00595A87"/>
    <w:rsid w:val="00595D4B"/>
    <w:rsid w:val="00596269"/>
    <w:rsid w:val="00596399"/>
    <w:rsid w:val="00596581"/>
    <w:rsid w:val="0059676B"/>
    <w:rsid w:val="005967F5"/>
    <w:rsid w:val="005978B7"/>
    <w:rsid w:val="00597950"/>
    <w:rsid w:val="00597FE0"/>
    <w:rsid w:val="005A0962"/>
    <w:rsid w:val="005A0B81"/>
    <w:rsid w:val="005A12F4"/>
    <w:rsid w:val="005A15A5"/>
    <w:rsid w:val="005A15B2"/>
    <w:rsid w:val="005A1A82"/>
    <w:rsid w:val="005A1DAF"/>
    <w:rsid w:val="005A2610"/>
    <w:rsid w:val="005A27A7"/>
    <w:rsid w:val="005A2B02"/>
    <w:rsid w:val="005A2E8F"/>
    <w:rsid w:val="005A4204"/>
    <w:rsid w:val="005A57A2"/>
    <w:rsid w:val="005A5966"/>
    <w:rsid w:val="005A623F"/>
    <w:rsid w:val="005A68B5"/>
    <w:rsid w:val="005A6B63"/>
    <w:rsid w:val="005A6DCE"/>
    <w:rsid w:val="005A6F90"/>
    <w:rsid w:val="005A6FC2"/>
    <w:rsid w:val="005A7732"/>
    <w:rsid w:val="005A79C2"/>
    <w:rsid w:val="005A7ACE"/>
    <w:rsid w:val="005A7B32"/>
    <w:rsid w:val="005B06B9"/>
    <w:rsid w:val="005B0C11"/>
    <w:rsid w:val="005B0D44"/>
    <w:rsid w:val="005B0F7B"/>
    <w:rsid w:val="005B15C2"/>
    <w:rsid w:val="005B1D35"/>
    <w:rsid w:val="005B2224"/>
    <w:rsid w:val="005B250F"/>
    <w:rsid w:val="005B27B1"/>
    <w:rsid w:val="005B282C"/>
    <w:rsid w:val="005B2B63"/>
    <w:rsid w:val="005B2F25"/>
    <w:rsid w:val="005B305A"/>
    <w:rsid w:val="005B31C7"/>
    <w:rsid w:val="005B474C"/>
    <w:rsid w:val="005B4D36"/>
    <w:rsid w:val="005B504A"/>
    <w:rsid w:val="005B596B"/>
    <w:rsid w:val="005B5CEC"/>
    <w:rsid w:val="005B5D2A"/>
    <w:rsid w:val="005B6048"/>
    <w:rsid w:val="005B60F8"/>
    <w:rsid w:val="005B6376"/>
    <w:rsid w:val="005B65CF"/>
    <w:rsid w:val="005B65EE"/>
    <w:rsid w:val="005B662B"/>
    <w:rsid w:val="005B664C"/>
    <w:rsid w:val="005B73D3"/>
    <w:rsid w:val="005B78E4"/>
    <w:rsid w:val="005B7A83"/>
    <w:rsid w:val="005B7E45"/>
    <w:rsid w:val="005B7E69"/>
    <w:rsid w:val="005C0133"/>
    <w:rsid w:val="005C0492"/>
    <w:rsid w:val="005C0C45"/>
    <w:rsid w:val="005C0CF4"/>
    <w:rsid w:val="005C1229"/>
    <w:rsid w:val="005C19D9"/>
    <w:rsid w:val="005C1AFD"/>
    <w:rsid w:val="005C1DC7"/>
    <w:rsid w:val="005C2540"/>
    <w:rsid w:val="005C2673"/>
    <w:rsid w:val="005C2999"/>
    <w:rsid w:val="005C2A28"/>
    <w:rsid w:val="005C2C10"/>
    <w:rsid w:val="005C2DAC"/>
    <w:rsid w:val="005C300C"/>
    <w:rsid w:val="005C3032"/>
    <w:rsid w:val="005C31B4"/>
    <w:rsid w:val="005C33E7"/>
    <w:rsid w:val="005C3946"/>
    <w:rsid w:val="005C3C2C"/>
    <w:rsid w:val="005C3C3B"/>
    <w:rsid w:val="005C4188"/>
    <w:rsid w:val="005C48A6"/>
    <w:rsid w:val="005C5224"/>
    <w:rsid w:val="005C53A2"/>
    <w:rsid w:val="005C5554"/>
    <w:rsid w:val="005C56DB"/>
    <w:rsid w:val="005C591B"/>
    <w:rsid w:val="005C5BEC"/>
    <w:rsid w:val="005C5C0D"/>
    <w:rsid w:val="005C6111"/>
    <w:rsid w:val="005C6245"/>
    <w:rsid w:val="005C62E8"/>
    <w:rsid w:val="005C687D"/>
    <w:rsid w:val="005C69A1"/>
    <w:rsid w:val="005C7EBB"/>
    <w:rsid w:val="005D0248"/>
    <w:rsid w:val="005D04C9"/>
    <w:rsid w:val="005D079B"/>
    <w:rsid w:val="005D0932"/>
    <w:rsid w:val="005D0B7F"/>
    <w:rsid w:val="005D0BD6"/>
    <w:rsid w:val="005D0BEC"/>
    <w:rsid w:val="005D0E06"/>
    <w:rsid w:val="005D0E4F"/>
    <w:rsid w:val="005D135C"/>
    <w:rsid w:val="005D14CF"/>
    <w:rsid w:val="005D1837"/>
    <w:rsid w:val="005D1A55"/>
    <w:rsid w:val="005D22A8"/>
    <w:rsid w:val="005D2C11"/>
    <w:rsid w:val="005D3085"/>
    <w:rsid w:val="005D345F"/>
    <w:rsid w:val="005D34B5"/>
    <w:rsid w:val="005D38BA"/>
    <w:rsid w:val="005D3C14"/>
    <w:rsid w:val="005D46C8"/>
    <w:rsid w:val="005D4B31"/>
    <w:rsid w:val="005D5012"/>
    <w:rsid w:val="005D55A6"/>
    <w:rsid w:val="005D5737"/>
    <w:rsid w:val="005D5F92"/>
    <w:rsid w:val="005D66C1"/>
    <w:rsid w:val="005D696B"/>
    <w:rsid w:val="005D6DE7"/>
    <w:rsid w:val="005D7019"/>
    <w:rsid w:val="005D70C1"/>
    <w:rsid w:val="005D768C"/>
    <w:rsid w:val="005D7A08"/>
    <w:rsid w:val="005D7C2E"/>
    <w:rsid w:val="005D7F2F"/>
    <w:rsid w:val="005E0736"/>
    <w:rsid w:val="005E0DCB"/>
    <w:rsid w:val="005E0F59"/>
    <w:rsid w:val="005E12C8"/>
    <w:rsid w:val="005E1750"/>
    <w:rsid w:val="005E182C"/>
    <w:rsid w:val="005E18C7"/>
    <w:rsid w:val="005E1B5B"/>
    <w:rsid w:val="005E1CB8"/>
    <w:rsid w:val="005E2048"/>
    <w:rsid w:val="005E28F9"/>
    <w:rsid w:val="005E36FC"/>
    <w:rsid w:val="005E3727"/>
    <w:rsid w:val="005E41A3"/>
    <w:rsid w:val="005E46B6"/>
    <w:rsid w:val="005E486B"/>
    <w:rsid w:val="005E4954"/>
    <w:rsid w:val="005E4B5D"/>
    <w:rsid w:val="005E4BAC"/>
    <w:rsid w:val="005E4CDF"/>
    <w:rsid w:val="005E4D16"/>
    <w:rsid w:val="005E4FF5"/>
    <w:rsid w:val="005E5366"/>
    <w:rsid w:val="005E548B"/>
    <w:rsid w:val="005E5980"/>
    <w:rsid w:val="005E5AE6"/>
    <w:rsid w:val="005E6628"/>
    <w:rsid w:val="005E678D"/>
    <w:rsid w:val="005E689D"/>
    <w:rsid w:val="005F0164"/>
    <w:rsid w:val="005F0B20"/>
    <w:rsid w:val="005F1020"/>
    <w:rsid w:val="005F17E2"/>
    <w:rsid w:val="005F1BF7"/>
    <w:rsid w:val="005F1F7E"/>
    <w:rsid w:val="005F1F95"/>
    <w:rsid w:val="005F1FB0"/>
    <w:rsid w:val="005F29C0"/>
    <w:rsid w:val="005F2F8B"/>
    <w:rsid w:val="005F395E"/>
    <w:rsid w:val="005F3F45"/>
    <w:rsid w:val="005F4027"/>
    <w:rsid w:val="005F438A"/>
    <w:rsid w:val="005F455C"/>
    <w:rsid w:val="005F4940"/>
    <w:rsid w:val="005F4947"/>
    <w:rsid w:val="005F4FF3"/>
    <w:rsid w:val="005F5095"/>
    <w:rsid w:val="005F53BE"/>
    <w:rsid w:val="005F5763"/>
    <w:rsid w:val="005F57CF"/>
    <w:rsid w:val="005F679C"/>
    <w:rsid w:val="005F6A91"/>
    <w:rsid w:val="005F6BD4"/>
    <w:rsid w:val="005F6D89"/>
    <w:rsid w:val="005F715F"/>
    <w:rsid w:val="005F7640"/>
    <w:rsid w:val="005F7928"/>
    <w:rsid w:val="00600196"/>
    <w:rsid w:val="006001AE"/>
    <w:rsid w:val="00600750"/>
    <w:rsid w:val="00600BDE"/>
    <w:rsid w:val="00601181"/>
    <w:rsid w:val="00601BC3"/>
    <w:rsid w:val="0060258E"/>
    <w:rsid w:val="00602709"/>
    <w:rsid w:val="00604213"/>
    <w:rsid w:val="006042D8"/>
    <w:rsid w:val="006049DB"/>
    <w:rsid w:val="00604C49"/>
    <w:rsid w:val="006052CB"/>
    <w:rsid w:val="006057EA"/>
    <w:rsid w:val="00605AF2"/>
    <w:rsid w:val="00605D9C"/>
    <w:rsid w:val="006069BA"/>
    <w:rsid w:val="00606BBA"/>
    <w:rsid w:val="006073AB"/>
    <w:rsid w:val="00607B52"/>
    <w:rsid w:val="00607C5F"/>
    <w:rsid w:val="00607EC0"/>
    <w:rsid w:val="00610092"/>
    <w:rsid w:val="0061040A"/>
    <w:rsid w:val="006106D0"/>
    <w:rsid w:val="00610704"/>
    <w:rsid w:val="0061143C"/>
    <w:rsid w:val="00611462"/>
    <w:rsid w:val="006115B9"/>
    <w:rsid w:val="006117AA"/>
    <w:rsid w:val="00611B4C"/>
    <w:rsid w:val="00611D25"/>
    <w:rsid w:val="00611FA2"/>
    <w:rsid w:val="00612672"/>
    <w:rsid w:val="0061278A"/>
    <w:rsid w:val="00612BE2"/>
    <w:rsid w:val="00612C3D"/>
    <w:rsid w:val="00613492"/>
    <w:rsid w:val="00614409"/>
    <w:rsid w:val="00614F3C"/>
    <w:rsid w:val="0061546A"/>
    <w:rsid w:val="00615575"/>
    <w:rsid w:val="00615CA6"/>
    <w:rsid w:val="00615EF9"/>
    <w:rsid w:val="00616A6B"/>
    <w:rsid w:val="00616E6C"/>
    <w:rsid w:val="0061703E"/>
    <w:rsid w:val="00617243"/>
    <w:rsid w:val="006174E6"/>
    <w:rsid w:val="0062074F"/>
    <w:rsid w:val="00620ADA"/>
    <w:rsid w:val="00620DD6"/>
    <w:rsid w:val="00620F37"/>
    <w:rsid w:val="0062173B"/>
    <w:rsid w:val="00621C0A"/>
    <w:rsid w:val="00622463"/>
    <w:rsid w:val="0062288A"/>
    <w:rsid w:val="00622A0A"/>
    <w:rsid w:val="00622C9D"/>
    <w:rsid w:val="00622DDF"/>
    <w:rsid w:val="0062303B"/>
    <w:rsid w:val="00623057"/>
    <w:rsid w:val="00623259"/>
    <w:rsid w:val="00623730"/>
    <w:rsid w:val="00623840"/>
    <w:rsid w:val="0062448E"/>
    <w:rsid w:val="006248F5"/>
    <w:rsid w:val="00624B67"/>
    <w:rsid w:val="00625114"/>
    <w:rsid w:val="0062551E"/>
    <w:rsid w:val="00625A0F"/>
    <w:rsid w:val="00625C14"/>
    <w:rsid w:val="00626023"/>
    <w:rsid w:val="00626526"/>
    <w:rsid w:val="00626985"/>
    <w:rsid w:val="006270E3"/>
    <w:rsid w:val="0062748B"/>
    <w:rsid w:val="006274AC"/>
    <w:rsid w:val="00627989"/>
    <w:rsid w:val="00627C51"/>
    <w:rsid w:val="00627D07"/>
    <w:rsid w:val="006305C8"/>
    <w:rsid w:val="00630F8E"/>
    <w:rsid w:val="00631BC2"/>
    <w:rsid w:val="00632574"/>
    <w:rsid w:val="006328C5"/>
    <w:rsid w:val="00632F45"/>
    <w:rsid w:val="006331EA"/>
    <w:rsid w:val="006333C7"/>
    <w:rsid w:val="0063387B"/>
    <w:rsid w:val="006338CF"/>
    <w:rsid w:val="00634575"/>
    <w:rsid w:val="0063493F"/>
    <w:rsid w:val="006350D4"/>
    <w:rsid w:val="00635720"/>
    <w:rsid w:val="00635874"/>
    <w:rsid w:val="00635A9B"/>
    <w:rsid w:val="00635B4D"/>
    <w:rsid w:val="00635CE2"/>
    <w:rsid w:val="0063653D"/>
    <w:rsid w:val="0063661F"/>
    <w:rsid w:val="00636780"/>
    <w:rsid w:val="00636942"/>
    <w:rsid w:val="00636EE0"/>
    <w:rsid w:val="00636F0E"/>
    <w:rsid w:val="00637069"/>
    <w:rsid w:val="006374F0"/>
    <w:rsid w:val="006376B7"/>
    <w:rsid w:val="00637B47"/>
    <w:rsid w:val="00637E07"/>
    <w:rsid w:val="0064000E"/>
    <w:rsid w:val="0064026C"/>
    <w:rsid w:val="00640624"/>
    <w:rsid w:val="00640E09"/>
    <w:rsid w:val="00640EC1"/>
    <w:rsid w:val="00641344"/>
    <w:rsid w:val="00641681"/>
    <w:rsid w:val="00641801"/>
    <w:rsid w:val="006420FC"/>
    <w:rsid w:val="00642CAC"/>
    <w:rsid w:val="00643807"/>
    <w:rsid w:val="006438F3"/>
    <w:rsid w:val="00643B0E"/>
    <w:rsid w:val="00643CA4"/>
    <w:rsid w:val="006446C6"/>
    <w:rsid w:val="006452D9"/>
    <w:rsid w:val="00645364"/>
    <w:rsid w:val="00645A42"/>
    <w:rsid w:val="00645FA2"/>
    <w:rsid w:val="006466E5"/>
    <w:rsid w:val="0064673D"/>
    <w:rsid w:val="00646BD3"/>
    <w:rsid w:val="00647384"/>
    <w:rsid w:val="006474E2"/>
    <w:rsid w:val="00647534"/>
    <w:rsid w:val="00647899"/>
    <w:rsid w:val="006504D5"/>
    <w:rsid w:val="006506D4"/>
    <w:rsid w:val="006507E1"/>
    <w:rsid w:val="006508D0"/>
    <w:rsid w:val="00650BEB"/>
    <w:rsid w:val="00650FED"/>
    <w:rsid w:val="006510C8"/>
    <w:rsid w:val="0065167E"/>
    <w:rsid w:val="00651962"/>
    <w:rsid w:val="00651C13"/>
    <w:rsid w:val="00651D2D"/>
    <w:rsid w:val="00651E50"/>
    <w:rsid w:val="00651EC1"/>
    <w:rsid w:val="00651ED6"/>
    <w:rsid w:val="0065212B"/>
    <w:rsid w:val="00652B89"/>
    <w:rsid w:val="00652EA6"/>
    <w:rsid w:val="00653A1A"/>
    <w:rsid w:val="00653CE3"/>
    <w:rsid w:val="00653EB7"/>
    <w:rsid w:val="0065400B"/>
    <w:rsid w:val="006546DA"/>
    <w:rsid w:val="006548FD"/>
    <w:rsid w:val="00654B55"/>
    <w:rsid w:val="00654C18"/>
    <w:rsid w:val="00654CA6"/>
    <w:rsid w:val="00654EBA"/>
    <w:rsid w:val="00654F69"/>
    <w:rsid w:val="00654F76"/>
    <w:rsid w:val="006552B1"/>
    <w:rsid w:val="006554CA"/>
    <w:rsid w:val="006560F3"/>
    <w:rsid w:val="006568FC"/>
    <w:rsid w:val="00656CF2"/>
    <w:rsid w:val="00656FA8"/>
    <w:rsid w:val="006571D2"/>
    <w:rsid w:val="006571FC"/>
    <w:rsid w:val="0065780D"/>
    <w:rsid w:val="006579B0"/>
    <w:rsid w:val="00657D5C"/>
    <w:rsid w:val="006603F8"/>
    <w:rsid w:val="00661A01"/>
    <w:rsid w:val="00661DB7"/>
    <w:rsid w:val="00662257"/>
    <w:rsid w:val="00662A5E"/>
    <w:rsid w:val="0066327D"/>
    <w:rsid w:val="00663710"/>
    <w:rsid w:val="00663F64"/>
    <w:rsid w:val="00664853"/>
    <w:rsid w:val="00665039"/>
    <w:rsid w:val="0066547E"/>
    <w:rsid w:val="00665715"/>
    <w:rsid w:val="0066633B"/>
    <w:rsid w:val="00666CB2"/>
    <w:rsid w:val="00667406"/>
    <w:rsid w:val="00667C7B"/>
    <w:rsid w:val="0067004B"/>
    <w:rsid w:val="00670157"/>
    <w:rsid w:val="00670783"/>
    <w:rsid w:val="00670BBF"/>
    <w:rsid w:val="00670EA7"/>
    <w:rsid w:val="00671372"/>
    <w:rsid w:val="0067192B"/>
    <w:rsid w:val="00671D3A"/>
    <w:rsid w:val="00672217"/>
    <w:rsid w:val="00672711"/>
    <w:rsid w:val="0067282B"/>
    <w:rsid w:val="00672BF1"/>
    <w:rsid w:val="006733D4"/>
    <w:rsid w:val="00673FEE"/>
    <w:rsid w:val="006740E6"/>
    <w:rsid w:val="006746F1"/>
    <w:rsid w:val="00674808"/>
    <w:rsid w:val="00674CBA"/>
    <w:rsid w:val="006750AA"/>
    <w:rsid w:val="006756CA"/>
    <w:rsid w:val="006756FF"/>
    <w:rsid w:val="0067683A"/>
    <w:rsid w:val="00676BE5"/>
    <w:rsid w:val="00677014"/>
    <w:rsid w:val="00677197"/>
    <w:rsid w:val="006775D8"/>
    <w:rsid w:val="0067760E"/>
    <w:rsid w:val="00677691"/>
    <w:rsid w:val="0067788E"/>
    <w:rsid w:val="0067799B"/>
    <w:rsid w:val="00677B08"/>
    <w:rsid w:val="00677D21"/>
    <w:rsid w:val="00680370"/>
    <w:rsid w:val="0068070F"/>
    <w:rsid w:val="0068073E"/>
    <w:rsid w:val="0068081E"/>
    <w:rsid w:val="0068152D"/>
    <w:rsid w:val="00681690"/>
    <w:rsid w:val="006826E7"/>
    <w:rsid w:val="00682709"/>
    <w:rsid w:val="00682803"/>
    <w:rsid w:val="00682AF6"/>
    <w:rsid w:val="006832DC"/>
    <w:rsid w:val="0068355C"/>
    <w:rsid w:val="00684A99"/>
    <w:rsid w:val="00684B0E"/>
    <w:rsid w:val="006851B3"/>
    <w:rsid w:val="0068522D"/>
    <w:rsid w:val="0068527C"/>
    <w:rsid w:val="0068586A"/>
    <w:rsid w:val="00685DE1"/>
    <w:rsid w:val="00685F71"/>
    <w:rsid w:val="006865B7"/>
    <w:rsid w:val="00686C1D"/>
    <w:rsid w:val="00686C60"/>
    <w:rsid w:val="00687AF0"/>
    <w:rsid w:val="00687F47"/>
    <w:rsid w:val="0069012B"/>
    <w:rsid w:val="006902AD"/>
    <w:rsid w:val="00690476"/>
    <w:rsid w:val="006906C0"/>
    <w:rsid w:val="006907B0"/>
    <w:rsid w:val="00690997"/>
    <w:rsid w:val="00690B16"/>
    <w:rsid w:val="00690BEC"/>
    <w:rsid w:val="00690F43"/>
    <w:rsid w:val="006916F4"/>
    <w:rsid w:val="0069219B"/>
    <w:rsid w:val="00692A63"/>
    <w:rsid w:val="0069384B"/>
    <w:rsid w:val="006938B1"/>
    <w:rsid w:val="00693C39"/>
    <w:rsid w:val="00693C65"/>
    <w:rsid w:val="00694029"/>
    <w:rsid w:val="00694158"/>
    <w:rsid w:val="0069440E"/>
    <w:rsid w:val="006944CA"/>
    <w:rsid w:val="006946E6"/>
    <w:rsid w:val="00694982"/>
    <w:rsid w:val="00694C55"/>
    <w:rsid w:val="00695154"/>
    <w:rsid w:val="0069522F"/>
    <w:rsid w:val="0069541E"/>
    <w:rsid w:val="00695D43"/>
    <w:rsid w:val="00696390"/>
    <w:rsid w:val="00696ACB"/>
    <w:rsid w:val="00696F97"/>
    <w:rsid w:val="00697741"/>
    <w:rsid w:val="00697984"/>
    <w:rsid w:val="006A00CC"/>
    <w:rsid w:val="006A0347"/>
    <w:rsid w:val="006A0C68"/>
    <w:rsid w:val="006A0E77"/>
    <w:rsid w:val="006A0FA0"/>
    <w:rsid w:val="006A108B"/>
    <w:rsid w:val="006A14B5"/>
    <w:rsid w:val="006A158F"/>
    <w:rsid w:val="006A17B2"/>
    <w:rsid w:val="006A1A70"/>
    <w:rsid w:val="006A1CD3"/>
    <w:rsid w:val="006A1FCD"/>
    <w:rsid w:val="006A2A96"/>
    <w:rsid w:val="006A2CE1"/>
    <w:rsid w:val="006A2FEB"/>
    <w:rsid w:val="006A3136"/>
    <w:rsid w:val="006A371B"/>
    <w:rsid w:val="006A3C20"/>
    <w:rsid w:val="006A4293"/>
    <w:rsid w:val="006A4793"/>
    <w:rsid w:val="006A4B82"/>
    <w:rsid w:val="006A4C43"/>
    <w:rsid w:val="006A55D1"/>
    <w:rsid w:val="006A6243"/>
    <w:rsid w:val="006A6289"/>
    <w:rsid w:val="006A6AD7"/>
    <w:rsid w:val="006A753E"/>
    <w:rsid w:val="006A78E0"/>
    <w:rsid w:val="006A7D81"/>
    <w:rsid w:val="006A7FD8"/>
    <w:rsid w:val="006B008F"/>
    <w:rsid w:val="006B0660"/>
    <w:rsid w:val="006B0F5A"/>
    <w:rsid w:val="006B16B5"/>
    <w:rsid w:val="006B1C75"/>
    <w:rsid w:val="006B1F85"/>
    <w:rsid w:val="006B244F"/>
    <w:rsid w:val="006B301B"/>
    <w:rsid w:val="006B3580"/>
    <w:rsid w:val="006B3595"/>
    <w:rsid w:val="006B37C8"/>
    <w:rsid w:val="006B3E2E"/>
    <w:rsid w:val="006B3F66"/>
    <w:rsid w:val="006B485B"/>
    <w:rsid w:val="006B5D2C"/>
    <w:rsid w:val="006B615F"/>
    <w:rsid w:val="006B63AE"/>
    <w:rsid w:val="006B63B4"/>
    <w:rsid w:val="006B6626"/>
    <w:rsid w:val="006B700E"/>
    <w:rsid w:val="006B77E8"/>
    <w:rsid w:val="006B7D2C"/>
    <w:rsid w:val="006C017B"/>
    <w:rsid w:val="006C02EA"/>
    <w:rsid w:val="006C06AD"/>
    <w:rsid w:val="006C08FB"/>
    <w:rsid w:val="006C0CDE"/>
    <w:rsid w:val="006C24DC"/>
    <w:rsid w:val="006C2814"/>
    <w:rsid w:val="006C2F4A"/>
    <w:rsid w:val="006C2F83"/>
    <w:rsid w:val="006C35A5"/>
    <w:rsid w:val="006C36BE"/>
    <w:rsid w:val="006C36CF"/>
    <w:rsid w:val="006C3FCC"/>
    <w:rsid w:val="006C4389"/>
    <w:rsid w:val="006C46AA"/>
    <w:rsid w:val="006C485A"/>
    <w:rsid w:val="006C4DED"/>
    <w:rsid w:val="006C50CE"/>
    <w:rsid w:val="006C51C1"/>
    <w:rsid w:val="006C53B0"/>
    <w:rsid w:val="006C5531"/>
    <w:rsid w:val="006C5929"/>
    <w:rsid w:val="006C59AC"/>
    <w:rsid w:val="006C6264"/>
    <w:rsid w:val="006C6636"/>
    <w:rsid w:val="006C6B41"/>
    <w:rsid w:val="006C6CCC"/>
    <w:rsid w:val="006C6F44"/>
    <w:rsid w:val="006C71F1"/>
    <w:rsid w:val="006C72B2"/>
    <w:rsid w:val="006C7345"/>
    <w:rsid w:val="006C7435"/>
    <w:rsid w:val="006C766A"/>
    <w:rsid w:val="006D05EE"/>
    <w:rsid w:val="006D05FD"/>
    <w:rsid w:val="006D1023"/>
    <w:rsid w:val="006D1CC2"/>
    <w:rsid w:val="006D20AF"/>
    <w:rsid w:val="006D299B"/>
    <w:rsid w:val="006D29B1"/>
    <w:rsid w:val="006D2A2C"/>
    <w:rsid w:val="006D327A"/>
    <w:rsid w:val="006D357D"/>
    <w:rsid w:val="006D3913"/>
    <w:rsid w:val="006D3ED9"/>
    <w:rsid w:val="006D46D2"/>
    <w:rsid w:val="006D4852"/>
    <w:rsid w:val="006D48AB"/>
    <w:rsid w:val="006D5371"/>
    <w:rsid w:val="006D588B"/>
    <w:rsid w:val="006D5E9B"/>
    <w:rsid w:val="006D60F8"/>
    <w:rsid w:val="006D6658"/>
    <w:rsid w:val="006D690C"/>
    <w:rsid w:val="006D6986"/>
    <w:rsid w:val="006D6C91"/>
    <w:rsid w:val="006E02E5"/>
    <w:rsid w:val="006E038F"/>
    <w:rsid w:val="006E0407"/>
    <w:rsid w:val="006E08EC"/>
    <w:rsid w:val="006E0C4E"/>
    <w:rsid w:val="006E121C"/>
    <w:rsid w:val="006E1558"/>
    <w:rsid w:val="006E1592"/>
    <w:rsid w:val="006E1D63"/>
    <w:rsid w:val="006E205B"/>
    <w:rsid w:val="006E2296"/>
    <w:rsid w:val="006E243E"/>
    <w:rsid w:val="006E2649"/>
    <w:rsid w:val="006E2BEA"/>
    <w:rsid w:val="006E2BF1"/>
    <w:rsid w:val="006E2CB9"/>
    <w:rsid w:val="006E322A"/>
    <w:rsid w:val="006E35AB"/>
    <w:rsid w:val="006E3885"/>
    <w:rsid w:val="006E3B37"/>
    <w:rsid w:val="006E3E2F"/>
    <w:rsid w:val="006E44F6"/>
    <w:rsid w:val="006E5CD2"/>
    <w:rsid w:val="006E6215"/>
    <w:rsid w:val="006E63E1"/>
    <w:rsid w:val="006E651B"/>
    <w:rsid w:val="006E675C"/>
    <w:rsid w:val="006E706D"/>
    <w:rsid w:val="006E7B41"/>
    <w:rsid w:val="006F078D"/>
    <w:rsid w:val="006F0B0E"/>
    <w:rsid w:val="006F1292"/>
    <w:rsid w:val="006F1355"/>
    <w:rsid w:val="006F199E"/>
    <w:rsid w:val="006F1AD1"/>
    <w:rsid w:val="006F1B9F"/>
    <w:rsid w:val="006F1D7B"/>
    <w:rsid w:val="006F2D13"/>
    <w:rsid w:val="006F3028"/>
    <w:rsid w:val="006F310A"/>
    <w:rsid w:val="006F31BB"/>
    <w:rsid w:val="006F4C15"/>
    <w:rsid w:val="006F4F3B"/>
    <w:rsid w:val="006F54D9"/>
    <w:rsid w:val="006F580B"/>
    <w:rsid w:val="006F5DF1"/>
    <w:rsid w:val="006F5E9C"/>
    <w:rsid w:val="006F5EFB"/>
    <w:rsid w:val="006F6116"/>
    <w:rsid w:val="006F6179"/>
    <w:rsid w:val="006F62DB"/>
    <w:rsid w:val="006F6354"/>
    <w:rsid w:val="006F6380"/>
    <w:rsid w:val="006F63B4"/>
    <w:rsid w:val="006F66DA"/>
    <w:rsid w:val="006F6822"/>
    <w:rsid w:val="006F6975"/>
    <w:rsid w:val="006F6FE2"/>
    <w:rsid w:val="006F7892"/>
    <w:rsid w:val="007012E7"/>
    <w:rsid w:val="007016F8"/>
    <w:rsid w:val="0070181C"/>
    <w:rsid w:val="0070194D"/>
    <w:rsid w:val="00701B34"/>
    <w:rsid w:val="007021A7"/>
    <w:rsid w:val="0070232F"/>
    <w:rsid w:val="007024F4"/>
    <w:rsid w:val="00702571"/>
    <w:rsid w:val="00702983"/>
    <w:rsid w:val="00703109"/>
    <w:rsid w:val="0070350C"/>
    <w:rsid w:val="00703792"/>
    <w:rsid w:val="00703848"/>
    <w:rsid w:val="00703BE5"/>
    <w:rsid w:val="00704179"/>
    <w:rsid w:val="0070435B"/>
    <w:rsid w:val="00704365"/>
    <w:rsid w:val="00704B74"/>
    <w:rsid w:val="00704FB3"/>
    <w:rsid w:val="007054C5"/>
    <w:rsid w:val="0070586B"/>
    <w:rsid w:val="00705A85"/>
    <w:rsid w:val="00705ADC"/>
    <w:rsid w:val="00706B49"/>
    <w:rsid w:val="00707060"/>
    <w:rsid w:val="0070769B"/>
    <w:rsid w:val="0070786F"/>
    <w:rsid w:val="0070796A"/>
    <w:rsid w:val="007079C5"/>
    <w:rsid w:val="00707BAA"/>
    <w:rsid w:val="00707D10"/>
    <w:rsid w:val="00707FFC"/>
    <w:rsid w:val="007102B7"/>
    <w:rsid w:val="007102B9"/>
    <w:rsid w:val="00710384"/>
    <w:rsid w:val="00710CD5"/>
    <w:rsid w:val="00710E3A"/>
    <w:rsid w:val="00710E6D"/>
    <w:rsid w:val="00711075"/>
    <w:rsid w:val="007111EC"/>
    <w:rsid w:val="0071151C"/>
    <w:rsid w:val="00711924"/>
    <w:rsid w:val="00711BCE"/>
    <w:rsid w:val="00711D40"/>
    <w:rsid w:val="00712067"/>
    <w:rsid w:val="007123F9"/>
    <w:rsid w:val="007127F9"/>
    <w:rsid w:val="007129A8"/>
    <w:rsid w:val="00712F23"/>
    <w:rsid w:val="0071318A"/>
    <w:rsid w:val="0071342D"/>
    <w:rsid w:val="00713433"/>
    <w:rsid w:val="00713586"/>
    <w:rsid w:val="00713D32"/>
    <w:rsid w:val="0071431F"/>
    <w:rsid w:val="0071446F"/>
    <w:rsid w:val="00714F6B"/>
    <w:rsid w:val="00714FA0"/>
    <w:rsid w:val="00714FC3"/>
    <w:rsid w:val="007154CA"/>
    <w:rsid w:val="00715627"/>
    <w:rsid w:val="0071569B"/>
    <w:rsid w:val="00715BA0"/>
    <w:rsid w:val="00715E04"/>
    <w:rsid w:val="00715EE9"/>
    <w:rsid w:val="007164E6"/>
    <w:rsid w:val="00716C05"/>
    <w:rsid w:val="00716D30"/>
    <w:rsid w:val="007173EA"/>
    <w:rsid w:val="007209B5"/>
    <w:rsid w:val="00720BC8"/>
    <w:rsid w:val="00720F8B"/>
    <w:rsid w:val="00721202"/>
    <w:rsid w:val="0072145C"/>
    <w:rsid w:val="00722201"/>
    <w:rsid w:val="007223E6"/>
    <w:rsid w:val="007228F4"/>
    <w:rsid w:val="00722A31"/>
    <w:rsid w:val="00722E24"/>
    <w:rsid w:val="007232A1"/>
    <w:rsid w:val="007236D1"/>
    <w:rsid w:val="00723FE9"/>
    <w:rsid w:val="007246B2"/>
    <w:rsid w:val="00724A71"/>
    <w:rsid w:val="00724C57"/>
    <w:rsid w:val="00725132"/>
    <w:rsid w:val="00725182"/>
    <w:rsid w:val="00725953"/>
    <w:rsid w:val="007259AC"/>
    <w:rsid w:val="00725A9F"/>
    <w:rsid w:val="00725C00"/>
    <w:rsid w:val="00726D3B"/>
    <w:rsid w:val="0072731E"/>
    <w:rsid w:val="0072746C"/>
    <w:rsid w:val="00727509"/>
    <w:rsid w:val="00727944"/>
    <w:rsid w:val="007305CA"/>
    <w:rsid w:val="007308E8"/>
    <w:rsid w:val="00730A67"/>
    <w:rsid w:val="00731577"/>
    <w:rsid w:val="0073172F"/>
    <w:rsid w:val="007323AE"/>
    <w:rsid w:val="0073261F"/>
    <w:rsid w:val="00732765"/>
    <w:rsid w:val="0073282E"/>
    <w:rsid w:val="00732CAA"/>
    <w:rsid w:val="00732F95"/>
    <w:rsid w:val="00733484"/>
    <w:rsid w:val="007336F0"/>
    <w:rsid w:val="00733729"/>
    <w:rsid w:val="007339F4"/>
    <w:rsid w:val="00733BFB"/>
    <w:rsid w:val="00733F6D"/>
    <w:rsid w:val="007347B9"/>
    <w:rsid w:val="007349BD"/>
    <w:rsid w:val="00734E22"/>
    <w:rsid w:val="00735149"/>
    <w:rsid w:val="00736365"/>
    <w:rsid w:val="00736AA6"/>
    <w:rsid w:val="0073744A"/>
    <w:rsid w:val="0073781E"/>
    <w:rsid w:val="007378D5"/>
    <w:rsid w:val="00737C09"/>
    <w:rsid w:val="00737DA7"/>
    <w:rsid w:val="0074015D"/>
    <w:rsid w:val="00740320"/>
    <w:rsid w:val="00740706"/>
    <w:rsid w:val="00740A05"/>
    <w:rsid w:val="00740FBD"/>
    <w:rsid w:val="00741213"/>
    <w:rsid w:val="0074178F"/>
    <w:rsid w:val="00742458"/>
    <w:rsid w:val="00742B0A"/>
    <w:rsid w:val="00742C05"/>
    <w:rsid w:val="00742DD5"/>
    <w:rsid w:val="00742E86"/>
    <w:rsid w:val="007433B6"/>
    <w:rsid w:val="00743495"/>
    <w:rsid w:val="007438B9"/>
    <w:rsid w:val="00743AAD"/>
    <w:rsid w:val="00743CB7"/>
    <w:rsid w:val="00744A45"/>
    <w:rsid w:val="00744DD0"/>
    <w:rsid w:val="007450DD"/>
    <w:rsid w:val="00745A46"/>
    <w:rsid w:val="00745B1A"/>
    <w:rsid w:val="00746516"/>
    <w:rsid w:val="0074701F"/>
    <w:rsid w:val="00747511"/>
    <w:rsid w:val="00747DEE"/>
    <w:rsid w:val="007505D3"/>
    <w:rsid w:val="00750808"/>
    <w:rsid w:val="00750F93"/>
    <w:rsid w:val="0075171A"/>
    <w:rsid w:val="00751DAB"/>
    <w:rsid w:val="007525EB"/>
    <w:rsid w:val="0075270B"/>
    <w:rsid w:val="00752AD8"/>
    <w:rsid w:val="00752C83"/>
    <w:rsid w:val="0075306A"/>
    <w:rsid w:val="00753399"/>
    <w:rsid w:val="00753720"/>
    <w:rsid w:val="00753C79"/>
    <w:rsid w:val="00754691"/>
    <w:rsid w:val="00754C2E"/>
    <w:rsid w:val="00754F07"/>
    <w:rsid w:val="00755962"/>
    <w:rsid w:val="00755D13"/>
    <w:rsid w:val="0075644C"/>
    <w:rsid w:val="00756AEA"/>
    <w:rsid w:val="00756D90"/>
    <w:rsid w:val="007571BE"/>
    <w:rsid w:val="00757279"/>
    <w:rsid w:val="00757C81"/>
    <w:rsid w:val="00757D58"/>
    <w:rsid w:val="00757F79"/>
    <w:rsid w:val="00760162"/>
    <w:rsid w:val="0076052C"/>
    <w:rsid w:val="0076081F"/>
    <w:rsid w:val="0076086A"/>
    <w:rsid w:val="00760B26"/>
    <w:rsid w:val="00760D65"/>
    <w:rsid w:val="00760FA5"/>
    <w:rsid w:val="007615D5"/>
    <w:rsid w:val="007616F1"/>
    <w:rsid w:val="0076187E"/>
    <w:rsid w:val="00761D2B"/>
    <w:rsid w:val="00762692"/>
    <w:rsid w:val="007628C2"/>
    <w:rsid w:val="00762A6B"/>
    <w:rsid w:val="00762AB1"/>
    <w:rsid w:val="0076337D"/>
    <w:rsid w:val="0076392D"/>
    <w:rsid w:val="00763CF0"/>
    <w:rsid w:val="007640A6"/>
    <w:rsid w:val="007641E3"/>
    <w:rsid w:val="007644C4"/>
    <w:rsid w:val="007648D3"/>
    <w:rsid w:val="00764B27"/>
    <w:rsid w:val="00764E05"/>
    <w:rsid w:val="00765125"/>
    <w:rsid w:val="00765344"/>
    <w:rsid w:val="00765516"/>
    <w:rsid w:val="0076585A"/>
    <w:rsid w:val="00765B45"/>
    <w:rsid w:val="007667DD"/>
    <w:rsid w:val="00766A45"/>
    <w:rsid w:val="0077089F"/>
    <w:rsid w:val="007709CE"/>
    <w:rsid w:val="00770A44"/>
    <w:rsid w:val="00770CFC"/>
    <w:rsid w:val="00770E93"/>
    <w:rsid w:val="0077147B"/>
    <w:rsid w:val="0077181B"/>
    <w:rsid w:val="00771D2C"/>
    <w:rsid w:val="00771DB7"/>
    <w:rsid w:val="00772990"/>
    <w:rsid w:val="00772CC1"/>
    <w:rsid w:val="00772D7C"/>
    <w:rsid w:val="00772DF4"/>
    <w:rsid w:val="00772E6F"/>
    <w:rsid w:val="00773363"/>
    <w:rsid w:val="007736B7"/>
    <w:rsid w:val="007739C9"/>
    <w:rsid w:val="007739EC"/>
    <w:rsid w:val="00773B37"/>
    <w:rsid w:val="00773CAC"/>
    <w:rsid w:val="00774420"/>
    <w:rsid w:val="00774896"/>
    <w:rsid w:val="00774AD0"/>
    <w:rsid w:val="0077543C"/>
    <w:rsid w:val="00775520"/>
    <w:rsid w:val="00775723"/>
    <w:rsid w:val="00775F43"/>
    <w:rsid w:val="00775F8B"/>
    <w:rsid w:val="00775FA2"/>
    <w:rsid w:val="00776485"/>
    <w:rsid w:val="00776617"/>
    <w:rsid w:val="00776923"/>
    <w:rsid w:val="00776C3E"/>
    <w:rsid w:val="00776EDF"/>
    <w:rsid w:val="0077726A"/>
    <w:rsid w:val="007774D8"/>
    <w:rsid w:val="007777A8"/>
    <w:rsid w:val="007778AE"/>
    <w:rsid w:val="00777BDB"/>
    <w:rsid w:val="00777C21"/>
    <w:rsid w:val="007804B1"/>
    <w:rsid w:val="00780A4E"/>
    <w:rsid w:val="00780E92"/>
    <w:rsid w:val="0078105E"/>
    <w:rsid w:val="007810B4"/>
    <w:rsid w:val="0078125C"/>
    <w:rsid w:val="00781760"/>
    <w:rsid w:val="00781F8E"/>
    <w:rsid w:val="00782157"/>
    <w:rsid w:val="00782221"/>
    <w:rsid w:val="00782470"/>
    <w:rsid w:val="00782766"/>
    <w:rsid w:val="00782847"/>
    <w:rsid w:val="00782BE5"/>
    <w:rsid w:val="00783664"/>
    <w:rsid w:val="00783C17"/>
    <w:rsid w:val="0078435F"/>
    <w:rsid w:val="00784419"/>
    <w:rsid w:val="007851CF"/>
    <w:rsid w:val="00785530"/>
    <w:rsid w:val="00785903"/>
    <w:rsid w:val="00785CD7"/>
    <w:rsid w:val="00785FDA"/>
    <w:rsid w:val="007861C4"/>
    <w:rsid w:val="00786279"/>
    <w:rsid w:val="007869A7"/>
    <w:rsid w:val="00786D84"/>
    <w:rsid w:val="00786F1B"/>
    <w:rsid w:val="0078746D"/>
    <w:rsid w:val="007875BE"/>
    <w:rsid w:val="007875E0"/>
    <w:rsid w:val="007879E7"/>
    <w:rsid w:val="00787CB5"/>
    <w:rsid w:val="00787F93"/>
    <w:rsid w:val="0079065B"/>
    <w:rsid w:val="00790F46"/>
    <w:rsid w:val="0079106F"/>
    <w:rsid w:val="00791956"/>
    <w:rsid w:val="00791E20"/>
    <w:rsid w:val="00792243"/>
    <w:rsid w:val="007922B6"/>
    <w:rsid w:val="0079267B"/>
    <w:rsid w:val="00792F11"/>
    <w:rsid w:val="007933BB"/>
    <w:rsid w:val="00793AE7"/>
    <w:rsid w:val="00793F3B"/>
    <w:rsid w:val="00793FF4"/>
    <w:rsid w:val="0079416F"/>
    <w:rsid w:val="00794364"/>
    <w:rsid w:val="00794D83"/>
    <w:rsid w:val="0079538F"/>
    <w:rsid w:val="007953CC"/>
    <w:rsid w:val="00796348"/>
    <w:rsid w:val="00796AEE"/>
    <w:rsid w:val="00796CCD"/>
    <w:rsid w:val="00797296"/>
    <w:rsid w:val="00797386"/>
    <w:rsid w:val="0079769D"/>
    <w:rsid w:val="007978DE"/>
    <w:rsid w:val="007979E3"/>
    <w:rsid w:val="00797B48"/>
    <w:rsid w:val="00797C78"/>
    <w:rsid w:val="007A090A"/>
    <w:rsid w:val="007A15FA"/>
    <w:rsid w:val="007A17DF"/>
    <w:rsid w:val="007A20E1"/>
    <w:rsid w:val="007A237F"/>
    <w:rsid w:val="007A25E8"/>
    <w:rsid w:val="007A31DD"/>
    <w:rsid w:val="007A341F"/>
    <w:rsid w:val="007A355E"/>
    <w:rsid w:val="007A3C77"/>
    <w:rsid w:val="007A3F0B"/>
    <w:rsid w:val="007A4394"/>
    <w:rsid w:val="007A43B2"/>
    <w:rsid w:val="007A45FD"/>
    <w:rsid w:val="007A4B65"/>
    <w:rsid w:val="007A4F47"/>
    <w:rsid w:val="007A505D"/>
    <w:rsid w:val="007A5152"/>
    <w:rsid w:val="007A545C"/>
    <w:rsid w:val="007A5A8C"/>
    <w:rsid w:val="007A6343"/>
    <w:rsid w:val="007A6406"/>
    <w:rsid w:val="007A646B"/>
    <w:rsid w:val="007A6540"/>
    <w:rsid w:val="007A69BF"/>
    <w:rsid w:val="007A6AC3"/>
    <w:rsid w:val="007A6D8A"/>
    <w:rsid w:val="007A7A08"/>
    <w:rsid w:val="007B03C8"/>
    <w:rsid w:val="007B05C7"/>
    <w:rsid w:val="007B0AA6"/>
    <w:rsid w:val="007B0D96"/>
    <w:rsid w:val="007B0E4E"/>
    <w:rsid w:val="007B1220"/>
    <w:rsid w:val="007B1419"/>
    <w:rsid w:val="007B1454"/>
    <w:rsid w:val="007B1787"/>
    <w:rsid w:val="007B2935"/>
    <w:rsid w:val="007B2A6B"/>
    <w:rsid w:val="007B2AB6"/>
    <w:rsid w:val="007B2EB2"/>
    <w:rsid w:val="007B3371"/>
    <w:rsid w:val="007B339C"/>
    <w:rsid w:val="007B3E37"/>
    <w:rsid w:val="007B3EA3"/>
    <w:rsid w:val="007B3ECD"/>
    <w:rsid w:val="007B3FCB"/>
    <w:rsid w:val="007B4344"/>
    <w:rsid w:val="007B4392"/>
    <w:rsid w:val="007B4F6C"/>
    <w:rsid w:val="007B5472"/>
    <w:rsid w:val="007B54C7"/>
    <w:rsid w:val="007B5B3A"/>
    <w:rsid w:val="007B5B94"/>
    <w:rsid w:val="007B5D1A"/>
    <w:rsid w:val="007B601A"/>
    <w:rsid w:val="007B60AE"/>
    <w:rsid w:val="007B66DE"/>
    <w:rsid w:val="007B6808"/>
    <w:rsid w:val="007B724D"/>
    <w:rsid w:val="007B7341"/>
    <w:rsid w:val="007B740F"/>
    <w:rsid w:val="007B76AD"/>
    <w:rsid w:val="007B78B4"/>
    <w:rsid w:val="007B78DE"/>
    <w:rsid w:val="007B7C7E"/>
    <w:rsid w:val="007B7DFD"/>
    <w:rsid w:val="007B7F79"/>
    <w:rsid w:val="007C00B0"/>
    <w:rsid w:val="007C018D"/>
    <w:rsid w:val="007C02E2"/>
    <w:rsid w:val="007C042C"/>
    <w:rsid w:val="007C0BCC"/>
    <w:rsid w:val="007C2016"/>
    <w:rsid w:val="007C2557"/>
    <w:rsid w:val="007C264A"/>
    <w:rsid w:val="007C2732"/>
    <w:rsid w:val="007C277F"/>
    <w:rsid w:val="007C29BC"/>
    <w:rsid w:val="007C2B5F"/>
    <w:rsid w:val="007C3098"/>
    <w:rsid w:val="007C3EFA"/>
    <w:rsid w:val="007C4122"/>
    <w:rsid w:val="007C4735"/>
    <w:rsid w:val="007C49E1"/>
    <w:rsid w:val="007C4A4F"/>
    <w:rsid w:val="007C4AD2"/>
    <w:rsid w:val="007C5084"/>
    <w:rsid w:val="007C50BB"/>
    <w:rsid w:val="007C50C2"/>
    <w:rsid w:val="007C51F4"/>
    <w:rsid w:val="007C5B9E"/>
    <w:rsid w:val="007C60D9"/>
    <w:rsid w:val="007C64E5"/>
    <w:rsid w:val="007C6CD7"/>
    <w:rsid w:val="007C7571"/>
    <w:rsid w:val="007D0309"/>
    <w:rsid w:val="007D04E1"/>
    <w:rsid w:val="007D0FB2"/>
    <w:rsid w:val="007D105A"/>
    <w:rsid w:val="007D1068"/>
    <w:rsid w:val="007D1529"/>
    <w:rsid w:val="007D1766"/>
    <w:rsid w:val="007D1828"/>
    <w:rsid w:val="007D2669"/>
    <w:rsid w:val="007D3477"/>
    <w:rsid w:val="007D37BA"/>
    <w:rsid w:val="007D3C65"/>
    <w:rsid w:val="007D4377"/>
    <w:rsid w:val="007D4E2D"/>
    <w:rsid w:val="007D4E3B"/>
    <w:rsid w:val="007D4E60"/>
    <w:rsid w:val="007D521C"/>
    <w:rsid w:val="007D58CE"/>
    <w:rsid w:val="007D5D02"/>
    <w:rsid w:val="007D5E4C"/>
    <w:rsid w:val="007D6600"/>
    <w:rsid w:val="007D689E"/>
    <w:rsid w:val="007D6FD7"/>
    <w:rsid w:val="007D7121"/>
    <w:rsid w:val="007D754E"/>
    <w:rsid w:val="007D7F1E"/>
    <w:rsid w:val="007E02D0"/>
    <w:rsid w:val="007E04FC"/>
    <w:rsid w:val="007E0690"/>
    <w:rsid w:val="007E096B"/>
    <w:rsid w:val="007E0C80"/>
    <w:rsid w:val="007E0FA0"/>
    <w:rsid w:val="007E108E"/>
    <w:rsid w:val="007E1AE2"/>
    <w:rsid w:val="007E1B5F"/>
    <w:rsid w:val="007E1C4E"/>
    <w:rsid w:val="007E1C70"/>
    <w:rsid w:val="007E1D29"/>
    <w:rsid w:val="007E1E24"/>
    <w:rsid w:val="007E1FBD"/>
    <w:rsid w:val="007E21B5"/>
    <w:rsid w:val="007E24D7"/>
    <w:rsid w:val="007E2A4A"/>
    <w:rsid w:val="007E2D07"/>
    <w:rsid w:val="007E3B20"/>
    <w:rsid w:val="007E3BDE"/>
    <w:rsid w:val="007E3ED3"/>
    <w:rsid w:val="007E4604"/>
    <w:rsid w:val="007E46D9"/>
    <w:rsid w:val="007E4EB5"/>
    <w:rsid w:val="007E5311"/>
    <w:rsid w:val="007E53DA"/>
    <w:rsid w:val="007E558C"/>
    <w:rsid w:val="007E5AE1"/>
    <w:rsid w:val="007E5EC3"/>
    <w:rsid w:val="007E653A"/>
    <w:rsid w:val="007E68EA"/>
    <w:rsid w:val="007E6A0C"/>
    <w:rsid w:val="007E6BA1"/>
    <w:rsid w:val="007E6BCF"/>
    <w:rsid w:val="007E6D6D"/>
    <w:rsid w:val="007E6D8A"/>
    <w:rsid w:val="007E6EB7"/>
    <w:rsid w:val="007E7037"/>
    <w:rsid w:val="007E72FC"/>
    <w:rsid w:val="007E7D7A"/>
    <w:rsid w:val="007F00C8"/>
    <w:rsid w:val="007F050C"/>
    <w:rsid w:val="007F059A"/>
    <w:rsid w:val="007F0D92"/>
    <w:rsid w:val="007F1060"/>
    <w:rsid w:val="007F1F1E"/>
    <w:rsid w:val="007F2572"/>
    <w:rsid w:val="007F259A"/>
    <w:rsid w:val="007F3778"/>
    <w:rsid w:val="007F38FF"/>
    <w:rsid w:val="007F3C32"/>
    <w:rsid w:val="007F3E4A"/>
    <w:rsid w:val="007F3EA2"/>
    <w:rsid w:val="007F4181"/>
    <w:rsid w:val="007F44D2"/>
    <w:rsid w:val="007F469F"/>
    <w:rsid w:val="007F46D7"/>
    <w:rsid w:val="007F4B1A"/>
    <w:rsid w:val="007F5245"/>
    <w:rsid w:val="007F5595"/>
    <w:rsid w:val="007F5F77"/>
    <w:rsid w:val="007F62BA"/>
    <w:rsid w:val="007F6416"/>
    <w:rsid w:val="007F686F"/>
    <w:rsid w:val="007F6E0E"/>
    <w:rsid w:val="007F7A78"/>
    <w:rsid w:val="00800010"/>
    <w:rsid w:val="00800268"/>
    <w:rsid w:val="0080063D"/>
    <w:rsid w:val="008007D3"/>
    <w:rsid w:val="00800A59"/>
    <w:rsid w:val="00800B52"/>
    <w:rsid w:val="00800E2A"/>
    <w:rsid w:val="00800F7A"/>
    <w:rsid w:val="008013BC"/>
    <w:rsid w:val="00801629"/>
    <w:rsid w:val="00801653"/>
    <w:rsid w:val="008016E6"/>
    <w:rsid w:val="00801BBD"/>
    <w:rsid w:val="00801D1D"/>
    <w:rsid w:val="00802480"/>
    <w:rsid w:val="00802746"/>
    <w:rsid w:val="00802E9E"/>
    <w:rsid w:val="0080332D"/>
    <w:rsid w:val="008034D2"/>
    <w:rsid w:val="008034EE"/>
    <w:rsid w:val="0080375E"/>
    <w:rsid w:val="00803836"/>
    <w:rsid w:val="00803E45"/>
    <w:rsid w:val="00803EAC"/>
    <w:rsid w:val="00803F7C"/>
    <w:rsid w:val="0080413A"/>
    <w:rsid w:val="00804324"/>
    <w:rsid w:val="00804413"/>
    <w:rsid w:val="008046CD"/>
    <w:rsid w:val="00804BCB"/>
    <w:rsid w:val="00804C97"/>
    <w:rsid w:val="00804CB8"/>
    <w:rsid w:val="00805106"/>
    <w:rsid w:val="008054CB"/>
    <w:rsid w:val="00805561"/>
    <w:rsid w:val="008056A1"/>
    <w:rsid w:val="00805CF7"/>
    <w:rsid w:val="00805EEB"/>
    <w:rsid w:val="00806492"/>
    <w:rsid w:val="0080761D"/>
    <w:rsid w:val="00807774"/>
    <w:rsid w:val="00807C7C"/>
    <w:rsid w:val="00807F03"/>
    <w:rsid w:val="008105D7"/>
    <w:rsid w:val="00810C30"/>
    <w:rsid w:val="00810D44"/>
    <w:rsid w:val="00811995"/>
    <w:rsid w:val="00812151"/>
    <w:rsid w:val="008123E4"/>
    <w:rsid w:val="00812DCD"/>
    <w:rsid w:val="00812DFF"/>
    <w:rsid w:val="00813073"/>
    <w:rsid w:val="0081371A"/>
    <w:rsid w:val="00813720"/>
    <w:rsid w:val="008138F2"/>
    <w:rsid w:val="00813DE5"/>
    <w:rsid w:val="00814533"/>
    <w:rsid w:val="00814CBB"/>
    <w:rsid w:val="00814D89"/>
    <w:rsid w:val="00814E8C"/>
    <w:rsid w:val="00814FF0"/>
    <w:rsid w:val="0081526D"/>
    <w:rsid w:val="008154A7"/>
    <w:rsid w:val="00815B3A"/>
    <w:rsid w:val="00816183"/>
    <w:rsid w:val="008163FC"/>
    <w:rsid w:val="0081674A"/>
    <w:rsid w:val="00816956"/>
    <w:rsid w:val="008169B5"/>
    <w:rsid w:val="00816C48"/>
    <w:rsid w:val="00816EF4"/>
    <w:rsid w:val="008175D2"/>
    <w:rsid w:val="00817CE4"/>
    <w:rsid w:val="00817DA7"/>
    <w:rsid w:val="00817DD2"/>
    <w:rsid w:val="00820338"/>
    <w:rsid w:val="008206D5"/>
    <w:rsid w:val="008207F7"/>
    <w:rsid w:val="0082088D"/>
    <w:rsid w:val="00821056"/>
    <w:rsid w:val="00821A8F"/>
    <w:rsid w:val="00821B0E"/>
    <w:rsid w:val="00821E44"/>
    <w:rsid w:val="00822E2C"/>
    <w:rsid w:val="0082308D"/>
    <w:rsid w:val="008231D8"/>
    <w:rsid w:val="00823209"/>
    <w:rsid w:val="0082334F"/>
    <w:rsid w:val="008234C1"/>
    <w:rsid w:val="0082403C"/>
    <w:rsid w:val="008241A4"/>
    <w:rsid w:val="0082438F"/>
    <w:rsid w:val="00824587"/>
    <w:rsid w:val="00824600"/>
    <w:rsid w:val="00824638"/>
    <w:rsid w:val="00825332"/>
    <w:rsid w:val="008260F1"/>
    <w:rsid w:val="008261C0"/>
    <w:rsid w:val="008264E3"/>
    <w:rsid w:val="00826543"/>
    <w:rsid w:val="008265E1"/>
    <w:rsid w:val="00826A6B"/>
    <w:rsid w:val="00826C66"/>
    <w:rsid w:val="00826DE1"/>
    <w:rsid w:val="00826F0A"/>
    <w:rsid w:val="00826FDD"/>
    <w:rsid w:val="0082720B"/>
    <w:rsid w:val="008276FA"/>
    <w:rsid w:val="008277B2"/>
    <w:rsid w:val="00827D91"/>
    <w:rsid w:val="00827E22"/>
    <w:rsid w:val="00830000"/>
    <w:rsid w:val="00830877"/>
    <w:rsid w:val="00830C49"/>
    <w:rsid w:val="008310C4"/>
    <w:rsid w:val="008313E5"/>
    <w:rsid w:val="008315D0"/>
    <w:rsid w:val="00831648"/>
    <w:rsid w:val="00831A0A"/>
    <w:rsid w:val="00831DF2"/>
    <w:rsid w:val="00831FEE"/>
    <w:rsid w:val="00832330"/>
    <w:rsid w:val="00832696"/>
    <w:rsid w:val="0083321D"/>
    <w:rsid w:val="008334D4"/>
    <w:rsid w:val="00833501"/>
    <w:rsid w:val="00833579"/>
    <w:rsid w:val="00833C1A"/>
    <w:rsid w:val="0083485F"/>
    <w:rsid w:val="00834A4C"/>
    <w:rsid w:val="00834CD6"/>
    <w:rsid w:val="00834CE0"/>
    <w:rsid w:val="00835757"/>
    <w:rsid w:val="008360ED"/>
    <w:rsid w:val="00836210"/>
    <w:rsid w:val="00836276"/>
    <w:rsid w:val="008368BF"/>
    <w:rsid w:val="00836AF1"/>
    <w:rsid w:val="0083751C"/>
    <w:rsid w:val="00837571"/>
    <w:rsid w:val="00837672"/>
    <w:rsid w:val="00837DEC"/>
    <w:rsid w:val="0084010D"/>
    <w:rsid w:val="008404EB"/>
    <w:rsid w:val="00840644"/>
    <w:rsid w:val="00840D11"/>
    <w:rsid w:val="00841396"/>
    <w:rsid w:val="00841A9B"/>
    <w:rsid w:val="00841EF7"/>
    <w:rsid w:val="00841FE6"/>
    <w:rsid w:val="00842412"/>
    <w:rsid w:val="008426C5"/>
    <w:rsid w:val="008428D2"/>
    <w:rsid w:val="00842C2A"/>
    <w:rsid w:val="008430B8"/>
    <w:rsid w:val="0084332F"/>
    <w:rsid w:val="008433F0"/>
    <w:rsid w:val="0084379E"/>
    <w:rsid w:val="00843A38"/>
    <w:rsid w:val="00843F95"/>
    <w:rsid w:val="00844767"/>
    <w:rsid w:val="008449B2"/>
    <w:rsid w:val="00844A07"/>
    <w:rsid w:val="00845197"/>
    <w:rsid w:val="00845B2D"/>
    <w:rsid w:val="00846031"/>
    <w:rsid w:val="008465AA"/>
    <w:rsid w:val="00847007"/>
    <w:rsid w:val="0084705C"/>
    <w:rsid w:val="00847ABC"/>
    <w:rsid w:val="008502F3"/>
    <w:rsid w:val="00850958"/>
    <w:rsid w:val="00851129"/>
    <w:rsid w:val="008511D1"/>
    <w:rsid w:val="00851306"/>
    <w:rsid w:val="00851692"/>
    <w:rsid w:val="00851E2B"/>
    <w:rsid w:val="0085260B"/>
    <w:rsid w:val="008526F7"/>
    <w:rsid w:val="00852B8C"/>
    <w:rsid w:val="00853347"/>
    <w:rsid w:val="0085342A"/>
    <w:rsid w:val="00853568"/>
    <w:rsid w:val="00854477"/>
    <w:rsid w:val="00854B93"/>
    <w:rsid w:val="00855199"/>
    <w:rsid w:val="00855D58"/>
    <w:rsid w:val="008565B8"/>
    <w:rsid w:val="0085672C"/>
    <w:rsid w:val="008567DB"/>
    <w:rsid w:val="00856BC7"/>
    <w:rsid w:val="00857560"/>
    <w:rsid w:val="008575B7"/>
    <w:rsid w:val="00857602"/>
    <w:rsid w:val="00860628"/>
    <w:rsid w:val="00860FA9"/>
    <w:rsid w:val="008617FA"/>
    <w:rsid w:val="00862277"/>
    <w:rsid w:val="008626D1"/>
    <w:rsid w:val="00862D43"/>
    <w:rsid w:val="00862DBB"/>
    <w:rsid w:val="00862EA8"/>
    <w:rsid w:val="00863FD2"/>
    <w:rsid w:val="0086426E"/>
    <w:rsid w:val="0086435F"/>
    <w:rsid w:val="0086457D"/>
    <w:rsid w:val="008649DF"/>
    <w:rsid w:val="00864C26"/>
    <w:rsid w:val="00864E06"/>
    <w:rsid w:val="0086534E"/>
    <w:rsid w:val="0086541E"/>
    <w:rsid w:val="008657EC"/>
    <w:rsid w:val="00865EB5"/>
    <w:rsid w:val="0086623D"/>
    <w:rsid w:val="0086662A"/>
    <w:rsid w:val="00866A10"/>
    <w:rsid w:val="00866A30"/>
    <w:rsid w:val="0086705B"/>
    <w:rsid w:val="00867529"/>
    <w:rsid w:val="00867B34"/>
    <w:rsid w:val="008701FF"/>
    <w:rsid w:val="00870630"/>
    <w:rsid w:val="00870AD2"/>
    <w:rsid w:val="00871D39"/>
    <w:rsid w:val="00872239"/>
    <w:rsid w:val="00872D6C"/>
    <w:rsid w:val="00872ED2"/>
    <w:rsid w:val="008730CF"/>
    <w:rsid w:val="0087341E"/>
    <w:rsid w:val="00874012"/>
    <w:rsid w:val="00874296"/>
    <w:rsid w:val="00874F3E"/>
    <w:rsid w:val="00875191"/>
    <w:rsid w:val="00875545"/>
    <w:rsid w:val="00875605"/>
    <w:rsid w:val="00875DDC"/>
    <w:rsid w:val="00875DEA"/>
    <w:rsid w:val="0087631E"/>
    <w:rsid w:val="00876B11"/>
    <w:rsid w:val="008773BB"/>
    <w:rsid w:val="008774F2"/>
    <w:rsid w:val="0087761C"/>
    <w:rsid w:val="00880398"/>
    <w:rsid w:val="0088059B"/>
    <w:rsid w:val="0088070D"/>
    <w:rsid w:val="00880D14"/>
    <w:rsid w:val="008810A1"/>
    <w:rsid w:val="008815F5"/>
    <w:rsid w:val="00881B3C"/>
    <w:rsid w:val="00881C1F"/>
    <w:rsid w:val="00881C48"/>
    <w:rsid w:val="00881CBE"/>
    <w:rsid w:val="00882002"/>
    <w:rsid w:val="0088215B"/>
    <w:rsid w:val="008823D0"/>
    <w:rsid w:val="0088349D"/>
    <w:rsid w:val="008838F7"/>
    <w:rsid w:val="00883920"/>
    <w:rsid w:val="00883B93"/>
    <w:rsid w:val="008840CA"/>
    <w:rsid w:val="00884E33"/>
    <w:rsid w:val="008851F6"/>
    <w:rsid w:val="0088577D"/>
    <w:rsid w:val="00885B84"/>
    <w:rsid w:val="00885C94"/>
    <w:rsid w:val="00885CA4"/>
    <w:rsid w:val="00886049"/>
    <w:rsid w:val="0088641E"/>
    <w:rsid w:val="0088669E"/>
    <w:rsid w:val="008871E8"/>
    <w:rsid w:val="00887DA0"/>
    <w:rsid w:val="00890092"/>
    <w:rsid w:val="00890798"/>
    <w:rsid w:val="008909E8"/>
    <w:rsid w:val="00890A33"/>
    <w:rsid w:val="00890D54"/>
    <w:rsid w:val="00890F57"/>
    <w:rsid w:val="00891131"/>
    <w:rsid w:val="008912C0"/>
    <w:rsid w:val="0089175E"/>
    <w:rsid w:val="00891D51"/>
    <w:rsid w:val="008920C6"/>
    <w:rsid w:val="00892107"/>
    <w:rsid w:val="008922FC"/>
    <w:rsid w:val="008925C2"/>
    <w:rsid w:val="00892EBD"/>
    <w:rsid w:val="00892F5D"/>
    <w:rsid w:val="0089359F"/>
    <w:rsid w:val="00893630"/>
    <w:rsid w:val="00893907"/>
    <w:rsid w:val="00893BF4"/>
    <w:rsid w:val="00894081"/>
    <w:rsid w:val="008943D7"/>
    <w:rsid w:val="00894530"/>
    <w:rsid w:val="008948A4"/>
    <w:rsid w:val="00894CDE"/>
    <w:rsid w:val="008950AC"/>
    <w:rsid w:val="008955AE"/>
    <w:rsid w:val="008959E4"/>
    <w:rsid w:val="00895FEC"/>
    <w:rsid w:val="008960B0"/>
    <w:rsid w:val="008962F7"/>
    <w:rsid w:val="00896738"/>
    <w:rsid w:val="00896758"/>
    <w:rsid w:val="00896D6A"/>
    <w:rsid w:val="00897153"/>
    <w:rsid w:val="00897315"/>
    <w:rsid w:val="008979CC"/>
    <w:rsid w:val="00897A62"/>
    <w:rsid w:val="008A019A"/>
    <w:rsid w:val="008A0875"/>
    <w:rsid w:val="008A08F0"/>
    <w:rsid w:val="008A1214"/>
    <w:rsid w:val="008A1B1F"/>
    <w:rsid w:val="008A1D03"/>
    <w:rsid w:val="008A1F89"/>
    <w:rsid w:val="008A245C"/>
    <w:rsid w:val="008A259E"/>
    <w:rsid w:val="008A2A9D"/>
    <w:rsid w:val="008A2E4E"/>
    <w:rsid w:val="008A2EC1"/>
    <w:rsid w:val="008A2F78"/>
    <w:rsid w:val="008A3869"/>
    <w:rsid w:val="008A3997"/>
    <w:rsid w:val="008A3B9C"/>
    <w:rsid w:val="008A45C9"/>
    <w:rsid w:val="008A468A"/>
    <w:rsid w:val="008A4F05"/>
    <w:rsid w:val="008A521A"/>
    <w:rsid w:val="008A55F0"/>
    <w:rsid w:val="008A5C93"/>
    <w:rsid w:val="008A63DD"/>
    <w:rsid w:val="008A6A0E"/>
    <w:rsid w:val="008A6F4A"/>
    <w:rsid w:val="008A739A"/>
    <w:rsid w:val="008A75A5"/>
    <w:rsid w:val="008A7985"/>
    <w:rsid w:val="008A7C70"/>
    <w:rsid w:val="008A7D9A"/>
    <w:rsid w:val="008B081F"/>
    <w:rsid w:val="008B0CE0"/>
    <w:rsid w:val="008B16C0"/>
    <w:rsid w:val="008B28ED"/>
    <w:rsid w:val="008B2989"/>
    <w:rsid w:val="008B2B28"/>
    <w:rsid w:val="008B2D51"/>
    <w:rsid w:val="008B2F35"/>
    <w:rsid w:val="008B301D"/>
    <w:rsid w:val="008B3739"/>
    <w:rsid w:val="008B3DC3"/>
    <w:rsid w:val="008B403A"/>
    <w:rsid w:val="008B48E8"/>
    <w:rsid w:val="008B5245"/>
    <w:rsid w:val="008B6045"/>
    <w:rsid w:val="008B67F2"/>
    <w:rsid w:val="008B685D"/>
    <w:rsid w:val="008B6861"/>
    <w:rsid w:val="008B6941"/>
    <w:rsid w:val="008B6D3F"/>
    <w:rsid w:val="008B6EC7"/>
    <w:rsid w:val="008B7CA6"/>
    <w:rsid w:val="008B7D99"/>
    <w:rsid w:val="008C0294"/>
    <w:rsid w:val="008C0360"/>
    <w:rsid w:val="008C05E5"/>
    <w:rsid w:val="008C0DE7"/>
    <w:rsid w:val="008C0DE8"/>
    <w:rsid w:val="008C0ECD"/>
    <w:rsid w:val="008C115B"/>
    <w:rsid w:val="008C1258"/>
    <w:rsid w:val="008C27E1"/>
    <w:rsid w:val="008C2959"/>
    <w:rsid w:val="008C2BA7"/>
    <w:rsid w:val="008C362A"/>
    <w:rsid w:val="008C41CF"/>
    <w:rsid w:val="008C41FA"/>
    <w:rsid w:val="008C4509"/>
    <w:rsid w:val="008C4976"/>
    <w:rsid w:val="008C4983"/>
    <w:rsid w:val="008C5011"/>
    <w:rsid w:val="008C5139"/>
    <w:rsid w:val="008C52A6"/>
    <w:rsid w:val="008C587B"/>
    <w:rsid w:val="008C5CF3"/>
    <w:rsid w:val="008C5F2F"/>
    <w:rsid w:val="008C6635"/>
    <w:rsid w:val="008C68C1"/>
    <w:rsid w:val="008C69AC"/>
    <w:rsid w:val="008C6C29"/>
    <w:rsid w:val="008C750A"/>
    <w:rsid w:val="008C7DC6"/>
    <w:rsid w:val="008D0273"/>
    <w:rsid w:val="008D07B7"/>
    <w:rsid w:val="008D0E81"/>
    <w:rsid w:val="008D0FCD"/>
    <w:rsid w:val="008D10BC"/>
    <w:rsid w:val="008D19E5"/>
    <w:rsid w:val="008D1A81"/>
    <w:rsid w:val="008D1AA7"/>
    <w:rsid w:val="008D1C98"/>
    <w:rsid w:val="008D1E55"/>
    <w:rsid w:val="008D2146"/>
    <w:rsid w:val="008D22FD"/>
    <w:rsid w:val="008D28FA"/>
    <w:rsid w:val="008D29D4"/>
    <w:rsid w:val="008D2B05"/>
    <w:rsid w:val="008D2B41"/>
    <w:rsid w:val="008D3BDD"/>
    <w:rsid w:val="008D3C98"/>
    <w:rsid w:val="008D3CF6"/>
    <w:rsid w:val="008D3D9B"/>
    <w:rsid w:val="008D3FCF"/>
    <w:rsid w:val="008D3FDA"/>
    <w:rsid w:val="008D4AE2"/>
    <w:rsid w:val="008D4EDD"/>
    <w:rsid w:val="008D4F74"/>
    <w:rsid w:val="008D52CA"/>
    <w:rsid w:val="008D5B47"/>
    <w:rsid w:val="008D613D"/>
    <w:rsid w:val="008D623C"/>
    <w:rsid w:val="008D67E9"/>
    <w:rsid w:val="008D6925"/>
    <w:rsid w:val="008D6E91"/>
    <w:rsid w:val="008D6F87"/>
    <w:rsid w:val="008D79B4"/>
    <w:rsid w:val="008E01DB"/>
    <w:rsid w:val="008E025D"/>
    <w:rsid w:val="008E062A"/>
    <w:rsid w:val="008E0889"/>
    <w:rsid w:val="008E11AC"/>
    <w:rsid w:val="008E1466"/>
    <w:rsid w:val="008E16E7"/>
    <w:rsid w:val="008E1823"/>
    <w:rsid w:val="008E2413"/>
    <w:rsid w:val="008E2422"/>
    <w:rsid w:val="008E2800"/>
    <w:rsid w:val="008E2880"/>
    <w:rsid w:val="008E28A5"/>
    <w:rsid w:val="008E2D7B"/>
    <w:rsid w:val="008E3063"/>
    <w:rsid w:val="008E4748"/>
    <w:rsid w:val="008E4E10"/>
    <w:rsid w:val="008E50D5"/>
    <w:rsid w:val="008E52F3"/>
    <w:rsid w:val="008E5B6A"/>
    <w:rsid w:val="008E611C"/>
    <w:rsid w:val="008E67DC"/>
    <w:rsid w:val="008E7023"/>
    <w:rsid w:val="008E7115"/>
    <w:rsid w:val="008E72EC"/>
    <w:rsid w:val="008E75B6"/>
    <w:rsid w:val="008E781E"/>
    <w:rsid w:val="008E7BB0"/>
    <w:rsid w:val="008E7E42"/>
    <w:rsid w:val="008E7F6E"/>
    <w:rsid w:val="008F086A"/>
    <w:rsid w:val="008F148F"/>
    <w:rsid w:val="008F15B9"/>
    <w:rsid w:val="008F160D"/>
    <w:rsid w:val="008F1A12"/>
    <w:rsid w:val="008F246B"/>
    <w:rsid w:val="008F2911"/>
    <w:rsid w:val="008F2E00"/>
    <w:rsid w:val="008F2EE0"/>
    <w:rsid w:val="008F3320"/>
    <w:rsid w:val="008F349A"/>
    <w:rsid w:val="008F34C6"/>
    <w:rsid w:val="008F487D"/>
    <w:rsid w:val="008F4BBF"/>
    <w:rsid w:val="008F4CBB"/>
    <w:rsid w:val="008F5FEC"/>
    <w:rsid w:val="008F6216"/>
    <w:rsid w:val="008F65FE"/>
    <w:rsid w:val="008F6971"/>
    <w:rsid w:val="008F6D01"/>
    <w:rsid w:val="008F70DC"/>
    <w:rsid w:val="008F722F"/>
    <w:rsid w:val="008F7D1B"/>
    <w:rsid w:val="00900014"/>
    <w:rsid w:val="009001DD"/>
    <w:rsid w:val="009009A4"/>
    <w:rsid w:val="00900B6F"/>
    <w:rsid w:val="00900F06"/>
    <w:rsid w:val="009013B4"/>
    <w:rsid w:val="009013CA"/>
    <w:rsid w:val="00901BDD"/>
    <w:rsid w:val="00901CA1"/>
    <w:rsid w:val="00902E8E"/>
    <w:rsid w:val="00902F6B"/>
    <w:rsid w:val="0090381F"/>
    <w:rsid w:val="00903B10"/>
    <w:rsid w:val="009044E6"/>
    <w:rsid w:val="009047D5"/>
    <w:rsid w:val="00904D98"/>
    <w:rsid w:val="00904E56"/>
    <w:rsid w:val="00905230"/>
    <w:rsid w:val="00905E59"/>
    <w:rsid w:val="009061D9"/>
    <w:rsid w:val="00906881"/>
    <w:rsid w:val="0090768A"/>
    <w:rsid w:val="009078C8"/>
    <w:rsid w:val="00907A03"/>
    <w:rsid w:val="00907BD8"/>
    <w:rsid w:val="00907D4F"/>
    <w:rsid w:val="00910119"/>
    <w:rsid w:val="00910509"/>
    <w:rsid w:val="00910585"/>
    <w:rsid w:val="0091091B"/>
    <w:rsid w:val="00910C8E"/>
    <w:rsid w:val="00911393"/>
    <w:rsid w:val="009115E6"/>
    <w:rsid w:val="00911CA0"/>
    <w:rsid w:val="00911E59"/>
    <w:rsid w:val="00911F3B"/>
    <w:rsid w:val="00912630"/>
    <w:rsid w:val="009127E5"/>
    <w:rsid w:val="00912F0F"/>
    <w:rsid w:val="00913AB3"/>
    <w:rsid w:val="0091433F"/>
    <w:rsid w:val="009148AD"/>
    <w:rsid w:val="00914B8E"/>
    <w:rsid w:val="009152A7"/>
    <w:rsid w:val="009157B7"/>
    <w:rsid w:val="00915980"/>
    <w:rsid w:val="00915DEB"/>
    <w:rsid w:val="009160A3"/>
    <w:rsid w:val="009161DB"/>
    <w:rsid w:val="0091720A"/>
    <w:rsid w:val="0091732B"/>
    <w:rsid w:val="00917569"/>
    <w:rsid w:val="0091777A"/>
    <w:rsid w:val="00917842"/>
    <w:rsid w:val="00917868"/>
    <w:rsid w:val="00920B4F"/>
    <w:rsid w:val="00921007"/>
    <w:rsid w:val="00921205"/>
    <w:rsid w:val="00921591"/>
    <w:rsid w:val="009216E5"/>
    <w:rsid w:val="00921812"/>
    <w:rsid w:val="0092207A"/>
    <w:rsid w:val="009225C0"/>
    <w:rsid w:val="0092276E"/>
    <w:rsid w:val="00922D32"/>
    <w:rsid w:val="0092309B"/>
    <w:rsid w:val="009237D8"/>
    <w:rsid w:val="009237F9"/>
    <w:rsid w:val="00923E93"/>
    <w:rsid w:val="00924562"/>
    <w:rsid w:val="00924B71"/>
    <w:rsid w:val="009254A8"/>
    <w:rsid w:val="009254F3"/>
    <w:rsid w:val="00925568"/>
    <w:rsid w:val="00925A72"/>
    <w:rsid w:val="00925B2C"/>
    <w:rsid w:val="00925DC7"/>
    <w:rsid w:val="00925FA2"/>
    <w:rsid w:val="00926906"/>
    <w:rsid w:val="00926AFB"/>
    <w:rsid w:val="00926C0E"/>
    <w:rsid w:val="00926F68"/>
    <w:rsid w:val="0092727D"/>
    <w:rsid w:val="009274B6"/>
    <w:rsid w:val="0093034F"/>
    <w:rsid w:val="009313A9"/>
    <w:rsid w:val="0093184C"/>
    <w:rsid w:val="00931AB2"/>
    <w:rsid w:val="009326CB"/>
    <w:rsid w:val="00932849"/>
    <w:rsid w:val="00933266"/>
    <w:rsid w:val="009335AC"/>
    <w:rsid w:val="009338C0"/>
    <w:rsid w:val="00933C1D"/>
    <w:rsid w:val="00933DFA"/>
    <w:rsid w:val="00933F24"/>
    <w:rsid w:val="0093430A"/>
    <w:rsid w:val="009343F1"/>
    <w:rsid w:val="0093470C"/>
    <w:rsid w:val="00934B38"/>
    <w:rsid w:val="00934D2B"/>
    <w:rsid w:val="00936520"/>
    <w:rsid w:val="00936549"/>
    <w:rsid w:val="00937C86"/>
    <w:rsid w:val="009409DA"/>
    <w:rsid w:val="00940AE7"/>
    <w:rsid w:val="00940AEA"/>
    <w:rsid w:val="009415AF"/>
    <w:rsid w:val="0094186A"/>
    <w:rsid w:val="009428E7"/>
    <w:rsid w:val="009429D1"/>
    <w:rsid w:val="00942C36"/>
    <w:rsid w:val="00942C5C"/>
    <w:rsid w:val="00942CAA"/>
    <w:rsid w:val="00942EAF"/>
    <w:rsid w:val="00942FC8"/>
    <w:rsid w:val="00943235"/>
    <w:rsid w:val="009432D6"/>
    <w:rsid w:val="009436F4"/>
    <w:rsid w:val="0094407F"/>
    <w:rsid w:val="0094485F"/>
    <w:rsid w:val="00945747"/>
    <w:rsid w:val="00945910"/>
    <w:rsid w:val="00945FF7"/>
    <w:rsid w:val="00946847"/>
    <w:rsid w:val="00946C40"/>
    <w:rsid w:val="00946E9C"/>
    <w:rsid w:val="00947825"/>
    <w:rsid w:val="00947ADE"/>
    <w:rsid w:val="00947C4C"/>
    <w:rsid w:val="00947C82"/>
    <w:rsid w:val="00947FC4"/>
    <w:rsid w:val="00950103"/>
    <w:rsid w:val="00950A06"/>
    <w:rsid w:val="0095125F"/>
    <w:rsid w:val="0095184E"/>
    <w:rsid w:val="009519BD"/>
    <w:rsid w:val="009519F4"/>
    <w:rsid w:val="0095229F"/>
    <w:rsid w:val="009525CA"/>
    <w:rsid w:val="009534A0"/>
    <w:rsid w:val="00953923"/>
    <w:rsid w:val="009539C1"/>
    <w:rsid w:val="0095402F"/>
    <w:rsid w:val="0095484E"/>
    <w:rsid w:val="00954A08"/>
    <w:rsid w:val="0095521C"/>
    <w:rsid w:val="00956B61"/>
    <w:rsid w:val="00956F2E"/>
    <w:rsid w:val="00957278"/>
    <w:rsid w:val="00957449"/>
    <w:rsid w:val="009575DA"/>
    <w:rsid w:val="00957770"/>
    <w:rsid w:val="009577E3"/>
    <w:rsid w:val="00957A03"/>
    <w:rsid w:val="0096018E"/>
    <w:rsid w:val="00960F5F"/>
    <w:rsid w:val="009613E5"/>
    <w:rsid w:val="00961D96"/>
    <w:rsid w:val="009621DF"/>
    <w:rsid w:val="00962612"/>
    <w:rsid w:val="00962706"/>
    <w:rsid w:val="00962AD1"/>
    <w:rsid w:val="00962B52"/>
    <w:rsid w:val="00962C21"/>
    <w:rsid w:val="00962F3F"/>
    <w:rsid w:val="0096310B"/>
    <w:rsid w:val="00963328"/>
    <w:rsid w:val="0096383E"/>
    <w:rsid w:val="00963F31"/>
    <w:rsid w:val="009641CB"/>
    <w:rsid w:val="009648B5"/>
    <w:rsid w:val="00965227"/>
    <w:rsid w:val="00965709"/>
    <w:rsid w:val="009657D4"/>
    <w:rsid w:val="009664A5"/>
    <w:rsid w:val="00966605"/>
    <w:rsid w:val="0096661C"/>
    <w:rsid w:val="00966AC7"/>
    <w:rsid w:val="00967007"/>
    <w:rsid w:val="00967A6B"/>
    <w:rsid w:val="00967B71"/>
    <w:rsid w:val="00967D92"/>
    <w:rsid w:val="0097001F"/>
    <w:rsid w:val="009703E0"/>
    <w:rsid w:val="009708FB"/>
    <w:rsid w:val="009709AD"/>
    <w:rsid w:val="00970DD1"/>
    <w:rsid w:val="00971149"/>
    <w:rsid w:val="0097115F"/>
    <w:rsid w:val="00971A08"/>
    <w:rsid w:val="00971C37"/>
    <w:rsid w:val="009720CE"/>
    <w:rsid w:val="00972190"/>
    <w:rsid w:val="00972784"/>
    <w:rsid w:val="00972790"/>
    <w:rsid w:val="00972F1E"/>
    <w:rsid w:val="00973165"/>
    <w:rsid w:val="009736DF"/>
    <w:rsid w:val="00974684"/>
    <w:rsid w:val="00975B36"/>
    <w:rsid w:val="00976083"/>
    <w:rsid w:val="00976383"/>
    <w:rsid w:val="009767F6"/>
    <w:rsid w:val="009769F7"/>
    <w:rsid w:val="00976D4D"/>
    <w:rsid w:val="00977656"/>
    <w:rsid w:val="009776EA"/>
    <w:rsid w:val="00977732"/>
    <w:rsid w:val="00977768"/>
    <w:rsid w:val="009804E5"/>
    <w:rsid w:val="00980B1F"/>
    <w:rsid w:val="009811E2"/>
    <w:rsid w:val="0098174D"/>
    <w:rsid w:val="00981EA7"/>
    <w:rsid w:val="00982BBC"/>
    <w:rsid w:val="00982C6D"/>
    <w:rsid w:val="00982C93"/>
    <w:rsid w:val="00982FF2"/>
    <w:rsid w:val="009831A1"/>
    <w:rsid w:val="00983DF0"/>
    <w:rsid w:val="00983ECF"/>
    <w:rsid w:val="009842D4"/>
    <w:rsid w:val="00984BEF"/>
    <w:rsid w:val="00984BF4"/>
    <w:rsid w:val="00985E7D"/>
    <w:rsid w:val="00987ADC"/>
    <w:rsid w:val="00987FF9"/>
    <w:rsid w:val="0099093C"/>
    <w:rsid w:val="009913C2"/>
    <w:rsid w:val="0099194F"/>
    <w:rsid w:val="00991F19"/>
    <w:rsid w:val="00992109"/>
    <w:rsid w:val="009927F3"/>
    <w:rsid w:val="0099284F"/>
    <w:rsid w:val="00992AA5"/>
    <w:rsid w:val="00992F23"/>
    <w:rsid w:val="00993649"/>
    <w:rsid w:val="009938CA"/>
    <w:rsid w:val="00993A7B"/>
    <w:rsid w:val="00993D40"/>
    <w:rsid w:val="00994562"/>
    <w:rsid w:val="00994833"/>
    <w:rsid w:val="00994C05"/>
    <w:rsid w:val="00994F0A"/>
    <w:rsid w:val="00995088"/>
    <w:rsid w:val="00995154"/>
    <w:rsid w:val="00995327"/>
    <w:rsid w:val="009957E2"/>
    <w:rsid w:val="00995C7F"/>
    <w:rsid w:val="00995D18"/>
    <w:rsid w:val="00995FB6"/>
    <w:rsid w:val="0099666A"/>
    <w:rsid w:val="009969FF"/>
    <w:rsid w:val="00997515"/>
    <w:rsid w:val="00997694"/>
    <w:rsid w:val="0099799E"/>
    <w:rsid w:val="00997D49"/>
    <w:rsid w:val="009A0065"/>
    <w:rsid w:val="009A00AC"/>
    <w:rsid w:val="009A04C7"/>
    <w:rsid w:val="009A1570"/>
    <w:rsid w:val="009A166D"/>
    <w:rsid w:val="009A1950"/>
    <w:rsid w:val="009A1A1A"/>
    <w:rsid w:val="009A1DC5"/>
    <w:rsid w:val="009A1ED8"/>
    <w:rsid w:val="009A2858"/>
    <w:rsid w:val="009A29F4"/>
    <w:rsid w:val="009A31CE"/>
    <w:rsid w:val="009A32B1"/>
    <w:rsid w:val="009A32EA"/>
    <w:rsid w:val="009A4811"/>
    <w:rsid w:val="009A4952"/>
    <w:rsid w:val="009A495A"/>
    <w:rsid w:val="009A4FD4"/>
    <w:rsid w:val="009A582D"/>
    <w:rsid w:val="009A5A38"/>
    <w:rsid w:val="009A6886"/>
    <w:rsid w:val="009A6C3A"/>
    <w:rsid w:val="009A6D00"/>
    <w:rsid w:val="009A6DC5"/>
    <w:rsid w:val="009A702C"/>
    <w:rsid w:val="009A7180"/>
    <w:rsid w:val="009A73D2"/>
    <w:rsid w:val="009A7C17"/>
    <w:rsid w:val="009A7C3E"/>
    <w:rsid w:val="009B0CE8"/>
    <w:rsid w:val="009B0F22"/>
    <w:rsid w:val="009B10F3"/>
    <w:rsid w:val="009B128A"/>
    <w:rsid w:val="009B1AB8"/>
    <w:rsid w:val="009B21F9"/>
    <w:rsid w:val="009B2724"/>
    <w:rsid w:val="009B2736"/>
    <w:rsid w:val="009B29C1"/>
    <w:rsid w:val="009B30A8"/>
    <w:rsid w:val="009B30E8"/>
    <w:rsid w:val="009B344C"/>
    <w:rsid w:val="009B3626"/>
    <w:rsid w:val="009B38FA"/>
    <w:rsid w:val="009B3A98"/>
    <w:rsid w:val="009B3FAB"/>
    <w:rsid w:val="009B58D9"/>
    <w:rsid w:val="009B5AAB"/>
    <w:rsid w:val="009B5B82"/>
    <w:rsid w:val="009B6093"/>
    <w:rsid w:val="009B6591"/>
    <w:rsid w:val="009B72D4"/>
    <w:rsid w:val="009B735C"/>
    <w:rsid w:val="009B7B13"/>
    <w:rsid w:val="009B7E20"/>
    <w:rsid w:val="009B7FA4"/>
    <w:rsid w:val="009C07D6"/>
    <w:rsid w:val="009C11C4"/>
    <w:rsid w:val="009C1288"/>
    <w:rsid w:val="009C1350"/>
    <w:rsid w:val="009C1869"/>
    <w:rsid w:val="009C2D37"/>
    <w:rsid w:val="009C2D98"/>
    <w:rsid w:val="009C3543"/>
    <w:rsid w:val="009C36DA"/>
    <w:rsid w:val="009C3C3A"/>
    <w:rsid w:val="009C3E70"/>
    <w:rsid w:val="009C4397"/>
    <w:rsid w:val="009C4B26"/>
    <w:rsid w:val="009C4ECE"/>
    <w:rsid w:val="009C4F36"/>
    <w:rsid w:val="009C524F"/>
    <w:rsid w:val="009C5974"/>
    <w:rsid w:val="009C59B6"/>
    <w:rsid w:val="009C5CBD"/>
    <w:rsid w:val="009C62B7"/>
    <w:rsid w:val="009C6AE7"/>
    <w:rsid w:val="009C7075"/>
    <w:rsid w:val="009C7999"/>
    <w:rsid w:val="009C7C11"/>
    <w:rsid w:val="009C7E8C"/>
    <w:rsid w:val="009D0646"/>
    <w:rsid w:val="009D0900"/>
    <w:rsid w:val="009D102A"/>
    <w:rsid w:val="009D2D87"/>
    <w:rsid w:val="009D3250"/>
    <w:rsid w:val="009D33F1"/>
    <w:rsid w:val="009D359E"/>
    <w:rsid w:val="009D3BB8"/>
    <w:rsid w:val="009D3C47"/>
    <w:rsid w:val="009D3F0A"/>
    <w:rsid w:val="009D3F10"/>
    <w:rsid w:val="009D44DF"/>
    <w:rsid w:val="009D4532"/>
    <w:rsid w:val="009D47F0"/>
    <w:rsid w:val="009D4896"/>
    <w:rsid w:val="009D5566"/>
    <w:rsid w:val="009D5FAE"/>
    <w:rsid w:val="009D6217"/>
    <w:rsid w:val="009D63E0"/>
    <w:rsid w:val="009D659C"/>
    <w:rsid w:val="009D66CB"/>
    <w:rsid w:val="009D674A"/>
    <w:rsid w:val="009D6BDF"/>
    <w:rsid w:val="009D6DD7"/>
    <w:rsid w:val="009D6E14"/>
    <w:rsid w:val="009D6F17"/>
    <w:rsid w:val="009D71F0"/>
    <w:rsid w:val="009D7221"/>
    <w:rsid w:val="009D74A7"/>
    <w:rsid w:val="009D786D"/>
    <w:rsid w:val="009E0212"/>
    <w:rsid w:val="009E0A66"/>
    <w:rsid w:val="009E0AC3"/>
    <w:rsid w:val="009E19D2"/>
    <w:rsid w:val="009E1FA7"/>
    <w:rsid w:val="009E20AF"/>
    <w:rsid w:val="009E2601"/>
    <w:rsid w:val="009E2C12"/>
    <w:rsid w:val="009E2E10"/>
    <w:rsid w:val="009E2E46"/>
    <w:rsid w:val="009E3743"/>
    <w:rsid w:val="009E3910"/>
    <w:rsid w:val="009E3E09"/>
    <w:rsid w:val="009E3E90"/>
    <w:rsid w:val="009E4270"/>
    <w:rsid w:val="009E4985"/>
    <w:rsid w:val="009E4FD2"/>
    <w:rsid w:val="009E5B0A"/>
    <w:rsid w:val="009E5F6C"/>
    <w:rsid w:val="009E644E"/>
    <w:rsid w:val="009E6881"/>
    <w:rsid w:val="009E6982"/>
    <w:rsid w:val="009E6B77"/>
    <w:rsid w:val="009E6EDD"/>
    <w:rsid w:val="009E7206"/>
    <w:rsid w:val="009E7848"/>
    <w:rsid w:val="009E7AA7"/>
    <w:rsid w:val="009F03D1"/>
    <w:rsid w:val="009F0492"/>
    <w:rsid w:val="009F0679"/>
    <w:rsid w:val="009F1609"/>
    <w:rsid w:val="009F187F"/>
    <w:rsid w:val="009F1B1D"/>
    <w:rsid w:val="009F1C30"/>
    <w:rsid w:val="009F1D50"/>
    <w:rsid w:val="009F2562"/>
    <w:rsid w:val="009F2FAA"/>
    <w:rsid w:val="009F3540"/>
    <w:rsid w:val="009F373E"/>
    <w:rsid w:val="009F3903"/>
    <w:rsid w:val="009F3957"/>
    <w:rsid w:val="009F3CA5"/>
    <w:rsid w:val="009F3E71"/>
    <w:rsid w:val="009F4654"/>
    <w:rsid w:val="009F4CAB"/>
    <w:rsid w:val="009F4F6C"/>
    <w:rsid w:val="009F5299"/>
    <w:rsid w:val="009F5BD9"/>
    <w:rsid w:val="009F5E3B"/>
    <w:rsid w:val="009F5F3F"/>
    <w:rsid w:val="009F630F"/>
    <w:rsid w:val="009F6390"/>
    <w:rsid w:val="009F6CBD"/>
    <w:rsid w:val="009F71A5"/>
    <w:rsid w:val="009F7248"/>
    <w:rsid w:val="009F737F"/>
    <w:rsid w:val="009F7A70"/>
    <w:rsid w:val="00A002F5"/>
    <w:rsid w:val="00A008E3"/>
    <w:rsid w:val="00A00A29"/>
    <w:rsid w:val="00A00AC3"/>
    <w:rsid w:val="00A00D73"/>
    <w:rsid w:val="00A00DD1"/>
    <w:rsid w:val="00A018A0"/>
    <w:rsid w:val="00A0263E"/>
    <w:rsid w:val="00A02942"/>
    <w:rsid w:val="00A031E9"/>
    <w:rsid w:val="00A03494"/>
    <w:rsid w:val="00A04A2F"/>
    <w:rsid w:val="00A04A6C"/>
    <w:rsid w:val="00A04B09"/>
    <w:rsid w:val="00A0560E"/>
    <w:rsid w:val="00A0576F"/>
    <w:rsid w:val="00A058E0"/>
    <w:rsid w:val="00A05FEA"/>
    <w:rsid w:val="00A06194"/>
    <w:rsid w:val="00A068A4"/>
    <w:rsid w:val="00A06B5D"/>
    <w:rsid w:val="00A06E10"/>
    <w:rsid w:val="00A06F9C"/>
    <w:rsid w:val="00A07324"/>
    <w:rsid w:val="00A07441"/>
    <w:rsid w:val="00A076A5"/>
    <w:rsid w:val="00A07B0F"/>
    <w:rsid w:val="00A1008E"/>
    <w:rsid w:val="00A10194"/>
    <w:rsid w:val="00A101F6"/>
    <w:rsid w:val="00A105F1"/>
    <w:rsid w:val="00A10959"/>
    <w:rsid w:val="00A11696"/>
    <w:rsid w:val="00A116A5"/>
    <w:rsid w:val="00A118AC"/>
    <w:rsid w:val="00A11AAA"/>
    <w:rsid w:val="00A12023"/>
    <w:rsid w:val="00A12270"/>
    <w:rsid w:val="00A1287D"/>
    <w:rsid w:val="00A12D00"/>
    <w:rsid w:val="00A12D49"/>
    <w:rsid w:val="00A12FFD"/>
    <w:rsid w:val="00A13222"/>
    <w:rsid w:val="00A135B4"/>
    <w:rsid w:val="00A1380D"/>
    <w:rsid w:val="00A143E2"/>
    <w:rsid w:val="00A148E6"/>
    <w:rsid w:val="00A149FB"/>
    <w:rsid w:val="00A14A12"/>
    <w:rsid w:val="00A14F2C"/>
    <w:rsid w:val="00A14F7F"/>
    <w:rsid w:val="00A15210"/>
    <w:rsid w:val="00A15A2F"/>
    <w:rsid w:val="00A15A40"/>
    <w:rsid w:val="00A15CA9"/>
    <w:rsid w:val="00A16133"/>
    <w:rsid w:val="00A161B9"/>
    <w:rsid w:val="00A1644A"/>
    <w:rsid w:val="00A16471"/>
    <w:rsid w:val="00A16C24"/>
    <w:rsid w:val="00A17338"/>
    <w:rsid w:val="00A17926"/>
    <w:rsid w:val="00A179DA"/>
    <w:rsid w:val="00A17EC8"/>
    <w:rsid w:val="00A17FCC"/>
    <w:rsid w:val="00A2004E"/>
    <w:rsid w:val="00A20714"/>
    <w:rsid w:val="00A207CE"/>
    <w:rsid w:val="00A20B5D"/>
    <w:rsid w:val="00A20B7B"/>
    <w:rsid w:val="00A20CB4"/>
    <w:rsid w:val="00A20CC9"/>
    <w:rsid w:val="00A2131E"/>
    <w:rsid w:val="00A217DF"/>
    <w:rsid w:val="00A21EE4"/>
    <w:rsid w:val="00A22464"/>
    <w:rsid w:val="00A225EE"/>
    <w:rsid w:val="00A22847"/>
    <w:rsid w:val="00A22F22"/>
    <w:rsid w:val="00A235FB"/>
    <w:rsid w:val="00A23723"/>
    <w:rsid w:val="00A23FD8"/>
    <w:rsid w:val="00A24298"/>
    <w:rsid w:val="00A245B6"/>
    <w:rsid w:val="00A24DC8"/>
    <w:rsid w:val="00A24F95"/>
    <w:rsid w:val="00A251D4"/>
    <w:rsid w:val="00A2545A"/>
    <w:rsid w:val="00A2573B"/>
    <w:rsid w:val="00A262D3"/>
    <w:rsid w:val="00A2637C"/>
    <w:rsid w:val="00A2639C"/>
    <w:rsid w:val="00A26444"/>
    <w:rsid w:val="00A26A4A"/>
    <w:rsid w:val="00A26A71"/>
    <w:rsid w:val="00A26B82"/>
    <w:rsid w:val="00A27355"/>
    <w:rsid w:val="00A27BA8"/>
    <w:rsid w:val="00A27FDA"/>
    <w:rsid w:val="00A30239"/>
    <w:rsid w:val="00A302E1"/>
    <w:rsid w:val="00A30554"/>
    <w:rsid w:val="00A30AC9"/>
    <w:rsid w:val="00A31072"/>
    <w:rsid w:val="00A3137B"/>
    <w:rsid w:val="00A31463"/>
    <w:rsid w:val="00A3191A"/>
    <w:rsid w:val="00A31AEB"/>
    <w:rsid w:val="00A31DD6"/>
    <w:rsid w:val="00A32308"/>
    <w:rsid w:val="00A323DB"/>
    <w:rsid w:val="00A32944"/>
    <w:rsid w:val="00A32A22"/>
    <w:rsid w:val="00A32A75"/>
    <w:rsid w:val="00A32BCE"/>
    <w:rsid w:val="00A32E8D"/>
    <w:rsid w:val="00A32ED3"/>
    <w:rsid w:val="00A330E8"/>
    <w:rsid w:val="00A332F7"/>
    <w:rsid w:val="00A33381"/>
    <w:rsid w:val="00A3372F"/>
    <w:rsid w:val="00A33A46"/>
    <w:rsid w:val="00A33FE7"/>
    <w:rsid w:val="00A34412"/>
    <w:rsid w:val="00A34453"/>
    <w:rsid w:val="00A3466F"/>
    <w:rsid w:val="00A34707"/>
    <w:rsid w:val="00A355B2"/>
    <w:rsid w:val="00A3578F"/>
    <w:rsid w:val="00A35ED6"/>
    <w:rsid w:val="00A360B8"/>
    <w:rsid w:val="00A36CB9"/>
    <w:rsid w:val="00A36F1F"/>
    <w:rsid w:val="00A3734B"/>
    <w:rsid w:val="00A377F5"/>
    <w:rsid w:val="00A3795E"/>
    <w:rsid w:val="00A37A0D"/>
    <w:rsid w:val="00A37A5C"/>
    <w:rsid w:val="00A37BC2"/>
    <w:rsid w:val="00A37CF6"/>
    <w:rsid w:val="00A37EBC"/>
    <w:rsid w:val="00A407D4"/>
    <w:rsid w:val="00A4091B"/>
    <w:rsid w:val="00A40B5A"/>
    <w:rsid w:val="00A40CD8"/>
    <w:rsid w:val="00A40D3E"/>
    <w:rsid w:val="00A40E27"/>
    <w:rsid w:val="00A414C1"/>
    <w:rsid w:val="00A41535"/>
    <w:rsid w:val="00A4182B"/>
    <w:rsid w:val="00A418CE"/>
    <w:rsid w:val="00A42076"/>
    <w:rsid w:val="00A42E17"/>
    <w:rsid w:val="00A42F2E"/>
    <w:rsid w:val="00A43087"/>
    <w:rsid w:val="00A43278"/>
    <w:rsid w:val="00A432B3"/>
    <w:rsid w:val="00A432C8"/>
    <w:rsid w:val="00A43411"/>
    <w:rsid w:val="00A437CC"/>
    <w:rsid w:val="00A4385A"/>
    <w:rsid w:val="00A43B67"/>
    <w:rsid w:val="00A43C7B"/>
    <w:rsid w:val="00A44113"/>
    <w:rsid w:val="00A4456C"/>
    <w:rsid w:val="00A44C43"/>
    <w:rsid w:val="00A4510E"/>
    <w:rsid w:val="00A456FD"/>
    <w:rsid w:val="00A45C2E"/>
    <w:rsid w:val="00A45CF5"/>
    <w:rsid w:val="00A461F0"/>
    <w:rsid w:val="00A468BD"/>
    <w:rsid w:val="00A46A70"/>
    <w:rsid w:val="00A46ACF"/>
    <w:rsid w:val="00A46F31"/>
    <w:rsid w:val="00A47055"/>
    <w:rsid w:val="00A471B0"/>
    <w:rsid w:val="00A47A3F"/>
    <w:rsid w:val="00A508ED"/>
    <w:rsid w:val="00A50B29"/>
    <w:rsid w:val="00A50B35"/>
    <w:rsid w:val="00A50DE3"/>
    <w:rsid w:val="00A51056"/>
    <w:rsid w:val="00A516E3"/>
    <w:rsid w:val="00A5196C"/>
    <w:rsid w:val="00A51AB6"/>
    <w:rsid w:val="00A51ABC"/>
    <w:rsid w:val="00A5233D"/>
    <w:rsid w:val="00A524BC"/>
    <w:rsid w:val="00A529F7"/>
    <w:rsid w:val="00A52F55"/>
    <w:rsid w:val="00A53313"/>
    <w:rsid w:val="00A544AE"/>
    <w:rsid w:val="00A544C6"/>
    <w:rsid w:val="00A547EE"/>
    <w:rsid w:val="00A54E88"/>
    <w:rsid w:val="00A54F44"/>
    <w:rsid w:val="00A55CB2"/>
    <w:rsid w:val="00A55FFD"/>
    <w:rsid w:val="00A569DB"/>
    <w:rsid w:val="00A5738D"/>
    <w:rsid w:val="00A57CF1"/>
    <w:rsid w:val="00A60C2D"/>
    <w:rsid w:val="00A60E82"/>
    <w:rsid w:val="00A61A00"/>
    <w:rsid w:val="00A62206"/>
    <w:rsid w:val="00A622A2"/>
    <w:rsid w:val="00A63104"/>
    <w:rsid w:val="00A638A7"/>
    <w:rsid w:val="00A638F8"/>
    <w:rsid w:val="00A63B1D"/>
    <w:rsid w:val="00A647C7"/>
    <w:rsid w:val="00A64DA4"/>
    <w:rsid w:val="00A653BA"/>
    <w:rsid w:val="00A65479"/>
    <w:rsid w:val="00A65622"/>
    <w:rsid w:val="00A6562D"/>
    <w:rsid w:val="00A65C7E"/>
    <w:rsid w:val="00A65C96"/>
    <w:rsid w:val="00A660D2"/>
    <w:rsid w:val="00A66312"/>
    <w:rsid w:val="00A66474"/>
    <w:rsid w:val="00A670E6"/>
    <w:rsid w:val="00A6736F"/>
    <w:rsid w:val="00A67650"/>
    <w:rsid w:val="00A67C9D"/>
    <w:rsid w:val="00A67EDD"/>
    <w:rsid w:val="00A70092"/>
    <w:rsid w:val="00A705C0"/>
    <w:rsid w:val="00A70840"/>
    <w:rsid w:val="00A70A59"/>
    <w:rsid w:val="00A70A78"/>
    <w:rsid w:val="00A71718"/>
    <w:rsid w:val="00A72639"/>
    <w:rsid w:val="00A729FB"/>
    <w:rsid w:val="00A72F99"/>
    <w:rsid w:val="00A73020"/>
    <w:rsid w:val="00A734FA"/>
    <w:rsid w:val="00A73743"/>
    <w:rsid w:val="00A742FD"/>
    <w:rsid w:val="00A744DC"/>
    <w:rsid w:val="00A746DD"/>
    <w:rsid w:val="00A74DAD"/>
    <w:rsid w:val="00A75059"/>
    <w:rsid w:val="00A7519B"/>
    <w:rsid w:val="00A751AC"/>
    <w:rsid w:val="00A754C0"/>
    <w:rsid w:val="00A759D5"/>
    <w:rsid w:val="00A75ADD"/>
    <w:rsid w:val="00A75C16"/>
    <w:rsid w:val="00A75D17"/>
    <w:rsid w:val="00A75FF1"/>
    <w:rsid w:val="00A765EE"/>
    <w:rsid w:val="00A76979"/>
    <w:rsid w:val="00A76F16"/>
    <w:rsid w:val="00A770E1"/>
    <w:rsid w:val="00A777B7"/>
    <w:rsid w:val="00A77D22"/>
    <w:rsid w:val="00A80050"/>
    <w:rsid w:val="00A81478"/>
    <w:rsid w:val="00A81E27"/>
    <w:rsid w:val="00A81ED4"/>
    <w:rsid w:val="00A82D2B"/>
    <w:rsid w:val="00A82FEB"/>
    <w:rsid w:val="00A839BA"/>
    <w:rsid w:val="00A83F25"/>
    <w:rsid w:val="00A8403D"/>
    <w:rsid w:val="00A8436E"/>
    <w:rsid w:val="00A843BA"/>
    <w:rsid w:val="00A84ADD"/>
    <w:rsid w:val="00A84C30"/>
    <w:rsid w:val="00A85A92"/>
    <w:rsid w:val="00A85DFD"/>
    <w:rsid w:val="00A85E6D"/>
    <w:rsid w:val="00A866BC"/>
    <w:rsid w:val="00A86A88"/>
    <w:rsid w:val="00A86C77"/>
    <w:rsid w:val="00A86D58"/>
    <w:rsid w:val="00A86FF9"/>
    <w:rsid w:val="00A908F8"/>
    <w:rsid w:val="00A911CC"/>
    <w:rsid w:val="00A91343"/>
    <w:rsid w:val="00A91497"/>
    <w:rsid w:val="00A914A8"/>
    <w:rsid w:val="00A917D3"/>
    <w:rsid w:val="00A91A9D"/>
    <w:rsid w:val="00A91F50"/>
    <w:rsid w:val="00A9200B"/>
    <w:rsid w:val="00A92132"/>
    <w:rsid w:val="00A9214D"/>
    <w:rsid w:val="00A9217E"/>
    <w:rsid w:val="00A92237"/>
    <w:rsid w:val="00A92257"/>
    <w:rsid w:val="00A923CC"/>
    <w:rsid w:val="00A934A4"/>
    <w:rsid w:val="00A937D8"/>
    <w:rsid w:val="00A937E0"/>
    <w:rsid w:val="00A94851"/>
    <w:rsid w:val="00A94A3F"/>
    <w:rsid w:val="00A94EA9"/>
    <w:rsid w:val="00A94FAF"/>
    <w:rsid w:val="00A952F4"/>
    <w:rsid w:val="00A95A14"/>
    <w:rsid w:val="00A95D55"/>
    <w:rsid w:val="00A96221"/>
    <w:rsid w:val="00A9628B"/>
    <w:rsid w:val="00A963EA"/>
    <w:rsid w:val="00A967B8"/>
    <w:rsid w:val="00A96C5E"/>
    <w:rsid w:val="00A974F5"/>
    <w:rsid w:val="00A978A4"/>
    <w:rsid w:val="00AA00F1"/>
    <w:rsid w:val="00AA0628"/>
    <w:rsid w:val="00AA0CD2"/>
    <w:rsid w:val="00AA1255"/>
    <w:rsid w:val="00AA1539"/>
    <w:rsid w:val="00AA1B3F"/>
    <w:rsid w:val="00AA1B6E"/>
    <w:rsid w:val="00AA2119"/>
    <w:rsid w:val="00AA23A5"/>
    <w:rsid w:val="00AA24FE"/>
    <w:rsid w:val="00AA2808"/>
    <w:rsid w:val="00AA2904"/>
    <w:rsid w:val="00AA2944"/>
    <w:rsid w:val="00AA2F59"/>
    <w:rsid w:val="00AA32FC"/>
    <w:rsid w:val="00AA3CDF"/>
    <w:rsid w:val="00AA4239"/>
    <w:rsid w:val="00AA44DC"/>
    <w:rsid w:val="00AA4951"/>
    <w:rsid w:val="00AA49BC"/>
    <w:rsid w:val="00AA55EB"/>
    <w:rsid w:val="00AA5C6A"/>
    <w:rsid w:val="00AA5DD7"/>
    <w:rsid w:val="00AA68EF"/>
    <w:rsid w:val="00AA69F4"/>
    <w:rsid w:val="00AA6A17"/>
    <w:rsid w:val="00AA7040"/>
    <w:rsid w:val="00AA7064"/>
    <w:rsid w:val="00AA71D2"/>
    <w:rsid w:val="00AA72A6"/>
    <w:rsid w:val="00AA7C6B"/>
    <w:rsid w:val="00AA7C91"/>
    <w:rsid w:val="00AA7D36"/>
    <w:rsid w:val="00AA7DA8"/>
    <w:rsid w:val="00AA7EB3"/>
    <w:rsid w:val="00AA7F3A"/>
    <w:rsid w:val="00AB1759"/>
    <w:rsid w:val="00AB1856"/>
    <w:rsid w:val="00AB1B97"/>
    <w:rsid w:val="00AB2AA0"/>
    <w:rsid w:val="00AB2CF8"/>
    <w:rsid w:val="00AB2D36"/>
    <w:rsid w:val="00AB3CE6"/>
    <w:rsid w:val="00AB3DD6"/>
    <w:rsid w:val="00AB42E8"/>
    <w:rsid w:val="00AB466D"/>
    <w:rsid w:val="00AB49B4"/>
    <w:rsid w:val="00AB4BAC"/>
    <w:rsid w:val="00AB4D2D"/>
    <w:rsid w:val="00AB4F5A"/>
    <w:rsid w:val="00AB5518"/>
    <w:rsid w:val="00AB5A3F"/>
    <w:rsid w:val="00AB5ADB"/>
    <w:rsid w:val="00AB5B46"/>
    <w:rsid w:val="00AB5EA3"/>
    <w:rsid w:val="00AB62F2"/>
    <w:rsid w:val="00AB7138"/>
    <w:rsid w:val="00AB7863"/>
    <w:rsid w:val="00AB7E24"/>
    <w:rsid w:val="00AC0090"/>
    <w:rsid w:val="00AC05D1"/>
    <w:rsid w:val="00AC08CB"/>
    <w:rsid w:val="00AC0A40"/>
    <w:rsid w:val="00AC1469"/>
    <w:rsid w:val="00AC18A7"/>
    <w:rsid w:val="00AC19E6"/>
    <w:rsid w:val="00AC22AA"/>
    <w:rsid w:val="00AC2338"/>
    <w:rsid w:val="00AC23F7"/>
    <w:rsid w:val="00AC273A"/>
    <w:rsid w:val="00AC283C"/>
    <w:rsid w:val="00AC32A6"/>
    <w:rsid w:val="00AC32F4"/>
    <w:rsid w:val="00AC3410"/>
    <w:rsid w:val="00AC3435"/>
    <w:rsid w:val="00AC3469"/>
    <w:rsid w:val="00AC3579"/>
    <w:rsid w:val="00AC382F"/>
    <w:rsid w:val="00AC40D8"/>
    <w:rsid w:val="00AC49AD"/>
    <w:rsid w:val="00AC4CF2"/>
    <w:rsid w:val="00AC5D12"/>
    <w:rsid w:val="00AC6A7F"/>
    <w:rsid w:val="00AC7528"/>
    <w:rsid w:val="00AC7541"/>
    <w:rsid w:val="00AC75BD"/>
    <w:rsid w:val="00AC7A1E"/>
    <w:rsid w:val="00AC7FC8"/>
    <w:rsid w:val="00AD0239"/>
    <w:rsid w:val="00AD0375"/>
    <w:rsid w:val="00AD03A6"/>
    <w:rsid w:val="00AD0AC6"/>
    <w:rsid w:val="00AD16F4"/>
    <w:rsid w:val="00AD18A3"/>
    <w:rsid w:val="00AD1B57"/>
    <w:rsid w:val="00AD1C2A"/>
    <w:rsid w:val="00AD3286"/>
    <w:rsid w:val="00AD32BF"/>
    <w:rsid w:val="00AD3A90"/>
    <w:rsid w:val="00AD3B07"/>
    <w:rsid w:val="00AD3DBE"/>
    <w:rsid w:val="00AD5721"/>
    <w:rsid w:val="00AD582E"/>
    <w:rsid w:val="00AD5B7E"/>
    <w:rsid w:val="00AD64B5"/>
    <w:rsid w:val="00AD6A41"/>
    <w:rsid w:val="00AD7053"/>
    <w:rsid w:val="00AD7D59"/>
    <w:rsid w:val="00AE0706"/>
    <w:rsid w:val="00AE0BB6"/>
    <w:rsid w:val="00AE0BC2"/>
    <w:rsid w:val="00AE0C07"/>
    <w:rsid w:val="00AE0FFC"/>
    <w:rsid w:val="00AE1107"/>
    <w:rsid w:val="00AE13C6"/>
    <w:rsid w:val="00AE1681"/>
    <w:rsid w:val="00AE19FC"/>
    <w:rsid w:val="00AE244A"/>
    <w:rsid w:val="00AE29CA"/>
    <w:rsid w:val="00AE34EE"/>
    <w:rsid w:val="00AE3875"/>
    <w:rsid w:val="00AE391D"/>
    <w:rsid w:val="00AE3A60"/>
    <w:rsid w:val="00AE3C21"/>
    <w:rsid w:val="00AE406A"/>
    <w:rsid w:val="00AE4513"/>
    <w:rsid w:val="00AE46D7"/>
    <w:rsid w:val="00AE53C3"/>
    <w:rsid w:val="00AE57F3"/>
    <w:rsid w:val="00AE5CA4"/>
    <w:rsid w:val="00AE5F84"/>
    <w:rsid w:val="00AE6112"/>
    <w:rsid w:val="00AE6D4B"/>
    <w:rsid w:val="00AE6DF7"/>
    <w:rsid w:val="00AE6E6D"/>
    <w:rsid w:val="00AE70C4"/>
    <w:rsid w:val="00AE72CA"/>
    <w:rsid w:val="00AE7836"/>
    <w:rsid w:val="00AF0073"/>
    <w:rsid w:val="00AF053B"/>
    <w:rsid w:val="00AF1248"/>
    <w:rsid w:val="00AF13D5"/>
    <w:rsid w:val="00AF13E0"/>
    <w:rsid w:val="00AF19FC"/>
    <w:rsid w:val="00AF1BAA"/>
    <w:rsid w:val="00AF2815"/>
    <w:rsid w:val="00AF2F0D"/>
    <w:rsid w:val="00AF32E5"/>
    <w:rsid w:val="00AF3407"/>
    <w:rsid w:val="00AF3F13"/>
    <w:rsid w:val="00AF409F"/>
    <w:rsid w:val="00AF4108"/>
    <w:rsid w:val="00AF4118"/>
    <w:rsid w:val="00AF450F"/>
    <w:rsid w:val="00AF4876"/>
    <w:rsid w:val="00AF4D40"/>
    <w:rsid w:val="00AF4F27"/>
    <w:rsid w:val="00AF5057"/>
    <w:rsid w:val="00AF5592"/>
    <w:rsid w:val="00AF5AC1"/>
    <w:rsid w:val="00AF5DA0"/>
    <w:rsid w:val="00AF613E"/>
    <w:rsid w:val="00AF6D69"/>
    <w:rsid w:val="00AF717B"/>
    <w:rsid w:val="00AF768C"/>
    <w:rsid w:val="00AF7859"/>
    <w:rsid w:val="00AF7941"/>
    <w:rsid w:val="00AF79C6"/>
    <w:rsid w:val="00AF7A09"/>
    <w:rsid w:val="00AF7ABA"/>
    <w:rsid w:val="00AF7D6D"/>
    <w:rsid w:val="00AF7FD8"/>
    <w:rsid w:val="00B002AD"/>
    <w:rsid w:val="00B0049A"/>
    <w:rsid w:val="00B0071B"/>
    <w:rsid w:val="00B00CBD"/>
    <w:rsid w:val="00B013FF"/>
    <w:rsid w:val="00B0146A"/>
    <w:rsid w:val="00B01633"/>
    <w:rsid w:val="00B01A60"/>
    <w:rsid w:val="00B01AF7"/>
    <w:rsid w:val="00B01D11"/>
    <w:rsid w:val="00B02A71"/>
    <w:rsid w:val="00B04509"/>
    <w:rsid w:val="00B0452A"/>
    <w:rsid w:val="00B04663"/>
    <w:rsid w:val="00B04F46"/>
    <w:rsid w:val="00B05772"/>
    <w:rsid w:val="00B05A65"/>
    <w:rsid w:val="00B05E4A"/>
    <w:rsid w:val="00B05EA1"/>
    <w:rsid w:val="00B06844"/>
    <w:rsid w:val="00B068D6"/>
    <w:rsid w:val="00B06C2D"/>
    <w:rsid w:val="00B06E54"/>
    <w:rsid w:val="00B079AF"/>
    <w:rsid w:val="00B122DA"/>
    <w:rsid w:val="00B1252A"/>
    <w:rsid w:val="00B129CE"/>
    <w:rsid w:val="00B12AFD"/>
    <w:rsid w:val="00B12B7C"/>
    <w:rsid w:val="00B12CC1"/>
    <w:rsid w:val="00B12FAC"/>
    <w:rsid w:val="00B1312E"/>
    <w:rsid w:val="00B1317D"/>
    <w:rsid w:val="00B1337B"/>
    <w:rsid w:val="00B13BFA"/>
    <w:rsid w:val="00B1409C"/>
    <w:rsid w:val="00B156AB"/>
    <w:rsid w:val="00B15DB6"/>
    <w:rsid w:val="00B16313"/>
    <w:rsid w:val="00B165FB"/>
    <w:rsid w:val="00B1686D"/>
    <w:rsid w:val="00B16983"/>
    <w:rsid w:val="00B16BF7"/>
    <w:rsid w:val="00B16C11"/>
    <w:rsid w:val="00B16C73"/>
    <w:rsid w:val="00B16E20"/>
    <w:rsid w:val="00B17523"/>
    <w:rsid w:val="00B17A5C"/>
    <w:rsid w:val="00B17B70"/>
    <w:rsid w:val="00B20278"/>
    <w:rsid w:val="00B2049D"/>
    <w:rsid w:val="00B20931"/>
    <w:rsid w:val="00B20BFC"/>
    <w:rsid w:val="00B2116B"/>
    <w:rsid w:val="00B21672"/>
    <w:rsid w:val="00B226B3"/>
    <w:rsid w:val="00B22829"/>
    <w:rsid w:val="00B22AC7"/>
    <w:rsid w:val="00B2307F"/>
    <w:rsid w:val="00B2315D"/>
    <w:rsid w:val="00B234B0"/>
    <w:rsid w:val="00B23B5E"/>
    <w:rsid w:val="00B23CA0"/>
    <w:rsid w:val="00B23D72"/>
    <w:rsid w:val="00B241AA"/>
    <w:rsid w:val="00B242C5"/>
    <w:rsid w:val="00B2458D"/>
    <w:rsid w:val="00B247B1"/>
    <w:rsid w:val="00B24E40"/>
    <w:rsid w:val="00B25C93"/>
    <w:rsid w:val="00B26771"/>
    <w:rsid w:val="00B26B20"/>
    <w:rsid w:val="00B26E07"/>
    <w:rsid w:val="00B26EBC"/>
    <w:rsid w:val="00B27058"/>
    <w:rsid w:val="00B2751F"/>
    <w:rsid w:val="00B27537"/>
    <w:rsid w:val="00B277DB"/>
    <w:rsid w:val="00B27907"/>
    <w:rsid w:val="00B3053B"/>
    <w:rsid w:val="00B30769"/>
    <w:rsid w:val="00B30883"/>
    <w:rsid w:val="00B309F7"/>
    <w:rsid w:val="00B30E28"/>
    <w:rsid w:val="00B31423"/>
    <w:rsid w:val="00B31584"/>
    <w:rsid w:val="00B32755"/>
    <w:rsid w:val="00B3279C"/>
    <w:rsid w:val="00B32B1C"/>
    <w:rsid w:val="00B32FCF"/>
    <w:rsid w:val="00B33391"/>
    <w:rsid w:val="00B33768"/>
    <w:rsid w:val="00B33ED9"/>
    <w:rsid w:val="00B33F0C"/>
    <w:rsid w:val="00B341F9"/>
    <w:rsid w:val="00B3431A"/>
    <w:rsid w:val="00B34CF8"/>
    <w:rsid w:val="00B35788"/>
    <w:rsid w:val="00B36172"/>
    <w:rsid w:val="00B36867"/>
    <w:rsid w:val="00B36A84"/>
    <w:rsid w:val="00B375F0"/>
    <w:rsid w:val="00B376A8"/>
    <w:rsid w:val="00B376CC"/>
    <w:rsid w:val="00B40001"/>
    <w:rsid w:val="00B404E5"/>
    <w:rsid w:val="00B40806"/>
    <w:rsid w:val="00B40832"/>
    <w:rsid w:val="00B40B81"/>
    <w:rsid w:val="00B411A3"/>
    <w:rsid w:val="00B4120F"/>
    <w:rsid w:val="00B417B9"/>
    <w:rsid w:val="00B41991"/>
    <w:rsid w:val="00B41CC8"/>
    <w:rsid w:val="00B429A8"/>
    <w:rsid w:val="00B42D1A"/>
    <w:rsid w:val="00B42E96"/>
    <w:rsid w:val="00B42F15"/>
    <w:rsid w:val="00B431C0"/>
    <w:rsid w:val="00B4358D"/>
    <w:rsid w:val="00B43D9C"/>
    <w:rsid w:val="00B43F25"/>
    <w:rsid w:val="00B441D5"/>
    <w:rsid w:val="00B44CC7"/>
    <w:rsid w:val="00B45724"/>
    <w:rsid w:val="00B4572B"/>
    <w:rsid w:val="00B45E26"/>
    <w:rsid w:val="00B46540"/>
    <w:rsid w:val="00B4743B"/>
    <w:rsid w:val="00B47517"/>
    <w:rsid w:val="00B47D2C"/>
    <w:rsid w:val="00B47D92"/>
    <w:rsid w:val="00B502A0"/>
    <w:rsid w:val="00B50D7F"/>
    <w:rsid w:val="00B51DA1"/>
    <w:rsid w:val="00B521A5"/>
    <w:rsid w:val="00B52B5C"/>
    <w:rsid w:val="00B53109"/>
    <w:rsid w:val="00B53A4C"/>
    <w:rsid w:val="00B53D28"/>
    <w:rsid w:val="00B53F3E"/>
    <w:rsid w:val="00B5405A"/>
    <w:rsid w:val="00B54913"/>
    <w:rsid w:val="00B5504F"/>
    <w:rsid w:val="00B55079"/>
    <w:rsid w:val="00B55CEE"/>
    <w:rsid w:val="00B56A75"/>
    <w:rsid w:val="00B56CA1"/>
    <w:rsid w:val="00B56E40"/>
    <w:rsid w:val="00B570D2"/>
    <w:rsid w:val="00B57230"/>
    <w:rsid w:val="00B5745E"/>
    <w:rsid w:val="00B57525"/>
    <w:rsid w:val="00B5781C"/>
    <w:rsid w:val="00B5783A"/>
    <w:rsid w:val="00B57B0F"/>
    <w:rsid w:val="00B57D68"/>
    <w:rsid w:val="00B602BF"/>
    <w:rsid w:val="00B60DE7"/>
    <w:rsid w:val="00B6100B"/>
    <w:rsid w:val="00B612E2"/>
    <w:rsid w:val="00B61A4F"/>
    <w:rsid w:val="00B61C2A"/>
    <w:rsid w:val="00B61FED"/>
    <w:rsid w:val="00B6237D"/>
    <w:rsid w:val="00B627D4"/>
    <w:rsid w:val="00B63532"/>
    <w:rsid w:val="00B63B1D"/>
    <w:rsid w:val="00B645FD"/>
    <w:rsid w:val="00B6467D"/>
    <w:rsid w:val="00B64A66"/>
    <w:rsid w:val="00B64C5C"/>
    <w:rsid w:val="00B64E12"/>
    <w:rsid w:val="00B6511E"/>
    <w:rsid w:val="00B65E5D"/>
    <w:rsid w:val="00B66802"/>
    <w:rsid w:val="00B66CA4"/>
    <w:rsid w:val="00B66D8B"/>
    <w:rsid w:val="00B66EF2"/>
    <w:rsid w:val="00B67E35"/>
    <w:rsid w:val="00B701C6"/>
    <w:rsid w:val="00B704D9"/>
    <w:rsid w:val="00B705AC"/>
    <w:rsid w:val="00B70CBC"/>
    <w:rsid w:val="00B70EC7"/>
    <w:rsid w:val="00B713FF"/>
    <w:rsid w:val="00B719D2"/>
    <w:rsid w:val="00B71E90"/>
    <w:rsid w:val="00B7214D"/>
    <w:rsid w:val="00B72E16"/>
    <w:rsid w:val="00B734A1"/>
    <w:rsid w:val="00B73C18"/>
    <w:rsid w:val="00B73DBC"/>
    <w:rsid w:val="00B745A0"/>
    <w:rsid w:val="00B74877"/>
    <w:rsid w:val="00B74914"/>
    <w:rsid w:val="00B74A10"/>
    <w:rsid w:val="00B74B68"/>
    <w:rsid w:val="00B75200"/>
    <w:rsid w:val="00B754CA"/>
    <w:rsid w:val="00B7587A"/>
    <w:rsid w:val="00B75A63"/>
    <w:rsid w:val="00B75BD6"/>
    <w:rsid w:val="00B75C3E"/>
    <w:rsid w:val="00B75C40"/>
    <w:rsid w:val="00B75DF1"/>
    <w:rsid w:val="00B75E09"/>
    <w:rsid w:val="00B75F12"/>
    <w:rsid w:val="00B76D93"/>
    <w:rsid w:val="00B7738C"/>
    <w:rsid w:val="00B7799F"/>
    <w:rsid w:val="00B77DF0"/>
    <w:rsid w:val="00B803DE"/>
    <w:rsid w:val="00B80FED"/>
    <w:rsid w:val="00B811F0"/>
    <w:rsid w:val="00B81644"/>
    <w:rsid w:val="00B81840"/>
    <w:rsid w:val="00B81ABB"/>
    <w:rsid w:val="00B82047"/>
    <w:rsid w:val="00B8224B"/>
    <w:rsid w:val="00B8251D"/>
    <w:rsid w:val="00B829B8"/>
    <w:rsid w:val="00B8323B"/>
    <w:rsid w:val="00B837F8"/>
    <w:rsid w:val="00B8388F"/>
    <w:rsid w:val="00B83B75"/>
    <w:rsid w:val="00B842CE"/>
    <w:rsid w:val="00B845F5"/>
    <w:rsid w:val="00B84B14"/>
    <w:rsid w:val="00B84C40"/>
    <w:rsid w:val="00B868F1"/>
    <w:rsid w:val="00B871FE"/>
    <w:rsid w:val="00B87CA4"/>
    <w:rsid w:val="00B87F95"/>
    <w:rsid w:val="00B904FA"/>
    <w:rsid w:val="00B90517"/>
    <w:rsid w:val="00B90B2D"/>
    <w:rsid w:val="00B911CA"/>
    <w:rsid w:val="00B91229"/>
    <w:rsid w:val="00B91E4F"/>
    <w:rsid w:val="00B91E90"/>
    <w:rsid w:val="00B921FA"/>
    <w:rsid w:val="00B92585"/>
    <w:rsid w:val="00B925E2"/>
    <w:rsid w:val="00B92F81"/>
    <w:rsid w:val="00B93C86"/>
    <w:rsid w:val="00B93DA8"/>
    <w:rsid w:val="00B93F14"/>
    <w:rsid w:val="00B9411D"/>
    <w:rsid w:val="00B94145"/>
    <w:rsid w:val="00B9492A"/>
    <w:rsid w:val="00B94F92"/>
    <w:rsid w:val="00B950FE"/>
    <w:rsid w:val="00B954AB"/>
    <w:rsid w:val="00B95C12"/>
    <w:rsid w:val="00B95CE9"/>
    <w:rsid w:val="00B95F46"/>
    <w:rsid w:val="00B960A3"/>
    <w:rsid w:val="00B96548"/>
    <w:rsid w:val="00B966B8"/>
    <w:rsid w:val="00B9683E"/>
    <w:rsid w:val="00B96A99"/>
    <w:rsid w:val="00B96BA1"/>
    <w:rsid w:val="00B97139"/>
    <w:rsid w:val="00B9730F"/>
    <w:rsid w:val="00B97370"/>
    <w:rsid w:val="00B97846"/>
    <w:rsid w:val="00B97D8E"/>
    <w:rsid w:val="00BA0160"/>
    <w:rsid w:val="00BA029E"/>
    <w:rsid w:val="00BA030B"/>
    <w:rsid w:val="00BA0512"/>
    <w:rsid w:val="00BA06E1"/>
    <w:rsid w:val="00BA0809"/>
    <w:rsid w:val="00BA085A"/>
    <w:rsid w:val="00BA0C2B"/>
    <w:rsid w:val="00BA11CC"/>
    <w:rsid w:val="00BA1488"/>
    <w:rsid w:val="00BA2098"/>
    <w:rsid w:val="00BA25DE"/>
    <w:rsid w:val="00BA2A05"/>
    <w:rsid w:val="00BA2B64"/>
    <w:rsid w:val="00BA2FDE"/>
    <w:rsid w:val="00BA3101"/>
    <w:rsid w:val="00BA38C5"/>
    <w:rsid w:val="00BA42F9"/>
    <w:rsid w:val="00BA4368"/>
    <w:rsid w:val="00BA4475"/>
    <w:rsid w:val="00BA4E64"/>
    <w:rsid w:val="00BA525A"/>
    <w:rsid w:val="00BA595B"/>
    <w:rsid w:val="00BA6E72"/>
    <w:rsid w:val="00BA7508"/>
    <w:rsid w:val="00BA7E21"/>
    <w:rsid w:val="00BB01F8"/>
    <w:rsid w:val="00BB042B"/>
    <w:rsid w:val="00BB0590"/>
    <w:rsid w:val="00BB06CA"/>
    <w:rsid w:val="00BB06F5"/>
    <w:rsid w:val="00BB1650"/>
    <w:rsid w:val="00BB1AC3"/>
    <w:rsid w:val="00BB248D"/>
    <w:rsid w:val="00BB2D4A"/>
    <w:rsid w:val="00BB2DB2"/>
    <w:rsid w:val="00BB325A"/>
    <w:rsid w:val="00BB367D"/>
    <w:rsid w:val="00BB37FA"/>
    <w:rsid w:val="00BB3EB6"/>
    <w:rsid w:val="00BB3FAB"/>
    <w:rsid w:val="00BB3FD0"/>
    <w:rsid w:val="00BB413C"/>
    <w:rsid w:val="00BB44AB"/>
    <w:rsid w:val="00BB4775"/>
    <w:rsid w:val="00BB49FA"/>
    <w:rsid w:val="00BB5D92"/>
    <w:rsid w:val="00BB5F75"/>
    <w:rsid w:val="00BB612D"/>
    <w:rsid w:val="00BB65C9"/>
    <w:rsid w:val="00BB7013"/>
    <w:rsid w:val="00BB7100"/>
    <w:rsid w:val="00BB7115"/>
    <w:rsid w:val="00BB7162"/>
    <w:rsid w:val="00BB7827"/>
    <w:rsid w:val="00BB791A"/>
    <w:rsid w:val="00BB7E36"/>
    <w:rsid w:val="00BC0057"/>
    <w:rsid w:val="00BC02E3"/>
    <w:rsid w:val="00BC06BA"/>
    <w:rsid w:val="00BC0B6B"/>
    <w:rsid w:val="00BC0BCB"/>
    <w:rsid w:val="00BC13C9"/>
    <w:rsid w:val="00BC1519"/>
    <w:rsid w:val="00BC18CF"/>
    <w:rsid w:val="00BC1A23"/>
    <w:rsid w:val="00BC1D76"/>
    <w:rsid w:val="00BC1E5C"/>
    <w:rsid w:val="00BC1EFD"/>
    <w:rsid w:val="00BC20F2"/>
    <w:rsid w:val="00BC3D37"/>
    <w:rsid w:val="00BC3E7E"/>
    <w:rsid w:val="00BC3ED6"/>
    <w:rsid w:val="00BC3FB5"/>
    <w:rsid w:val="00BC43D6"/>
    <w:rsid w:val="00BC4710"/>
    <w:rsid w:val="00BC54F6"/>
    <w:rsid w:val="00BC56C2"/>
    <w:rsid w:val="00BC5706"/>
    <w:rsid w:val="00BC5819"/>
    <w:rsid w:val="00BC6B1B"/>
    <w:rsid w:val="00BC6B73"/>
    <w:rsid w:val="00BC6DDA"/>
    <w:rsid w:val="00BC7995"/>
    <w:rsid w:val="00BC7A70"/>
    <w:rsid w:val="00BD0351"/>
    <w:rsid w:val="00BD07F2"/>
    <w:rsid w:val="00BD0E2E"/>
    <w:rsid w:val="00BD13FF"/>
    <w:rsid w:val="00BD293C"/>
    <w:rsid w:val="00BD2C59"/>
    <w:rsid w:val="00BD2DA2"/>
    <w:rsid w:val="00BD2DBE"/>
    <w:rsid w:val="00BD2E5D"/>
    <w:rsid w:val="00BD30F4"/>
    <w:rsid w:val="00BD3703"/>
    <w:rsid w:val="00BD3A6A"/>
    <w:rsid w:val="00BD3F06"/>
    <w:rsid w:val="00BD419D"/>
    <w:rsid w:val="00BD4849"/>
    <w:rsid w:val="00BD4903"/>
    <w:rsid w:val="00BD4A43"/>
    <w:rsid w:val="00BD4C59"/>
    <w:rsid w:val="00BD57FA"/>
    <w:rsid w:val="00BD5D12"/>
    <w:rsid w:val="00BD5D1D"/>
    <w:rsid w:val="00BD5FA1"/>
    <w:rsid w:val="00BD658A"/>
    <w:rsid w:val="00BD65D2"/>
    <w:rsid w:val="00BD6EA9"/>
    <w:rsid w:val="00BD7043"/>
    <w:rsid w:val="00BD7137"/>
    <w:rsid w:val="00BD73E1"/>
    <w:rsid w:val="00BD73E7"/>
    <w:rsid w:val="00BD7AF1"/>
    <w:rsid w:val="00BD7B0D"/>
    <w:rsid w:val="00BD7B65"/>
    <w:rsid w:val="00BD7BED"/>
    <w:rsid w:val="00BD7E92"/>
    <w:rsid w:val="00BE0268"/>
    <w:rsid w:val="00BE0E38"/>
    <w:rsid w:val="00BE1063"/>
    <w:rsid w:val="00BE133E"/>
    <w:rsid w:val="00BE15B0"/>
    <w:rsid w:val="00BE1690"/>
    <w:rsid w:val="00BE1967"/>
    <w:rsid w:val="00BE1B1B"/>
    <w:rsid w:val="00BE1D4E"/>
    <w:rsid w:val="00BE2414"/>
    <w:rsid w:val="00BE29D3"/>
    <w:rsid w:val="00BE2AFF"/>
    <w:rsid w:val="00BE2E8C"/>
    <w:rsid w:val="00BE300E"/>
    <w:rsid w:val="00BE365B"/>
    <w:rsid w:val="00BE36CE"/>
    <w:rsid w:val="00BE37B3"/>
    <w:rsid w:val="00BE3C89"/>
    <w:rsid w:val="00BE3D05"/>
    <w:rsid w:val="00BE401F"/>
    <w:rsid w:val="00BE40B9"/>
    <w:rsid w:val="00BE44FD"/>
    <w:rsid w:val="00BE506E"/>
    <w:rsid w:val="00BE54EB"/>
    <w:rsid w:val="00BE55FC"/>
    <w:rsid w:val="00BE570B"/>
    <w:rsid w:val="00BE5C5F"/>
    <w:rsid w:val="00BE5D39"/>
    <w:rsid w:val="00BE5DDE"/>
    <w:rsid w:val="00BE5FDF"/>
    <w:rsid w:val="00BE6103"/>
    <w:rsid w:val="00BE6269"/>
    <w:rsid w:val="00BE68AC"/>
    <w:rsid w:val="00BE6D54"/>
    <w:rsid w:val="00BF08BF"/>
    <w:rsid w:val="00BF120A"/>
    <w:rsid w:val="00BF15C1"/>
    <w:rsid w:val="00BF1841"/>
    <w:rsid w:val="00BF1EF3"/>
    <w:rsid w:val="00BF22DA"/>
    <w:rsid w:val="00BF332B"/>
    <w:rsid w:val="00BF37AA"/>
    <w:rsid w:val="00BF3A59"/>
    <w:rsid w:val="00BF4BC2"/>
    <w:rsid w:val="00BF4F44"/>
    <w:rsid w:val="00BF54CC"/>
    <w:rsid w:val="00BF5586"/>
    <w:rsid w:val="00BF5B02"/>
    <w:rsid w:val="00BF6061"/>
    <w:rsid w:val="00BF6143"/>
    <w:rsid w:val="00BF6CEE"/>
    <w:rsid w:val="00BF78EB"/>
    <w:rsid w:val="00BF7B1A"/>
    <w:rsid w:val="00BF7F37"/>
    <w:rsid w:val="00BF7F4E"/>
    <w:rsid w:val="00C00775"/>
    <w:rsid w:val="00C00CF6"/>
    <w:rsid w:val="00C00DE0"/>
    <w:rsid w:val="00C01215"/>
    <w:rsid w:val="00C02500"/>
    <w:rsid w:val="00C02D2A"/>
    <w:rsid w:val="00C02EBC"/>
    <w:rsid w:val="00C02EF9"/>
    <w:rsid w:val="00C03070"/>
    <w:rsid w:val="00C032B2"/>
    <w:rsid w:val="00C032C9"/>
    <w:rsid w:val="00C03624"/>
    <w:rsid w:val="00C037CA"/>
    <w:rsid w:val="00C03EC5"/>
    <w:rsid w:val="00C042EE"/>
    <w:rsid w:val="00C047F3"/>
    <w:rsid w:val="00C04DCB"/>
    <w:rsid w:val="00C05862"/>
    <w:rsid w:val="00C06352"/>
    <w:rsid w:val="00C064C9"/>
    <w:rsid w:val="00C06DE9"/>
    <w:rsid w:val="00C07288"/>
    <w:rsid w:val="00C077FF"/>
    <w:rsid w:val="00C07C47"/>
    <w:rsid w:val="00C105E9"/>
    <w:rsid w:val="00C10727"/>
    <w:rsid w:val="00C110AF"/>
    <w:rsid w:val="00C11E4A"/>
    <w:rsid w:val="00C12178"/>
    <w:rsid w:val="00C1266C"/>
    <w:rsid w:val="00C132AC"/>
    <w:rsid w:val="00C134CB"/>
    <w:rsid w:val="00C13AEB"/>
    <w:rsid w:val="00C13C2A"/>
    <w:rsid w:val="00C141F8"/>
    <w:rsid w:val="00C14527"/>
    <w:rsid w:val="00C15138"/>
    <w:rsid w:val="00C157EB"/>
    <w:rsid w:val="00C16B05"/>
    <w:rsid w:val="00C174E2"/>
    <w:rsid w:val="00C1775E"/>
    <w:rsid w:val="00C17B54"/>
    <w:rsid w:val="00C17F8A"/>
    <w:rsid w:val="00C206EF"/>
    <w:rsid w:val="00C2073B"/>
    <w:rsid w:val="00C20A10"/>
    <w:rsid w:val="00C20C0C"/>
    <w:rsid w:val="00C20FA2"/>
    <w:rsid w:val="00C2175F"/>
    <w:rsid w:val="00C21EF4"/>
    <w:rsid w:val="00C22D1F"/>
    <w:rsid w:val="00C22F66"/>
    <w:rsid w:val="00C22FAD"/>
    <w:rsid w:val="00C2312B"/>
    <w:rsid w:val="00C2316D"/>
    <w:rsid w:val="00C236C2"/>
    <w:rsid w:val="00C23B0A"/>
    <w:rsid w:val="00C23D46"/>
    <w:rsid w:val="00C23D7D"/>
    <w:rsid w:val="00C24DB3"/>
    <w:rsid w:val="00C24E9F"/>
    <w:rsid w:val="00C24F63"/>
    <w:rsid w:val="00C251BB"/>
    <w:rsid w:val="00C2526A"/>
    <w:rsid w:val="00C25374"/>
    <w:rsid w:val="00C25E03"/>
    <w:rsid w:val="00C26826"/>
    <w:rsid w:val="00C26BB3"/>
    <w:rsid w:val="00C26E6D"/>
    <w:rsid w:val="00C26FE2"/>
    <w:rsid w:val="00C271A5"/>
    <w:rsid w:val="00C27AAA"/>
    <w:rsid w:val="00C303A3"/>
    <w:rsid w:val="00C30AD9"/>
    <w:rsid w:val="00C30D69"/>
    <w:rsid w:val="00C31053"/>
    <w:rsid w:val="00C31339"/>
    <w:rsid w:val="00C313E1"/>
    <w:rsid w:val="00C3183D"/>
    <w:rsid w:val="00C31F61"/>
    <w:rsid w:val="00C32477"/>
    <w:rsid w:val="00C327B2"/>
    <w:rsid w:val="00C33B59"/>
    <w:rsid w:val="00C3449A"/>
    <w:rsid w:val="00C3511B"/>
    <w:rsid w:val="00C358DB"/>
    <w:rsid w:val="00C360C3"/>
    <w:rsid w:val="00C3751B"/>
    <w:rsid w:val="00C41291"/>
    <w:rsid w:val="00C4135C"/>
    <w:rsid w:val="00C41E95"/>
    <w:rsid w:val="00C41EBF"/>
    <w:rsid w:val="00C41F32"/>
    <w:rsid w:val="00C42080"/>
    <w:rsid w:val="00C42EB2"/>
    <w:rsid w:val="00C42F08"/>
    <w:rsid w:val="00C4321B"/>
    <w:rsid w:val="00C4321F"/>
    <w:rsid w:val="00C438A9"/>
    <w:rsid w:val="00C43CDD"/>
    <w:rsid w:val="00C43DE5"/>
    <w:rsid w:val="00C440A3"/>
    <w:rsid w:val="00C4434C"/>
    <w:rsid w:val="00C44459"/>
    <w:rsid w:val="00C448AA"/>
    <w:rsid w:val="00C448CF"/>
    <w:rsid w:val="00C44DCB"/>
    <w:rsid w:val="00C456C7"/>
    <w:rsid w:val="00C4575B"/>
    <w:rsid w:val="00C45C8D"/>
    <w:rsid w:val="00C45D19"/>
    <w:rsid w:val="00C460BC"/>
    <w:rsid w:val="00C46919"/>
    <w:rsid w:val="00C469F4"/>
    <w:rsid w:val="00C470F2"/>
    <w:rsid w:val="00C47386"/>
    <w:rsid w:val="00C47B5C"/>
    <w:rsid w:val="00C47CA8"/>
    <w:rsid w:val="00C47DA5"/>
    <w:rsid w:val="00C500F5"/>
    <w:rsid w:val="00C50794"/>
    <w:rsid w:val="00C5084F"/>
    <w:rsid w:val="00C50B99"/>
    <w:rsid w:val="00C510B4"/>
    <w:rsid w:val="00C51548"/>
    <w:rsid w:val="00C51940"/>
    <w:rsid w:val="00C52065"/>
    <w:rsid w:val="00C527F5"/>
    <w:rsid w:val="00C52AE4"/>
    <w:rsid w:val="00C52CD8"/>
    <w:rsid w:val="00C53270"/>
    <w:rsid w:val="00C534B3"/>
    <w:rsid w:val="00C539DA"/>
    <w:rsid w:val="00C54571"/>
    <w:rsid w:val="00C54963"/>
    <w:rsid w:val="00C54E95"/>
    <w:rsid w:val="00C5534B"/>
    <w:rsid w:val="00C55799"/>
    <w:rsid w:val="00C56110"/>
    <w:rsid w:val="00C56122"/>
    <w:rsid w:val="00C56326"/>
    <w:rsid w:val="00C565D7"/>
    <w:rsid w:val="00C5682A"/>
    <w:rsid w:val="00C56B6D"/>
    <w:rsid w:val="00C56CBD"/>
    <w:rsid w:val="00C57716"/>
    <w:rsid w:val="00C5797E"/>
    <w:rsid w:val="00C57C54"/>
    <w:rsid w:val="00C600F9"/>
    <w:rsid w:val="00C608C4"/>
    <w:rsid w:val="00C60AF2"/>
    <w:rsid w:val="00C60FF3"/>
    <w:rsid w:val="00C61823"/>
    <w:rsid w:val="00C61906"/>
    <w:rsid w:val="00C61980"/>
    <w:rsid w:val="00C624E7"/>
    <w:rsid w:val="00C627F1"/>
    <w:rsid w:val="00C6308F"/>
    <w:rsid w:val="00C63766"/>
    <w:rsid w:val="00C63CF1"/>
    <w:rsid w:val="00C63F02"/>
    <w:rsid w:val="00C648A1"/>
    <w:rsid w:val="00C65316"/>
    <w:rsid w:val="00C654D4"/>
    <w:rsid w:val="00C658B0"/>
    <w:rsid w:val="00C659DC"/>
    <w:rsid w:val="00C6612A"/>
    <w:rsid w:val="00C665C6"/>
    <w:rsid w:val="00C669F9"/>
    <w:rsid w:val="00C66AB0"/>
    <w:rsid w:val="00C66D11"/>
    <w:rsid w:val="00C66ED0"/>
    <w:rsid w:val="00C66F2C"/>
    <w:rsid w:val="00C671C1"/>
    <w:rsid w:val="00C678A7"/>
    <w:rsid w:val="00C67ADD"/>
    <w:rsid w:val="00C67D26"/>
    <w:rsid w:val="00C709DC"/>
    <w:rsid w:val="00C710AD"/>
    <w:rsid w:val="00C7122D"/>
    <w:rsid w:val="00C71234"/>
    <w:rsid w:val="00C719E8"/>
    <w:rsid w:val="00C71D7C"/>
    <w:rsid w:val="00C72054"/>
    <w:rsid w:val="00C72614"/>
    <w:rsid w:val="00C72710"/>
    <w:rsid w:val="00C72828"/>
    <w:rsid w:val="00C72E1A"/>
    <w:rsid w:val="00C73635"/>
    <w:rsid w:val="00C738D2"/>
    <w:rsid w:val="00C73D55"/>
    <w:rsid w:val="00C74634"/>
    <w:rsid w:val="00C74A5E"/>
    <w:rsid w:val="00C74EEB"/>
    <w:rsid w:val="00C7547F"/>
    <w:rsid w:val="00C757A6"/>
    <w:rsid w:val="00C75FE3"/>
    <w:rsid w:val="00C76057"/>
    <w:rsid w:val="00C763B4"/>
    <w:rsid w:val="00C76D3B"/>
    <w:rsid w:val="00C7773F"/>
    <w:rsid w:val="00C77828"/>
    <w:rsid w:val="00C77AEC"/>
    <w:rsid w:val="00C77AFA"/>
    <w:rsid w:val="00C801AA"/>
    <w:rsid w:val="00C80B5E"/>
    <w:rsid w:val="00C81703"/>
    <w:rsid w:val="00C817AD"/>
    <w:rsid w:val="00C81BC7"/>
    <w:rsid w:val="00C81DBD"/>
    <w:rsid w:val="00C81E57"/>
    <w:rsid w:val="00C81FB6"/>
    <w:rsid w:val="00C82374"/>
    <w:rsid w:val="00C8281F"/>
    <w:rsid w:val="00C82BEA"/>
    <w:rsid w:val="00C83335"/>
    <w:rsid w:val="00C8357C"/>
    <w:rsid w:val="00C83952"/>
    <w:rsid w:val="00C83DCE"/>
    <w:rsid w:val="00C845DD"/>
    <w:rsid w:val="00C84B55"/>
    <w:rsid w:val="00C84F11"/>
    <w:rsid w:val="00C8534B"/>
    <w:rsid w:val="00C85796"/>
    <w:rsid w:val="00C85FF0"/>
    <w:rsid w:val="00C86128"/>
    <w:rsid w:val="00C86BEE"/>
    <w:rsid w:val="00C86DE2"/>
    <w:rsid w:val="00C877C2"/>
    <w:rsid w:val="00C87988"/>
    <w:rsid w:val="00C87D85"/>
    <w:rsid w:val="00C902D5"/>
    <w:rsid w:val="00C9065A"/>
    <w:rsid w:val="00C90755"/>
    <w:rsid w:val="00C90B02"/>
    <w:rsid w:val="00C912B5"/>
    <w:rsid w:val="00C917F8"/>
    <w:rsid w:val="00C918F9"/>
    <w:rsid w:val="00C92187"/>
    <w:rsid w:val="00C92AA9"/>
    <w:rsid w:val="00C92B4C"/>
    <w:rsid w:val="00C92B96"/>
    <w:rsid w:val="00C92DFD"/>
    <w:rsid w:val="00C93539"/>
    <w:rsid w:val="00C93D40"/>
    <w:rsid w:val="00C941FC"/>
    <w:rsid w:val="00C94291"/>
    <w:rsid w:val="00C94C74"/>
    <w:rsid w:val="00C94E39"/>
    <w:rsid w:val="00C954DD"/>
    <w:rsid w:val="00C95D2F"/>
    <w:rsid w:val="00C95E64"/>
    <w:rsid w:val="00C9618C"/>
    <w:rsid w:val="00C961EF"/>
    <w:rsid w:val="00C96421"/>
    <w:rsid w:val="00C96578"/>
    <w:rsid w:val="00C97212"/>
    <w:rsid w:val="00C9721A"/>
    <w:rsid w:val="00CA0311"/>
    <w:rsid w:val="00CA0BB4"/>
    <w:rsid w:val="00CA1179"/>
    <w:rsid w:val="00CA184D"/>
    <w:rsid w:val="00CA208E"/>
    <w:rsid w:val="00CA231B"/>
    <w:rsid w:val="00CA259A"/>
    <w:rsid w:val="00CA25B6"/>
    <w:rsid w:val="00CA35DD"/>
    <w:rsid w:val="00CA3B53"/>
    <w:rsid w:val="00CA3ED7"/>
    <w:rsid w:val="00CA45A8"/>
    <w:rsid w:val="00CA45DC"/>
    <w:rsid w:val="00CA4FC2"/>
    <w:rsid w:val="00CA546E"/>
    <w:rsid w:val="00CA56B7"/>
    <w:rsid w:val="00CA602C"/>
    <w:rsid w:val="00CA66FA"/>
    <w:rsid w:val="00CA6AB9"/>
    <w:rsid w:val="00CA6D7A"/>
    <w:rsid w:val="00CA6F0C"/>
    <w:rsid w:val="00CA7332"/>
    <w:rsid w:val="00CA7A57"/>
    <w:rsid w:val="00CB05FD"/>
    <w:rsid w:val="00CB09F6"/>
    <w:rsid w:val="00CB0CAA"/>
    <w:rsid w:val="00CB0D78"/>
    <w:rsid w:val="00CB0F5F"/>
    <w:rsid w:val="00CB0F64"/>
    <w:rsid w:val="00CB1509"/>
    <w:rsid w:val="00CB19FF"/>
    <w:rsid w:val="00CB1A43"/>
    <w:rsid w:val="00CB1C1A"/>
    <w:rsid w:val="00CB1F89"/>
    <w:rsid w:val="00CB22B2"/>
    <w:rsid w:val="00CB24DB"/>
    <w:rsid w:val="00CB28E0"/>
    <w:rsid w:val="00CB29AF"/>
    <w:rsid w:val="00CB2A5B"/>
    <w:rsid w:val="00CB2E0F"/>
    <w:rsid w:val="00CB38E5"/>
    <w:rsid w:val="00CB3B2B"/>
    <w:rsid w:val="00CB462F"/>
    <w:rsid w:val="00CB4BED"/>
    <w:rsid w:val="00CB4D39"/>
    <w:rsid w:val="00CB5030"/>
    <w:rsid w:val="00CB570A"/>
    <w:rsid w:val="00CB5A46"/>
    <w:rsid w:val="00CB5B21"/>
    <w:rsid w:val="00CB610C"/>
    <w:rsid w:val="00CB6125"/>
    <w:rsid w:val="00CB63D0"/>
    <w:rsid w:val="00CB650E"/>
    <w:rsid w:val="00CB66D1"/>
    <w:rsid w:val="00CB6782"/>
    <w:rsid w:val="00CB6BEB"/>
    <w:rsid w:val="00CB6E65"/>
    <w:rsid w:val="00CB7399"/>
    <w:rsid w:val="00CB7636"/>
    <w:rsid w:val="00CB7A8C"/>
    <w:rsid w:val="00CB7B84"/>
    <w:rsid w:val="00CC045C"/>
    <w:rsid w:val="00CC0836"/>
    <w:rsid w:val="00CC0B5A"/>
    <w:rsid w:val="00CC0BB2"/>
    <w:rsid w:val="00CC1189"/>
    <w:rsid w:val="00CC19F5"/>
    <w:rsid w:val="00CC1E2B"/>
    <w:rsid w:val="00CC1EE7"/>
    <w:rsid w:val="00CC1FD6"/>
    <w:rsid w:val="00CC31BE"/>
    <w:rsid w:val="00CC391C"/>
    <w:rsid w:val="00CC3B20"/>
    <w:rsid w:val="00CC3C4E"/>
    <w:rsid w:val="00CC3F8E"/>
    <w:rsid w:val="00CC47AB"/>
    <w:rsid w:val="00CC4809"/>
    <w:rsid w:val="00CC4AC2"/>
    <w:rsid w:val="00CC4E11"/>
    <w:rsid w:val="00CC4FE4"/>
    <w:rsid w:val="00CC50CA"/>
    <w:rsid w:val="00CC513D"/>
    <w:rsid w:val="00CC51DB"/>
    <w:rsid w:val="00CC51FA"/>
    <w:rsid w:val="00CC548F"/>
    <w:rsid w:val="00CC569B"/>
    <w:rsid w:val="00CC5A54"/>
    <w:rsid w:val="00CC60CD"/>
    <w:rsid w:val="00CC6186"/>
    <w:rsid w:val="00CC640D"/>
    <w:rsid w:val="00CC64FB"/>
    <w:rsid w:val="00CC67E4"/>
    <w:rsid w:val="00CC6B9A"/>
    <w:rsid w:val="00CC74EF"/>
    <w:rsid w:val="00CC7AD8"/>
    <w:rsid w:val="00CD05B9"/>
    <w:rsid w:val="00CD1282"/>
    <w:rsid w:val="00CD151E"/>
    <w:rsid w:val="00CD2235"/>
    <w:rsid w:val="00CD2770"/>
    <w:rsid w:val="00CD2829"/>
    <w:rsid w:val="00CD3177"/>
    <w:rsid w:val="00CD3920"/>
    <w:rsid w:val="00CD3D6A"/>
    <w:rsid w:val="00CD3F7D"/>
    <w:rsid w:val="00CD412E"/>
    <w:rsid w:val="00CD45BB"/>
    <w:rsid w:val="00CD465E"/>
    <w:rsid w:val="00CD4C97"/>
    <w:rsid w:val="00CD4CC0"/>
    <w:rsid w:val="00CD504F"/>
    <w:rsid w:val="00CD5246"/>
    <w:rsid w:val="00CD5388"/>
    <w:rsid w:val="00CD53E3"/>
    <w:rsid w:val="00CD5FBF"/>
    <w:rsid w:val="00CD6114"/>
    <w:rsid w:val="00CD6E2A"/>
    <w:rsid w:val="00CD7125"/>
    <w:rsid w:val="00CD71A9"/>
    <w:rsid w:val="00CD729B"/>
    <w:rsid w:val="00CD72B4"/>
    <w:rsid w:val="00CD73A0"/>
    <w:rsid w:val="00CD776B"/>
    <w:rsid w:val="00CD77B2"/>
    <w:rsid w:val="00CD7B92"/>
    <w:rsid w:val="00CD7CF7"/>
    <w:rsid w:val="00CD7D5A"/>
    <w:rsid w:val="00CD7DD0"/>
    <w:rsid w:val="00CE070F"/>
    <w:rsid w:val="00CE09A4"/>
    <w:rsid w:val="00CE09EE"/>
    <w:rsid w:val="00CE0B0D"/>
    <w:rsid w:val="00CE1F6A"/>
    <w:rsid w:val="00CE208D"/>
    <w:rsid w:val="00CE2885"/>
    <w:rsid w:val="00CE28CD"/>
    <w:rsid w:val="00CE28F4"/>
    <w:rsid w:val="00CE2EAE"/>
    <w:rsid w:val="00CE311E"/>
    <w:rsid w:val="00CE3738"/>
    <w:rsid w:val="00CE3AAA"/>
    <w:rsid w:val="00CE3DA6"/>
    <w:rsid w:val="00CE3DE2"/>
    <w:rsid w:val="00CE3ECF"/>
    <w:rsid w:val="00CE43F4"/>
    <w:rsid w:val="00CE46F0"/>
    <w:rsid w:val="00CE483D"/>
    <w:rsid w:val="00CE529F"/>
    <w:rsid w:val="00CE5561"/>
    <w:rsid w:val="00CE5F23"/>
    <w:rsid w:val="00CE60EB"/>
    <w:rsid w:val="00CE65DA"/>
    <w:rsid w:val="00CE65F9"/>
    <w:rsid w:val="00CE66F4"/>
    <w:rsid w:val="00CE68E7"/>
    <w:rsid w:val="00CE6965"/>
    <w:rsid w:val="00CE72F1"/>
    <w:rsid w:val="00CE76C2"/>
    <w:rsid w:val="00CE7873"/>
    <w:rsid w:val="00CF0452"/>
    <w:rsid w:val="00CF083F"/>
    <w:rsid w:val="00CF0A22"/>
    <w:rsid w:val="00CF0C3F"/>
    <w:rsid w:val="00CF11A6"/>
    <w:rsid w:val="00CF149D"/>
    <w:rsid w:val="00CF186A"/>
    <w:rsid w:val="00CF1930"/>
    <w:rsid w:val="00CF2087"/>
    <w:rsid w:val="00CF20AD"/>
    <w:rsid w:val="00CF21CA"/>
    <w:rsid w:val="00CF226A"/>
    <w:rsid w:val="00CF244B"/>
    <w:rsid w:val="00CF2AE9"/>
    <w:rsid w:val="00CF2BFE"/>
    <w:rsid w:val="00CF2D34"/>
    <w:rsid w:val="00CF3B15"/>
    <w:rsid w:val="00CF3F8E"/>
    <w:rsid w:val="00CF5771"/>
    <w:rsid w:val="00CF5D12"/>
    <w:rsid w:val="00CF5EEE"/>
    <w:rsid w:val="00CF62DC"/>
    <w:rsid w:val="00CF6435"/>
    <w:rsid w:val="00CF6496"/>
    <w:rsid w:val="00CF6646"/>
    <w:rsid w:val="00CF69B7"/>
    <w:rsid w:val="00CF6FA4"/>
    <w:rsid w:val="00CF6FFD"/>
    <w:rsid w:val="00CF71BD"/>
    <w:rsid w:val="00CF7F09"/>
    <w:rsid w:val="00D00823"/>
    <w:rsid w:val="00D00DA6"/>
    <w:rsid w:val="00D00EC4"/>
    <w:rsid w:val="00D00EC8"/>
    <w:rsid w:val="00D021D1"/>
    <w:rsid w:val="00D02710"/>
    <w:rsid w:val="00D02912"/>
    <w:rsid w:val="00D0297B"/>
    <w:rsid w:val="00D02984"/>
    <w:rsid w:val="00D02A7F"/>
    <w:rsid w:val="00D03133"/>
    <w:rsid w:val="00D03291"/>
    <w:rsid w:val="00D03444"/>
    <w:rsid w:val="00D03647"/>
    <w:rsid w:val="00D03780"/>
    <w:rsid w:val="00D04163"/>
    <w:rsid w:val="00D04B25"/>
    <w:rsid w:val="00D04D3F"/>
    <w:rsid w:val="00D051DA"/>
    <w:rsid w:val="00D051E4"/>
    <w:rsid w:val="00D05719"/>
    <w:rsid w:val="00D05B9A"/>
    <w:rsid w:val="00D063DB"/>
    <w:rsid w:val="00D06A42"/>
    <w:rsid w:val="00D07E2D"/>
    <w:rsid w:val="00D1029E"/>
    <w:rsid w:val="00D1099F"/>
    <w:rsid w:val="00D112A3"/>
    <w:rsid w:val="00D113D2"/>
    <w:rsid w:val="00D11880"/>
    <w:rsid w:val="00D1197B"/>
    <w:rsid w:val="00D119B8"/>
    <w:rsid w:val="00D121FD"/>
    <w:rsid w:val="00D126EB"/>
    <w:rsid w:val="00D12895"/>
    <w:rsid w:val="00D12B91"/>
    <w:rsid w:val="00D12E10"/>
    <w:rsid w:val="00D132AA"/>
    <w:rsid w:val="00D13408"/>
    <w:rsid w:val="00D1342A"/>
    <w:rsid w:val="00D13853"/>
    <w:rsid w:val="00D14728"/>
    <w:rsid w:val="00D14C4C"/>
    <w:rsid w:val="00D14CE7"/>
    <w:rsid w:val="00D14D56"/>
    <w:rsid w:val="00D14E49"/>
    <w:rsid w:val="00D151BA"/>
    <w:rsid w:val="00D15AF7"/>
    <w:rsid w:val="00D15C1B"/>
    <w:rsid w:val="00D1633A"/>
    <w:rsid w:val="00D16877"/>
    <w:rsid w:val="00D168AA"/>
    <w:rsid w:val="00D16978"/>
    <w:rsid w:val="00D16FBF"/>
    <w:rsid w:val="00D16FCA"/>
    <w:rsid w:val="00D1727A"/>
    <w:rsid w:val="00D173D0"/>
    <w:rsid w:val="00D177CC"/>
    <w:rsid w:val="00D17963"/>
    <w:rsid w:val="00D204D2"/>
    <w:rsid w:val="00D20D3B"/>
    <w:rsid w:val="00D20FC0"/>
    <w:rsid w:val="00D21213"/>
    <w:rsid w:val="00D2182B"/>
    <w:rsid w:val="00D21D76"/>
    <w:rsid w:val="00D22053"/>
    <w:rsid w:val="00D2245B"/>
    <w:rsid w:val="00D225A5"/>
    <w:rsid w:val="00D23926"/>
    <w:rsid w:val="00D23A35"/>
    <w:rsid w:val="00D23C08"/>
    <w:rsid w:val="00D23D61"/>
    <w:rsid w:val="00D2479D"/>
    <w:rsid w:val="00D2480B"/>
    <w:rsid w:val="00D24FFE"/>
    <w:rsid w:val="00D25064"/>
    <w:rsid w:val="00D254EF"/>
    <w:rsid w:val="00D25B95"/>
    <w:rsid w:val="00D25BC4"/>
    <w:rsid w:val="00D25F21"/>
    <w:rsid w:val="00D2606F"/>
    <w:rsid w:val="00D26219"/>
    <w:rsid w:val="00D2623F"/>
    <w:rsid w:val="00D262C1"/>
    <w:rsid w:val="00D267F4"/>
    <w:rsid w:val="00D26BA1"/>
    <w:rsid w:val="00D26C21"/>
    <w:rsid w:val="00D26ED4"/>
    <w:rsid w:val="00D26EE8"/>
    <w:rsid w:val="00D27663"/>
    <w:rsid w:val="00D27D95"/>
    <w:rsid w:val="00D30C94"/>
    <w:rsid w:val="00D30CDC"/>
    <w:rsid w:val="00D30D0A"/>
    <w:rsid w:val="00D30EEA"/>
    <w:rsid w:val="00D311B7"/>
    <w:rsid w:val="00D311E8"/>
    <w:rsid w:val="00D3156B"/>
    <w:rsid w:val="00D31A91"/>
    <w:rsid w:val="00D31FA1"/>
    <w:rsid w:val="00D3206F"/>
    <w:rsid w:val="00D32105"/>
    <w:rsid w:val="00D3213D"/>
    <w:rsid w:val="00D3229C"/>
    <w:rsid w:val="00D32381"/>
    <w:rsid w:val="00D3262B"/>
    <w:rsid w:val="00D32787"/>
    <w:rsid w:val="00D349A3"/>
    <w:rsid w:val="00D34AD2"/>
    <w:rsid w:val="00D34CB8"/>
    <w:rsid w:val="00D34CBC"/>
    <w:rsid w:val="00D34F20"/>
    <w:rsid w:val="00D350B6"/>
    <w:rsid w:val="00D350C6"/>
    <w:rsid w:val="00D350CA"/>
    <w:rsid w:val="00D35A7D"/>
    <w:rsid w:val="00D35DFE"/>
    <w:rsid w:val="00D3627F"/>
    <w:rsid w:val="00D36525"/>
    <w:rsid w:val="00D36E4D"/>
    <w:rsid w:val="00D3740C"/>
    <w:rsid w:val="00D3741E"/>
    <w:rsid w:val="00D376D6"/>
    <w:rsid w:val="00D37934"/>
    <w:rsid w:val="00D37A95"/>
    <w:rsid w:val="00D400B9"/>
    <w:rsid w:val="00D40BD1"/>
    <w:rsid w:val="00D40CAA"/>
    <w:rsid w:val="00D40DA1"/>
    <w:rsid w:val="00D40F5F"/>
    <w:rsid w:val="00D40F93"/>
    <w:rsid w:val="00D414CA"/>
    <w:rsid w:val="00D418B0"/>
    <w:rsid w:val="00D41931"/>
    <w:rsid w:val="00D41AAF"/>
    <w:rsid w:val="00D427B0"/>
    <w:rsid w:val="00D42C1A"/>
    <w:rsid w:val="00D42F77"/>
    <w:rsid w:val="00D430C1"/>
    <w:rsid w:val="00D43971"/>
    <w:rsid w:val="00D43AB3"/>
    <w:rsid w:val="00D43D93"/>
    <w:rsid w:val="00D43F91"/>
    <w:rsid w:val="00D44123"/>
    <w:rsid w:val="00D445AF"/>
    <w:rsid w:val="00D44724"/>
    <w:rsid w:val="00D44815"/>
    <w:rsid w:val="00D44C62"/>
    <w:rsid w:val="00D4531E"/>
    <w:rsid w:val="00D45637"/>
    <w:rsid w:val="00D46377"/>
    <w:rsid w:val="00D4658D"/>
    <w:rsid w:val="00D46606"/>
    <w:rsid w:val="00D46B6B"/>
    <w:rsid w:val="00D4719B"/>
    <w:rsid w:val="00D472B2"/>
    <w:rsid w:val="00D473A2"/>
    <w:rsid w:val="00D4769D"/>
    <w:rsid w:val="00D476D8"/>
    <w:rsid w:val="00D477A5"/>
    <w:rsid w:val="00D47C8D"/>
    <w:rsid w:val="00D50DF1"/>
    <w:rsid w:val="00D50E38"/>
    <w:rsid w:val="00D50FDA"/>
    <w:rsid w:val="00D5189A"/>
    <w:rsid w:val="00D51A50"/>
    <w:rsid w:val="00D51AE2"/>
    <w:rsid w:val="00D51CBA"/>
    <w:rsid w:val="00D51D78"/>
    <w:rsid w:val="00D51F83"/>
    <w:rsid w:val="00D5213F"/>
    <w:rsid w:val="00D52193"/>
    <w:rsid w:val="00D529CF"/>
    <w:rsid w:val="00D52A72"/>
    <w:rsid w:val="00D53129"/>
    <w:rsid w:val="00D53842"/>
    <w:rsid w:val="00D53F0E"/>
    <w:rsid w:val="00D5439D"/>
    <w:rsid w:val="00D5446D"/>
    <w:rsid w:val="00D548D5"/>
    <w:rsid w:val="00D54A4C"/>
    <w:rsid w:val="00D54FA6"/>
    <w:rsid w:val="00D551D0"/>
    <w:rsid w:val="00D55325"/>
    <w:rsid w:val="00D55451"/>
    <w:rsid w:val="00D55924"/>
    <w:rsid w:val="00D564F0"/>
    <w:rsid w:val="00D56629"/>
    <w:rsid w:val="00D56927"/>
    <w:rsid w:val="00D57361"/>
    <w:rsid w:val="00D57614"/>
    <w:rsid w:val="00D57771"/>
    <w:rsid w:val="00D605A3"/>
    <w:rsid w:val="00D6083A"/>
    <w:rsid w:val="00D60A81"/>
    <w:rsid w:val="00D60A9C"/>
    <w:rsid w:val="00D618E7"/>
    <w:rsid w:val="00D61985"/>
    <w:rsid w:val="00D61B3D"/>
    <w:rsid w:val="00D61E2A"/>
    <w:rsid w:val="00D6226F"/>
    <w:rsid w:val="00D62374"/>
    <w:rsid w:val="00D628FF"/>
    <w:rsid w:val="00D62F1E"/>
    <w:rsid w:val="00D63915"/>
    <w:rsid w:val="00D63A47"/>
    <w:rsid w:val="00D63A7E"/>
    <w:rsid w:val="00D648DA"/>
    <w:rsid w:val="00D64B46"/>
    <w:rsid w:val="00D64BC6"/>
    <w:rsid w:val="00D64BD0"/>
    <w:rsid w:val="00D65852"/>
    <w:rsid w:val="00D6599C"/>
    <w:rsid w:val="00D65DEA"/>
    <w:rsid w:val="00D667E0"/>
    <w:rsid w:val="00D67F93"/>
    <w:rsid w:val="00D70024"/>
    <w:rsid w:val="00D7015C"/>
    <w:rsid w:val="00D701F3"/>
    <w:rsid w:val="00D705D2"/>
    <w:rsid w:val="00D70B0F"/>
    <w:rsid w:val="00D710FC"/>
    <w:rsid w:val="00D72772"/>
    <w:rsid w:val="00D72791"/>
    <w:rsid w:val="00D7281F"/>
    <w:rsid w:val="00D72A0A"/>
    <w:rsid w:val="00D72A68"/>
    <w:rsid w:val="00D72A8E"/>
    <w:rsid w:val="00D7397E"/>
    <w:rsid w:val="00D746E9"/>
    <w:rsid w:val="00D748B6"/>
    <w:rsid w:val="00D74D11"/>
    <w:rsid w:val="00D75316"/>
    <w:rsid w:val="00D7560D"/>
    <w:rsid w:val="00D75B4F"/>
    <w:rsid w:val="00D75E8E"/>
    <w:rsid w:val="00D75FBB"/>
    <w:rsid w:val="00D765E3"/>
    <w:rsid w:val="00D7685E"/>
    <w:rsid w:val="00D7686A"/>
    <w:rsid w:val="00D76DB5"/>
    <w:rsid w:val="00D76DBB"/>
    <w:rsid w:val="00D76E6F"/>
    <w:rsid w:val="00D77A05"/>
    <w:rsid w:val="00D8000D"/>
    <w:rsid w:val="00D800D9"/>
    <w:rsid w:val="00D80332"/>
    <w:rsid w:val="00D804AF"/>
    <w:rsid w:val="00D80503"/>
    <w:rsid w:val="00D8065E"/>
    <w:rsid w:val="00D81082"/>
    <w:rsid w:val="00D812CD"/>
    <w:rsid w:val="00D81782"/>
    <w:rsid w:val="00D8199A"/>
    <w:rsid w:val="00D81C2D"/>
    <w:rsid w:val="00D81CD1"/>
    <w:rsid w:val="00D81ECD"/>
    <w:rsid w:val="00D81F89"/>
    <w:rsid w:val="00D821AA"/>
    <w:rsid w:val="00D8229D"/>
    <w:rsid w:val="00D82FBA"/>
    <w:rsid w:val="00D84733"/>
    <w:rsid w:val="00D8484E"/>
    <w:rsid w:val="00D853D8"/>
    <w:rsid w:val="00D85481"/>
    <w:rsid w:val="00D85539"/>
    <w:rsid w:val="00D86332"/>
    <w:rsid w:val="00D8691B"/>
    <w:rsid w:val="00D86A55"/>
    <w:rsid w:val="00D86F4E"/>
    <w:rsid w:val="00D86FA7"/>
    <w:rsid w:val="00D8704E"/>
    <w:rsid w:val="00D8788F"/>
    <w:rsid w:val="00D87AE8"/>
    <w:rsid w:val="00D901AD"/>
    <w:rsid w:val="00D90FC2"/>
    <w:rsid w:val="00D910F4"/>
    <w:rsid w:val="00D91B64"/>
    <w:rsid w:val="00D9285F"/>
    <w:rsid w:val="00D92BD5"/>
    <w:rsid w:val="00D92C75"/>
    <w:rsid w:val="00D9328F"/>
    <w:rsid w:val="00D933E5"/>
    <w:rsid w:val="00D93994"/>
    <w:rsid w:val="00D939D6"/>
    <w:rsid w:val="00D93E92"/>
    <w:rsid w:val="00D94248"/>
    <w:rsid w:val="00D94307"/>
    <w:rsid w:val="00D945A2"/>
    <w:rsid w:val="00D94DA9"/>
    <w:rsid w:val="00D968AD"/>
    <w:rsid w:val="00D96B49"/>
    <w:rsid w:val="00D97018"/>
    <w:rsid w:val="00D9752F"/>
    <w:rsid w:val="00D976EA"/>
    <w:rsid w:val="00D977DF"/>
    <w:rsid w:val="00D97B2D"/>
    <w:rsid w:val="00D97FDE"/>
    <w:rsid w:val="00DA0490"/>
    <w:rsid w:val="00DA097A"/>
    <w:rsid w:val="00DA09D4"/>
    <w:rsid w:val="00DA0D26"/>
    <w:rsid w:val="00DA1496"/>
    <w:rsid w:val="00DA1E99"/>
    <w:rsid w:val="00DA2E5A"/>
    <w:rsid w:val="00DA2E6C"/>
    <w:rsid w:val="00DA31E2"/>
    <w:rsid w:val="00DA31FB"/>
    <w:rsid w:val="00DA41B2"/>
    <w:rsid w:val="00DA4BE0"/>
    <w:rsid w:val="00DA4DD1"/>
    <w:rsid w:val="00DA4E48"/>
    <w:rsid w:val="00DA52DE"/>
    <w:rsid w:val="00DA5E0C"/>
    <w:rsid w:val="00DA64EF"/>
    <w:rsid w:val="00DA65CD"/>
    <w:rsid w:val="00DA6F4C"/>
    <w:rsid w:val="00DB0721"/>
    <w:rsid w:val="00DB093A"/>
    <w:rsid w:val="00DB1041"/>
    <w:rsid w:val="00DB112C"/>
    <w:rsid w:val="00DB1E1D"/>
    <w:rsid w:val="00DB24B8"/>
    <w:rsid w:val="00DB2612"/>
    <w:rsid w:val="00DB2632"/>
    <w:rsid w:val="00DB2B05"/>
    <w:rsid w:val="00DB2C67"/>
    <w:rsid w:val="00DB3043"/>
    <w:rsid w:val="00DB311B"/>
    <w:rsid w:val="00DB3618"/>
    <w:rsid w:val="00DB3E3C"/>
    <w:rsid w:val="00DB3ED8"/>
    <w:rsid w:val="00DB4038"/>
    <w:rsid w:val="00DB4A24"/>
    <w:rsid w:val="00DB51C4"/>
    <w:rsid w:val="00DB53DA"/>
    <w:rsid w:val="00DB55FA"/>
    <w:rsid w:val="00DB5CF6"/>
    <w:rsid w:val="00DB5F57"/>
    <w:rsid w:val="00DB625D"/>
    <w:rsid w:val="00DB644E"/>
    <w:rsid w:val="00DB6770"/>
    <w:rsid w:val="00DB6D28"/>
    <w:rsid w:val="00DB6E7F"/>
    <w:rsid w:val="00DB7042"/>
    <w:rsid w:val="00DC012E"/>
    <w:rsid w:val="00DC0ACB"/>
    <w:rsid w:val="00DC14CB"/>
    <w:rsid w:val="00DC1590"/>
    <w:rsid w:val="00DC1936"/>
    <w:rsid w:val="00DC1AA7"/>
    <w:rsid w:val="00DC1F03"/>
    <w:rsid w:val="00DC2452"/>
    <w:rsid w:val="00DC2683"/>
    <w:rsid w:val="00DC35CD"/>
    <w:rsid w:val="00DC3685"/>
    <w:rsid w:val="00DC3798"/>
    <w:rsid w:val="00DC3C05"/>
    <w:rsid w:val="00DC4873"/>
    <w:rsid w:val="00DC4890"/>
    <w:rsid w:val="00DC518B"/>
    <w:rsid w:val="00DC53EF"/>
    <w:rsid w:val="00DC55A1"/>
    <w:rsid w:val="00DC648C"/>
    <w:rsid w:val="00DC6944"/>
    <w:rsid w:val="00DC6B36"/>
    <w:rsid w:val="00DC6BE7"/>
    <w:rsid w:val="00DC6D33"/>
    <w:rsid w:val="00DC6E8D"/>
    <w:rsid w:val="00DC7B2E"/>
    <w:rsid w:val="00DC7D04"/>
    <w:rsid w:val="00DD0543"/>
    <w:rsid w:val="00DD18FD"/>
    <w:rsid w:val="00DD19E8"/>
    <w:rsid w:val="00DD1B33"/>
    <w:rsid w:val="00DD1CE8"/>
    <w:rsid w:val="00DD1DCA"/>
    <w:rsid w:val="00DD2191"/>
    <w:rsid w:val="00DD2718"/>
    <w:rsid w:val="00DD28E1"/>
    <w:rsid w:val="00DD2B3F"/>
    <w:rsid w:val="00DD32A2"/>
    <w:rsid w:val="00DD342C"/>
    <w:rsid w:val="00DD4A27"/>
    <w:rsid w:val="00DD4F41"/>
    <w:rsid w:val="00DD51A3"/>
    <w:rsid w:val="00DD53D5"/>
    <w:rsid w:val="00DD5ABB"/>
    <w:rsid w:val="00DD60DE"/>
    <w:rsid w:val="00DD62B5"/>
    <w:rsid w:val="00DD6637"/>
    <w:rsid w:val="00DD68C6"/>
    <w:rsid w:val="00DD6CA1"/>
    <w:rsid w:val="00DD6FD4"/>
    <w:rsid w:val="00DD74B9"/>
    <w:rsid w:val="00DD771B"/>
    <w:rsid w:val="00DD7806"/>
    <w:rsid w:val="00DD7F95"/>
    <w:rsid w:val="00DD7FC9"/>
    <w:rsid w:val="00DE01D4"/>
    <w:rsid w:val="00DE0C5F"/>
    <w:rsid w:val="00DE0C71"/>
    <w:rsid w:val="00DE0D40"/>
    <w:rsid w:val="00DE0F40"/>
    <w:rsid w:val="00DE0F7B"/>
    <w:rsid w:val="00DE1B05"/>
    <w:rsid w:val="00DE1C35"/>
    <w:rsid w:val="00DE1DD9"/>
    <w:rsid w:val="00DE256A"/>
    <w:rsid w:val="00DE3203"/>
    <w:rsid w:val="00DE36A8"/>
    <w:rsid w:val="00DE389C"/>
    <w:rsid w:val="00DE3A8B"/>
    <w:rsid w:val="00DE3B11"/>
    <w:rsid w:val="00DE4312"/>
    <w:rsid w:val="00DE4362"/>
    <w:rsid w:val="00DE480D"/>
    <w:rsid w:val="00DE48EB"/>
    <w:rsid w:val="00DE501D"/>
    <w:rsid w:val="00DE5204"/>
    <w:rsid w:val="00DE5B30"/>
    <w:rsid w:val="00DE5CCC"/>
    <w:rsid w:val="00DE5EFD"/>
    <w:rsid w:val="00DE7C54"/>
    <w:rsid w:val="00DF0678"/>
    <w:rsid w:val="00DF08CD"/>
    <w:rsid w:val="00DF08CE"/>
    <w:rsid w:val="00DF0A2C"/>
    <w:rsid w:val="00DF0AAC"/>
    <w:rsid w:val="00DF0B2A"/>
    <w:rsid w:val="00DF0B9C"/>
    <w:rsid w:val="00DF0D25"/>
    <w:rsid w:val="00DF0D9C"/>
    <w:rsid w:val="00DF0FB2"/>
    <w:rsid w:val="00DF1655"/>
    <w:rsid w:val="00DF179B"/>
    <w:rsid w:val="00DF18D4"/>
    <w:rsid w:val="00DF1BE9"/>
    <w:rsid w:val="00DF23B8"/>
    <w:rsid w:val="00DF23BF"/>
    <w:rsid w:val="00DF2930"/>
    <w:rsid w:val="00DF2D34"/>
    <w:rsid w:val="00DF35C0"/>
    <w:rsid w:val="00DF4109"/>
    <w:rsid w:val="00DF48D9"/>
    <w:rsid w:val="00DF4F30"/>
    <w:rsid w:val="00DF52AE"/>
    <w:rsid w:val="00DF5863"/>
    <w:rsid w:val="00DF58E4"/>
    <w:rsid w:val="00DF5B18"/>
    <w:rsid w:val="00DF5B2D"/>
    <w:rsid w:val="00DF61BE"/>
    <w:rsid w:val="00DF6BD3"/>
    <w:rsid w:val="00DF6F03"/>
    <w:rsid w:val="00DF7F66"/>
    <w:rsid w:val="00E000D8"/>
    <w:rsid w:val="00E00578"/>
    <w:rsid w:val="00E005F1"/>
    <w:rsid w:val="00E00918"/>
    <w:rsid w:val="00E00BEC"/>
    <w:rsid w:val="00E00C6B"/>
    <w:rsid w:val="00E0147E"/>
    <w:rsid w:val="00E014F1"/>
    <w:rsid w:val="00E0174A"/>
    <w:rsid w:val="00E01D99"/>
    <w:rsid w:val="00E01DF9"/>
    <w:rsid w:val="00E02055"/>
    <w:rsid w:val="00E0250F"/>
    <w:rsid w:val="00E02827"/>
    <w:rsid w:val="00E029DB"/>
    <w:rsid w:val="00E02F80"/>
    <w:rsid w:val="00E037FC"/>
    <w:rsid w:val="00E03939"/>
    <w:rsid w:val="00E03A6A"/>
    <w:rsid w:val="00E03E41"/>
    <w:rsid w:val="00E04C1C"/>
    <w:rsid w:val="00E0521B"/>
    <w:rsid w:val="00E052E2"/>
    <w:rsid w:val="00E0562D"/>
    <w:rsid w:val="00E05DF4"/>
    <w:rsid w:val="00E06306"/>
    <w:rsid w:val="00E06662"/>
    <w:rsid w:val="00E066C1"/>
    <w:rsid w:val="00E06D69"/>
    <w:rsid w:val="00E074F1"/>
    <w:rsid w:val="00E07E94"/>
    <w:rsid w:val="00E107A4"/>
    <w:rsid w:val="00E10BEB"/>
    <w:rsid w:val="00E10DD2"/>
    <w:rsid w:val="00E11560"/>
    <w:rsid w:val="00E1196E"/>
    <w:rsid w:val="00E127BB"/>
    <w:rsid w:val="00E12863"/>
    <w:rsid w:val="00E129AA"/>
    <w:rsid w:val="00E12CB4"/>
    <w:rsid w:val="00E12D66"/>
    <w:rsid w:val="00E130C6"/>
    <w:rsid w:val="00E13744"/>
    <w:rsid w:val="00E13A1B"/>
    <w:rsid w:val="00E140AE"/>
    <w:rsid w:val="00E140D1"/>
    <w:rsid w:val="00E14183"/>
    <w:rsid w:val="00E14795"/>
    <w:rsid w:val="00E1487A"/>
    <w:rsid w:val="00E14938"/>
    <w:rsid w:val="00E1573A"/>
    <w:rsid w:val="00E15F5C"/>
    <w:rsid w:val="00E161DB"/>
    <w:rsid w:val="00E16641"/>
    <w:rsid w:val="00E1777E"/>
    <w:rsid w:val="00E17833"/>
    <w:rsid w:val="00E17901"/>
    <w:rsid w:val="00E17AB6"/>
    <w:rsid w:val="00E17EAD"/>
    <w:rsid w:val="00E20E20"/>
    <w:rsid w:val="00E21022"/>
    <w:rsid w:val="00E210C2"/>
    <w:rsid w:val="00E212CA"/>
    <w:rsid w:val="00E21561"/>
    <w:rsid w:val="00E2168B"/>
    <w:rsid w:val="00E21F1C"/>
    <w:rsid w:val="00E2237B"/>
    <w:rsid w:val="00E22831"/>
    <w:rsid w:val="00E229AC"/>
    <w:rsid w:val="00E22DE9"/>
    <w:rsid w:val="00E22FE2"/>
    <w:rsid w:val="00E235D4"/>
    <w:rsid w:val="00E236B4"/>
    <w:rsid w:val="00E236C5"/>
    <w:rsid w:val="00E23CF1"/>
    <w:rsid w:val="00E23F2E"/>
    <w:rsid w:val="00E242A5"/>
    <w:rsid w:val="00E25027"/>
    <w:rsid w:val="00E25450"/>
    <w:rsid w:val="00E254E5"/>
    <w:rsid w:val="00E257DB"/>
    <w:rsid w:val="00E25855"/>
    <w:rsid w:val="00E25B98"/>
    <w:rsid w:val="00E25BDE"/>
    <w:rsid w:val="00E25CD9"/>
    <w:rsid w:val="00E2601E"/>
    <w:rsid w:val="00E26022"/>
    <w:rsid w:val="00E263FF"/>
    <w:rsid w:val="00E264BD"/>
    <w:rsid w:val="00E267D2"/>
    <w:rsid w:val="00E276FF"/>
    <w:rsid w:val="00E2770D"/>
    <w:rsid w:val="00E27987"/>
    <w:rsid w:val="00E27A1E"/>
    <w:rsid w:val="00E27C2B"/>
    <w:rsid w:val="00E27CDF"/>
    <w:rsid w:val="00E30685"/>
    <w:rsid w:val="00E30845"/>
    <w:rsid w:val="00E309CF"/>
    <w:rsid w:val="00E30B16"/>
    <w:rsid w:val="00E30C34"/>
    <w:rsid w:val="00E317CB"/>
    <w:rsid w:val="00E3256A"/>
    <w:rsid w:val="00E326D5"/>
    <w:rsid w:val="00E32D70"/>
    <w:rsid w:val="00E3379B"/>
    <w:rsid w:val="00E3397F"/>
    <w:rsid w:val="00E34020"/>
    <w:rsid w:val="00E347A8"/>
    <w:rsid w:val="00E3583B"/>
    <w:rsid w:val="00E35883"/>
    <w:rsid w:val="00E35F9D"/>
    <w:rsid w:val="00E36728"/>
    <w:rsid w:val="00E369A4"/>
    <w:rsid w:val="00E3728F"/>
    <w:rsid w:val="00E4022B"/>
    <w:rsid w:val="00E41326"/>
    <w:rsid w:val="00E41487"/>
    <w:rsid w:val="00E42F24"/>
    <w:rsid w:val="00E43145"/>
    <w:rsid w:val="00E434ED"/>
    <w:rsid w:val="00E43596"/>
    <w:rsid w:val="00E43759"/>
    <w:rsid w:val="00E44492"/>
    <w:rsid w:val="00E44998"/>
    <w:rsid w:val="00E44C01"/>
    <w:rsid w:val="00E459D3"/>
    <w:rsid w:val="00E45EE7"/>
    <w:rsid w:val="00E46037"/>
    <w:rsid w:val="00E46457"/>
    <w:rsid w:val="00E464B7"/>
    <w:rsid w:val="00E46564"/>
    <w:rsid w:val="00E4685F"/>
    <w:rsid w:val="00E46EE4"/>
    <w:rsid w:val="00E47059"/>
    <w:rsid w:val="00E4762E"/>
    <w:rsid w:val="00E47EB0"/>
    <w:rsid w:val="00E47ED0"/>
    <w:rsid w:val="00E501E0"/>
    <w:rsid w:val="00E5033D"/>
    <w:rsid w:val="00E50531"/>
    <w:rsid w:val="00E50B8C"/>
    <w:rsid w:val="00E50CF6"/>
    <w:rsid w:val="00E50EAD"/>
    <w:rsid w:val="00E51129"/>
    <w:rsid w:val="00E51330"/>
    <w:rsid w:val="00E51AC3"/>
    <w:rsid w:val="00E51F21"/>
    <w:rsid w:val="00E51F2A"/>
    <w:rsid w:val="00E51F35"/>
    <w:rsid w:val="00E53458"/>
    <w:rsid w:val="00E53BCA"/>
    <w:rsid w:val="00E53D8A"/>
    <w:rsid w:val="00E541D8"/>
    <w:rsid w:val="00E54461"/>
    <w:rsid w:val="00E5485E"/>
    <w:rsid w:val="00E54985"/>
    <w:rsid w:val="00E55327"/>
    <w:rsid w:val="00E5555D"/>
    <w:rsid w:val="00E55756"/>
    <w:rsid w:val="00E5590D"/>
    <w:rsid w:val="00E55E40"/>
    <w:rsid w:val="00E56631"/>
    <w:rsid w:val="00E56C0A"/>
    <w:rsid w:val="00E56C25"/>
    <w:rsid w:val="00E56CBF"/>
    <w:rsid w:val="00E571C7"/>
    <w:rsid w:val="00E5748A"/>
    <w:rsid w:val="00E5758B"/>
    <w:rsid w:val="00E57767"/>
    <w:rsid w:val="00E57E0C"/>
    <w:rsid w:val="00E60307"/>
    <w:rsid w:val="00E60886"/>
    <w:rsid w:val="00E60C20"/>
    <w:rsid w:val="00E62106"/>
    <w:rsid w:val="00E62975"/>
    <w:rsid w:val="00E62ED3"/>
    <w:rsid w:val="00E633DE"/>
    <w:rsid w:val="00E63690"/>
    <w:rsid w:val="00E638EE"/>
    <w:rsid w:val="00E638FB"/>
    <w:rsid w:val="00E64249"/>
    <w:rsid w:val="00E648AB"/>
    <w:rsid w:val="00E650DE"/>
    <w:rsid w:val="00E651B7"/>
    <w:rsid w:val="00E653C2"/>
    <w:rsid w:val="00E65674"/>
    <w:rsid w:val="00E65A14"/>
    <w:rsid w:val="00E65B7D"/>
    <w:rsid w:val="00E66093"/>
    <w:rsid w:val="00E660A7"/>
    <w:rsid w:val="00E660D4"/>
    <w:rsid w:val="00E66FD5"/>
    <w:rsid w:val="00E6709A"/>
    <w:rsid w:val="00E6734C"/>
    <w:rsid w:val="00E6766D"/>
    <w:rsid w:val="00E67793"/>
    <w:rsid w:val="00E707B4"/>
    <w:rsid w:val="00E71053"/>
    <w:rsid w:val="00E713FD"/>
    <w:rsid w:val="00E71469"/>
    <w:rsid w:val="00E717B4"/>
    <w:rsid w:val="00E71AE3"/>
    <w:rsid w:val="00E71DB5"/>
    <w:rsid w:val="00E72433"/>
    <w:rsid w:val="00E72967"/>
    <w:rsid w:val="00E729F3"/>
    <w:rsid w:val="00E72AAC"/>
    <w:rsid w:val="00E72C31"/>
    <w:rsid w:val="00E72D3E"/>
    <w:rsid w:val="00E72DBF"/>
    <w:rsid w:val="00E72E00"/>
    <w:rsid w:val="00E72E73"/>
    <w:rsid w:val="00E72F3E"/>
    <w:rsid w:val="00E732BD"/>
    <w:rsid w:val="00E7340B"/>
    <w:rsid w:val="00E7344F"/>
    <w:rsid w:val="00E73E95"/>
    <w:rsid w:val="00E74755"/>
    <w:rsid w:val="00E747A2"/>
    <w:rsid w:val="00E749FC"/>
    <w:rsid w:val="00E74B31"/>
    <w:rsid w:val="00E74D77"/>
    <w:rsid w:val="00E75276"/>
    <w:rsid w:val="00E756ED"/>
    <w:rsid w:val="00E75A04"/>
    <w:rsid w:val="00E76062"/>
    <w:rsid w:val="00E76F85"/>
    <w:rsid w:val="00E77259"/>
    <w:rsid w:val="00E77508"/>
    <w:rsid w:val="00E7752F"/>
    <w:rsid w:val="00E77569"/>
    <w:rsid w:val="00E77B75"/>
    <w:rsid w:val="00E80385"/>
    <w:rsid w:val="00E805AB"/>
    <w:rsid w:val="00E808A4"/>
    <w:rsid w:val="00E812B5"/>
    <w:rsid w:val="00E81DD1"/>
    <w:rsid w:val="00E822A5"/>
    <w:rsid w:val="00E8271E"/>
    <w:rsid w:val="00E82A19"/>
    <w:rsid w:val="00E83095"/>
    <w:rsid w:val="00E8325F"/>
    <w:rsid w:val="00E83278"/>
    <w:rsid w:val="00E832FB"/>
    <w:rsid w:val="00E8365A"/>
    <w:rsid w:val="00E83F23"/>
    <w:rsid w:val="00E84091"/>
    <w:rsid w:val="00E84465"/>
    <w:rsid w:val="00E846AD"/>
    <w:rsid w:val="00E84CD0"/>
    <w:rsid w:val="00E85983"/>
    <w:rsid w:val="00E85E15"/>
    <w:rsid w:val="00E86091"/>
    <w:rsid w:val="00E8626E"/>
    <w:rsid w:val="00E8672C"/>
    <w:rsid w:val="00E867AF"/>
    <w:rsid w:val="00E86AA5"/>
    <w:rsid w:val="00E86C68"/>
    <w:rsid w:val="00E86FB6"/>
    <w:rsid w:val="00E87174"/>
    <w:rsid w:val="00E87421"/>
    <w:rsid w:val="00E87977"/>
    <w:rsid w:val="00E9016C"/>
    <w:rsid w:val="00E9020A"/>
    <w:rsid w:val="00E903C1"/>
    <w:rsid w:val="00E90536"/>
    <w:rsid w:val="00E905C6"/>
    <w:rsid w:val="00E9114E"/>
    <w:rsid w:val="00E912F3"/>
    <w:rsid w:val="00E9166D"/>
    <w:rsid w:val="00E92E42"/>
    <w:rsid w:val="00E934A7"/>
    <w:rsid w:val="00E937CD"/>
    <w:rsid w:val="00E93876"/>
    <w:rsid w:val="00E938A4"/>
    <w:rsid w:val="00E93918"/>
    <w:rsid w:val="00E9398E"/>
    <w:rsid w:val="00E94202"/>
    <w:rsid w:val="00E94CD8"/>
    <w:rsid w:val="00E9529B"/>
    <w:rsid w:val="00E95857"/>
    <w:rsid w:val="00E958C8"/>
    <w:rsid w:val="00E95D59"/>
    <w:rsid w:val="00E96050"/>
    <w:rsid w:val="00E965DC"/>
    <w:rsid w:val="00E96723"/>
    <w:rsid w:val="00E9680D"/>
    <w:rsid w:val="00E9770F"/>
    <w:rsid w:val="00EA01CF"/>
    <w:rsid w:val="00EA0764"/>
    <w:rsid w:val="00EA07D0"/>
    <w:rsid w:val="00EA096F"/>
    <w:rsid w:val="00EA1DE4"/>
    <w:rsid w:val="00EA24D3"/>
    <w:rsid w:val="00EA2795"/>
    <w:rsid w:val="00EA30F5"/>
    <w:rsid w:val="00EA39DE"/>
    <w:rsid w:val="00EA3C17"/>
    <w:rsid w:val="00EA3F81"/>
    <w:rsid w:val="00EA442B"/>
    <w:rsid w:val="00EA4683"/>
    <w:rsid w:val="00EA46A0"/>
    <w:rsid w:val="00EA46B0"/>
    <w:rsid w:val="00EA47AC"/>
    <w:rsid w:val="00EA4D17"/>
    <w:rsid w:val="00EA4D2A"/>
    <w:rsid w:val="00EA51D0"/>
    <w:rsid w:val="00EA53B6"/>
    <w:rsid w:val="00EA5507"/>
    <w:rsid w:val="00EA5BA7"/>
    <w:rsid w:val="00EA5F42"/>
    <w:rsid w:val="00EA60B5"/>
    <w:rsid w:val="00EA63BC"/>
    <w:rsid w:val="00EA65B9"/>
    <w:rsid w:val="00EA68DA"/>
    <w:rsid w:val="00EA6E0D"/>
    <w:rsid w:val="00EA7056"/>
    <w:rsid w:val="00EA7101"/>
    <w:rsid w:val="00EA7155"/>
    <w:rsid w:val="00EA7699"/>
    <w:rsid w:val="00EA77A4"/>
    <w:rsid w:val="00EA7EBE"/>
    <w:rsid w:val="00EB031C"/>
    <w:rsid w:val="00EB04FC"/>
    <w:rsid w:val="00EB1127"/>
    <w:rsid w:val="00EB121C"/>
    <w:rsid w:val="00EB1907"/>
    <w:rsid w:val="00EB213B"/>
    <w:rsid w:val="00EB2A36"/>
    <w:rsid w:val="00EB2B00"/>
    <w:rsid w:val="00EB2B0C"/>
    <w:rsid w:val="00EB2E14"/>
    <w:rsid w:val="00EB33B5"/>
    <w:rsid w:val="00EB37D4"/>
    <w:rsid w:val="00EB37E7"/>
    <w:rsid w:val="00EB39CD"/>
    <w:rsid w:val="00EB3D7E"/>
    <w:rsid w:val="00EB3F93"/>
    <w:rsid w:val="00EB4A1C"/>
    <w:rsid w:val="00EB4AB9"/>
    <w:rsid w:val="00EB4B9D"/>
    <w:rsid w:val="00EB4CB9"/>
    <w:rsid w:val="00EB5641"/>
    <w:rsid w:val="00EB6126"/>
    <w:rsid w:val="00EB62D6"/>
    <w:rsid w:val="00EB655B"/>
    <w:rsid w:val="00EB68F3"/>
    <w:rsid w:val="00EB6D33"/>
    <w:rsid w:val="00EB6F3D"/>
    <w:rsid w:val="00EB72CB"/>
    <w:rsid w:val="00EB7ABC"/>
    <w:rsid w:val="00EC02AE"/>
    <w:rsid w:val="00EC02B6"/>
    <w:rsid w:val="00EC07A8"/>
    <w:rsid w:val="00EC0CB1"/>
    <w:rsid w:val="00EC15F9"/>
    <w:rsid w:val="00EC1FF5"/>
    <w:rsid w:val="00EC2279"/>
    <w:rsid w:val="00EC2559"/>
    <w:rsid w:val="00EC268D"/>
    <w:rsid w:val="00EC2716"/>
    <w:rsid w:val="00EC285D"/>
    <w:rsid w:val="00EC2891"/>
    <w:rsid w:val="00EC2D4B"/>
    <w:rsid w:val="00EC2D66"/>
    <w:rsid w:val="00EC2FE0"/>
    <w:rsid w:val="00EC3C61"/>
    <w:rsid w:val="00EC3C8F"/>
    <w:rsid w:val="00EC3F5B"/>
    <w:rsid w:val="00EC444D"/>
    <w:rsid w:val="00EC45A0"/>
    <w:rsid w:val="00EC4660"/>
    <w:rsid w:val="00EC4779"/>
    <w:rsid w:val="00EC47B5"/>
    <w:rsid w:val="00EC4848"/>
    <w:rsid w:val="00EC48D2"/>
    <w:rsid w:val="00EC55AB"/>
    <w:rsid w:val="00EC567F"/>
    <w:rsid w:val="00EC5CDB"/>
    <w:rsid w:val="00EC63CF"/>
    <w:rsid w:val="00EC661A"/>
    <w:rsid w:val="00EC6C65"/>
    <w:rsid w:val="00EC6D9A"/>
    <w:rsid w:val="00EC7292"/>
    <w:rsid w:val="00EC759F"/>
    <w:rsid w:val="00EC75A9"/>
    <w:rsid w:val="00EC79E4"/>
    <w:rsid w:val="00EC7C81"/>
    <w:rsid w:val="00EC7DE8"/>
    <w:rsid w:val="00ED059B"/>
    <w:rsid w:val="00ED09BE"/>
    <w:rsid w:val="00ED0B28"/>
    <w:rsid w:val="00ED0B63"/>
    <w:rsid w:val="00ED0FEF"/>
    <w:rsid w:val="00ED10CF"/>
    <w:rsid w:val="00ED120D"/>
    <w:rsid w:val="00ED1283"/>
    <w:rsid w:val="00ED19EF"/>
    <w:rsid w:val="00ED2378"/>
    <w:rsid w:val="00ED327F"/>
    <w:rsid w:val="00ED328D"/>
    <w:rsid w:val="00ED33CB"/>
    <w:rsid w:val="00ED3F4C"/>
    <w:rsid w:val="00ED4399"/>
    <w:rsid w:val="00ED463B"/>
    <w:rsid w:val="00ED46FA"/>
    <w:rsid w:val="00ED48CC"/>
    <w:rsid w:val="00ED4A05"/>
    <w:rsid w:val="00ED4A45"/>
    <w:rsid w:val="00ED4CFB"/>
    <w:rsid w:val="00ED520B"/>
    <w:rsid w:val="00ED5318"/>
    <w:rsid w:val="00ED5F65"/>
    <w:rsid w:val="00ED5F94"/>
    <w:rsid w:val="00ED629E"/>
    <w:rsid w:val="00ED6C35"/>
    <w:rsid w:val="00ED706D"/>
    <w:rsid w:val="00ED71B0"/>
    <w:rsid w:val="00ED73E9"/>
    <w:rsid w:val="00ED7591"/>
    <w:rsid w:val="00ED7DDD"/>
    <w:rsid w:val="00EE0444"/>
    <w:rsid w:val="00EE0FB9"/>
    <w:rsid w:val="00EE185D"/>
    <w:rsid w:val="00EE1AAB"/>
    <w:rsid w:val="00EE1EEB"/>
    <w:rsid w:val="00EE21B6"/>
    <w:rsid w:val="00EE22DD"/>
    <w:rsid w:val="00EE24CC"/>
    <w:rsid w:val="00EE24F2"/>
    <w:rsid w:val="00EE2572"/>
    <w:rsid w:val="00EE284F"/>
    <w:rsid w:val="00EE3481"/>
    <w:rsid w:val="00EE3655"/>
    <w:rsid w:val="00EE3939"/>
    <w:rsid w:val="00EE3A75"/>
    <w:rsid w:val="00EE3F74"/>
    <w:rsid w:val="00EE3FFF"/>
    <w:rsid w:val="00EE4232"/>
    <w:rsid w:val="00EE46F0"/>
    <w:rsid w:val="00EE4B0D"/>
    <w:rsid w:val="00EE5378"/>
    <w:rsid w:val="00EE539C"/>
    <w:rsid w:val="00EE56EC"/>
    <w:rsid w:val="00EE57EA"/>
    <w:rsid w:val="00EE57F7"/>
    <w:rsid w:val="00EE5AE9"/>
    <w:rsid w:val="00EE5CC5"/>
    <w:rsid w:val="00EE5D93"/>
    <w:rsid w:val="00EE62C1"/>
    <w:rsid w:val="00EE646B"/>
    <w:rsid w:val="00EE6538"/>
    <w:rsid w:val="00EE6601"/>
    <w:rsid w:val="00EE6FB0"/>
    <w:rsid w:val="00EE736A"/>
    <w:rsid w:val="00EE7912"/>
    <w:rsid w:val="00EE7CCA"/>
    <w:rsid w:val="00EF03B5"/>
    <w:rsid w:val="00EF05EC"/>
    <w:rsid w:val="00EF070C"/>
    <w:rsid w:val="00EF092A"/>
    <w:rsid w:val="00EF0BF6"/>
    <w:rsid w:val="00EF0DA2"/>
    <w:rsid w:val="00EF0F02"/>
    <w:rsid w:val="00EF1128"/>
    <w:rsid w:val="00EF1E09"/>
    <w:rsid w:val="00EF21CF"/>
    <w:rsid w:val="00EF24C2"/>
    <w:rsid w:val="00EF24EF"/>
    <w:rsid w:val="00EF2D56"/>
    <w:rsid w:val="00EF2E7C"/>
    <w:rsid w:val="00EF3548"/>
    <w:rsid w:val="00EF35D1"/>
    <w:rsid w:val="00EF3918"/>
    <w:rsid w:val="00EF3A14"/>
    <w:rsid w:val="00EF3DE2"/>
    <w:rsid w:val="00EF40D4"/>
    <w:rsid w:val="00EF467C"/>
    <w:rsid w:val="00EF4994"/>
    <w:rsid w:val="00EF4A9E"/>
    <w:rsid w:val="00EF4AA4"/>
    <w:rsid w:val="00EF4D54"/>
    <w:rsid w:val="00EF50A0"/>
    <w:rsid w:val="00EF50B5"/>
    <w:rsid w:val="00EF520C"/>
    <w:rsid w:val="00EF5846"/>
    <w:rsid w:val="00EF5FB6"/>
    <w:rsid w:val="00EF67B3"/>
    <w:rsid w:val="00EF7294"/>
    <w:rsid w:val="00EF7412"/>
    <w:rsid w:val="00EF7EE4"/>
    <w:rsid w:val="00F00069"/>
    <w:rsid w:val="00F000A7"/>
    <w:rsid w:val="00F0098D"/>
    <w:rsid w:val="00F00F62"/>
    <w:rsid w:val="00F0157A"/>
    <w:rsid w:val="00F017B2"/>
    <w:rsid w:val="00F025CB"/>
    <w:rsid w:val="00F02B6D"/>
    <w:rsid w:val="00F02DDC"/>
    <w:rsid w:val="00F02E1D"/>
    <w:rsid w:val="00F03E5E"/>
    <w:rsid w:val="00F03FBE"/>
    <w:rsid w:val="00F044D8"/>
    <w:rsid w:val="00F04B36"/>
    <w:rsid w:val="00F04CDA"/>
    <w:rsid w:val="00F05CC0"/>
    <w:rsid w:val="00F05E95"/>
    <w:rsid w:val="00F05F5A"/>
    <w:rsid w:val="00F065B1"/>
    <w:rsid w:val="00F0661A"/>
    <w:rsid w:val="00F068C7"/>
    <w:rsid w:val="00F068F6"/>
    <w:rsid w:val="00F06B21"/>
    <w:rsid w:val="00F070EB"/>
    <w:rsid w:val="00F071DE"/>
    <w:rsid w:val="00F07ADD"/>
    <w:rsid w:val="00F07D2C"/>
    <w:rsid w:val="00F10230"/>
    <w:rsid w:val="00F1024E"/>
    <w:rsid w:val="00F10A0C"/>
    <w:rsid w:val="00F10D8F"/>
    <w:rsid w:val="00F112AD"/>
    <w:rsid w:val="00F113E1"/>
    <w:rsid w:val="00F11985"/>
    <w:rsid w:val="00F11E33"/>
    <w:rsid w:val="00F11E66"/>
    <w:rsid w:val="00F12130"/>
    <w:rsid w:val="00F12268"/>
    <w:rsid w:val="00F12567"/>
    <w:rsid w:val="00F12599"/>
    <w:rsid w:val="00F126A9"/>
    <w:rsid w:val="00F13536"/>
    <w:rsid w:val="00F136D5"/>
    <w:rsid w:val="00F13B4E"/>
    <w:rsid w:val="00F146B4"/>
    <w:rsid w:val="00F14A6F"/>
    <w:rsid w:val="00F14C7C"/>
    <w:rsid w:val="00F14F5B"/>
    <w:rsid w:val="00F15809"/>
    <w:rsid w:val="00F158A9"/>
    <w:rsid w:val="00F15E23"/>
    <w:rsid w:val="00F15F01"/>
    <w:rsid w:val="00F1642A"/>
    <w:rsid w:val="00F17123"/>
    <w:rsid w:val="00F17C98"/>
    <w:rsid w:val="00F17CCE"/>
    <w:rsid w:val="00F17E50"/>
    <w:rsid w:val="00F203BA"/>
    <w:rsid w:val="00F2059D"/>
    <w:rsid w:val="00F21D28"/>
    <w:rsid w:val="00F21FBE"/>
    <w:rsid w:val="00F22619"/>
    <w:rsid w:val="00F2312F"/>
    <w:rsid w:val="00F2313C"/>
    <w:rsid w:val="00F234B9"/>
    <w:rsid w:val="00F23A01"/>
    <w:rsid w:val="00F23E44"/>
    <w:rsid w:val="00F24032"/>
    <w:rsid w:val="00F24445"/>
    <w:rsid w:val="00F2574D"/>
    <w:rsid w:val="00F25A3A"/>
    <w:rsid w:val="00F25A99"/>
    <w:rsid w:val="00F25CDF"/>
    <w:rsid w:val="00F25E64"/>
    <w:rsid w:val="00F264D6"/>
    <w:rsid w:val="00F26EA6"/>
    <w:rsid w:val="00F27B87"/>
    <w:rsid w:val="00F27E82"/>
    <w:rsid w:val="00F30611"/>
    <w:rsid w:val="00F3068B"/>
    <w:rsid w:val="00F30F81"/>
    <w:rsid w:val="00F30FB2"/>
    <w:rsid w:val="00F31FE8"/>
    <w:rsid w:val="00F3216B"/>
    <w:rsid w:val="00F322CE"/>
    <w:rsid w:val="00F32A2A"/>
    <w:rsid w:val="00F32FE8"/>
    <w:rsid w:val="00F330D2"/>
    <w:rsid w:val="00F3320F"/>
    <w:rsid w:val="00F33501"/>
    <w:rsid w:val="00F33905"/>
    <w:rsid w:val="00F339CC"/>
    <w:rsid w:val="00F33A7B"/>
    <w:rsid w:val="00F34292"/>
    <w:rsid w:val="00F343EE"/>
    <w:rsid w:val="00F346E1"/>
    <w:rsid w:val="00F35BF3"/>
    <w:rsid w:val="00F35C68"/>
    <w:rsid w:val="00F35DE0"/>
    <w:rsid w:val="00F35EC2"/>
    <w:rsid w:val="00F36082"/>
    <w:rsid w:val="00F36146"/>
    <w:rsid w:val="00F361DC"/>
    <w:rsid w:val="00F362DD"/>
    <w:rsid w:val="00F37156"/>
    <w:rsid w:val="00F37226"/>
    <w:rsid w:val="00F3726C"/>
    <w:rsid w:val="00F3784D"/>
    <w:rsid w:val="00F379E2"/>
    <w:rsid w:val="00F404F3"/>
    <w:rsid w:val="00F40808"/>
    <w:rsid w:val="00F410FB"/>
    <w:rsid w:val="00F412FC"/>
    <w:rsid w:val="00F41645"/>
    <w:rsid w:val="00F41884"/>
    <w:rsid w:val="00F418CC"/>
    <w:rsid w:val="00F41CDE"/>
    <w:rsid w:val="00F422DE"/>
    <w:rsid w:val="00F423B9"/>
    <w:rsid w:val="00F42429"/>
    <w:rsid w:val="00F42C6F"/>
    <w:rsid w:val="00F43926"/>
    <w:rsid w:val="00F43B36"/>
    <w:rsid w:val="00F43B5D"/>
    <w:rsid w:val="00F43B83"/>
    <w:rsid w:val="00F43E69"/>
    <w:rsid w:val="00F4417D"/>
    <w:rsid w:val="00F4455B"/>
    <w:rsid w:val="00F45032"/>
    <w:rsid w:val="00F4514C"/>
    <w:rsid w:val="00F457D2"/>
    <w:rsid w:val="00F45994"/>
    <w:rsid w:val="00F45F9E"/>
    <w:rsid w:val="00F46021"/>
    <w:rsid w:val="00F46079"/>
    <w:rsid w:val="00F462C2"/>
    <w:rsid w:val="00F46354"/>
    <w:rsid w:val="00F4719E"/>
    <w:rsid w:val="00F476C3"/>
    <w:rsid w:val="00F4797C"/>
    <w:rsid w:val="00F47B7E"/>
    <w:rsid w:val="00F47C3E"/>
    <w:rsid w:val="00F47DAD"/>
    <w:rsid w:val="00F500F6"/>
    <w:rsid w:val="00F5014D"/>
    <w:rsid w:val="00F50263"/>
    <w:rsid w:val="00F503B5"/>
    <w:rsid w:val="00F504C8"/>
    <w:rsid w:val="00F516CA"/>
    <w:rsid w:val="00F5197C"/>
    <w:rsid w:val="00F51E24"/>
    <w:rsid w:val="00F52090"/>
    <w:rsid w:val="00F5244C"/>
    <w:rsid w:val="00F52AFF"/>
    <w:rsid w:val="00F52B0A"/>
    <w:rsid w:val="00F52D20"/>
    <w:rsid w:val="00F53102"/>
    <w:rsid w:val="00F5322F"/>
    <w:rsid w:val="00F5339E"/>
    <w:rsid w:val="00F53808"/>
    <w:rsid w:val="00F53D8F"/>
    <w:rsid w:val="00F53ED1"/>
    <w:rsid w:val="00F55079"/>
    <w:rsid w:val="00F55FEF"/>
    <w:rsid w:val="00F56244"/>
    <w:rsid w:val="00F56286"/>
    <w:rsid w:val="00F569A6"/>
    <w:rsid w:val="00F56D9B"/>
    <w:rsid w:val="00F57578"/>
    <w:rsid w:val="00F57CA8"/>
    <w:rsid w:val="00F57FCF"/>
    <w:rsid w:val="00F60596"/>
    <w:rsid w:val="00F60C4F"/>
    <w:rsid w:val="00F60CFF"/>
    <w:rsid w:val="00F611F9"/>
    <w:rsid w:val="00F612B5"/>
    <w:rsid w:val="00F61B97"/>
    <w:rsid w:val="00F62060"/>
    <w:rsid w:val="00F6219E"/>
    <w:rsid w:val="00F62D18"/>
    <w:rsid w:val="00F62F15"/>
    <w:rsid w:val="00F6307E"/>
    <w:rsid w:val="00F63531"/>
    <w:rsid w:val="00F638DB"/>
    <w:rsid w:val="00F63C45"/>
    <w:rsid w:val="00F63DBA"/>
    <w:rsid w:val="00F6404E"/>
    <w:rsid w:val="00F649CB"/>
    <w:rsid w:val="00F6512E"/>
    <w:rsid w:val="00F6527B"/>
    <w:rsid w:val="00F65D07"/>
    <w:rsid w:val="00F660DE"/>
    <w:rsid w:val="00F6629E"/>
    <w:rsid w:val="00F6647A"/>
    <w:rsid w:val="00F668E5"/>
    <w:rsid w:val="00F66AB3"/>
    <w:rsid w:val="00F66D1D"/>
    <w:rsid w:val="00F66D49"/>
    <w:rsid w:val="00F679DF"/>
    <w:rsid w:val="00F67BCB"/>
    <w:rsid w:val="00F67EA4"/>
    <w:rsid w:val="00F702F3"/>
    <w:rsid w:val="00F7044A"/>
    <w:rsid w:val="00F706B8"/>
    <w:rsid w:val="00F70823"/>
    <w:rsid w:val="00F70BD8"/>
    <w:rsid w:val="00F7112F"/>
    <w:rsid w:val="00F71E29"/>
    <w:rsid w:val="00F725DC"/>
    <w:rsid w:val="00F7267D"/>
    <w:rsid w:val="00F729BC"/>
    <w:rsid w:val="00F72BA6"/>
    <w:rsid w:val="00F73AEE"/>
    <w:rsid w:val="00F73D08"/>
    <w:rsid w:val="00F73F2A"/>
    <w:rsid w:val="00F7404F"/>
    <w:rsid w:val="00F74797"/>
    <w:rsid w:val="00F75056"/>
    <w:rsid w:val="00F75594"/>
    <w:rsid w:val="00F758B8"/>
    <w:rsid w:val="00F75DE2"/>
    <w:rsid w:val="00F76807"/>
    <w:rsid w:val="00F76C33"/>
    <w:rsid w:val="00F77010"/>
    <w:rsid w:val="00F77744"/>
    <w:rsid w:val="00F77973"/>
    <w:rsid w:val="00F77B6C"/>
    <w:rsid w:val="00F80024"/>
    <w:rsid w:val="00F801CF"/>
    <w:rsid w:val="00F801F5"/>
    <w:rsid w:val="00F806E2"/>
    <w:rsid w:val="00F8079B"/>
    <w:rsid w:val="00F80A21"/>
    <w:rsid w:val="00F813F8"/>
    <w:rsid w:val="00F81544"/>
    <w:rsid w:val="00F8169D"/>
    <w:rsid w:val="00F817E7"/>
    <w:rsid w:val="00F8194F"/>
    <w:rsid w:val="00F82548"/>
    <w:rsid w:val="00F82640"/>
    <w:rsid w:val="00F8269B"/>
    <w:rsid w:val="00F826BB"/>
    <w:rsid w:val="00F829EE"/>
    <w:rsid w:val="00F82C21"/>
    <w:rsid w:val="00F82E79"/>
    <w:rsid w:val="00F83462"/>
    <w:rsid w:val="00F838A1"/>
    <w:rsid w:val="00F8393C"/>
    <w:rsid w:val="00F84E60"/>
    <w:rsid w:val="00F85042"/>
    <w:rsid w:val="00F850B7"/>
    <w:rsid w:val="00F85159"/>
    <w:rsid w:val="00F85998"/>
    <w:rsid w:val="00F85FE0"/>
    <w:rsid w:val="00F86FAB"/>
    <w:rsid w:val="00F87C26"/>
    <w:rsid w:val="00F90280"/>
    <w:rsid w:val="00F90349"/>
    <w:rsid w:val="00F90B28"/>
    <w:rsid w:val="00F912CF"/>
    <w:rsid w:val="00F9180D"/>
    <w:rsid w:val="00F91BF4"/>
    <w:rsid w:val="00F92037"/>
    <w:rsid w:val="00F92255"/>
    <w:rsid w:val="00F926EF"/>
    <w:rsid w:val="00F92DCF"/>
    <w:rsid w:val="00F93332"/>
    <w:rsid w:val="00F93C37"/>
    <w:rsid w:val="00F93E49"/>
    <w:rsid w:val="00F94115"/>
    <w:rsid w:val="00F94606"/>
    <w:rsid w:val="00F9537D"/>
    <w:rsid w:val="00F9575A"/>
    <w:rsid w:val="00F95A0A"/>
    <w:rsid w:val="00F96DC0"/>
    <w:rsid w:val="00F96DE4"/>
    <w:rsid w:val="00FA0692"/>
    <w:rsid w:val="00FA0A87"/>
    <w:rsid w:val="00FA0DE0"/>
    <w:rsid w:val="00FA0EA8"/>
    <w:rsid w:val="00FA0EC5"/>
    <w:rsid w:val="00FA1229"/>
    <w:rsid w:val="00FA167F"/>
    <w:rsid w:val="00FA16A4"/>
    <w:rsid w:val="00FA16F7"/>
    <w:rsid w:val="00FA1A4E"/>
    <w:rsid w:val="00FA1C8A"/>
    <w:rsid w:val="00FA1FCC"/>
    <w:rsid w:val="00FA2B83"/>
    <w:rsid w:val="00FA2CDF"/>
    <w:rsid w:val="00FA3318"/>
    <w:rsid w:val="00FA3356"/>
    <w:rsid w:val="00FA4991"/>
    <w:rsid w:val="00FA50F3"/>
    <w:rsid w:val="00FA5F42"/>
    <w:rsid w:val="00FA63C8"/>
    <w:rsid w:val="00FA6C99"/>
    <w:rsid w:val="00FA7206"/>
    <w:rsid w:val="00FA7D4F"/>
    <w:rsid w:val="00FB0367"/>
    <w:rsid w:val="00FB0592"/>
    <w:rsid w:val="00FB0AB3"/>
    <w:rsid w:val="00FB0B51"/>
    <w:rsid w:val="00FB0DD7"/>
    <w:rsid w:val="00FB1AB7"/>
    <w:rsid w:val="00FB1E7E"/>
    <w:rsid w:val="00FB1F25"/>
    <w:rsid w:val="00FB2161"/>
    <w:rsid w:val="00FB2510"/>
    <w:rsid w:val="00FB28B1"/>
    <w:rsid w:val="00FB2D3C"/>
    <w:rsid w:val="00FB36D4"/>
    <w:rsid w:val="00FB4372"/>
    <w:rsid w:val="00FB4380"/>
    <w:rsid w:val="00FB4A61"/>
    <w:rsid w:val="00FB4DF9"/>
    <w:rsid w:val="00FB518D"/>
    <w:rsid w:val="00FB52C2"/>
    <w:rsid w:val="00FB5B1A"/>
    <w:rsid w:val="00FB5EF6"/>
    <w:rsid w:val="00FB6539"/>
    <w:rsid w:val="00FB655C"/>
    <w:rsid w:val="00FB6865"/>
    <w:rsid w:val="00FB6986"/>
    <w:rsid w:val="00FB7039"/>
    <w:rsid w:val="00FB732A"/>
    <w:rsid w:val="00FB7903"/>
    <w:rsid w:val="00FB7AFF"/>
    <w:rsid w:val="00FC1039"/>
    <w:rsid w:val="00FC1F69"/>
    <w:rsid w:val="00FC1FD0"/>
    <w:rsid w:val="00FC2052"/>
    <w:rsid w:val="00FC2991"/>
    <w:rsid w:val="00FC2B89"/>
    <w:rsid w:val="00FC2C04"/>
    <w:rsid w:val="00FC2CBD"/>
    <w:rsid w:val="00FC34D4"/>
    <w:rsid w:val="00FC3A65"/>
    <w:rsid w:val="00FC430F"/>
    <w:rsid w:val="00FC446A"/>
    <w:rsid w:val="00FC44A0"/>
    <w:rsid w:val="00FC4A32"/>
    <w:rsid w:val="00FC4C2B"/>
    <w:rsid w:val="00FC5721"/>
    <w:rsid w:val="00FC582B"/>
    <w:rsid w:val="00FC5A0C"/>
    <w:rsid w:val="00FC5EF0"/>
    <w:rsid w:val="00FC74BB"/>
    <w:rsid w:val="00FC7E9C"/>
    <w:rsid w:val="00FC7ECA"/>
    <w:rsid w:val="00FC7FDC"/>
    <w:rsid w:val="00FD0223"/>
    <w:rsid w:val="00FD0B0F"/>
    <w:rsid w:val="00FD0D35"/>
    <w:rsid w:val="00FD1A9C"/>
    <w:rsid w:val="00FD22F9"/>
    <w:rsid w:val="00FD2F3E"/>
    <w:rsid w:val="00FD2FC8"/>
    <w:rsid w:val="00FD3002"/>
    <w:rsid w:val="00FD3367"/>
    <w:rsid w:val="00FD33B2"/>
    <w:rsid w:val="00FD34E4"/>
    <w:rsid w:val="00FD359F"/>
    <w:rsid w:val="00FD3768"/>
    <w:rsid w:val="00FD43C9"/>
    <w:rsid w:val="00FD44D1"/>
    <w:rsid w:val="00FD46FE"/>
    <w:rsid w:val="00FD4EED"/>
    <w:rsid w:val="00FD562B"/>
    <w:rsid w:val="00FD57E3"/>
    <w:rsid w:val="00FD5EAB"/>
    <w:rsid w:val="00FD645E"/>
    <w:rsid w:val="00FD6DDE"/>
    <w:rsid w:val="00FD6FC3"/>
    <w:rsid w:val="00FD7746"/>
    <w:rsid w:val="00FD7CD2"/>
    <w:rsid w:val="00FD7D30"/>
    <w:rsid w:val="00FE0006"/>
    <w:rsid w:val="00FE0A14"/>
    <w:rsid w:val="00FE0EDA"/>
    <w:rsid w:val="00FE1098"/>
    <w:rsid w:val="00FE11A1"/>
    <w:rsid w:val="00FE12CB"/>
    <w:rsid w:val="00FE19AA"/>
    <w:rsid w:val="00FE2552"/>
    <w:rsid w:val="00FE2B0A"/>
    <w:rsid w:val="00FE2E75"/>
    <w:rsid w:val="00FE2FBE"/>
    <w:rsid w:val="00FE31DA"/>
    <w:rsid w:val="00FE370A"/>
    <w:rsid w:val="00FE3907"/>
    <w:rsid w:val="00FE472F"/>
    <w:rsid w:val="00FE4AD9"/>
    <w:rsid w:val="00FE4E4D"/>
    <w:rsid w:val="00FE4F31"/>
    <w:rsid w:val="00FE51EC"/>
    <w:rsid w:val="00FE54AF"/>
    <w:rsid w:val="00FE5998"/>
    <w:rsid w:val="00FE5EB6"/>
    <w:rsid w:val="00FE63A5"/>
    <w:rsid w:val="00FE66AE"/>
    <w:rsid w:val="00FE6DA0"/>
    <w:rsid w:val="00FE7709"/>
    <w:rsid w:val="00FF03BC"/>
    <w:rsid w:val="00FF0C32"/>
    <w:rsid w:val="00FF108E"/>
    <w:rsid w:val="00FF1345"/>
    <w:rsid w:val="00FF14A8"/>
    <w:rsid w:val="00FF1660"/>
    <w:rsid w:val="00FF1A87"/>
    <w:rsid w:val="00FF21FF"/>
    <w:rsid w:val="00FF22AF"/>
    <w:rsid w:val="00FF230A"/>
    <w:rsid w:val="00FF23E7"/>
    <w:rsid w:val="00FF2451"/>
    <w:rsid w:val="00FF248A"/>
    <w:rsid w:val="00FF2F55"/>
    <w:rsid w:val="00FF2FAE"/>
    <w:rsid w:val="00FF3307"/>
    <w:rsid w:val="00FF3539"/>
    <w:rsid w:val="00FF3730"/>
    <w:rsid w:val="00FF3871"/>
    <w:rsid w:val="00FF3A90"/>
    <w:rsid w:val="00FF3D74"/>
    <w:rsid w:val="00FF4201"/>
    <w:rsid w:val="00FF43C0"/>
    <w:rsid w:val="00FF500D"/>
    <w:rsid w:val="00FF5845"/>
    <w:rsid w:val="00FF6514"/>
    <w:rsid w:val="00FF65EC"/>
    <w:rsid w:val="00FF6B5A"/>
    <w:rsid w:val="00FF6BB2"/>
    <w:rsid w:val="00FF6D5F"/>
    <w:rsid w:val="00FF7030"/>
    <w:rsid w:val="00FF7036"/>
    <w:rsid w:val="00FF718D"/>
    <w:rsid w:val="00FF7214"/>
    <w:rsid w:val="00FF7936"/>
    <w:rsid w:val="00FF7F33"/>
    <w:rsid w:val="044367B0"/>
    <w:rsid w:val="048F6BA5"/>
    <w:rsid w:val="05E5600D"/>
    <w:rsid w:val="09F9205B"/>
    <w:rsid w:val="0AD16353"/>
    <w:rsid w:val="0BB83A54"/>
    <w:rsid w:val="0E8D65A6"/>
    <w:rsid w:val="0FA02DE0"/>
    <w:rsid w:val="106F1504"/>
    <w:rsid w:val="116B5255"/>
    <w:rsid w:val="13301502"/>
    <w:rsid w:val="1EEF0DDB"/>
    <w:rsid w:val="1FC42B64"/>
    <w:rsid w:val="27C45A95"/>
    <w:rsid w:val="2C1942BC"/>
    <w:rsid w:val="2CAD5165"/>
    <w:rsid w:val="30144EC2"/>
    <w:rsid w:val="3156044E"/>
    <w:rsid w:val="33C80504"/>
    <w:rsid w:val="35952AEC"/>
    <w:rsid w:val="365C0720"/>
    <w:rsid w:val="38E5211B"/>
    <w:rsid w:val="39AB02EF"/>
    <w:rsid w:val="39F02B60"/>
    <w:rsid w:val="3C424C38"/>
    <w:rsid w:val="3E26436F"/>
    <w:rsid w:val="3EB5522B"/>
    <w:rsid w:val="424109D0"/>
    <w:rsid w:val="42990C13"/>
    <w:rsid w:val="436A002C"/>
    <w:rsid w:val="4690622E"/>
    <w:rsid w:val="49725D2E"/>
    <w:rsid w:val="4C5C43F7"/>
    <w:rsid w:val="4DE6145D"/>
    <w:rsid w:val="4E4667F5"/>
    <w:rsid w:val="4FCB1C0C"/>
    <w:rsid w:val="510846F1"/>
    <w:rsid w:val="51FB09CD"/>
    <w:rsid w:val="520D74BE"/>
    <w:rsid w:val="522377D2"/>
    <w:rsid w:val="541615DB"/>
    <w:rsid w:val="570B7614"/>
    <w:rsid w:val="57164655"/>
    <w:rsid w:val="59AD3E0E"/>
    <w:rsid w:val="59F35F3A"/>
    <w:rsid w:val="5A4C5F01"/>
    <w:rsid w:val="5AB665E6"/>
    <w:rsid w:val="5E9706DB"/>
    <w:rsid w:val="5F7A7D2B"/>
    <w:rsid w:val="60C213F0"/>
    <w:rsid w:val="619066B6"/>
    <w:rsid w:val="63E04B73"/>
    <w:rsid w:val="64D85DCB"/>
    <w:rsid w:val="66676BB6"/>
    <w:rsid w:val="681177DB"/>
    <w:rsid w:val="688F2159"/>
    <w:rsid w:val="68C0684E"/>
    <w:rsid w:val="6DA877B4"/>
    <w:rsid w:val="70DB1624"/>
    <w:rsid w:val="7CAD1877"/>
    <w:rsid w:val="7D882BC9"/>
    <w:rsid w:val="7FC67D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unhideWhenUsed="0" w:uiPriority="22" w:semiHidden="0" w:name="Strong"/>
    <w:lsdException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styleId="2">
    <w:name w:val="heading 1"/>
    <w:basedOn w:val="1"/>
    <w:next w:val="1"/>
    <w:link w:val="42"/>
    <w:qFormat/>
    <w:uiPriority w:val="9"/>
    <w:pPr>
      <w:keepNext/>
      <w:keepLines/>
      <w:numPr>
        <w:ilvl w:val="0"/>
        <w:numId w:val="1"/>
      </w:numPr>
      <w:tabs>
        <w:tab w:val="left" w:pos="0"/>
      </w:tabs>
      <w:ind w:firstLineChars="0"/>
      <w:jc w:val="center"/>
      <w:outlineLvl w:val="0"/>
    </w:pPr>
    <w:rPr>
      <w:b/>
      <w:bCs/>
      <w:kern w:val="44"/>
      <w:sz w:val="32"/>
      <w:szCs w:val="44"/>
    </w:rPr>
  </w:style>
  <w:style w:type="paragraph" w:styleId="3">
    <w:name w:val="heading 2"/>
    <w:basedOn w:val="1"/>
    <w:next w:val="1"/>
    <w:link w:val="43"/>
    <w:unhideWhenUsed/>
    <w:qFormat/>
    <w:uiPriority w:val="9"/>
    <w:pPr>
      <w:keepNext/>
      <w:keepLines/>
      <w:numPr>
        <w:ilvl w:val="1"/>
        <w:numId w:val="1"/>
      </w:numPr>
      <w:tabs>
        <w:tab w:val="left" w:pos="0"/>
      </w:tabs>
      <w:ind w:firstLineChars="0"/>
      <w:jc w:val="left"/>
      <w:outlineLvl w:val="1"/>
    </w:pPr>
    <w:rPr>
      <w:rFonts w:cstheme="majorBidi"/>
      <w:b/>
      <w:bCs/>
      <w:sz w:val="28"/>
      <w:szCs w:val="32"/>
    </w:rPr>
  </w:style>
  <w:style w:type="paragraph" w:styleId="4">
    <w:name w:val="heading 3"/>
    <w:basedOn w:val="3"/>
    <w:next w:val="1"/>
    <w:link w:val="44"/>
    <w:unhideWhenUsed/>
    <w:qFormat/>
    <w:uiPriority w:val="9"/>
    <w:pPr>
      <w:numPr>
        <w:ilvl w:val="2"/>
      </w:numPr>
      <w:outlineLvl w:val="2"/>
    </w:pPr>
    <w:rPr>
      <w:sz w:val="24"/>
    </w:rPr>
  </w:style>
  <w:style w:type="paragraph" w:styleId="5">
    <w:name w:val="heading 4"/>
    <w:basedOn w:val="6"/>
    <w:next w:val="1"/>
    <w:link w:val="46"/>
    <w:unhideWhenUsed/>
    <w:qFormat/>
    <w:uiPriority w:val="9"/>
    <w:pPr>
      <w:numPr>
        <w:ilvl w:val="3"/>
        <w:numId w:val="1"/>
      </w:numPr>
      <w:tabs>
        <w:tab w:val="left" w:pos="0"/>
      </w:tabs>
      <w:outlineLvl w:val="3"/>
    </w:pPr>
    <w:rPr>
      <w:rFonts w:eastAsiaTheme="majorEastAsia"/>
      <w:bCs w:val="0"/>
      <w:szCs w:val="28"/>
    </w:rPr>
  </w:style>
  <w:style w:type="paragraph" w:styleId="7">
    <w:name w:val="heading 5"/>
    <w:basedOn w:val="1"/>
    <w:next w:val="1"/>
    <w:link w:val="47"/>
    <w:unhideWhenUsed/>
    <w:qFormat/>
    <w:uiPriority w:val="9"/>
    <w:pPr>
      <w:keepNext/>
      <w:keepLines/>
      <w:ind w:firstLine="0" w:firstLineChars="0"/>
      <w:outlineLvl w:val="4"/>
    </w:pPr>
    <w:rPr>
      <w:bCs/>
      <w:szCs w:val="28"/>
    </w:rPr>
  </w:style>
  <w:style w:type="paragraph" w:styleId="8">
    <w:name w:val="heading 6"/>
    <w:basedOn w:val="1"/>
    <w:next w:val="1"/>
    <w:link w:val="112"/>
    <w:semiHidden/>
    <w:unhideWhenUsed/>
    <w:qFormat/>
    <w:uiPriority w:val="9"/>
    <w:pPr>
      <w:keepNext/>
      <w:keepLines/>
      <w:outlineLvl w:val="5"/>
    </w:pPr>
    <w:rPr>
      <w:rFonts w:ascii="Arial" w:hAnsi="Arial"/>
    </w:rPr>
  </w:style>
  <w:style w:type="paragraph" w:styleId="9">
    <w:name w:val="heading 7"/>
    <w:basedOn w:val="1"/>
    <w:next w:val="1"/>
    <w:link w:val="153"/>
    <w:semiHidden/>
    <w:unhideWhenUsed/>
    <w:qFormat/>
    <w:uiPriority w:val="9"/>
    <w:pPr>
      <w:keepNext/>
      <w:keepLines/>
      <w:spacing w:before="240" w:after="64" w:line="320" w:lineRule="auto"/>
      <w:ind w:left="1296" w:firstLine="0" w:firstLineChars="0"/>
      <w:outlineLvl w:val="6"/>
    </w:pPr>
    <w:rPr>
      <w:b/>
      <w:bCs/>
      <w:szCs w:val="24"/>
    </w:rPr>
  </w:style>
  <w:style w:type="paragraph" w:styleId="10">
    <w:name w:val="heading 8"/>
    <w:basedOn w:val="1"/>
    <w:next w:val="1"/>
    <w:link w:val="154"/>
    <w:semiHidden/>
    <w:unhideWhenUsed/>
    <w:qFormat/>
    <w:uiPriority w:val="9"/>
    <w:pPr>
      <w:keepNext/>
      <w:keepLines/>
      <w:spacing w:before="240" w:after="64" w:line="320" w:lineRule="auto"/>
      <w:ind w:left="1440" w:firstLine="0" w:firstLineChars="0"/>
      <w:outlineLvl w:val="7"/>
    </w:pPr>
    <w:rPr>
      <w:rFonts w:asciiTheme="majorHAnsi" w:hAnsiTheme="majorHAnsi" w:eastAsiaTheme="majorEastAsia" w:cstheme="majorBidi"/>
      <w:szCs w:val="24"/>
    </w:rPr>
  </w:style>
  <w:style w:type="paragraph" w:styleId="11">
    <w:name w:val="heading 9"/>
    <w:basedOn w:val="1"/>
    <w:next w:val="1"/>
    <w:link w:val="155"/>
    <w:semiHidden/>
    <w:unhideWhenUsed/>
    <w:qFormat/>
    <w:uiPriority w:val="9"/>
    <w:pPr>
      <w:keepNext/>
      <w:keepLines/>
      <w:spacing w:before="240" w:after="64" w:line="320" w:lineRule="auto"/>
      <w:ind w:left="1584" w:firstLine="0" w:firstLineChars="0"/>
      <w:outlineLvl w:val="8"/>
    </w:pPr>
    <w:rPr>
      <w:rFonts w:asciiTheme="majorHAnsi" w:hAnsiTheme="majorHAnsi" w:eastAsiaTheme="majorEastAsia" w:cstheme="majorBidi"/>
      <w:sz w:val="21"/>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6">
    <w:name w:val="基准-无缩进"/>
    <w:basedOn w:val="4"/>
    <w:link w:val="45"/>
    <w:qFormat/>
    <w:uiPriority w:val="0"/>
    <w:pPr>
      <w:numPr>
        <w:ilvl w:val="0"/>
        <w:numId w:val="0"/>
      </w:numPr>
    </w:pPr>
  </w:style>
  <w:style w:type="paragraph" w:styleId="12">
    <w:name w:val="Normal Indent"/>
    <w:basedOn w:val="1"/>
    <w:next w:val="13"/>
    <w:unhideWhenUsed/>
    <w:qFormat/>
    <w:uiPriority w:val="99"/>
    <w:pPr>
      <w:ind w:firstLine="420"/>
    </w:pPr>
    <w:rPr>
      <w:rFonts w:hint="eastAsia"/>
    </w:rPr>
  </w:style>
  <w:style w:type="paragraph" w:styleId="13">
    <w:name w:val="Body Text First Indent"/>
    <w:basedOn w:val="14"/>
    <w:next w:val="1"/>
    <w:link w:val="117"/>
    <w:unhideWhenUsed/>
    <w:qFormat/>
    <w:uiPriority w:val="99"/>
    <w:pPr>
      <w:spacing w:before="154"/>
      <w:ind w:left="121" w:firstLine="420" w:firstLineChars="100"/>
    </w:pPr>
    <w:rPr>
      <w:rFonts w:hint="eastAsia" w:ascii="仿宋" w:hAnsi="仿宋" w:eastAsia="仿宋"/>
      <w:szCs w:val="21"/>
    </w:rPr>
  </w:style>
  <w:style w:type="paragraph" w:styleId="14">
    <w:name w:val="Body Text"/>
    <w:basedOn w:val="1"/>
    <w:next w:val="1"/>
    <w:link w:val="48"/>
    <w:unhideWhenUsed/>
    <w:qFormat/>
    <w:uiPriority w:val="99"/>
    <w:pPr>
      <w:ind w:firstLine="560"/>
    </w:pPr>
    <w:rPr>
      <w:szCs w:val="24"/>
    </w:rPr>
  </w:style>
  <w:style w:type="paragraph" w:styleId="15">
    <w:name w:val="caption"/>
    <w:basedOn w:val="1"/>
    <w:next w:val="16"/>
    <w:link w:val="49"/>
    <w:autoRedefine/>
    <w:unhideWhenUsed/>
    <w:qFormat/>
    <w:uiPriority w:val="35"/>
    <w:pPr>
      <w:keepNext/>
      <w:ind w:firstLine="0" w:firstLineChars="0"/>
      <w:jc w:val="center"/>
    </w:pPr>
    <w:rPr>
      <w:b/>
      <w:sz w:val="21"/>
    </w:rPr>
  </w:style>
  <w:style w:type="paragraph" w:customStyle="1" w:styleId="16">
    <w:name w:val="表内文字"/>
    <w:basedOn w:val="17"/>
    <w:next w:val="1"/>
    <w:link w:val="135"/>
    <w:qFormat/>
    <w:uiPriority w:val="0"/>
    <w:pPr>
      <w:spacing w:line="240" w:lineRule="auto"/>
      <w:ind w:firstLine="0" w:firstLineChars="0"/>
      <w:jc w:val="center"/>
    </w:pPr>
    <w:rPr>
      <w:sz w:val="21"/>
    </w:rPr>
  </w:style>
  <w:style w:type="paragraph" w:customStyle="1" w:styleId="17">
    <w:name w:val="图表名称"/>
    <w:basedOn w:val="1"/>
    <w:next w:val="1"/>
    <w:link w:val="162"/>
    <w:qFormat/>
    <w:uiPriority w:val="0"/>
    <w:pPr>
      <w:ind w:firstLine="480"/>
      <w:jc w:val="center"/>
    </w:pPr>
    <w:rPr>
      <w:b/>
      <w:sz w:val="21"/>
    </w:rPr>
  </w:style>
  <w:style w:type="paragraph" w:styleId="18">
    <w:name w:val="annotation text"/>
    <w:basedOn w:val="1"/>
    <w:link w:val="76"/>
    <w:unhideWhenUsed/>
    <w:qFormat/>
    <w:uiPriority w:val="99"/>
    <w:pPr>
      <w:jc w:val="left"/>
    </w:pPr>
  </w:style>
  <w:style w:type="paragraph" w:styleId="19">
    <w:name w:val="Body Text Indent"/>
    <w:basedOn w:val="1"/>
    <w:link w:val="50"/>
    <w:semiHidden/>
    <w:unhideWhenUsed/>
    <w:qFormat/>
    <w:uiPriority w:val="99"/>
    <w:pPr>
      <w:spacing w:after="120"/>
      <w:ind w:left="420" w:leftChars="200"/>
    </w:pPr>
  </w:style>
  <w:style w:type="paragraph" w:styleId="20">
    <w:name w:val="toc 3"/>
    <w:basedOn w:val="1"/>
    <w:next w:val="1"/>
    <w:unhideWhenUsed/>
    <w:qFormat/>
    <w:uiPriority w:val="39"/>
    <w:pPr>
      <w:ind w:left="840" w:leftChars="400"/>
    </w:pPr>
  </w:style>
  <w:style w:type="paragraph" w:styleId="21">
    <w:name w:val="Plain Text"/>
    <w:basedOn w:val="1"/>
    <w:link w:val="51"/>
    <w:qFormat/>
    <w:uiPriority w:val="0"/>
    <w:pPr>
      <w:ind w:firstLine="1044"/>
    </w:pPr>
    <w:rPr>
      <w:rFonts w:ascii="宋体" w:hAnsi="Courier New" w:eastAsia="仿宋_GB2312" w:cs="Courier New"/>
    </w:rPr>
  </w:style>
  <w:style w:type="paragraph" w:styleId="22">
    <w:name w:val="Date"/>
    <w:basedOn w:val="1"/>
    <w:next w:val="1"/>
    <w:link w:val="216"/>
    <w:semiHidden/>
    <w:unhideWhenUsed/>
    <w:qFormat/>
    <w:uiPriority w:val="99"/>
    <w:pPr>
      <w:ind w:left="100" w:leftChars="2500"/>
    </w:pPr>
  </w:style>
  <w:style w:type="paragraph" w:styleId="23">
    <w:name w:val="Balloon Text"/>
    <w:basedOn w:val="1"/>
    <w:link w:val="78"/>
    <w:qFormat/>
    <w:uiPriority w:val="0"/>
    <w:pPr>
      <w:spacing w:line="240" w:lineRule="auto"/>
    </w:pPr>
    <w:rPr>
      <w:sz w:val="18"/>
      <w:szCs w:val="18"/>
    </w:rPr>
  </w:style>
  <w:style w:type="paragraph" w:styleId="24">
    <w:name w:val="footer"/>
    <w:basedOn w:val="1"/>
    <w:link w:val="52"/>
    <w:unhideWhenUsed/>
    <w:qFormat/>
    <w:uiPriority w:val="99"/>
    <w:pPr>
      <w:tabs>
        <w:tab w:val="center" w:pos="4153"/>
        <w:tab w:val="right" w:pos="8306"/>
      </w:tabs>
      <w:snapToGrid w:val="0"/>
      <w:ind w:firstLine="0" w:firstLineChars="0"/>
      <w:jc w:val="center"/>
    </w:pPr>
    <w:rPr>
      <w:sz w:val="18"/>
      <w:szCs w:val="18"/>
    </w:rPr>
  </w:style>
  <w:style w:type="paragraph" w:styleId="25">
    <w:name w:val="header"/>
    <w:basedOn w:val="1"/>
    <w:link w:val="53"/>
    <w:unhideWhenUsed/>
    <w:qFormat/>
    <w:uiPriority w:val="99"/>
    <w:pPr>
      <w:pBdr>
        <w:bottom w:val="single" w:color="auto" w:sz="6" w:space="1"/>
      </w:pBdr>
      <w:tabs>
        <w:tab w:val="center" w:pos="4153"/>
        <w:tab w:val="right" w:pos="8306"/>
      </w:tabs>
      <w:snapToGrid w:val="0"/>
      <w:spacing w:line="240" w:lineRule="auto"/>
      <w:ind w:firstLine="0" w:firstLineChars="0"/>
      <w:jc w:val="center"/>
    </w:pPr>
    <w:rPr>
      <w:rFonts w:eastAsia="楷体"/>
      <w:sz w:val="18"/>
      <w:szCs w:val="18"/>
    </w:rPr>
  </w:style>
  <w:style w:type="paragraph" w:styleId="26">
    <w:name w:val="toc 1"/>
    <w:basedOn w:val="1"/>
    <w:next w:val="1"/>
    <w:unhideWhenUsed/>
    <w:qFormat/>
    <w:uiPriority w:val="39"/>
    <w:pPr>
      <w:tabs>
        <w:tab w:val="right" w:leader="dot" w:pos="9060"/>
      </w:tabs>
      <w:ind w:firstLine="0" w:firstLineChars="0"/>
      <w:jc w:val="center"/>
    </w:pPr>
    <w:rPr>
      <w:b/>
      <w:sz w:val="28"/>
    </w:rPr>
  </w:style>
  <w:style w:type="paragraph" w:styleId="27">
    <w:name w:val="toc 4"/>
    <w:basedOn w:val="1"/>
    <w:next w:val="1"/>
    <w:unhideWhenUsed/>
    <w:qFormat/>
    <w:uiPriority w:val="39"/>
    <w:pPr>
      <w:ind w:left="630"/>
      <w:jc w:val="left"/>
    </w:pPr>
    <w:rPr>
      <w:rFonts w:ascii="Calibri" w:hAnsi="Calibri"/>
      <w:sz w:val="18"/>
      <w:szCs w:val="18"/>
    </w:rPr>
  </w:style>
  <w:style w:type="paragraph" w:styleId="28">
    <w:name w:val="Subtitle"/>
    <w:basedOn w:val="1"/>
    <w:next w:val="1"/>
    <w:link w:val="54"/>
    <w:qFormat/>
    <w:uiPriority w:val="11"/>
    <w:pPr>
      <w:spacing w:before="240" w:after="60" w:line="312" w:lineRule="auto"/>
      <w:jc w:val="center"/>
      <w:outlineLvl w:val="1"/>
    </w:pPr>
    <w:rPr>
      <w:rFonts w:asciiTheme="majorHAnsi" w:hAnsiTheme="majorHAnsi" w:cstheme="majorBidi"/>
      <w:b/>
      <w:bCs/>
      <w:kern w:val="28"/>
      <w:sz w:val="32"/>
      <w:szCs w:val="32"/>
    </w:rPr>
  </w:style>
  <w:style w:type="paragraph" w:styleId="29">
    <w:name w:val="table of figures"/>
    <w:basedOn w:val="1"/>
    <w:next w:val="1"/>
    <w:semiHidden/>
    <w:unhideWhenUsed/>
    <w:qFormat/>
    <w:uiPriority w:val="99"/>
    <w:pPr>
      <w:ind w:left="200" w:leftChars="200" w:hanging="200" w:hangingChars="200"/>
    </w:pPr>
  </w:style>
  <w:style w:type="paragraph" w:styleId="30">
    <w:name w:val="toc 2"/>
    <w:basedOn w:val="1"/>
    <w:next w:val="1"/>
    <w:unhideWhenUsed/>
    <w:qFormat/>
    <w:uiPriority w:val="39"/>
    <w:pPr>
      <w:tabs>
        <w:tab w:val="right" w:leader="dot" w:pos="9060"/>
      </w:tabs>
      <w:ind w:firstLine="560"/>
      <w:jc w:val="center"/>
    </w:pPr>
    <w:rPr>
      <w:sz w:val="28"/>
    </w:rPr>
  </w:style>
  <w:style w:type="paragraph" w:styleId="31">
    <w:name w:val="HTML Preformatted"/>
    <w:basedOn w:val="1"/>
    <w:link w:val="157"/>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Cs w:val="24"/>
    </w:rPr>
  </w:style>
  <w:style w:type="paragraph" w:styleId="32">
    <w:name w:val="Normal (Web)"/>
    <w:basedOn w:val="1"/>
    <w:link w:val="190"/>
    <w:unhideWhenUsed/>
    <w:qFormat/>
    <w:uiPriority w:val="99"/>
    <w:pPr>
      <w:widowControl/>
      <w:spacing w:before="100" w:beforeAutospacing="1" w:after="100" w:afterAutospacing="1" w:line="240" w:lineRule="auto"/>
      <w:ind w:firstLine="0" w:firstLineChars="0"/>
      <w:jc w:val="left"/>
    </w:pPr>
    <w:rPr>
      <w:rFonts w:ascii="宋体" w:hAnsi="宋体" w:cs="宋体"/>
      <w:kern w:val="0"/>
      <w:szCs w:val="24"/>
    </w:rPr>
  </w:style>
  <w:style w:type="paragraph" w:styleId="33">
    <w:name w:val="Title"/>
    <w:basedOn w:val="1"/>
    <w:next w:val="1"/>
    <w:link w:val="158"/>
    <w:qFormat/>
    <w:uiPriority w:val="10"/>
    <w:pPr>
      <w:spacing w:before="240" w:after="60"/>
      <w:ind w:firstLine="480"/>
      <w:jc w:val="center"/>
      <w:outlineLvl w:val="0"/>
    </w:pPr>
    <w:rPr>
      <w:rFonts w:asciiTheme="majorHAnsi" w:hAnsiTheme="majorHAnsi" w:eastAsiaTheme="majorEastAsia" w:cstheme="majorBidi"/>
      <w:b/>
      <w:bCs/>
      <w:sz w:val="32"/>
      <w:szCs w:val="32"/>
    </w:rPr>
  </w:style>
  <w:style w:type="paragraph" w:styleId="34">
    <w:name w:val="annotation subject"/>
    <w:basedOn w:val="18"/>
    <w:next w:val="18"/>
    <w:link w:val="77"/>
    <w:semiHidden/>
    <w:unhideWhenUsed/>
    <w:qFormat/>
    <w:uiPriority w:val="99"/>
    <w:rPr>
      <w:b/>
      <w:bCs/>
    </w:rPr>
  </w:style>
  <w:style w:type="paragraph" w:styleId="35">
    <w:name w:val="Body Text First Indent 2"/>
    <w:basedOn w:val="19"/>
    <w:link w:val="55"/>
    <w:qFormat/>
    <w:uiPriority w:val="0"/>
    <w:pPr>
      <w:ind w:firstLine="420"/>
    </w:pPr>
    <w:rPr>
      <w:rFonts w:eastAsia="仿宋_GB2312"/>
      <w:szCs w:val="22"/>
    </w:rPr>
  </w:style>
  <w:style w:type="table" w:styleId="37">
    <w:name w:val="Table Grid"/>
    <w:basedOn w:val="3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FollowedHyperlink"/>
    <w:basedOn w:val="38"/>
    <w:semiHidden/>
    <w:unhideWhenUsed/>
    <w:qFormat/>
    <w:uiPriority w:val="99"/>
    <w:rPr>
      <w:color w:val="800080" w:themeColor="followedHyperlink"/>
      <w:u w:val="single"/>
      <w14:textFill>
        <w14:solidFill>
          <w14:schemeClr w14:val="folHlink"/>
        </w14:solidFill>
      </w14:textFill>
    </w:rPr>
  </w:style>
  <w:style w:type="character" w:styleId="40">
    <w:name w:val="Hyperlink"/>
    <w:basedOn w:val="38"/>
    <w:unhideWhenUsed/>
    <w:qFormat/>
    <w:uiPriority w:val="99"/>
    <w:rPr>
      <w:color w:val="0000FF" w:themeColor="hyperlink"/>
      <w:u w:val="single"/>
      <w14:textFill>
        <w14:solidFill>
          <w14:schemeClr w14:val="hlink"/>
        </w14:solidFill>
      </w14:textFill>
    </w:rPr>
  </w:style>
  <w:style w:type="character" w:styleId="41">
    <w:name w:val="annotation reference"/>
    <w:basedOn w:val="38"/>
    <w:semiHidden/>
    <w:unhideWhenUsed/>
    <w:qFormat/>
    <w:uiPriority w:val="99"/>
    <w:rPr>
      <w:sz w:val="21"/>
      <w:szCs w:val="21"/>
    </w:rPr>
  </w:style>
  <w:style w:type="character" w:customStyle="1" w:styleId="42">
    <w:name w:val="标题 1 字符"/>
    <w:basedOn w:val="38"/>
    <w:link w:val="2"/>
    <w:qFormat/>
    <w:uiPriority w:val="9"/>
    <w:rPr>
      <w:rFonts w:ascii="Times New Roman" w:hAnsi="Times New Roman"/>
      <w:b/>
      <w:bCs/>
      <w:kern w:val="44"/>
      <w:sz w:val="32"/>
      <w:szCs w:val="44"/>
    </w:rPr>
  </w:style>
  <w:style w:type="character" w:customStyle="1" w:styleId="43">
    <w:name w:val="标题 2 字符"/>
    <w:basedOn w:val="38"/>
    <w:link w:val="3"/>
    <w:qFormat/>
    <w:uiPriority w:val="9"/>
    <w:rPr>
      <w:rFonts w:ascii="Times New Roman" w:hAnsi="Times New Roman" w:cstheme="majorBidi"/>
      <w:b/>
      <w:bCs/>
      <w:kern w:val="2"/>
      <w:sz w:val="28"/>
      <w:szCs w:val="32"/>
    </w:rPr>
  </w:style>
  <w:style w:type="character" w:customStyle="1" w:styleId="44">
    <w:name w:val="标题 3 字符"/>
    <w:basedOn w:val="38"/>
    <w:link w:val="4"/>
    <w:qFormat/>
    <w:uiPriority w:val="9"/>
    <w:rPr>
      <w:rFonts w:ascii="Times New Roman" w:hAnsi="Times New Roman" w:cstheme="majorBidi"/>
      <w:b/>
      <w:bCs/>
      <w:kern w:val="2"/>
      <w:sz w:val="24"/>
      <w:szCs w:val="32"/>
    </w:rPr>
  </w:style>
  <w:style w:type="character" w:customStyle="1" w:styleId="45">
    <w:name w:val="基准-无缩进 Char"/>
    <w:basedOn w:val="44"/>
    <w:link w:val="6"/>
    <w:qFormat/>
    <w:uiPriority w:val="0"/>
    <w:rPr>
      <w:rFonts w:ascii="Times New Roman" w:hAnsi="Times New Roman" w:eastAsia="宋体" w:cs="Times New Roman"/>
      <w:kern w:val="2"/>
      <w:sz w:val="24"/>
      <w:szCs w:val="32"/>
    </w:rPr>
  </w:style>
  <w:style w:type="character" w:customStyle="1" w:styleId="46">
    <w:name w:val="标题 4 字符"/>
    <w:basedOn w:val="38"/>
    <w:link w:val="5"/>
    <w:qFormat/>
    <w:uiPriority w:val="9"/>
    <w:rPr>
      <w:rFonts w:ascii="Times New Roman" w:hAnsi="Times New Roman" w:eastAsiaTheme="majorEastAsia" w:cstheme="majorBidi"/>
      <w:b/>
      <w:kern w:val="2"/>
      <w:sz w:val="24"/>
      <w:szCs w:val="28"/>
    </w:rPr>
  </w:style>
  <w:style w:type="character" w:customStyle="1" w:styleId="47">
    <w:name w:val="标题 5 字符"/>
    <w:basedOn w:val="38"/>
    <w:link w:val="7"/>
    <w:qFormat/>
    <w:uiPriority w:val="9"/>
    <w:rPr>
      <w:rFonts w:ascii="Times New Roman" w:hAnsi="Times New Roman" w:eastAsia="宋体" w:cs="Times New Roman"/>
      <w:bCs/>
      <w:sz w:val="24"/>
      <w:szCs w:val="28"/>
    </w:rPr>
  </w:style>
  <w:style w:type="character" w:customStyle="1" w:styleId="48">
    <w:name w:val="正文文本 字符"/>
    <w:link w:val="14"/>
    <w:qFormat/>
    <w:uiPriority w:val="99"/>
    <w:rPr>
      <w:rFonts w:ascii="Times New Roman" w:hAnsi="Times New Roman" w:eastAsia="宋体" w:cs="Times New Roman"/>
      <w:kern w:val="2"/>
      <w:sz w:val="24"/>
      <w:szCs w:val="24"/>
    </w:rPr>
  </w:style>
  <w:style w:type="character" w:customStyle="1" w:styleId="49">
    <w:name w:val="题注 字符"/>
    <w:link w:val="15"/>
    <w:qFormat/>
    <w:uiPriority w:val="35"/>
    <w:rPr>
      <w:rFonts w:ascii="Times New Roman" w:hAnsi="Times New Roman"/>
      <w:b/>
      <w:kern w:val="2"/>
      <w:sz w:val="21"/>
      <w:szCs w:val="21"/>
    </w:rPr>
  </w:style>
  <w:style w:type="character" w:customStyle="1" w:styleId="50">
    <w:name w:val="正文文本缩进 字符"/>
    <w:basedOn w:val="38"/>
    <w:link w:val="19"/>
    <w:semiHidden/>
    <w:qFormat/>
    <w:uiPriority w:val="99"/>
    <w:rPr>
      <w:rFonts w:ascii="Times New Roman" w:hAnsi="Times New Roman" w:eastAsia="宋体" w:cs="Times New Roman"/>
      <w:kern w:val="2"/>
      <w:sz w:val="24"/>
      <w:szCs w:val="21"/>
    </w:rPr>
  </w:style>
  <w:style w:type="character" w:customStyle="1" w:styleId="51">
    <w:name w:val="纯文本 字符"/>
    <w:basedOn w:val="38"/>
    <w:link w:val="21"/>
    <w:qFormat/>
    <w:uiPriority w:val="0"/>
    <w:rPr>
      <w:rFonts w:ascii="宋体" w:hAnsi="Courier New" w:eastAsia="仿宋_GB2312" w:cs="Courier New"/>
      <w:kern w:val="2"/>
      <w:sz w:val="24"/>
      <w:szCs w:val="21"/>
    </w:rPr>
  </w:style>
  <w:style w:type="character" w:customStyle="1" w:styleId="52">
    <w:name w:val="页脚 字符"/>
    <w:basedOn w:val="38"/>
    <w:link w:val="24"/>
    <w:qFormat/>
    <w:uiPriority w:val="99"/>
    <w:rPr>
      <w:rFonts w:ascii="Times New Roman" w:hAnsi="Times New Roman"/>
      <w:kern w:val="2"/>
      <w:sz w:val="18"/>
      <w:szCs w:val="18"/>
    </w:rPr>
  </w:style>
  <w:style w:type="character" w:customStyle="1" w:styleId="53">
    <w:name w:val="页眉 字符"/>
    <w:basedOn w:val="38"/>
    <w:link w:val="25"/>
    <w:qFormat/>
    <w:uiPriority w:val="99"/>
    <w:rPr>
      <w:rFonts w:ascii="Times New Roman" w:hAnsi="Times New Roman" w:eastAsia="楷体"/>
      <w:kern w:val="2"/>
      <w:sz w:val="18"/>
      <w:szCs w:val="18"/>
    </w:rPr>
  </w:style>
  <w:style w:type="character" w:customStyle="1" w:styleId="54">
    <w:name w:val="副标题 字符"/>
    <w:basedOn w:val="38"/>
    <w:link w:val="28"/>
    <w:qFormat/>
    <w:uiPriority w:val="11"/>
    <w:rPr>
      <w:rFonts w:eastAsia="宋体" w:asciiTheme="majorHAnsi" w:hAnsiTheme="majorHAnsi" w:cstheme="majorBidi"/>
      <w:b/>
      <w:bCs/>
      <w:kern w:val="28"/>
      <w:sz w:val="32"/>
      <w:szCs w:val="32"/>
    </w:rPr>
  </w:style>
  <w:style w:type="character" w:customStyle="1" w:styleId="55">
    <w:name w:val="正文首行缩进 2 字符"/>
    <w:basedOn w:val="50"/>
    <w:link w:val="35"/>
    <w:qFormat/>
    <w:uiPriority w:val="0"/>
    <w:rPr>
      <w:rFonts w:ascii="Times New Roman" w:hAnsi="Times New Roman" w:eastAsia="仿宋_GB2312" w:cs="Times New Roman"/>
      <w:kern w:val="2"/>
      <w:sz w:val="24"/>
      <w:szCs w:val="22"/>
    </w:rPr>
  </w:style>
  <w:style w:type="paragraph" w:customStyle="1" w:styleId="56">
    <w:name w:val="封面标题"/>
    <w:basedOn w:val="1"/>
    <w:next w:val="1"/>
    <w:link w:val="57"/>
    <w:qFormat/>
    <w:uiPriority w:val="0"/>
    <w:pPr>
      <w:ind w:firstLine="0" w:firstLineChars="0"/>
      <w:jc w:val="center"/>
    </w:pPr>
    <w:rPr>
      <w:b/>
      <w:sz w:val="32"/>
    </w:rPr>
  </w:style>
  <w:style w:type="character" w:customStyle="1" w:styleId="57">
    <w:name w:val="封面标题 Char"/>
    <w:basedOn w:val="38"/>
    <w:link w:val="56"/>
    <w:qFormat/>
    <w:uiPriority w:val="0"/>
    <w:rPr>
      <w:rFonts w:ascii="Times New Roman" w:hAnsi="Times New Roman"/>
      <w:b/>
      <w:kern w:val="2"/>
      <w:sz w:val="32"/>
      <w:szCs w:val="21"/>
    </w:rPr>
  </w:style>
  <w:style w:type="paragraph" w:customStyle="1" w:styleId="58">
    <w:name w:val="图表标题"/>
    <w:basedOn w:val="59"/>
    <w:next w:val="1"/>
    <w:link w:val="61"/>
    <w:qFormat/>
    <w:uiPriority w:val="0"/>
    <w:pPr>
      <w:ind w:firstLine="0" w:firstLineChars="0"/>
      <w:jc w:val="center"/>
    </w:pPr>
    <w:rPr>
      <w:rFonts w:eastAsia="宋体"/>
      <w:b/>
      <w:sz w:val="21"/>
    </w:rPr>
  </w:style>
  <w:style w:type="paragraph" w:customStyle="1" w:styleId="59">
    <w:name w:val="正文部分"/>
    <w:basedOn w:val="1"/>
    <w:link w:val="60"/>
    <w:qFormat/>
    <w:uiPriority w:val="0"/>
    <w:rPr>
      <w:rFonts w:eastAsia="仿宋_GB2312"/>
      <w:szCs w:val="22"/>
    </w:rPr>
  </w:style>
  <w:style w:type="character" w:customStyle="1" w:styleId="60">
    <w:name w:val="正文部分 Char"/>
    <w:link w:val="59"/>
    <w:qFormat/>
    <w:uiPriority w:val="0"/>
    <w:rPr>
      <w:rFonts w:ascii="Times New Roman" w:hAnsi="Times New Roman" w:eastAsia="仿宋_GB2312" w:cs="Times New Roman"/>
      <w:kern w:val="2"/>
      <w:sz w:val="24"/>
      <w:szCs w:val="22"/>
    </w:rPr>
  </w:style>
  <w:style w:type="character" w:customStyle="1" w:styleId="61">
    <w:name w:val="图表标题 Char"/>
    <w:link w:val="58"/>
    <w:qFormat/>
    <w:uiPriority w:val="0"/>
    <w:rPr>
      <w:rFonts w:ascii="Times New Roman" w:hAnsi="Times New Roman"/>
      <w:b/>
      <w:kern w:val="2"/>
      <w:sz w:val="21"/>
      <w:szCs w:val="22"/>
    </w:rPr>
  </w:style>
  <w:style w:type="paragraph" w:customStyle="1" w:styleId="62">
    <w:name w:val="样式 宋体 四号 行距: 固定值 25 磅"/>
    <w:basedOn w:val="1"/>
    <w:qFormat/>
    <w:uiPriority w:val="0"/>
    <w:pPr>
      <w:spacing w:line="440" w:lineRule="exact"/>
    </w:pPr>
    <w:rPr>
      <w:rFonts w:ascii="宋体" w:hAnsi="宋体" w:eastAsia="仿宋_GB2312"/>
      <w:szCs w:val="20"/>
    </w:rPr>
  </w:style>
  <w:style w:type="character" w:customStyle="1" w:styleId="63">
    <w:name w:val="图表文字 Char"/>
    <w:link w:val="64"/>
    <w:qFormat/>
    <w:uiPriority w:val="0"/>
    <w:rPr>
      <w:rFonts w:ascii="Times New Roman" w:hAnsi="Times New Roman" w:eastAsia="宋体" w:cs="宋体"/>
      <w:color w:val="000000"/>
      <w:sz w:val="21"/>
      <w:szCs w:val="24"/>
    </w:rPr>
  </w:style>
  <w:style w:type="paragraph" w:customStyle="1" w:styleId="64">
    <w:name w:val="图表文字"/>
    <w:link w:val="63"/>
    <w:qFormat/>
    <w:uiPriority w:val="0"/>
    <w:pPr>
      <w:jc w:val="center"/>
    </w:pPr>
    <w:rPr>
      <w:rFonts w:ascii="Times New Roman" w:hAnsi="Times New Roman" w:eastAsia="宋体" w:cs="宋体"/>
      <w:color w:val="000000"/>
      <w:sz w:val="21"/>
      <w:szCs w:val="24"/>
      <w:lang w:val="en-US" w:eastAsia="zh-CN" w:bidi="ar-SA"/>
    </w:rPr>
  </w:style>
  <w:style w:type="character" w:customStyle="1" w:styleId="65">
    <w:name w:val="fontstyle01"/>
    <w:basedOn w:val="38"/>
    <w:qFormat/>
    <w:uiPriority w:val="0"/>
    <w:rPr>
      <w:rFonts w:hint="eastAsia" w:ascii="宋体" w:hAnsi="宋体" w:eastAsia="宋体"/>
      <w:color w:val="000000"/>
      <w:sz w:val="48"/>
      <w:szCs w:val="48"/>
    </w:rPr>
  </w:style>
  <w:style w:type="paragraph" w:customStyle="1" w:styleId="66">
    <w:name w:val="表格文字"/>
    <w:basedOn w:val="1"/>
    <w:qFormat/>
    <w:uiPriority w:val="0"/>
    <w:pPr>
      <w:ind w:firstLine="0" w:firstLineChars="0"/>
      <w:jc w:val="center"/>
    </w:pPr>
    <w:rPr>
      <w:rFonts w:hint="eastAsia" w:eastAsia="仿宋"/>
      <w:sz w:val="18"/>
      <w:szCs w:val="18"/>
    </w:rPr>
  </w:style>
  <w:style w:type="paragraph" w:customStyle="1" w:styleId="67">
    <w:name w:val="Table Paragraph"/>
    <w:basedOn w:val="1"/>
    <w:qFormat/>
    <w:uiPriority w:val="1"/>
    <w:pPr>
      <w:jc w:val="center"/>
    </w:pPr>
    <w:rPr>
      <w:rFonts w:ascii="宋体" w:hAnsi="宋体" w:cs="宋体"/>
    </w:rPr>
  </w:style>
  <w:style w:type="paragraph" w:customStyle="1" w:styleId="68">
    <w:name w:val="表格正文"/>
    <w:basedOn w:val="1"/>
    <w:qFormat/>
    <w:uiPriority w:val="0"/>
    <w:pPr>
      <w:spacing w:line="240" w:lineRule="auto"/>
      <w:ind w:firstLine="0" w:firstLineChars="0"/>
      <w:jc w:val="center"/>
    </w:pPr>
    <w:rPr>
      <w:color w:val="000000"/>
      <w:sz w:val="21"/>
      <w:szCs w:val="20"/>
    </w:rPr>
  </w:style>
  <w:style w:type="paragraph" w:customStyle="1" w:styleId="69">
    <w:name w:val="!正文仿小四"/>
    <w:basedOn w:val="1"/>
    <w:qFormat/>
    <w:uiPriority w:val="0"/>
    <w:pPr>
      <w:jc w:val="left"/>
    </w:pPr>
    <w:rPr>
      <w:rFonts w:eastAsia="仿宋_GB2312"/>
      <w:szCs w:val="22"/>
    </w:rPr>
  </w:style>
  <w:style w:type="paragraph" w:styleId="70">
    <w:name w:val="List Paragraph"/>
    <w:basedOn w:val="1"/>
    <w:link w:val="104"/>
    <w:qFormat/>
    <w:uiPriority w:val="0"/>
    <w:pPr>
      <w:ind w:firstLine="420"/>
    </w:pPr>
  </w:style>
  <w:style w:type="paragraph" w:customStyle="1" w:styleId="71">
    <w:name w:val="单位及日期"/>
    <w:basedOn w:val="56"/>
    <w:link w:val="72"/>
    <w:qFormat/>
    <w:uiPriority w:val="0"/>
    <w:rPr>
      <w:sz w:val="28"/>
    </w:rPr>
  </w:style>
  <w:style w:type="character" w:customStyle="1" w:styleId="72">
    <w:name w:val="单位及日期 Char"/>
    <w:basedOn w:val="57"/>
    <w:link w:val="71"/>
    <w:qFormat/>
    <w:uiPriority w:val="0"/>
    <w:rPr>
      <w:rFonts w:ascii="Times New Roman" w:hAnsi="Times New Roman"/>
      <w:kern w:val="2"/>
      <w:sz w:val="28"/>
      <w:szCs w:val="21"/>
    </w:rPr>
  </w:style>
  <w:style w:type="paragraph" w:customStyle="1" w:styleId="73">
    <w:name w:val="校审"/>
    <w:basedOn w:val="1"/>
    <w:link w:val="74"/>
    <w:qFormat/>
    <w:uiPriority w:val="0"/>
    <w:pPr>
      <w:ind w:firstLine="0" w:firstLineChars="0"/>
      <w:jc w:val="left"/>
    </w:pPr>
    <w:rPr>
      <w:bCs/>
      <w:color w:val="000000" w:themeColor="text1"/>
      <w:sz w:val="28"/>
      <w:szCs w:val="28"/>
      <w14:textFill>
        <w14:solidFill>
          <w14:schemeClr w14:val="tx1"/>
        </w14:solidFill>
      </w14:textFill>
    </w:rPr>
  </w:style>
  <w:style w:type="character" w:customStyle="1" w:styleId="74">
    <w:name w:val="校审 Char"/>
    <w:basedOn w:val="38"/>
    <w:link w:val="73"/>
    <w:qFormat/>
    <w:uiPriority w:val="0"/>
    <w:rPr>
      <w:rFonts w:ascii="Times New Roman" w:hAnsi="Times New Roman"/>
      <w:bCs/>
      <w:color w:val="000000" w:themeColor="text1"/>
      <w:kern w:val="2"/>
      <w:sz w:val="28"/>
      <w:szCs w:val="28"/>
      <w14:textFill>
        <w14:solidFill>
          <w14:schemeClr w14:val="tx1"/>
        </w14:solidFill>
      </w14:textFill>
    </w:rPr>
  </w:style>
  <w:style w:type="table" w:customStyle="1" w:styleId="75">
    <w:name w:val="Grid Table Light"/>
    <w:basedOn w:val="3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character" w:customStyle="1" w:styleId="76">
    <w:name w:val="批注文字 字符"/>
    <w:basedOn w:val="38"/>
    <w:link w:val="18"/>
    <w:qFormat/>
    <w:uiPriority w:val="99"/>
    <w:rPr>
      <w:rFonts w:ascii="Times New Roman" w:hAnsi="Times New Roman"/>
      <w:kern w:val="2"/>
      <w:sz w:val="24"/>
      <w:szCs w:val="21"/>
    </w:rPr>
  </w:style>
  <w:style w:type="character" w:customStyle="1" w:styleId="77">
    <w:name w:val="批注主题 字符"/>
    <w:basedOn w:val="76"/>
    <w:link w:val="34"/>
    <w:semiHidden/>
    <w:qFormat/>
    <w:uiPriority w:val="99"/>
    <w:rPr>
      <w:rFonts w:ascii="Times New Roman" w:hAnsi="Times New Roman"/>
      <w:b/>
      <w:bCs/>
      <w:kern w:val="2"/>
      <w:sz w:val="24"/>
      <w:szCs w:val="21"/>
    </w:rPr>
  </w:style>
  <w:style w:type="character" w:customStyle="1" w:styleId="78">
    <w:name w:val="批注框文本 字符"/>
    <w:basedOn w:val="38"/>
    <w:link w:val="23"/>
    <w:qFormat/>
    <w:uiPriority w:val="0"/>
    <w:rPr>
      <w:rFonts w:ascii="Times New Roman" w:hAnsi="Times New Roman"/>
      <w:kern w:val="2"/>
      <w:sz w:val="18"/>
      <w:szCs w:val="18"/>
    </w:rPr>
  </w:style>
  <w:style w:type="paragraph" w:customStyle="1" w:styleId="79">
    <w:name w:val="小干表内"/>
    <w:basedOn w:val="1"/>
    <w:qFormat/>
    <w:uiPriority w:val="99"/>
    <w:pPr>
      <w:spacing w:line="240" w:lineRule="auto"/>
      <w:ind w:firstLine="0" w:firstLineChars="0"/>
      <w:jc w:val="left"/>
    </w:pPr>
    <w:rPr>
      <w:rFonts w:ascii="宋体" w:hAnsi="宋体" w:cs="黑体" w:eastAsiaTheme="minorEastAsia"/>
      <w:sz w:val="21"/>
      <w:szCs w:val="22"/>
    </w:rPr>
  </w:style>
  <w:style w:type="paragraph" w:customStyle="1" w:styleId="80">
    <w:name w:val="正文z1"/>
    <w:qFormat/>
    <w:uiPriority w:val="99"/>
    <w:pPr>
      <w:adjustRightInd w:val="0"/>
      <w:snapToGrid w:val="0"/>
    </w:pPr>
    <w:rPr>
      <w:rFonts w:ascii="Calibri" w:hAnsi="Calibri" w:eastAsia="宋体" w:cs="Times New Roman"/>
      <w:kern w:val="2"/>
      <w:sz w:val="24"/>
      <w:szCs w:val="24"/>
      <w:lang w:val="en-US" w:eastAsia="zh-CN" w:bidi="ar-SA"/>
    </w:rPr>
  </w:style>
  <w:style w:type="paragraph" w:customStyle="1" w:styleId="81">
    <w:name w:val="表中字"/>
    <w:basedOn w:val="1"/>
    <w:next w:val="1"/>
    <w:qFormat/>
    <w:uiPriority w:val="99"/>
    <w:pPr>
      <w:adjustRightInd w:val="0"/>
      <w:snapToGrid w:val="0"/>
      <w:spacing w:line="240" w:lineRule="auto"/>
      <w:ind w:firstLine="0" w:firstLineChars="0"/>
      <w:jc w:val="center"/>
    </w:pPr>
    <w:rPr>
      <w:sz w:val="21"/>
      <w:szCs w:val="22"/>
    </w:rPr>
  </w:style>
  <w:style w:type="table" w:customStyle="1" w:styleId="82">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paragraph" w:customStyle="1" w:styleId="83">
    <w:name w:val="72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84">
    <w:name w:val="表格小五"/>
    <w:basedOn w:val="1"/>
    <w:qFormat/>
    <w:uiPriority w:val="0"/>
    <w:pPr>
      <w:adjustRightInd w:val="0"/>
      <w:snapToGrid w:val="0"/>
      <w:spacing w:line="240" w:lineRule="auto"/>
      <w:ind w:firstLine="0" w:firstLineChars="0"/>
      <w:jc w:val="center"/>
    </w:pPr>
    <w:rPr>
      <w:rFonts w:ascii="宋体" w:hAnsi="宋体" w:cs="宋体"/>
      <w:snapToGrid w:val="0"/>
      <w:kern w:val="0"/>
      <w:sz w:val="18"/>
      <w:szCs w:val="18"/>
    </w:rPr>
  </w:style>
  <w:style w:type="paragraph" w:customStyle="1" w:styleId="85">
    <w:name w:val="正文B"/>
    <w:basedOn w:val="1"/>
    <w:link w:val="86"/>
    <w:qFormat/>
    <w:uiPriority w:val="0"/>
    <w:pPr>
      <w:ind w:firstLine="560"/>
    </w:pPr>
    <w:rPr>
      <w:rFonts w:ascii="宋体" w:hAnsi="宋体" w:eastAsia="黑体" w:cs="宋体"/>
      <w:color w:val="FF0000"/>
      <w:kern w:val="0"/>
      <w:szCs w:val="24"/>
    </w:rPr>
  </w:style>
  <w:style w:type="character" w:customStyle="1" w:styleId="86">
    <w:name w:val="正文B Char"/>
    <w:link w:val="85"/>
    <w:qFormat/>
    <w:uiPriority w:val="0"/>
    <w:rPr>
      <w:rFonts w:ascii="宋体" w:hAnsi="宋体" w:eastAsia="黑体" w:cs="宋体"/>
      <w:color w:val="FF0000"/>
      <w:sz w:val="24"/>
      <w:szCs w:val="24"/>
    </w:rPr>
  </w:style>
  <w:style w:type="paragraph" w:customStyle="1" w:styleId="87">
    <w:name w:val="带编号正文"/>
    <w:basedOn w:val="1"/>
    <w:link w:val="88"/>
    <w:qFormat/>
    <w:uiPriority w:val="0"/>
    <w:pPr>
      <w:ind w:firstLine="0" w:firstLineChars="0"/>
    </w:pPr>
  </w:style>
  <w:style w:type="character" w:customStyle="1" w:styleId="88">
    <w:name w:val="带编号正文 字符"/>
    <w:basedOn w:val="38"/>
    <w:link w:val="87"/>
    <w:qFormat/>
    <w:uiPriority w:val="0"/>
    <w:rPr>
      <w:rFonts w:ascii="Times New Roman" w:hAnsi="Times New Roman"/>
      <w:kern w:val="2"/>
      <w:sz w:val="24"/>
      <w:szCs w:val="21"/>
    </w:rPr>
  </w:style>
  <w:style w:type="paragraph" w:customStyle="1" w:styleId="89">
    <w:name w:val="带编号"/>
    <w:basedOn w:val="87"/>
    <w:link w:val="90"/>
    <w:qFormat/>
    <w:uiPriority w:val="0"/>
    <w:pPr>
      <w:ind w:firstLine="200" w:firstLineChars="200"/>
    </w:pPr>
  </w:style>
  <w:style w:type="character" w:customStyle="1" w:styleId="90">
    <w:name w:val="带编号 字符"/>
    <w:basedOn w:val="88"/>
    <w:link w:val="89"/>
    <w:qFormat/>
    <w:uiPriority w:val="0"/>
    <w:rPr>
      <w:rFonts w:ascii="Times New Roman" w:hAnsi="Times New Roman"/>
      <w:kern w:val="2"/>
      <w:sz w:val="24"/>
      <w:szCs w:val="21"/>
    </w:rPr>
  </w:style>
  <w:style w:type="paragraph" w:customStyle="1" w:styleId="91">
    <w:name w:val="（1）"/>
    <w:basedOn w:val="87"/>
    <w:link w:val="92"/>
    <w:qFormat/>
    <w:uiPriority w:val="0"/>
    <w:pPr>
      <w:ind w:firstLine="200" w:firstLineChars="200"/>
    </w:pPr>
  </w:style>
  <w:style w:type="character" w:customStyle="1" w:styleId="92">
    <w:name w:val="（1） 字符"/>
    <w:basedOn w:val="88"/>
    <w:link w:val="91"/>
    <w:qFormat/>
    <w:uiPriority w:val="0"/>
    <w:rPr>
      <w:rFonts w:ascii="Times New Roman" w:hAnsi="Times New Roman"/>
      <w:kern w:val="2"/>
      <w:sz w:val="24"/>
      <w:szCs w:val="21"/>
    </w:rPr>
  </w:style>
  <w:style w:type="paragraph" w:customStyle="1" w:styleId="93">
    <w:name w:val="正文2.13"/>
    <w:basedOn w:val="1"/>
    <w:qFormat/>
    <w:uiPriority w:val="99"/>
    <w:pPr>
      <w:topLinePunct/>
      <w:adjustRightInd w:val="0"/>
      <w:snapToGrid w:val="0"/>
    </w:pPr>
    <w:rPr>
      <w:rFonts w:ascii="Calibri" w:hAnsi="Calibri" w:eastAsia="仿宋_GB2312"/>
      <w:szCs w:val="24"/>
    </w:rPr>
  </w:style>
  <w:style w:type="paragraph" w:customStyle="1" w:styleId="94">
    <w:name w:val="正文1"/>
    <w:basedOn w:val="1"/>
    <w:link w:val="204"/>
    <w:qFormat/>
    <w:uiPriority w:val="0"/>
    <w:pPr>
      <w:adjustRightInd w:val="0"/>
      <w:snapToGrid w:val="0"/>
      <w:jc w:val="left"/>
    </w:pPr>
    <w:rPr>
      <w:rFonts w:ascii="Calibri" w:hAnsi="Calibri"/>
      <w:kern w:val="0"/>
      <w:szCs w:val="24"/>
    </w:rPr>
  </w:style>
  <w:style w:type="paragraph" w:customStyle="1" w:styleId="95">
    <w:name w:val="公式"/>
    <w:basedOn w:val="1"/>
    <w:next w:val="1"/>
    <w:link w:val="96"/>
    <w:autoRedefine/>
    <w:qFormat/>
    <w:uiPriority w:val="0"/>
    <w:pPr>
      <w:tabs>
        <w:tab w:val="left" w:pos="360"/>
      </w:tabs>
      <w:ind w:firstLine="0" w:firstLineChars="0"/>
      <w:jc w:val="center"/>
    </w:pPr>
    <w:rPr>
      <w:rFonts w:eastAsia="仿宋"/>
      <w:szCs w:val="22"/>
    </w:rPr>
  </w:style>
  <w:style w:type="character" w:customStyle="1" w:styleId="96">
    <w:name w:val="公式 字符"/>
    <w:basedOn w:val="50"/>
    <w:link w:val="95"/>
    <w:qFormat/>
    <w:uiPriority w:val="0"/>
    <w:rPr>
      <w:rFonts w:ascii="Times New Roman" w:hAnsi="Times New Roman" w:eastAsia="仿宋" w:cs="Times New Roman"/>
      <w:kern w:val="2"/>
      <w:sz w:val="24"/>
      <w:szCs w:val="22"/>
    </w:rPr>
  </w:style>
  <w:style w:type="paragraph" w:customStyle="1" w:styleId="97">
    <w:name w:val="正文文本不缩进"/>
    <w:basedOn w:val="19"/>
    <w:link w:val="98"/>
    <w:qFormat/>
    <w:uiPriority w:val="0"/>
    <w:pPr>
      <w:tabs>
        <w:tab w:val="left" w:pos="360"/>
      </w:tabs>
      <w:spacing w:after="0"/>
      <w:ind w:left="0" w:leftChars="0" w:firstLine="0" w:firstLineChars="0"/>
    </w:pPr>
    <w:rPr>
      <w:rFonts w:eastAsia="仿宋"/>
      <w:szCs w:val="22"/>
    </w:rPr>
  </w:style>
  <w:style w:type="character" w:customStyle="1" w:styleId="98">
    <w:name w:val="正文文本不缩进 字符"/>
    <w:basedOn w:val="50"/>
    <w:link w:val="97"/>
    <w:qFormat/>
    <w:uiPriority w:val="0"/>
    <w:rPr>
      <w:rFonts w:ascii="Times New Roman" w:hAnsi="Times New Roman" w:eastAsia="仿宋" w:cs="Times New Roman"/>
      <w:kern w:val="2"/>
      <w:sz w:val="24"/>
      <w:szCs w:val="22"/>
    </w:rPr>
  </w:style>
  <w:style w:type="paragraph" w:customStyle="1" w:styleId="99">
    <w:name w:val="图表头"/>
    <w:basedOn w:val="1"/>
    <w:next w:val="64"/>
    <w:link w:val="100"/>
    <w:qFormat/>
    <w:uiPriority w:val="0"/>
    <w:pPr>
      <w:ind w:firstLine="0" w:firstLineChars="0"/>
      <w:jc w:val="center"/>
    </w:pPr>
    <w:rPr>
      <w:rFonts w:eastAsia="仿宋"/>
      <w:b/>
      <w:sz w:val="21"/>
      <w:szCs w:val="18"/>
    </w:rPr>
  </w:style>
  <w:style w:type="character" w:customStyle="1" w:styleId="100">
    <w:name w:val="图表头 字符"/>
    <w:basedOn w:val="38"/>
    <w:link w:val="99"/>
    <w:qFormat/>
    <w:uiPriority w:val="0"/>
    <w:rPr>
      <w:rFonts w:ascii="Times New Roman" w:hAnsi="Times New Roman" w:eastAsia="仿宋"/>
      <w:b/>
      <w:kern w:val="2"/>
      <w:sz w:val="21"/>
      <w:szCs w:val="18"/>
    </w:rPr>
  </w:style>
  <w:style w:type="character" w:customStyle="1" w:styleId="101">
    <w:name w:val="图表文字 字符"/>
    <w:qFormat/>
    <w:uiPriority w:val="0"/>
    <w:rPr>
      <w:rFonts w:ascii="Times New Roman" w:hAnsi="Times New Roman" w:eastAsia="宋体" w:cs="宋体"/>
      <w:b/>
      <w:bCs/>
      <w:sz w:val="21"/>
      <w:szCs w:val="21"/>
    </w:rPr>
  </w:style>
  <w:style w:type="paragraph" w:customStyle="1" w:styleId="102">
    <w:name w:val="Revision"/>
    <w:hidden/>
    <w:semiHidden/>
    <w:qFormat/>
    <w:uiPriority w:val="99"/>
    <w:rPr>
      <w:rFonts w:ascii="Times New Roman" w:hAnsi="Times New Roman" w:eastAsia="宋体" w:cs="Times New Roman"/>
      <w:kern w:val="2"/>
      <w:sz w:val="24"/>
      <w:szCs w:val="21"/>
      <w:lang w:val="en-US" w:eastAsia="zh-CN" w:bidi="ar-SA"/>
    </w:rPr>
  </w:style>
  <w:style w:type="paragraph" w:customStyle="1" w:styleId="103">
    <w:name w:val="带（）编号正文"/>
    <w:basedOn w:val="1"/>
    <w:link w:val="105"/>
    <w:autoRedefine/>
    <w:qFormat/>
    <w:uiPriority w:val="0"/>
    <w:pPr>
      <w:numPr>
        <w:ilvl w:val="0"/>
        <w:numId w:val="2"/>
      </w:numPr>
      <w:adjustRightInd w:val="0"/>
      <w:ind w:firstLine="0" w:firstLineChars="0"/>
    </w:pPr>
  </w:style>
  <w:style w:type="character" w:customStyle="1" w:styleId="104">
    <w:name w:val="列出段落 字符"/>
    <w:basedOn w:val="38"/>
    <w:link w:val="70"/>
    <w:qFormat/>
    <w:uiPriority w:val="0"/>
    <w:rPr>
      <w:rFonts w:ascii="Times New Roman" w:hAnsi="Times New Roman"/>
      <w:kern w:val="2"/>
      <w:sz w:val="24"/>
      <w:szCs w:val="21"/>
    </w:rPr>
  </w:style>
  <w:style w:type="character" w:customStyle="1" w:styleId="105">
    <w:name w:val="带（）编号正文 字符"/>
    <w:basedOn w:val="104"/>
    <w:link w:val="103"/>
    <w:qFormat/>
    <w:uiPriority w:val="0"/>
    <w:rPr>
      <w:rFonts w:ascii="Times New Roman" w:hAnsi="Times New Roman"/>
      <w:kern w:val="2"/>
      <w:sz w:val="24"/>
      <w:szCs w:val="21"/>
    </w:rPr>
  </w:style>
  <w:style w:type="table" w:customStyle="1" w:styleId="106">
    <w:name w:val="样式1"/>
    <w:basedOn w:val="36"/>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07">
    <w:name w:val="样式2"/>
    <w:basedOn w:val="3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08">
    <w:name w:val="题注—图片"/>
    <w:basedOn w:val="15"/>
    <w:next w:val="1"/>
    <w:link w:val="110"/>
    <w:autoRedefine/>
    <w:qFormat/>
    <w:uiPriority w:val="0"/>
    <w:pPr>
      <w:keepNext w:val="0"/>
    </w:pPr>
  </w:style>
  <w:style w:type="paragraph" w:customStyle="1" w:styleId="109">
    <w:name w:val="图片"/>
    <w:basedOn w:val="15"/>
    <w:next w:val="108"/>
    <w:link w:val="111"/>
    <w:autoRedefine/>
    <w:qFormat/>
    <w:uiPriority w:val="0"/>
  </w:style>
  <w:style w:type="character" w:customStyle="1" w:styleId="110">
    <w:name w:val="题注—图片 字符"/>
    <w:basedOn w:val="49"/>
    <w:link w:val="108"/>
    <w:qFormat/>
    <w:uiPriority w:val="0"/>
    <w:rPr>
      <w:rFonts w:ascii="Times New Roman" w:hAnsi="Times New Roman"/>
      <w:kern w:val="2"/>
      <w:sz w:val="21"/>
      <w:szCs w:val="21"/>
    </w:rPr>
  </w:style>
  <w:style w:type="character" w:customStyle="1" w:styleId="111">
    <w:name w:val="图片 字符"/>
    <w:basedOn w:val="49"/>
    <w:link w:val="109"/>
    <w:qFormat/>
    <w:uiPriority w:val="0"/>
    <w:rPr>
      <w:rFonts w:ascii="Times New Roman" w:hAnsi="Times New Roman"/>
      <w:kern w:val="2"/>
      <w:sz w:val="21"/>
      <w:szCs w:val="21"/>
    </w:rPr>
  </w:style>
  <w:style w:type="character" w:customStyle="1" w:styleId="112">
    <w:name w:val="标题 6 字符"/>
    <w:basedOn w:val="38"/>
    <w:link w:val="8"/>
    <w:semiHidden/>
    <w:qFormat/>
    <w:uiPriority w:val="9"/>
    <w:rPr>
      <w:rFonts w:ascii="Arial" w:hAnsi="Arial"/>
      <w:kern w:val="2"/>
      <w:sz w:val="24"/>
      <w:szCs w:val="21"/>
    </w:rPr>
  </w:style>
  <w:style w:type="character" w:customStyle="1" w:styleId="113">
    <w:name w:val="标题 1 字符1"/>
    <w:basedOn w:val="38"/>
    <w:uiPriority w:val="9"/>
    <w:rPr>
      <w:rFonts w:ascii="Times New Roman" w:hAnsi="Times New Roman" w:cs="Times New Roman"/>
      <w:b/>
      <w:bCs/>
      <w:kern w:val="44"/>
      <w:sz w:val="44"/>
      <w:szCs w:val="44"/>
    </w:rPr>
  </w:style>
  <w:style w:type="character" w:customStyle="1" w:styleId="114">
    <w:name w:val="标题 2 字符1"/>
    <w:basedOn w:val="38"/>
    <w:semiHidden/>
    <w:qFormat/>
    <w:uiPriority w:val="9"/>
    <w:rPr>
      <w:rFonts w:asciiTheme="majorHAnsi" w:hAnsiTheme="majorHAnsi" w:eastAsiaTheme="majorEastAsia" w:cstheme="majorBidi"/>
      <w:b/>
      <w:bCs/>
      <w:kern w:val="2"/>
      <w:sz w:val="32"/>
      <w:szCs w:val="32"/>
    </w:rPr>
  </w:style>
  <w:style w:type="character" w:customStyle="1" w:styleId="115">
    <w:name w:val="标题 3 字符1"/>
    <w:basedOn w:val="38"/>
    <w:semiHidden/>
    <w:qFormat/>
    <w:uiPriority w:val="9"/>
    <w:rPr>
      <w:rFonts w:ascii="Times New Roman" w:hAnsi="Times New Roman" w:cs="Times New Roman"/>
      <w:b/>
      <w:bCs/>
      <w:kern w:val="2"/>
      <w:sz w:val="32"/>
      <w:szCs w:val="32"/>
    </w:rPr>
  </w:style>
  <w:style w:type="paragraph" w:customStyle="1" w:styleId="116">
    <w:name w:val="msonormal"/>
    <w:basedOn w:val="1"/>
    <w:uiPriority w:val="0"/>
    <w:pPr>
      <w:widowControl/>
      <w:spacing w:before="100" w:beforeAutospacing="1" w:after="100" w:afterAutospacing="1" w:line="240" w:lineRule="auto"/>
      <w:ind w:firstLine="0" w:firstLineChars="0"/>
      <w:jc w:val="left"/>
    </w:pPr>
    <w:rPr>
      <w:rFonts w:ascii="宋体" w:hAnsi="宋体" w:cs="宋体"/>
      <w:kern w:val="0"/>
      <w:szCs w:val="24"/>
    </w:rPr>
  </w:style>
  <w:style w:type="character" w:customStyle="1" w:styleId="117">
    <w:name w:val="正文首行缩进 字符"/>
    <w:basedOn w:val="48"/>
    <w:link w:val="13"/>
    <w:qFormat/>
    <w:uiPriority w:val="99"/>
    <w:rPr>
      <w:rFonts w:ascii="仿宋" w:hAnsi="仿宋" w:eastAsia="仿宋" w:cs="Times New Roman"/>
      <w:kern w:val="2"/>
      <w:sz w:val="24"/>
      <w:szCs w:val="21"/>
    </w:rPr>
  </w:style>
  <w:style w:type="table" w:customStyle="1" w:styleId="118">
    <w:name w:val="网格型1"/>
    <w:basedOn w:val="3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19">
    <w:name w:val="网格型浅色1"/>
    <w:basedOn w:val="36"/>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20">
    <w:name w:val="Table Normal1"/>
    <w:semiHidden/>
    <w:qFormat/>
    <w:uiPriority w:val="2"/>
    <w:pPr>
      <w:widowControl w:val="0"/>
      <w:autoSpaceDE w:val="0"/>
      <w:autoSpaceDN w:val="0"/>
    </w:pPr>
    <w:rPr>
      <w:sz w:val="22"/>
      <w:szCs w:val="22"/>
      <w:lang w:eastAsia="en-US"/>
    </w:rPr>
    <w:tblPr>
      <w:tblCellMar>
        <w:top w:w="0" w:type="dxa"/>
        <w:left w:w="0" w:type="dxa"/>
        <w:bottom w:w="0" w:type="dxa"/>
        <w:right w:w="0" w:type="dxa"/>
      </w:tblCellMar>
    </w:tblPr>
  </w:style>
  <w:style w:type="table" w:customStyle="1" w:styleId="121">
    <w:name w:val="样式11"/>
    <w:basedOn w:val="36"/>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22">
    <w:name w:val="样式21"/>
    <w:basedOn w:val="36"/>
    <w:uiPriority w:val="99"/>
    <w:pPr>
      <w:jc w:val="center"/>
    </w:pPr>
    <w:rPr>
      <w:rFonts w:ascii="Times New Roman" w:hAnsi="Times New Roman"/>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23">
    <w:name w:val="题注-图片"/>
    <w:basedOn w:val="15"/>
    <w:next w:val="1"/>
    <w:link w:val="124"/>
    <w:autoRedefine/>
    <w:qFormat/>
    <w:uiPriority w:val="0"/>
    <w:pPr>
      <w:keepNext w:val="0"/>
      <w:ind w:firstLine="480"/>
    </w:pPr>
    <w:rPr>
      <w:b w:val="0"/>
    </w:rPr>
  </w:style>
  <w:style w:type="character" w:customStyle="1" w:styleId="124">
    <w:name w:val="题注-图片 字符"/>
    <w:basedOn w:val="38"/>
    <w:link w:val="123"/>
    <w:qFormat/>
    <w:uiPriority w:val="0"/>
    <w:rPr>
      <w:rFonts w:ascii="Times New Roman" w:hAnsi="Times New Roman"/>
      <w:kern w:val="2"/>
      <w:sz w:val="21"/>
      <w:szCs w:val="21"/>
    </w:rPr>
  </w:style>
  <w:style w:type="table" w:customStyle="1" w:styleId="125">
    <w:name w:val="样式12"/>
    <w:basedOn w:val="36"/>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26">
    <w:name w:val="6级带编号正文"/>
    <w:link w:val="189"/>
    <w:qFormat/>
    <w:uiPriority w:val="0"/>
    <w:pPr>
      <w:widowControl w:val="0"/>
      <w:numPr>
        <w:ilvl w:val="0"/>
        <w:numId w:val="3"/>
      </w:numPr>
      <w:spacing w:line="360" w:lineRule="auto"/>
      <w:ind w:firstLine="200"/>
      <w:jc w:val="both"/>
    </w:pPr>
    <w:rPr>
      <w:rFonts w:ascii="Times New Roman" w:hAnsi="Times New Roman" w:eastAsia="宋体" w:cs="Times New Roman"/>
      <w:color w:val="000000" w:themeColor="text1"/>
      <w:kern w:val="2"/>
      <w:sz w:val="24"/>
      <w:szCs w:val="21"/>
      <w:lang w:val="en-US" w:eastAsia="zh-CN" w:bidi="ar-SA"/>
      <w14:textFill>
        <w14:solidFill>
          <w14:schemeClr w14:val="tx1"/>
        </w14:solidFill>
      </w14:textFill>
    </w:rPr>
  </w:style>
  <w:style w:type="table" w:customStyle="1" w:styleId="127">
    <w:name w:val="样式13"/>
    <w:basedOn w:val="36"/>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paragraph" w:customStyle="1" w:styleId="128">
    <w:name w:val="说明文本"/>
    <w:basedOn w:val="1"/>
    <w:link w:val="129"/>
    <w:autoRedefine/>
    <w:qFormat/>
    <w:uiPriority w:val="0"/>
    <w:pPr>
      <w:ind w:firstLine="480"/>
    </w:pPr>
    <w:rPr>
      <w:rFonts w:eastAsia="楷体"/>
      <w:color w:val="FF0000"/>
      <w:sz w:val="21"/>
    </w:rPr>
  </w:style>
  <w:style w:type="character" w:customStyle="1" w:styleId="129">
    <w:name w:val="说明文本 字符"/>
    <w:basedOn w:val="38"/>
    <w:link w:val="128"/>
    <w:qFormat/>
    <w:uiPriority w:val="0"/>
    <w:rPr>
      <w:rFonts w:ascii="Times New Roman" w:hAnsi="Times New Roman" w:eastAsia="楷体"/>
      <w:color w:val="FF0000"/>
      <w:kern w:val="2"/>
      <w:sz w:val="21"/>
      <w:szCs w:val="21"/>
    </w:rPr>
  </w:style>
  <w:style w:type="table" w:customStyle="1" w:styleId="130">
    <w:name w:val="样式16"/>
    <w:basedOn w:val="36"/>
    <w:qFormat/>
    <w:locked/>
    <w:uiPriority w:val="99"/>
    <w:pPr>
      <w:jc w:val="center"/>
    </w:pPr>
    <w:rPr>
      <w:sz w:val="21"/>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1">
    <w:name w:val="样式121"/>
    <w:basedOn w:val="36"/>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2">
    <w:name w:val="样式14"/>
    <w:basedOn w:val="36"/>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3">
    <w:name w:val="样式141"/>
    <w:basedOn w:val="36"/>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4">
    <w:name w:val="表格标准"/>
    <w:basedOn w:val="3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35">
    <w:name w:val="表内文字 Char"/>
    <w:link w:val="16"/>
    <w:qFormat/>
    <w:uiPriority w:val="0"/>
    <w:rPr>
      <w:rFonts w:ascii="Times New Roman" w:hAnsi="Times New Roman"/>
      <w:kern w:val="2"/>
      <w:sz w:val="21"/>
      <w:szCs w:val="21"/>
    </w:rPr>
  </w:style>
  <w:style w:type="table" w:customStyle="1" w:styleId="136">
    <w:name w:val="样式15"/>
    <w:basedOn w:val="36"/>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37">
    <w:name w:val="样式22"/>
    <w:basedOn w:val="3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cantSplit/>
      <w:jc w:val="center"/>
    </w:trPr>
    <w:tcPr>
      <w:vAlign w:val="center"/>
    </w:tcPr>
    <w:tblStylePr w:type="firstRow">
      <w:rPr>
        <w:b/>
      </w:rPr>
      <w:tblPr/>
      <w:trPr>
        <w:tblHeader/>
      </w:trPr>
    </w:tblStylePr>
  </w:style>
  <w:style w:type="paragraph" w:customStyle="1" w:styleId="138">
    <w:name w:val="方案样式：图片名称"/>
    <w:next w:val="1"/>
    <w:qFormat/>
    <w:uiPriority w:val="0"/>
    <w:pPr>
      <w:tabs>
        <w:tab w:val="left" w:pos="420"/>
      </w:tabs>
      <w:jc w:val="center"/>
    </w:pPr>
    <w:rPr>
      <w:rFonts w:ascii="Calibri" w:hAnsi="Calibri" w:eastAsia="宋体" w:cs="Times New Roman"/>
      <w:b/>
      <w:sz w:val="21"/>
      <w:lang w:val="en-US" w:eastAsia="zh-CN" w:bidi="ar-SA"/>
    </w:rPr>
  </w:style>
  <w:style w:type="table" w:customStyle="1" w:styleId="139">
    <w:name w:val="样式17"/>
    <w:basedOn w:val="36"/>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0">
    <w:name w:val="样式18"/>
    <w:basedOn w:val="36"/>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1">
    <w:name w:val="样式19"/>
    <w:basedOn w:val="36"/>
    <w:qFormat/>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42">
    <w:name w:val="表格标准1"/>
    <w:basedOn w:val="3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43">
    <w:name w:val="图表样式 字符"/>
    <w:link w:val="144"/>
    <w:qFormat/>
    <w:uiPriority w:val="0"/>
    <w:rPr>
      <w:rFonts w:cs="宋体"/>
      <w:b/>
      <w:snapToGrid w:val="0"/>
      <w:color w:val="000000"/>
      <w:sz w:val="21"/>
      <w:szCs w:val="24"/>
    </w:rPr>
  </w:style>
  <w:style w:type="paragraph" w:customStyle="1" w:styleId="144">
    <w:name w:val="图表样式"/>
    <w:basedOn w:val="1"/>
    <w:next w:val="1"/>
    <w:link w:val="143"/>
    <w:qFormat/>
    <w:uiPriority w:val="0"/>
    <w:pPr>
      <w:keepNext/>
      <w:widowControl/>
      <w:adjustRightInd w:val="0"/>
      <w:ind w:firstLine="0" w:firstLineChars="0"/>
      <w:contextualSpacing/>
      <w:jc w:val="center"/>
    </w:pPr>
    <w:rPr>
      <w:rFonts w:ascii="Calibri" w:hAnsi="Calibri" w:cs="宋体"/>
      <w:b/>
      <w:snapToGrid w:val="0"/>
      <w:color w:val="000000"/>
      <w:kern w:val="0"/>
      <w:sz w:val="21"/>
      <w:szCs w:val="24"/>
    </w:rPr>
  </w:style>
  <w:style w:type="paragraph" w:customStyle="1" w:styleId="145">
    <w:name w:val="正文标准"/>
    <w:basedOn w:val="1"/>
    <w:link w:val="146"/>
    <w:qFormat/>
    <w:uiPriority w:val="0"/>
    <w:pPr>
      <w:autoSpaceDE w:val="0"/>
      <w:autoSpaceDN w:val="0"/>
    </w:pPr>
    <w:rPr>
      <w:snapToGrid w:val="0"/>
      <w:szCs w:val="24"/>
    </w:rPr>
  </w:style>
  <w:style w:type="character" w:customStyle="1" w:styleId="146">
    <w:name w:val="正文标准 Char"/>
    <w:link w:val="145"/>
    <w:qFormat/>
    <w:uiPriority w:val="0"/>
    <w:rPr>
      <w:rFonts w:ascii="Times New Roman" w:hAnsi="Times New Roman"/>
      <w:snapToGrid w:val="0"/>
      <w:kern w:val="2"/>
      <w:sz w:val="24"/>
      <w:szCs w:val="24"/>
    </w:rPr>
  </w:style>
  <w:style w:type="table" w:customStyle="1" w:styleId="147">
    <w:name w:val="表格标准11"/>
    <w:basedOn w:val="3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148">
    <w:name w:val="5级标题"/>
    <w:basedOn w:val="7"/>
    <w:next w:val="1"/>
    <w:link w:val="149"/>
    <w:qFormat/>
    <w:uiPriority w:val="0"/>
    <w:pPr>
      <w:numPr>
        <w:ilvl w:val="4"/>
        <w:numId w:val="1"/>
      </w:numPr>
    </w:pPr>
    <w:rPr>
      <w:b/>
      <w:bCs w:val="0"/>
    </w:rPr>
  </w:style>
  <w:style w:type="character" w:customStyle="1" w:styleId="149">
    <w:name w:val="5级标题 字符"/>
    <w:basedOn w:val="47"/>
    <w:link w:val="148"/>
    <w:qFormat/>
    <w:uiPriority w:val="0"/>
    <w:rPr>
      <w:rFonts w:ascii="Times New Roman" w:hAnsi="Times New Roman" w:eastAsia="宋体" w:cs="Times New Roman"/>
      <w:b/>
      <w:bCs w:val="0"/>
      <w:kern w:val="2"/>
      <w:sz w:val="24"/>
      <w:szCs w:val="28"/>
    </w:rPr>
  </w:style>
  <w:style w:type="table" w:customStyle="1" w:styleId="150">
    <w:name w:val="样式151"/>
    <w:basedOn w:val="36"/>
    <w:qFormat/>
    <w:locked/>
    <w:uiPriority w:val="99"/>
    <w:pPr>
      <w:jc w:val="center"/>
    </w:p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151">
    <w:name w:val="表格标准12"/>
    <w:basedOn w:val="3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152">
    <w:name w:val="表格标准13"/>
    <w:basedOn w:val="3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153">
    <w:name w:val="标题 7 字符"/>
    <w:basedOn w:val="38"/>
    <w:link w:val="9"/>
    <w:semiHidden/>
    <w:qFormat/>
    <w:uiPriority w:val="9"/>
    <w:rPr>
      <w:rFonts w:ascii="Times New Roman" w:hAnsi="Times New Roman"/>
      <w:b/>
      <w:bCs/>
      <w:kern w:val="2"/>
      <w:sz w:val="24"/>
      <w:szCs w:val="24"/>
    </w:rPr>
  </w:style>
  <w:style w:type="character" w:customStyle="1" w:styleId="154">
    <w:name w:val="标题 8 字符"/>
    <w:basedOn w:val="38"/>
    <w:link w:val="10"/>
    <w:semiHidden/>
    <w:qFormat/>
    <w:uiPriority w:val="9"/>
    <w:rPr>
      <w:rFonts w:asciiTheme="majorHAnsi" w:hAnsiTheme="majorHAnsi" w:eastAsiaTheme="majorEastAsia" w:cstheme="majorBidi"/>
      <w:kern w:val="2"/>
      <w:sz w:val="24"/>
      <w:szCs w:val="24"/>
    </w:rPr>
  </w:style>
  <w:style w:type="character" w:customStyle="1" w:styleId="155">
    <w:name w:val="标题 9 字符"/>
    <w:basedOn w:val="38"/>
    <w:link w:val="11"/>
    <w:semiHidden/>
    <w:qFormat/>
    <w:uiPriority w:val="9"/>
    <w:rPr>
      <w:rFonts w:asciiTheme="majorHAnsi" w:hAnsiTheme="majorHAnsi" w:eastAsiaTheme="majorEastAsia" w:cstheme="majorBidi"/>
      <w:kern w:val="2"/>
      <w:sz w:val="21"/>
      <w:szCs w:val="21"/>
    </w:rPr>
  </w:style>
  <w:style w:type="paragraph" w:customStyle="1" w:styleId="156">
    <w:name w:val="Default"/>
    <w:next w:val="27"/>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157">
    <w:name w:val="HTML 预设格式 字符"/>
    <w:basedOn w:val="38"/>
    <w:link w:val="31"/>
    <w:semiHidden/>
    <w:qFormat/>
    <w:uiPriority w:val="99"/>
    <w:rPr>
      <w:rFonts w:ascii="宋体" w:hAnsi="宋体"/>
      <w:sz w:val="24"/>
      <w:szCs w:val="24"/>
    </w:rPr>
  </w:style>
  <w:style w:type="character" w:customStyle="1" w:styleId="158">
    <w:name w:val="标题 字符"/>
    <w:basedOn w:val="38"/>
    <w:link w:val="33"/>
    <w:qFormat/>
    <w:uiPriority w:val="10"/>
    <w:rPr>
      <w:rFonts w:asciiTheme="majorHAnsi" w:hAnsiTheme="majorHAnsi" w:eastAsiaTheme="majorEastAsia" w:cstheme="majorBidi"/>
      <w:b/>
      <w:bCs/>
      <w:kern w:val="2"/>
      <w:sz w:val="32"/>
      <w:szCs w:val="32"/>
    </w:rPr>
  </w:style>
  <w:style w:type="paragraph" w:customStyle="1" w:styleId="159">
    <w:name w:val="修订1"/>
    <w:hidden/>
    <w:semiHidden/>
    <w:qFormat/>
    <w:uiPriority w:val="99"/>
    <w:rPr>
      <w:rFonts w:ascii="Times New Roman" w:hAnsi="Times New Roman" w:eastAsia="宋体" w:cs="Times New Roman"/>
      <w:kern w:val="2"/>
      <w:sz w:val="24"/>
      <w:szCs w:val="21"/>
      <w:lang w:val="en-US" w:eastAsia="zh-CN" w:bidi="ar-SA"/>
    </w:rPr>
  </w:style>
  <w:style w:type="character" w:styleId="160">
    <w:name w:val="Placeholder Text"/>
    <w:basedOn w:val="38"/>
    <w:semiHidden/>
    <w:qFormat/>
    <w:uiPriority w:val="99"/>
    <w:rPr>
      <w:color w:val="808080"/>
    </w:rPr>
  </w:style>
  <w:style w:type="table" w:customStyle="1" w:styleId="161">
    <w:name w:val="网格型2"/>
    <w:basedOn w:val="36"/>
    <w:qFormat/>
    <w:uiPriority w:val="39"/>
    <w:pPr>
      <w:jc w:val="center"/>
    </w:pPr>
    <w:rPr>
      <w:rFonts w:ascii="Times New Roman" w:hAnsi="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图表名称 Char"/>
    <w:link w:val="17"/>
    <w:qFormat/>
    <w:uiPriority w:val="0"/>
    <w:rPr>
      <w:rFonts w:ascii="Times New Roman" w:hAnsi="Times New Roman"/>
      <w:b/>
      <w:kern w:val="2"/>
      <w:sz w:val="21"/>
      <w:szCs w:val="21"/>
    </w:rPr>
  </w:style>
  <w:style w:type="paragraph" w:customStyle="1" w:styleId="163">
    <w:name w:val="图文字（新）"/>
    <w:basedOn w:val="1"/>
    <w:next w:val="1"/>
    <w:qFormat/>
    <w:uiPriority w:val="0"/>
    <w:pPr>
      <w:autoSpaceDE w:val="0"/>
      <w:autoSpaceDN w:val="0"/>
      <w:adjustRightInd w:val="0"/>
      <w:snapToGrid w:val="0"/>
      <w:spacing w:line="240" w:lineRule="auto"/>
      <w:ind w:firstLine="0" w:firstLineChars="0"/>
      <w:jc w:val="center"/>
      <w:textAlignment w:val="baseline"/>
    </w:pPr>
    <w:rPr>
      <w:rFonts w:hAnsi="Calibri"/>
      <w:color w:val="000000"/>
      <w:kern w:val="28"/>
      <w:sz w:val="21"/>
    </w:rPr>
  </w:style>
  <w:style w:type="paragraph" w:customStyle="1" w:styleId="164">
    <w:name w:val="!图表题仿五"/>
    <w:basedOn w:val="69"/>
    <w:qFormat/>
    <w:uiPriority w:val="0"/>
    <w:pPr>
      <w:ind w:firstLine="0" w:firstLineChars="0"/>
      <w:jc w:val="center"/>
    </w:pPr>
    <w:rPr>
      <w:b/>
      <w:color w:val="0000FF"/>
      <w:sz w:val="21"/>
    </w:rPr>
  </w:style>
  <w:style w:type="character" w:customStyle="1" w:styleId="165">
    <w:name w:val="未处理的提及1"/>
    <w:basedOn w:val="38"/>
    <w:semiHidden/>
    <w:unhideWhenUsed/>
    <w:qFormat/>
    <w:uiPriority w:val="99"/>
    <w:rPr>
      <w:color w:val="605E5C"/>
      <w:shd w:val="clear" w:color="auto" w:fill="E1DFDD"/>
    </w:rPr>
  </w:style>
  <w:style w:type="table" w:customStyle="1" w:styleId="166">
    <w:name w:val="网格型11"/>
    <w:basedOn w:val="36"/>
    <w:qFormat/>
    <w:uiPriority w:val="3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7">
    <w:name w:val="网格型12"/>
    <w:basedOn w:val="36"/>
    <w:qFormat/>
    <w:uiPriority w:val="59"/>
    <w:rPr>
      <w:rFonts w:ascii="Times New Roman" w:hAnsi="Times New Roman"/>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8">
    <w:name w:val="K正文 Char"/>
    <w:link w:val="169"/>
    <w:qFormat/>
    <w:uiPriority w:val="0"/>
    <w:rPr>
      <w:rFonts w:cs="宋体"/>
      <w:kern w:val="2"/>
      <w:sz w:val="24"/>
      <w:szCs w:val="24"/>
    </w:rPr>
  </w:style>
  <w:style w:type="paragraph" w:customStyle="1" w:styleId="169">
    <w:name w:val="K正文"/>
    <w:basedOn w:val="1"/>
    <w:link w:val="168"/>
    <w:qFormat/>
    <w:uiPriority w:val="0"/>
    <w:pPr>
      <w:jc w:val="left"/>
    </w:pPr>
    <w:rPr>
      <w:rFonts w:ascii="Calibri" w:hAnsi="Calibri" w:cs="宋体"/>
      <w:szCs w:val="24"/>
    </w:rPr>
  </w:style>
  <w:style w:type="paragraph" w:customStyle="1" w:styleId="170">
    <w:name w:val="表格居中"/>
    <w:next w:val="1"/>
    <w:qFormat/>
    <w:uiPriority w:val="0"/>
    <w:pPr>
      <w:widowControl w:val="0"/>
      <w:jc w:val="center"/>
    </w:pPr>
    <w:rPr>
      <w:rFonts w:ascii="Times New Roman" w:hAnsi="Times New Roman" w:eastAsia="宋体" w:cs="Times New Roman"/>
      <w:kern w:val="2"/>
      <w:sz w:val="21"/>
      <w:szCs w:val="21"/>
      <w:lang w:val="en-US" w:eastAsia="zh-CN" w:bidi="ar-SA"/>
    </w:rPr>
  </w:style>
  <w:style w:type="paragraph" w:customStyle="1" w:styleId="171">
    <w:name w:val="缩进1.5"/>
    <w:next w:val="1"/>
    <w:qFormat/>
    <w:uiPriority w:val="0"/>
    <w:pPr>
      <w:widowControl w:val="0"/>
      <w:spacing w:line="360" w:lineRule="auto"/>
      <w:ind w:firstLine="150" w:firstLineChars="150"/>
      <w:jc w:val="both"/>
    </w:pPr>
    <w:rPr>
      <w:rFonts w:ascii="Times New Roman" w:hAnsi="Times New Roman" w:eastAsia="宋体" w:cstheme="minorBidi"/>
      <w:kern w:val="2"/>
      <w:sz w:val="24"/>
      <w:szCs w:val="22"/>
      <w:lang w:val="en-US" w:eastAsia="zh-CN" w:bidi="ar-SA"/>
    </w:rPr>
  </w:style>
  <w:style w:type="paragraph" w:customStyle="1" w:styleId="172">
    <w:name w:val="正文样式"/>
    <w:qFormat/>
    <w:uiPriority w:val="0"/>
    <w:pPr>
      <w:widowControl w:val="0"/>
      <w:adjustRightInd w:val="0"/>
      <w:snapToGrid w:val="0"/>
      <w:spacing w:line="360" w:lineRule="auto"/>
      <w:ind w:firstLine="480"/>
      <w:jc w:val="both"/>
    </w:pPr>
    <w:rPr>
      <w:rFonts w:ascii="仿宋_GB2312" w:hAnsi="Times New Roman" w:eastAsia="仿宋_GB2312" w:cs="Times New Roman"/>
      <w:kern w:val="2"/>
      <w:sz w:val="24"/>
      <w:szCs w:val="24"/>
      <w:lang w:val="en-US" w:eastAsia="zh-CN" w:bidi="ar-SA"/>
    </w:rPr>
  </w:style>
  <w:style w:type="table" w:customStyle="1" w:styleId="173">
    <w:name w:val="网格型浅色2"/>
    <w:basedOn w:val="36"/>
    <w:qFormat/>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74">
    <w:name w:val="Table Normal2"/>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75">
    <w:name w:val="网格型浅色11"/>
    <w:basedOn w:val="36"/>
    <w:qFormat/>
    <w:locked/>
    <w:uiPriority w:val="40"/>
    <w:rPr>
      <w:rFonts w:ascii="Times New Roman" w:hAnsi="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table" w:customStyle="1" w:styleId="176">
    <w:name w:val="Table Normal11"/>
    <w:semiHidden/>
    <w:qFormat/>
    <w:uiPriority w:val="2"/>
    <w:pPr>
      <w:widowControl w:val="0"/>
      <w:autoSpaceDE w:val="0"/>
      <w:autoSpaceDN w:val="0"/>
    </w:pPr>
    <w:rPr>
      <w:rFonts w:ascii="Times New Roman" w:hAnsi="Times New Roman"/>
      <w:sz w:val="22"/>
      <w:szCs w:val="22"/>
      <w:lang w:eastAsia="en-US"/>
    </w:rPr>
    <w:tblPr>
      <w:tblCellMar>
        <w:top w:w="0" w:type="dxa"/>
        <w:left w:w="0" w:type="dxa"/>
        <w:bottom w:w="0" w:type="dxa"/>
        <w:right w:w="0" w:type="dxa"/>
      </w:tblCellMar>
    </w:tblPr>
  </w:style>
  <w:style w:type="paragraph" w:customStyle="1" w:styleId="177">
    <w:name w:val="L图表标题"/>
    <w:basedOn w:val="15"/>
    <w:link w:val="180"/>
    <w:qFormat/>
    <w:uiPriority w:val="0"/>
    <w:pPr>
      <w:keepNext w:val="0"/>
      <w:spacing w:line="240" w:lineRule="auto"/>
    </w:pPr>
    <w:rPr>
      <w:szCs w:val="22"/>
    </w:rPr>
  </w:style>
  <w:style w:type="character" w:customStyle="1" w:styleId="178">
    <w:name w:val="!正文 Char"/>
    <w:link w:val="179"/>
    <w:qFormat/>
    <w:uiPriority w:val="0"/>
    <w:rPr>
      <w:rFonts w:eastAsia="仿宋_GB2312"/>
      <w:sz w:val="24"/>
      <w:szCs w:val="24"/>
    </w:rPr>
  </w:style>
  <w:style w:type="paragraph" w:customStyle="1" w:styleId="179">
    <w:name w:val="!正文"/>
    <w:basedOn w:val="1"/>
    <w:link w:val="178"/>
    <w:qFormat/>
    <w:uiPriority w:val="0"/>
    <w:rPr>
      <w:rFonts w:ascii="Calibri" w:hAnsi="Calibri" w:eastAsia="仿宋_GB2312"/>
      <w:kern w:val="0"/>
      <w:szCs w:val="24"/>
    </w:rPr>
  </w:style>
  <w:style w:type="character" w:customStyle="1" w:styleId="180">
    <w:name w:val="L图表标题 字符"/>
    <w:link w:val="177"/>
    <w:qFormat/>
    <w:uiPriority w:val="0"/>
    <w:rPr>
      <w:rFonts w:ascii="Times New Roman" w:hAnsi="Times New Roman"/>
      <w:b/>
      <w:kern w:val="2"/>
      <w:sz w:val="21"/>
      <w:szCs w:val="22"/>
    </w:rPr>
  </w:style>
  <w:style w:type="paragraph" w:customStyle="1" w:styleId="181">
    <w:name w:val="L正文文本"/>
    <w:basedOn w:val="1"/>
    <w:link w:val="182"/>
    <w:qFormat/>
    <w:uiPriority w:val="0"/>
    <w:rPr>
      <w:color w:val="000000" w:themeColor="text1"/>
      <w14:textFill>
        <w14:solidFill>
          <w14:schemeClr w14:val="tx1"/>
        </w14:solidFill>
      </w14:textFill>
    </w:rPr>
  </w:style>
  <w:style w:type="character" w:customStyle="1" w:styleId="182">
    <w:name w:val="L正文文本 字符"/>
    <w:basedOn w:val="38"/>
    <w:link w:val="181"/>
    <w:qFormat/>
    <w:uiPriority w:val="0"/>
    <w:rPr>
      <w:rFonts w:ascii="Times New Roman" w:hAnsi="Times New Roman"/>
      <w:color w:val="000000" w:themeColor="text1"/>
      <w:kern w:val="2"/>
      <w:sz w:val="24"/>
      <w:szCs w:val="21"/>
      <w14:textFill>
        <w14:solidFill>
          <w14:schemeClr w14:val="tx1"/>
        </w14:solidFill>
      </w14:textFill>
    </w:rPr>
  </w:style>
  <w:style w:type="paragraph" w:customStyle="1" w:styleId="183">
    <w:name w:val="加粗"/>
    <w:basedOn w:val="181"/>
    <w:link w:val="184"/>
    <w:qFormat/>
    <w:uiPriority w:val="0"/>
    <w:pPr>
      <w:ind w:firstLine="480"/>
    </w:pPr>
    <w:rPr>
      <w:b/>
      <w:bCs/>
    </w:rPr>
  </w:style>
  <w:style w:type="character" w:customStyle="1" w:styleId="184">
    <w:name w:val="加粗 字符"/>
    <w:basedOn w:val="182"/>
    <w:link w:val="183"/>
    <w:qFormat/>
    <w:uiPriority w:val="0"/>
    <w:rPr>
      <w:rFonts w:ascii="Times New Roman" w:hAnsi="Times New Roman"/>
      <w:b/>
      <w:bCs/>
      <w:color w:val="000000" w:themeColor="text1"/>
      <w:kern w:val="2"/>
      <w:sz w:val="24"/>
      <w:szCs w:val="21"/>
      <w14:textFill>
        <w14:solidFill>
          <w14:schemeClr w14:val="tx1"/>
        </w14:solidFill>
      </w14:textFill>
    </w:rPr>
  </w:style>
  <w:style w:type="paragraph" w:customStyle="1" w:styleId="185">
    <w:name w:val="图片居中"/>
    <w:basedOn w:val="1"/>
    <w:link w:val="186"/>
    <w:qFormat/>
    <w:uiPriority w:val="0"/>
    <w:pPr>
      <w:spacing w:line="240" w:lineRule="auto"/>
      <w:ind w:firstLine="0" w:firstLineChars="0"/>
      <w:jc w:val="center"/>
    </w:pPr>
  </w:style>
  <w:style w:type="character" w:customStyle="1" w:styleId="186">
    <w:name w:val="图片居中 字符"/>
    <w:basedOn w:val="38"/>
    <w:link w:val="185"/>
    <w:qFormat/>
    <w:uiPriority w:val="0"/>
    <w:rPr>
      <w:rFonts w:ascii="Times New Roman" w:hAnsi="Times New Roman"/>
      <w:kern w:val="2"/>
      <w:sz w:val="24"/>
      <w:szCs w:val="21"/>
    </w:rPr>
  </w:style>
  <w:style w:type="paragraph" w:customStyle="1" w:styleId="187">
    <w:name w:val="5级带编号正文"/>
    <w:basedOn w:val="1"/>
    <w:link w:val="188"/>
    <w:qFormat/>
    <w:uiPriority w:val="0"/>
    <w:pPr>
      <w:numPr>
        <w:ilvl w:val="0"/>
        <w:numId w:val="4"/>
      </w:numPr>
      <w:ind w:firstLine="0" w:firstLineChars="0"/>
      <w:outlineLvl w:val="4"/>
    </w:pPr>
  </w:style>
  <w:style w:type="character" w:customStyle="1" w:styleId="188">
    <w:name w:val="5级带编号正文 字符"/>
    <w:basedOn w:val="38"/>
    <w:link w:val="187"/>
    <w:qFormat/>
    <w:uiPriority w:val="0"/>
    <w:rPr>
      <w:rFonts w:ascii="Times New Roman" w:hAnsi="Times New Roman"/>
      <w:kern w:val="2"/>
      <w:sz w:val="24"/>
      <w:szCs w:val="21"/>
    </w:rPr>
  </w:style>
  <w:style w:type="character" w:customStyle="1" w:styleId="189">
    <w:name w:val="6级带编号正文 字符"/>
    <w:basedOn w:val="38"/>
    <w:link w:val="126"/>
    <w:qFormat/>
    <w:uiPriority w:val="0"/>
    <w:rPr>
      <w:rFonts w:ascii="Times New Roman" w:hAnsi="Times New Roman"/>
      <w:color w:val="000000" w:themeColor="text1"/>
      <w:kern w:val="2"/>
      <w:sz w:val="24"/>
      <w:szCs w:val="21"/>
      <w14:textFill>
        <w14:solidFill>
          <w14:schemeClr w14:val="tx1"/>
        </w14:solidFill>
      </w14:textFill>
    </w:rPr>
  </w:style>
  <w:style w:type="character" w:customStyle="1" w:styleId="190">
    <w:name w:val="普通(网站) 字符"/>
    <w:link w:val="32"/>
    <w:qFormat/>
    <w:locked/>
    <w:uiPriority w:val="99"/>
    <w:rPr>
      <w:rFonts w:ascii="宋体" w:hAnsi="宋体" w:cs="宋体"/>
      <w:sz w:val="24"/>
      <w:szCs w:val="24"/>
    </w:rPr>
  </w:style>
  <w:style w:type="paragraph" w:customStyle="1" w:styleId="191">
    <w:name w:val="插图"/>
    <w:next w:val="1"/>
    <w:qFormat/>
    <w:uiPriority w:val="99"/>
    <w:pPr>
      <w:keepNext/>
      <w:spacing w:line="360" w:lineRule="auto"/>
      <w:jc w:val="center"/>
    </w:pPr>
    <w:rPr>
      <w:rFonts w:ascii="Times New Roman" w:hAnsi="Times New Roman" w:eastAsia="仿宋" w:cs="Times New Roman"/>
      <w:kern w:val="2"/>
      <w:sz w:val="24"/>
      <w:szCs w:val="22"/>
      <w:lang w:val="en-US" w:eastAsia="zh-CN" w:bidi="ar-SA"/>
    </w:rPr>
  </w:style>
  <w:style w:type="character" w:customStyle="1" w:styleId="192">
    <w:name w:val="正文-昌赣 Char"/>
    <w:link w:val="193"/>
    <w:qFormat/>
    <w:locked/>
    <w:uiPriority w:val="0"/>
    <w:rPr>
      <w:rFonts w:ascii="Tahoma" w:eastAsia="Tahoma"/>
      <w:color w:val="000000"/>
      <w:kern w:val="20"/>
      <w:sz w:val="28"/>
      <w:szCs w:val="28"/>
    </w:rPr>
  </w:style>
  <w:style w:type="paragraph" w:customStyle="1" w:styleId="193">
    <w:name w:val="正文-昌赣"/>
    <w:basedOn w:val="1"/>
    <w:link w:val="192"/>
    <w:qFormat/>
    <w:uiPriority w:val="0"/>
    <w:pPr>
      <w:autoSpaceDE w:val="0"/>
      <w:autoSpaceDN w:val="0"/>
      <w:adjustRightInd w:val="0"/>
      <w:spacing w:line="460" w:lineRule="exact"/>
      <w:jc w:val="left"/>
    </w:pPr>
    <w:rPr>
      <w:rFonts w:ascii="Tahoma" w:hAnsi="Calibri" w:eastAsia="Tahoma"/>
      <w:color w:val="000000"/>
      <w:kern w:val="20"/>
      <w:sz w:val="28"/>
      <w:szCs w:val="28"/>
    </w:rPr>
  </w:style>
  <w:style w:type="paragraph" w:customStyle="1" w:styleId="194">
    <w:name w:val="abc"/>
    <w:basedOn w:val="1"/>
    <w:qFormat/>
    <w:uiPriority w:val="99"/>
    <w:pPr>
      <w:adjustRightInd w:val="0"/>
      <w:snapToGrid w:val="0"/>
      <w:jc w:val="left"/>
    </w:pPr>
    <w:rPr>
      <w:rFonts w:ascii="宋体" w:hAnsi="宋体"/>
      <w:kern w:val="0"/>
      <w:szCs w:val="24"/>
      <w:lang w:eastAsia="en-US" w:bidi="en-US"/>
    </w:rPr>
  </w:style>
  <w:style w:type="paragraph" w:customStyle="1" w:styleId="195">
    <w:name w:val="正文C"/>
    <w:basedOn w:val="1"/>
    <w:link w:val="196"/>
    <w:qFormat/>
    <w:uiPriority w:val="0"/>
    <w:pPr>
      <w:widowControl/>
      <w:adjustRightInd w:val="0"/>
      <w:snapToGrid w:val="0"/>
      <w:jc w:val="left"/>
    </w:pPr>
    <w:rPr>
      <w:rFonts w:ascii="宋体" w:hAnsi="宋体" w:cs="宋体"/>
      <w:color w:val="4F6228" w:themeColor="accent3" w:themeShade="80"/>
      <w:kern w:val="0"/>
      <w:szCs w:val="24"/>
    </w:rPr>
  </w:style>
  <w:style w:type="character" w:customStyle="1" w:styleId="196">
    <w:name w:val="正文C Char"/>
    <w:link w:val="195"/>
    <w:qFormat/>
    <w:uiPriority w:val="0"/>
    <w:rPr>
      <w:rFonts w:ascii="宋体" w:hAnsi="宋体" w:cs="宋体"/>
      <w:color w:val="4F6228" w:themeColor="accent3" w:themeShade="80"/>
      <w:sz w:val="24"/>
      <w:szCs w:val="24"/>
    </w:rPr>
  </w:style>
  <w:style w:type="paragraph" w:customStyle="1" w:styleId="197">
    <w:name w:val="标题3"/>
    <w:basedOn w:val="1"/>
    <w:qFormat/>
    <w:uiPriority w:val="0"/>
    <w:pPr>
      <w:spacing w:before="20" w:after="20"/>
      <w:ind w:firstLine="100" w:firstLineChars="100"/>
      <w:jc w:val="left"/>
      <w:outlineLvl w:val="2"/>
    </w:pPr>
    <w:rPr>
      <w:rFonts w:ascii="宋体" w:hAnsi="宋体" w:eastAsia="仿宋"/>
      <w:b/>
      <w:bCs/>
      <w:color w:val="000000"/>
      <w:szCs w:val="24"/>
    </w:rPr>
  </w:style>
  <w:style w:type="paragraph" w:customStyle="1" w:styleId="198">
    <w:name w:val="表格"/>
    <w:basedOn w:val="1"/>
    <w:qFormat/>
    <w:uiPriority w:val="0"/>
    <w:pPr>
      <w:adjustRightInd w:val="0"/>
      <w:snapToGrid w:val="0"/>
      <w:spacing w:line="500" w:lineRule="exact"/>
      <w:jc w:val="center"/>
    </w:pPr>
    <w:rPr>
      <w:rFonts w:ascii="仿宋" w:hAnsi="Calibri" w:eastAsia="仿宋"/>
      <w:b/>
      <w:sz w:val="21"/>
      <w:szCs w:val="20"/>
    </w:rPr>
  </w:style>
  <w:style w:type="paragraph" w:customStyle="1" w:styleId="199">
    <w:name w:val="71表格五号"/>
    <w:basedOn w:val="1"/>
    <w:qFormat/>
    <w:uiPriority w:val="0"/>
    <w:pPr>
      <w:adjustRightInd w:val="0"/>
      <w:snapToGrid w:val="0"/>
      <w:spacing w:line="240" w:lineRule="auto"/>
      <w:ind w:firstLine="0" w:firstLineChars="0"/>
      <w:jc w:val="center"/>
    </w:pPr>
    <w:rPr>
      <w:rFonts w:ascii="宋体" w:hAnsi="宋体" w:cs="宋体"/>
      <w:snapToGrid w:val="0"/>
      <w:kern w:val="0"/>
      <w:sz w:val="21"/>
    </w:rPr>
  </w:style>
  <w:style w:type="paragraph" w:customStyle="1" w:styleId="200">
    <w:name w:val="80标题图片"/>
    <w:basedOn w:val="1"/>
    <w:next w:val="1"/>
    <w:qFormat/>
    <w:uiPriority w:val="0"/>
    <w:pPr>
      <w:tabs>
        <w:tab w:val="left" w:pos="0"/>
        <w:tab w:val="left" w:pos="2973"/>
        <w:tab w:val="left" w:pos="3540"/>
        <w:tab w:val="left" w:pos="3681"/>
        <w:tab w:val="left" w:pos="4107"/>
      </w:tabs>
      <w:adjustRightInd w:val="0"/>
      <w:snapToGrid w:val="0"/>
      <w:spacing w:after="120" w:line="430" w:lineRule="exact"/>
      <w:ind w:left="3687" w:firstLine="0" w:firstLineChars="0"/>
      <w:jc w:val="center"/>
    </w:pPr>
    <w:rPr>
      <w:rFonts w:ascii="宋体" w:hAnsi="宋体" w:cs="宋体"/>
      <w:b/>
      <w:kern w:val="0"/>
      <w:sz w:val="21"/>
    </w:rPr>
  </w:style>
  <w:style w:type="paragraph" w:customStyle="1" w:styleId="201">
    <w:name w:val="A正文格式11-16"/>
    <w:basedOn w:val="1"/>
    <w:link w:val="202"/>
    <w:qFormat/>
    <w:uiPriority w:val="0"/>
    <w:pPr>
      <w:adjustRightInd w:val="0"/>
      <w:snapToGrid w:val="0"/>
      <w:ind w:firstLine="480"/>
      <w:jc w:val="left"/>
    </w:pPr>
    <w:rPr>
      <w:szCs w:val="24"/>
    </w:rPr>
  </w:style>
  <w:style w:type="character" w:customStyle="1" w:styleId="202">
    <w:name w:val="A正文格式11-16 字符"/>
    <w:link w:val="201"/>
    <w:qFormat/>
    <w:uiPriority w:val="0"/>
    <w:rPr>
      <w:rFonts w:ascii="Times New Roman" w:hAnsi="Times New Roman"/>
      <w:kern w:val="2"/>
      <w:sz w:val="24"/>
      <w:szCs w:val="24"/>
    </w:rPr>
  </w:style>
  <w:style w:type="character" w:customStyle="1" w:styleId="203">
    <w:name w:val="NormalCharacter"/>
    <w:semiHidden/>
    <w:qFormat/>
    <w:uiPriority w:val="0"/>
  </w:style>
  <w:style w:type="character" w:customStyle="1" w:styleId="204">
    <w:name w:val="正文1 字符"/>
    <w:basedOn w:val="38"/>
    <w:link w:val="94"/>
    <w:qFormat/>
    <w:uiPriority w:val="0"/>
    <w:rPr>
      <w:sz w:val="24"/>
      <w:szCs w:val="24"/>
    </w:rPr>
  </w:style>
  <w:style w:type="table" w:customStyle="1" w:styleId="205">
    <w:name w:val="方案表格"/>
    <w:basedOn w:val="36"/>
    <w:qFormat/>
    <w:uiPriority w:val="99"/>
    <w:pPr>
      <w:jc w:val="center"/>
    </w:pPr>
    <w:rPr>
      <w:rFonts w:ascii="Times New Roman" w:hAnsi="Times New Roman"/>
      <w:sz w:val="18"/>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vAlign w:val="center"/>
    </w:tcPr>
  </w:style>
  <w:style w:type="paragraph" w:customStyle="1" w:styleId="206">
    <w:name w:val="大标题"/>
    <w:basedOn w:val="2"/>
    <w:qFormat/>
    <w:uiPriority w:val="0"/>
    <w:pPr>
      <w:keepNext w:val="0"/>
      <w:keepLines w:val="0"/>
      <w:adjustRightInd w:val="0"/>
      <w:spacing w:line="240" w:lineRule="auto"/>
      <w:outlineLvl w:val="9"/>
    </w:pPr>
    <w:rPr>
      <w:rFonts w:ascii="宋体" w:hAnsi="宋体"/>
      <w:snapToGrid w:val="0"/>
      <w:sz w:val="28"/>
      <w:szCs w:val="28"/>
    </w:rPr>
  </w:style>
  <w:style w:type="paragraph" w:customStyle="1" w:styleId="207">
    <w:name w:val="品茗标题2"/>
    <w:basedOn w:val="3"/>
    <w:next w:val="1"/>
    <w:qFormat/>
    <w:uiPriority w:val="0"/>
    <w:pPr>
      <w:numPr>
        <w:numId w:val="5"/>
      </w:numPr>
    </w:pPr>
    <w:rPr>
      <w:rFonts w:ascii="宋体" w:hAnsi="宋体"/>
      <w:color w:val="000000"/>
    </w:rPr>
  </w:style>
  <w:style w:type="paragraph" w:customStyle="1" w:styleId="208">
    <w:name w:val="表头-模板"/>
    <w:qFormat/>
    <w:uiPriority w:val="0"/>
    <w:pPr>
      <w:widowControl w:val="0"/>
      <w:jc w:val="center"/>
    </w:pPr>
    <w:rPr>
      <w:rFonts w:hint="eastAsia" w:ascii="Times New Roman" w:hAnsi="Times New Roman" w:eastAsia="宋体" w:cs="Times New Roman"/>
      <w:b/>
      <w:kern w:val="2"/>
      <w:sz w:val="21"/>
      <w:szCs w:val="21"/>
      <w:lang w:val="en-US" w:eastAsia="zh-CN" w:bidi="ar-SA"/>
    </w:rPr>
  </w:style>
  <w:style w:type="paragraph" w:customStyle="1" w:styleId="209">
    <w:name w:val="表格正文-模板"/>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210">
    <w:name w:val="图名"/>
    <w:qFormat/>
    <w:uiPriority w:val="0"/>
    <w:pPr>
      <w:jc w:val="center"/>
    </w:pPr>
    <w:rPr>
      <w:rFonts w:ascii="宋体" w:hAnsi="宋体" w:eastAsia="宋体" w:cs="Times New Roman"/>
      <w:b/>
      <w:sz w:val="21"/>
      <w:szCs w:val="21"/>
      <w:lang w:val="en-US" w:eastAsia="zh-CN" w:bidi="ar-SA"/>
    </w:rPr>
  </w:style>
  <w:style w:type="table" w:customStyle="1" w:styleId="211">
    <w:name w:val="标准样式272"/>
    <w:basedOn w:val="36"/>
    <w:qFormat/>
    <w:uiPriority w:val="0"/>
    <w:pPr>
      <w:jc w:val="center"/>
    </w:pPr>
    <w:rPr>
      <w:rFonts w:ascii="Times New Roman" w:hAnsi="Times New Roman"/>
    </w:rPr>
    <w:tblPr>
      <w:tblBorders>
        <w:top w:val="double" w:color="auto" w:sz="2" w:space="0"/>
        <w:left w:val="double" w:color="auto" w:sz="2" w:space="0"/>
        <w:bottom w:val="double" w:color="auto" w:sz="2" w:space="0"/>
        <w:right w:val="double" w:color="auto" w:sz="2" w:space="0"/>
        <w:insideH w:val="single" w:color="auto" w:sz="6" w:space="0"/>
        <w:insideV w:val="single" w:color="auto" w:sz="6" w:space="0"/>
      </w:tblBorders>
    </w:tblPr>
    <w:tcPr>
      <w:tcBorders>
        <w:top w:val="double" w:color="auto" w:sz="2" w:space="0"/>
        <w:left w:val="double" w:color="auto" w:sz="2" w:space="0"/>
        <w:bottom w:val="double" w:color="auto" w:sz="2" w:space="0"/>
        <w:right w:val="double" w:color="auto" w:sz="2" w:space="0"/>
      </w:tcBorders>
      <w:shd w:val="clear" w:color="auto" w:fill="FFFFFF"/>
      <w:vAlign w:val="center"/>
    </w:tcPr>
    <w:tblStylePr w:type="firstRow">
      <w:rPr>
        <w:rFonts w:hint="default" w:ascii="Times New Roman" w:hAnsi="Times New Roman" w:eastAsia="宋体" w:cs="Times New Roman"/>
        <w:b/>
        <w:i w:val="0"/>
        <w:sz w:val="21"/>
        <w:szCs w:val="21"/>
      </w:rPr>
      <w:tcPr>
        <w:shd w:val="clear" w:color="auto" w:fill="8DB3E2"/>
      </w:tcPr>
    </w:tblStylePr>
    <w:tblStylePr w:type="firstCol">
      <w:tcPr>
        <w:shd w:val="clear" w:color="auto" w:fill="FFFFFF"/>
      </w:tcPr>
    </w:tblStylePr>
  </w:style>
  <w:style w:type="table" w:customStyle="1" w:styleId="212">
    <w:name w:val="样式152"/>
    <w:basedOn w:val="36"/>
    <w:qFormat/>
    <w:uiPriority w:val="99"/>
    <w:pPr>
      <w:jc w:val="center"/>
    </w:pPr>
    <w:rPr>
      <w:rFonts w:ascii="Times New Roman" w:hAnsi="Times New Roman"/>
    </w:rPr>
    <w:tblP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cPr>
      <w:vAlign w:val="center"/>
    </w:tcPr>
    <w:tblStylePr w:type="firstRow">
      <w:rPr>
        <w:b/>
      </w:rPr>
    </w:tblStylePr>
  </w:style>
  <w:style w:type="table" w:customStyle="1" w:styleId="213">
    <w:name w:val="表格标准14"/>
    <w:basedOn w:val="3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table" w:customStyle="1" w:styleId="214">
    <w:name w:val="表格标准15"/>
    <w:basedOn w:val="3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paragraph" w:customStyle="1" w:styleId="215">
    <w:name w:val="燕矶图片样式"/>
    <w:qFormat/>
    <w:uiPriority w:val="0"/>
    <w:pPr>
      <w:widowControl w:val="0"/>
      <w:adjustRightInd w:val="0"/>
      <w:snapToGrid w:val="0"/>
      <w:jc w:val="center"/>
    </w:pPr>
    <w:rPr>
      <w:rFonts w:ascii="Times New Roman" w:hAnsi="Times New Roman" w:eastAsia="宋体" w:cs="Times New Roman"/>
      <w:kern w:val="2"/>
      <w:sz w:val="21"/>
      <w:szCs w:val="21"/>
      <w:lang w:val="en-US" w:eastAsia="zh-CN" w:bidi="ar-SA"/>
    </w:rPr>
  </w:style>
  <w:style w:type="character" w:customStyle="1" w:styleId="216">
    <w:name w:val="日期 字符"/>
    <w:basedOn w:val="38"/>
    <w:link w:val="22"/>
    <w:semiHidden/>
    <w:qFormat/>
    <w:uiPriority w:val="99"/>
    <w:rPr>
      <w:rFonts w:ascii="Times New Roman" w:hAnsi="Times New Roman"/>
      <w:kern w:val="2"/>
      <w:sz w:val="24"/>
      <w:szCs w:val="21"/>
    </w:rPr>
  </w:style>
  <w:style w:type="paragraph" w:customStyle="1" w:styleId="217">
    <w:name w:val="附件编号"/>
    <w:basedOn w:val="3"/>
    <w:link w:val="219"/>
    <w:qFormat/>
    <w:uiPriority w:val="0"/>
    <w:pPr>
      <w:numPr>
        <w:numId w:val="6"/>
      </w:numPr>
    </w:pPr>
  </w:style>
  <w:style w:type="table" w:customStyle="1" w:styleId="218">
    <w:name w:val="表格标准111"/>
    <w:basedOn w:val="36"/>
    <w:qFormat/>
    <w:uiPriority w:val="99"/>
    <w:pPr>
      <w:jc w:val="center"/>
    </w:pPr>
    <w:rPr>
      <w:rFonts w:ascii="Times New Roman" w:hAnsi="Times New Roman"/>
      <w:sz w:val="21"/>
    </w:rPr>
    <w:tblPr>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
    <w:trPr>
      <w:jc w:val="center"/>
    </w:trPr>
    <w:tcPr>
      <w:shd w:val="clear" w:color="auto" w:fill="auto"/>
      <w:vAlign w:val="center"/>
    </w:tcPr>
  </w:style>
  <w:style w:type="character" w:customStyle="1" w:styleId="219">
    <w:name w:val="附件编号 字符"/>
    <w:basedOn w:val="43"/>
    <w:link w:val="217"/>
    <w:qFormat/>
    <w:uiPriority w:val="0"/>
    <w:rPr>
      <w:rFonts w:ascii="Times New Roman" w:hAnsi="Times New Roman" w:cstheme="majorBidi"/>
      <w:kern w:val="2"/>
      <w:sz w:val="28"/>
      <w:szCs w:val="32"/>
    </w:rPr>
  </w:style>
  <w:style w:type="paragraph" w:customStyle="1" w:styleId="220">
    <w:name w:val="方案样式：图片、表格居中"/>
    <w:next w:val="1"/>
    <w:qFormat/>
    <w:uiPriority w:val="0"/>
    <w:pPr>
      <w:widowControl w:val="0"/>
      <w:spacing w:line="288" w:lineRule="auto"/>
      <w:jc w:val="center"/>
    </w:pPr>
    <w:rPr>
      <w:rFonts w:asciiTheme="minorHAnsi" w:hAnsiTheme="minorHAnsi" w:eastAsiaTheme="minorEastAsia" w:cstheme="minorBidi"/>
      <w:szCs w:val="24"/>
      <w:lang w:val="en-US" w:eastAsia="zh-CN" w:bidi="ar-SA"/>
    </w:rPr>
  </w:style>
  <w:style w:type="paragraph" w:customStyle="1" w:styleId="221">
    <w:name w:val="双柳图名"/>
    <w:next w:val="1"/>
    <w:qFormat/>
    <w:uiPriority w:val="0"/>
    <w:pPr>
      <w:widowControl w:val="0"/>
      <w:spacing w:line="240" w:lineRule="auto"/>
      <w:jc w:val="center"/>
    </w:pPr>
    <w:rPr>
      <w:rFonts w:hint="eastAsia" w:ascii="Times New Roman" w:hAnsi="Times New Roman" w:eastAsia="宋体" w:cs="Times New Roman"/>
      <w:b/>
      <w:bCs/>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8" Type="http://schemas.microsoft.com/office/2011/relationships/people" Target="people.xml"/><Relationship Id="rId67" Type="http://schemas.openxmlformats.org/officeDocument/2006/relationships/fontTable" Target="fontTable.xml"/><Relationship Id="rId66" Type="http://schemas.openxmlformats.org/officeDocument/2006/relationships/customXml" Target="../customXml/item2.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41.jpeg"/><Relationship Id="rId62" Type="http://schemas.openxmlformats.org/officeDocument/2006/relationships/image" Target="media/image40.jpeg"/><Relationship Id="rId61" Type="http://schemas.openxmlformats.org/officeDocument/2006/relationships/image" Target="media/image39.png"/><Relationship Id="rId60" Type="http://schemas.openxmlformats.org/officeDocument/2006/relationships/image" Target="media/image38.png"/><Relationship Id="rId6" Type="http://schemas.openxmlformats.org/officeDocument/2006/relationships/endnotes" Target="endnotes.xml"/><Relationship Id="rId59" Type="http://schemas.openxmlformats.org/officeDocument/2006/relationships/image" Target="media/image37.png"/><Relationship Id="rId58" Type="http://schemas.openxmlformats.org/officeDocument/2006/relationships/image" Target="media/image36.png"/><Relationship Id="rId57" Type="http://schemas.openxmlformats.org/officeDocument/2006/relationships/image" Target="media/image35.png"/><Relationship Id="rId56" Type="http://schemas.openxmlformats.org/officeDocument/2006/relationships/image" Target="media/image34.png"/><Relationship Id="rId55" Type="http://schemas.openxmlformats.org/officeDocument/2006/relationships/image" Target="media/image33.png"/><Relationship Id="rId54" Type="http://schemas.openxmlformats.org/officeDocument/2006/relationships/image" Target="media/image32.png"/><Relationship Id="rId53" Type="http://schemas.openxmlformats.org/officeDocument/2006/relationships/image" Target="media/image31.png"/><Relationship Id="rId52" Type="http://schemas.openxmlformats.org/officeDocument/2006/relationships/image" Target="media/image30.png"/><Relationship Id="rId51" Type="http://schemas.openxmlformats.org/officeDocument/2006/relationships/image" Target="media/image29.png"/><Relationship Id="rId50" Type="http://schemas.openxmlformats.org/officeDocument/2006/relationships/image" Target="media/image28.png"/><Relationship Id="rId5" Type="http://schemas.openxmlformats.org/officeDocument/2006/relationships/footnotes" Target="footnotes.xml"/><Relationship Id="rId49" Type="http://schemas.openxmlformats.org/officeDocument/2006/relationships/image" Target="media/image27.png"/><Relationship Id="rId48" Type="http://schemas.openxmlformats.org/officeDocument/2006/relationships/image" Target="media/image26.emf"/><Relationship Id="rId47" Type="http://schemas.openxmlformats.org/officeDocument/2006/relationships/package" Target="embeddings/Microsoft_Visio___2.vsdx"/><Relationship Id="rId46" Type="http://schemas.openxmlformats.org/officeDocument/2006/relationships/image" Target="media/image25.emf"/><Relationship Id="rId45" Type="http://schemas.openxmlformats.org/officeDocument/2006/relationships/package" Target="embeddings/Microsoft_Visio___1.vsdx"/><Relationship Id="rId44" Type="http://schemas.openxmlformats.org/officeDocument/2006/relationships/image" Target="media/image24.emf"/><Relationship Id="rId43" Type="http://schemas.openxmlformats.org/officeDocument/2006/relationships/image" Target="media/image23.wmf"/><Relationship Id="rId42" Type="http://schemas.openxmlformats.org/officeDocument/2006/relationships/oleObject" Target="embeddings/oleObject2.bin"/><Relationship Id="rId41" Type="http://schemas.openxmlformats.org/officeDocument/2006/relationships/image" Target="media/image22.wmf"/><Relationship Id="rId40" Type="http://schemas.openxmlformats.org/officeDocument/2006/relationships/oleObject" Target="embeddings/oleObject1.bin"/><Relationship Id="rId4" Type="http://schemas.microsoft.com/office/2011/relationships/commentsExtended" Target="commentsExtended.xml"/><Relationship Id="rId39" Type="http://schemas.openxmlformats.org/officeDocument/2006/relationships/image" Target="media/image21.png"/><Relationship Id="rId38" Type="http://schemas.openxmlformats.org/officeDocument/2006/relationships/image" Target="media/image20.png"/><Relationship Id="rId37" Type="http://schemas.openxmlformats.org/officeDocument/2006/relationships/image" Target="media/image19.png"/><Relationship Id="rId36" Type="http://schemas.openxmlformats.org/officeDocument/2006/relationships/image" Target="media/image18.emf"/><Relationship Id="rId35" Type="http://schemas.openxmlformats.org/officeDocument/2006/relationships/image" Target="media/image17.emf"/><Relationship Id="rId34" Type="http://schemas.openxmlformats.org/officeDocument/2006/relationships/image" Target="media/image16.emf"/><Relationship Id="rId33" Type="http://schemas.openxmlformats.org/officeDocument/2006/relationships/image" Target="media/image15.emf"/><Relationship Id="rId32" Type="http://schemas.openxmlformats.org/officeDocument/2006/relationships/image" Target="media/image14.png"/><Relationship Id="rId31" Type="http://schemas.openxmlformats.org/officeDocument/2006/relationships/image" Target="media/image13.png"/><Relationship Id="rId30" Type="http://schemas.openxmlformats.org/officeDocument/2006/relationships/image" Target="media/image12.png"/><Relationship Id="rId3" Type="http://schemas.openxmlformats.org/officeDocument/2006/relationships/comments" Target="comments.xml"/><Relationship Id="rId29" Type="http://schemas.openxmlformats.org/officeDocument/2006/relationships/image" Target="media/image11.png"/><Relationship Id="rId28" Type="http://schemas.openxmlformats.org/officeDocument/2006/relationships/image" Target="media/image10.png"/><Relationship Id="rId27" Type="http://schemas.openxmlformats.org/officeDocument/2006/relationships/image" Target="media/image9.emf"/><Relationship Id="rId26" Type="http://schemas.openxmlformats.org/officeDocument/2006/relationships/image" Target="media/image8.emf"/><Relationship Id="rId25" Type="http://schemas.openxmlformats.org/officeDocument/2006/relationships/image" Target="media/image7.emf"/><Relationship Id="rId24" Type="http://schemas.openxmlformats.org/officeDocument/2006/relationships/image" Target="media/image6.emf"/><Relationship Id="rId23" Type="http://schemas.openxmlformats.org/officeDocument/2006/relationships/image" Target="media/image5.emf"/><Relationship Id="rId22" Type="http://schemas.openxmlformats.org/officeDocument/2006/relationships/image" Target="media/image4.emf"/><Relationship Id="rId21" Type="http://schemas.openxmlformats.org/officeDocument/2006/relationships/image" Target="media/image3.emf"/><Relationship Id="rId20" Type="http://schemas.openxmlformats.org/officeDocument/2006/relationships/image" Target="media/image2.jpeg"/><Relationship Id="rId2" Type="http://schemas.openxmlformats.org/officeDocument/2006/relationships/settings" Target="settings.xml"/><Relationship Id="rId19" Type="http://schemas.openxmlformats.org/officeDocument/2006/relationships/image" Target="media/image1.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5.xml"/><Relationship Id="rId14" Type="http://schemas.openxmlformats.org/officeDocument/2006/relationships/footer" Target="footer4.xml"/><Relationship Id="rId13" Type="http://schemas.openxmlformats.org/officeDocument/2006/relationships/header" Target="header4.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7FCD60-1C24-451A-9AB2-08AE584AF610}">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95</Pages>
  <Words>5164</Words>
  <Characters>6249</Characters>
  <Lines>431</Lines>
  <Paragraphs>121</Paragraphs>
  <TotalTime>1</TotalTime>
  <ScaleCrop>false</ScaleCrop>
  <LinksUpToDate>false</LinksUpToDate>
  <CharactersWithSpaces>6498</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2023-01-03T06:09:00Z</dcterms:created>
  <dc:creator>Haifeng Zhu</dc:creator>
  <cp:lastModifiedBy>StudentWenB</cp:lastModifiedBy>
  <cp:lastPrinted>2021-02-28T08:02:00Z</cp:lastPrinted>
  <dcterms:modified xsi:type="dcterms:W3CDTF">2024-10-23T07:59:58Z</dcterms:modified>
  <cp:revision>966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MTWinEqns">
    <vt:bool>true</vt:bool>
  </property>
  <property fmtid="{D5CDD505-2E9C-101B-9397-08002B2CF9AE}" pid="4" name="MTEquationNumber2">
    <vt:lpwstr>(#S1.#E1)</vt:lpwstr>
  </property>
  <property fmtid="{D5CDD505-2E9C-101B-9397-08002B2CF9AE}" pid="5" name="ICV">
    <vt:lpwstr>AA3D4D56158E4FD8AF106540D467DA42_12</vt:lpwstr>
  </property>
</Properties>
</file>