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2BDE7">
      <w:pPr>
        <w:ind w:firstLine="480"/>
      </w:pPr>
    </w:p>
    <w:p w14:paraId="5D1B2E4A">
      <w:pPr>
        <w:ind w:firstLine="480"/>
      </w:pPr>
    </w:p>
    <w:p w14:paraId="1DDC96FB">
      <w:pPr>
        <w:ind w:firstLine="480"/>
      </w:pPr>
    </w:p>
    <w:p w14:paraId="1775F128">
      <w:pPr>
        <w:pStyle w:val="64"/>
        <w:rPr>
          <w:bCs/>
        </w:rPr>
      </w:pPr>
      <w:bookmarkStart w:id="0" w:name="_Toc40445697"/>
      <w:bookmarkStart w:id="1" w:name="_Toc40778418"/>
      <w:bookmarkStart w:id="2" w:name="项目名称"/>
      <w:bookmarkStart w:id="3" w:name="_Toc15659"/>
      <w:bookmarkStart w:id="4" w:name="_Toc40446028"/>
      <w:bookmarkStart w:id="5" w:name="_Toc40273439"/>
      <w:r>
        <w:rPr>
          <w:rFonts w:hint="eastAsia"/>
          <w:bCs/>
        </w:rPr>
        <w:t>天保至麻栗坡高速公路TJ-2标项</w:t>
      </w:r>
      <w:r>
        <w:rPr>
          <w:rFonts w:hint="eastAsia"/>
        </w:rPr>
        <w:t>目</w:t>
      </w:r>
      <w:bookmarkEnd w:id="0"/>
      <w:bookmarkEnd w:id="1"/>
      <w:bookmarkEnd w:id="2"/>
      <w:bookmarkEnd w:id="3"/>
      <w:bookmarkEnd w:id="4"/>
      <w:bookmarkEnd w:id="5"/>
    </w:p>
    <w:p w14:paraId="1132D20F">
      <w:pPr>
        <w:pStyle w:val="64"/>
      </w:pPr>
      <w:bookmarkStart w:id="6" w:name="设备类型"/>
      <w:bookmarkStart w:id="7" w:name="_Toc40445698"/>
      <w:bookmarkStart w:id="8" w:name="_Toc13281"/>
      <w:bookmarkStart w:id="9" w:name="_Toc40778419"/>
      <w:bookmarkStart w:id="10" w:name="_Toc40273440"/>
      <w:bookmarkStart w:id="11" w:name="方案名称"/>
      <w:bookmarkStart w:id="12" w:name="_Toc40446029"/>
      <w:r>
        <w:rPr>
          <w:rFonts w:hint="eastAsia"/>
          <w:lang w:eastAsia="zh-CN"/>
        </w:rPr>
        <w:t>马鹿塘大桥</w:t>
      </w:r>
      <w:r>
        <w:rPr>
          <w:rFonts w:hint="eastAsia"/>
        </w:rPr>
        <w:t>塔式起重机</w:t>
      </w:r>
      <w:bookmarkEnd w:id="6"/>
      <w:bookmarkStart w:id="13" w:name="方案类别"/>
      <w:r>
        <w:rPr>
          <w:rFonts w:hint="eastAsia"/>
        </w:rPr>
        <w:t>安装（拆除）方案</w:t>
      </w:r>
      <w:bookmarkEnd w:id="7"/>
      <w:bookmarkEnd w:id="8"/>
      <w:bookmarkEnd w:id="9"/>
      <w:bookmarkEnd w:id="10"/>
      <w:bookmarkEnd w:id="11"/>
      <w:bookmarkEnd w:id="12"/>
      <w:bookmarkEnd w:id="13"/>
    </w:p>
    <w:p w14:paraId="1C957E52">
      <w:pPr>
        <w:ind w:firstLine="480"/>
      </w:pPr>
    </w:p>
    <w:p w14:paraId="6162701F">
      <w:pPr>
        <w:ind w:firstLine="480"/>
      </w:pPr>
    </w:p>
    <w:p w14:paraId="35A31E19">
      <w:pPr>
        <w:ind w:firstLine="480"/>
      </w:pPr>
    </w:p>
    <w:p w14:paraId="23768A2A">
      <w:pPr>
        <w:ind w:firstLine="480"/>
      </w:pPr>
    </w:p>
    <w:p w14:paraId="014C7C44">
      <w:pPr>
        <w:ind w:firstLine="480"/>
      </w:pPr>
    </w:p>
    <w:p w14:paraId="6E3F52FB">
      <w:pPr>
        <w:ind w:firstLine="480"/>
      </w:pPr>
    </w:p>
    <w:p w14:paraId="7ABA5729">
      <w:pPr>
        <w:ind w:firstLine="480"/>
      </w:pPr>
    </w:p>
    <w:p w14:paraId="316158F2">
      <w:pPr>
        <w:ind w:firstLine="480"/>
      </w:pPr>
    </w:p>
    <w:p w14:paraId="330EF594">
      <w:pPr>
        <w:ind w:firstLine="480"/>
      </w:pPr>
    </w:p>
    <w:p w14:paraId="2DBC7634">
      <w:pPr>
        <w:ind w:firstLine="480"/>
      </w:pPr>
    </w:p>
    <w:p w14:paraId="7D98C195">
      <w:pPr>
        <w:ind w:firstLine="480"/>
      </w:pPr>
    </w:p>
    <w:p w14:paraId="6C624492">
      <w:pPr>
        <w:ind w:firstLine="480"/>
      </w:pPr>
    </w:p>
    <w:p w14:paraId="0FAED848">
      <w:pPr>
        <w:ind w:firstLine="480"/>
      </w:pPr>
    </w:p>
    <w:p w14:paraId="7F6F90C3">
      <w:pPr>
        <w:ind w:firstLine="480"/>
      </w:pPr>
    </w:p>
    <w:p w14:paraId="50B63749">
      <w:pPr>
        <w:ind w:firstLine="480"/>
      </w:pPr>
    </w:p>
    <w:p w14:paraId="6C3951A6">
      <w:pPr>
        <w:ind w:firstLine="480"/>
      </w:pPr>
    </w:p>
    <w:p w14:paraId="63753D59">
      <w:pPr>
        <w:ind w:firstLine="480"/>
      </w:pPr>
    </w:p>
    <w:p w14:paraId="72B4E913">
      <w:pPr>
        <w:ind w:firstLine="480"/>
      </w:pPr>
    </w:p>
    <w:p w14:paraId="3325AD96">
      <w:pPr>
        <w:pStyle w:val="79"/>
      </w:pPr>
      <w:bookmarkStart w:id="14" w:name="安拆单位"/>
      <w:r>
        <w:rPr>
          <w:rFonts w:hint="eastAsia"/>
        </w:rPr>
        <w:t>重庆钱桥建筑设备租赁有限公司</w:t>
      </w:r>
      <w:bookmarkEnd w:id="14"/>
    </w:p>
    <w:p w14:paraId="51ACB0D4">
      <w:pPr>
        <w:pStyle w:val="79"/>
      </w:pPr>
      <w:r>
        <w:rPr>
          <w:rFonts w:hint="eastAsia"/>
        </w:rPr>
        <w:t>二</w:t>
      </w:r>
      <w:r>
        <w:t>〇二</w:t>
      </w:r>
      <w:r>
        <w:rPr>
          <w:rFonts w:hint="eastAsia"/>
          <w:lang w:val="en-US" w:eastAsia="zh-CN"/>
        </w:rPr>
        <w:t>四</w:t>
      </w:r>
      <w:r>
        <w:rPr>
          <w:rFonts w:hint="eastAsia"/>
        </w:rPr>
        <w:t>年</w:t>
      </w:r>
      <w:r>
        <w:rPr>
          <w:rFonts w:hint="eastAsia"/>
          <w:lang w:val="en-US" w:eastAsia="zh-CN"/>
        </w:rPr>
        <w:t>六</w:t>
      </w:r>
      <w:r>
        <w:rPr>
          <w:rFonts w:hint="eastAsia"/>
        </w:rPr>
        <w:t>月</w:t>
      </w:r>
      <w:r>
        <w:br w:type="page"/>
      </w:r>
    </w:p>
    <w:p w14:paraId="7E7B26C2">
      <w:pPr>
        <w:ind w:firstLine="480"/>
      </w:pPr>
    </w:p>
    <w:p w14:paraId="2C2F265E">
      <w:pPr>
        <w:ind w:firstLine="480"/>
      </w:pPr>
    </w:p>
    <w:p w14:paraId="6714D013">
      <w:pPr>
        <w:ind w:firstLine="480"/>
      </w:pPr>
    </w:p>
    <w:p w14:paraId="5541E09D">
      <w:pPr>
        <w:ind w:firstLine="480"/>
      </w:pPr>
    </w:p>
    <w:p w14:paraId="0C93D8CC">
      <w:pPr>
        <w:ind w:firstLine="480"/>
      </w:pPr>
    </w:p>
    <w:p w14:paraId="13F76A66">
      <w:pPr>
        <w:ind w:firstLine="480"/>
      </w:pPr>
    </w:p>
    <w:p w14:paraId="02BC005A">
      <w:pPr>
        <w:pStyle w:val="64"/>
      </w:pP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p>
    <w:p w14:paraId="2572AEC7">
      <w:pPr>
        <w:pStyle w:val="64"/>
      </w:pPr>
      <w:r>
        <w:fldChar w:fldCharType="begin"/>
      </w:r>
      <w:r>
        <w:instrText xml:space="preserve"> REF 方案名称  \* MERGEFORMAT </w:instrText>
      </w:r>
      <w:r>
        <w:fldChar w:fldCharType="separate"/>
      </w:r>
      <w:r>
        <w:rPr>
          <w:rFonts w:hint="eastAsia"/>
          <w:lang w:eastAsia="zh-CN"/>
        </w:rPr>
        <w:t>马鹿塘大桥</w:t>
      </w:r>
      <w:r>
        <w:rPr>
          <w:rFonts w:hint="eastAsia"/>
        </w:rPr>
        <w:t>塔式起重机安装（拆除）方案</w:t>
      </w:r>
      <w:r>
        <w:fldChar w:fldCharType="end"/>
      </w:r>
    </w:p>
    <w:p w14:paraId="3CBD6B19">
      <w:pPr>
        <w:ind w:firstLine="480"/>
      </w:pPr>
    </w:p>
    <w:p w14:paraId="46DE5D00">
      <w:pPr>
        <w:ind w:firstLine="480"/>
      </w:pPr>
    </w:p>
    <w:p w14:paraId="77483C8B">
      <w:pPr>
        <w:ind w:firstLine="480"/>
      </w:pPr>
    </w:p>
    <w:p w14:paraId="6C8163CA">
      <w:pPr>
        <w:ind w:firstLine="480"/>
      </w:pPr>
    </w:p>
    <w:p w14:paraId="2F1B631E">
      <w:pPr>
        <w:ind w:firstLine="480"/>
      </w:pPr>
    </w:p>
    <w:p w14:paraId="587D61D2">
      <w:pPr>
        <w:ind w:firstLine="480"/>
      </w:pPr>
    </w:p>
    <w:p w14:paraId="5D7F2D6A">
      <w:pPr>
        <w:ind w:firstLine="480"/>
      </w:pPr>
    </w:p>
    <w:p w14:paraId="2317A554">
      <w:pPr>
        <w:ind w:firstLine="480"/>
      </w:pPr>
    </w:p>
    <w:p w14:paraId="315C0881">
      <w:pPr>
        <w:ind w:firstLine="480"/>
      </w:pPr>
    </w:p>
    <w:p w14:paraId="051C33CA">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p>
    <w:p w14:paraId="2B9CC48B">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rPr>
        <w:t xml:space="preserve">（安拆单位技术部门负责人） </w:t>
      </w:r>
      <w:r>
        <w:rPr>
          <w:bCs/>
          <w:color w:val="000000"/>
          <w:sz w:val="28"/>
          <w:szCs w:val="28"/>
          <w:u w:val="single"/>
        </w:rPr>
        <w:t xml:space="preserve"> </w:t>
      </w:r>
    </w:p>
    <w:p w14:paraId="796E819E">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rPr>
        <w:t>（安拆单位技术负责人）</w:t>
      </w:r>
      <w:r>
        <w:rPr>
          <w:bCs/>
          <w:color w:val="000000"/>
          <w:sz w:val="28"/>
          <w:szCs w:val="28"/>
          <w:u w:val="single"/>
        </w:rPr>
        <w:t xml:space="preserve">    </w:t>
      </w:r>
    </w:p>
    <w:p w14:paraId="6C233E6E">
      <w:pPr>
        <w:ind w:firstLine="480"/>
      </w:pPr>
    </w:p>
    <w:p w14:paraId="27C9832F">
      <w:pPr>
        <w:ind w:firstLine="480"/>
      </w:pPr>
    </w:p>
    <w:p w14:paraId="17515A4F">
      <w:pPr>
        <w:ind w:firstLine="480"/>
      </w:pPr>
    </w:p>
    <w:p w14:paraId="574F9E0D">
      <w:pPr>
        <w:pStyle w:val="79"/>
      </w:pPr>
      <w:r>
        <w:fldChar w:fldCharType="begin"/>
      </w:r>
      <w:r>
        <w:instrText xml:space="preserve"> </w:instrText>
      </w:r>
      <w:r>
        <w:rPr>
          <w:rFonts w:hint="eastAsia"/>
        </w:rPr>
        <w:instrText xml:space="preserve">REF 安拆单位 \h</w:instrText>
      </w:r>
      <w:r>
        <w:instrText xml:space="preserve">  \* MERGEFORMAT </w:instrText>
      </w:r>
      <w:r>
        <w:fldChar w:fldCharType="separate"/>
      </w:r>
      <w:r>
        <w:rPr>
          <w:rFonts w:hint="eastAsia"/>
        </w:rPr>
        <w:t>重庆钱桥建筑设备租赁有限公司</w:t>
      </w:r>
      <w:r>
        <w:fldChar w:fldCharType="end"/>
      </w:r>
    </w:p>
    <w:p w14:paraId="020A9AAB">
      <w:pPr>
        <w:pStyle w:val="79"/>
      </w:pPr>
      <w:r>
        <w:rPr>
          <w:rFonts w:hint="eastAsia"/>
        </w:rPr>
        <w:t>（盖章）</w:t>
      </w:r>
    </w:p>
    <w:p w14:paraId="73DE3258">
      <w:pPr>
        <w:ind w:firstLine="0" w:firstLineChars="0"/>
        <w:rPr>
          <w:b/>
          <w:sz w:val="28"/>
        </w:rPr>
      </w:pPr>
    </w:p>
    <w:p w14:paraId="03AA10AB">
      <w:pPr>
        <w:ind w:firstLine="0" w:firstLineChars="0"/>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293F0DE">
      <w:pPr>
        <w:pStyle w:val="28"/>
        <w:spacing w:line="480" w:lineRule="exact"/>
        <w:ind w:firstLine="643" w:firstLineChars="0"/>
        <w:jc w:val="center"/>
        <w:rPr>
          <w:rFonts w:ascii="Times New Roman" w:hAnsi="Times New Roman" w:eastAsia="宋体" w:cs="Times New Roman"/>
          <w:b/>
          <w:color w:val="000000"/>
          <w:kern w:val="2"/>
          <w:sz w:val="28"/>
          <w:szCs w:val="32"/>
          <w:lang w:val="en-US" w:eastAsia="zh-CN" w:bidi="ar-SA"/>
        </w:rPr>
      </w:pPr>
      <w:r>
        <w:rPr>
          <w:rFonts w:hint="eastAsia"/>
          <w:b/>
          <w:bCs/>
          <w:sz w:val="32"/>
          <w:szCs w:val="32"/>
        </w:rPr>
        <w:t>目    录</w:t>
      </w: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14:paraId="05486250">
      <w:pPr>
        <w:pStyle w:val="28"/>
        <w:tabs>
          <w:tab w:val="right" w:leader="dot" w:pos="9070"/>
          <w:tab w:val="clear" w:pos="9060"/>
        </w:tabs>
      </w:pPr>
      <w:r>
        <w:rPr>
          <w:color w:val="000000"/>
          <w:szCs w:val="32"/>
        </w:rPr>
        <w:fldChar w:fldCharType="begin"/>
      </w:r>
      <w:r>
        <w:rPr>
          <w:szCs w:val="32"/>
        </w:rPr>
        <w:instrText xml:space="preserve"> HYPERLINK \l _Toc6385 </w:instrText>
      </w:r>
      <w:r>
        <w:rPr>
          <w:szCs w:val="32"/>
        </w:rPr>
        <w:fldChar w:fldCharType="separate"/>
      </w:r>
      <w:r>
        <w:rPr>
          <w:rFonts w:hint="default" w:ascii="Times New Roman" w:hAnsi="Times New Roman" w:eastAsia="宋体"/>
        </w:rPr>
        <w:t xml:space="preserve">1 </w:t>
      </w:r>
      <w:r>
        <w:rPr>
          <w:rFonts w:hint="eastAsia"/>
        </w:rPr>
        <w:t>编制说明、依据及适用范围</w:t>
      </w:r>
      <w:r>
        <w:tab/>
      </w:r>
      <w:r>
        <w:fldChar w:fldCharType="begin"/>
      </w:r>
      <w:r>
        <w:instrText xml:space="preserve"> PAGEREF _Toc6385 \h </w:instrText>
      </w:r>
      <w:r>
        <w:fldChar w:fldCharType="separate"/>
      </w:r>
      <w:r>
        <w:t>1</w:t>
      </w:r>
      <w:r>
        <w:fldChar w:fldCharType="end"/>
      </w:r>
      <w:r>
        <w:rPr>
          <w:color w:val="000000"/>
          <w:szCs w:val="32"/>
        </w:rPr>
        <w:fldChar w:fldCharType="end"/>
      </w:r>
    </w:p>
    <w:p w14:paraId="6E62F9BD">
      <w:pPr>
        <w:pStyle w:val="33"/>
        <w:tabs>
          <w:tab w:val="right" w:leader="dot" w:pos="9070"/>
          <w:tab w:val="clear" w:pos="9060"/>
        </w:tabs>
      </w:pPr>
      <w:r>
        <w:rPr>
          <w:color w:val="000000"/>
          <w:szCs w:val="32"/>
        </w:rPr>
        <w:fldChar w:fldCharType="begin"/>
      </w:r>
      <w:r>
        <w:rPr>
          <w:szCs w:val="32"/>
        </w:rPr>
        <w:instrText xml:space="preserve"> HYPERLINK \l _Toc8330 </w:instrText>
      </w:r>
      <w:r>
        <w:rPr>
          <w:szCs w:val="32"/>
        </w:rPr>
        <w:fldChar w:fldCharType="separate"/>
      </w:r>
      <w:r>
        <w:rPr>
          <w:rFonts w:hint="default" w:ascii="Times New Roman" w:hAnsi="Times New Roman" w:eastAsia="宋体"/>
        </w:rPr>
        <w:t xml:space="preserve">1.1 </w:t>
      </w:r>
      <w:r>
        <w:rPr>
          <w:rFonts w:hint="eastAsia"/>
        </w:rPr>
        <w:t>编制说明</w:t>
      </w:r>
      <w:r>
        <w:tab/>
      </w:r>
      <w:r>
        <w:fldChar w:fldCharType="begin"/>
      </w:r>
      <w:r>
        <w:instrText xml:space="preserve"> PAGEREF _Toc8330 \h </w:instrText>
      </w:r>
      <w:r>
        <w:fldChar w:fldCharType="separate"/>
      </w:r>
      <w:r>
        <w:t>1</w:t>
      </w:r>
      <w:r>
        <w:fldChar w:fldCharType="end"/>
      </w:r>
      <w:r>
        <w:rPr>
          <w:color w:val="000000"/>
          <w:szCs w:val="32"/>
        </w:rPr>
        <w:fldChar w:fldCharType="end"/>
      </w:r>
    </w:p>
    <w:p w14:paraId="1034497E">
      <w:pPr>
        <w:pStyle w:val="33"/>
        <w:tabs>
          <w:tab w:val="right" w:leader="dot" w:pos="9070"/>
          <w:tab w:val="clear" w:pos="9060"/>
        </w:tabs>
      </w:pPr>
      <w:r>
        <w:rPr>
          <w:color w:val="000000"/>
          <w:szCs w:val="32"/>
        </w:rPr>
        <w:fldChar w:fldCharType="begin"/>
      </w:r>
      <w:r>
        <w:rPr>
          <w:szCs w:val="32"/>
        </w:rPr>
        <w:instrText xml:space="preserve"> HYPERLINK \l _Toc31425 </w:instrText>
      </w:r>
      <w:r>
        <w:rPr>
          <w:szCs w:val="32"/>
        </w:rPr>
        <w:fldChar w:fldCharType="separate"/>
      </w:r>
      <w:r>
        <w:rPr>
          <w:rFonts w:hint="default" w:ascii="Times New Roman" w:hAnsi="Times New Roman" w:eastAsia="宋体"/>
        </w:rPr>
        <w:t xml:space="preserve">1.2 </w:t>
      </w:r>
      <w:r>
        <w:rPr>
          <w:rFonts w:hint="eastAsia"/>
        </w:rPr>
        <w:t>编制依据</w:t>
      </w:r>
      <w:r>
        <w:tab/>
      </w:r>
      <w:r>
        <w:fldChar w:fldCharType="begin"/>
      </w:r>
      <w:r>
        <w:instrText xml:space="preserve"> PAGEREF _Toc31425 \h </w:instrText>
      </w:r>
      <w:r>
        <w:fldChar w:fldCharType="separate"/>
      </w:r>
      <w:r>
        <w:t>1</w:t>
      </w:r>
      <w:r>
        <w:fldChar w:fldCharType="end"/>
      </w:r>
      <w:r>
        <w:rPr>
          <w:color w:val="000000"/>
          <w:szCs w:val="32"/>
        </w:rPr>
        <w:fldChar w:fldCharType="end"/>
      </w:r>
    </w:p>
    <w:p w14:paraId="3FD09B4D">
      <w:pPr>
        <w:pStyle w:val="33"/>
        <w:tabs>
          <w:tab w:val="right" w:leader="dot" w:pos="9070"/>
          <w:tab w:val="clear" w:pos="9060"/>
        </w:tabs>
      </w:pPr>
      <w:r>
        <w:rPr>
          <w:color w:val="000000"/>
          <w:szCs w:val="32"/>
        </w:rPr>
        <w:fldChar w:fldCharType="begin"/>
      </w:r>
      <w:r>
        <w:rPr>
          <w:szCs w:val="32"/>
        </w:rPr>
        <w:instrText xml:space="preserve"> HYPERLINK \l _Toc17801 </w:instrText>
      </w:r>
      <w:r>
        <w:rPr>
          <w:szCs w:val="32"/>
        </w:rPr>
        <w:fldChar w:fldCharType="separate"/>
      </w:r>
      <w:r>
        <w:rPr>
          <w:rFonts w:hint="default" w:ascii="Times New Roman" w:hAnsi="Times New Roman" w:eastAsia="宋体"/>
        </w:rPr>
        <w:t xml:space="preserve">1.3 </w:t>
      </w:r>
      <w:r>
        <w:rPr>
          <w:rFonts w:hint="eastAsia"/>
        </w:rPr>
        <w:t>适用范围</w:t>
      </w:r>
      <w:r>
        <w:tab/>
      </w:r>
      <w:r>
        <w:fldChar w:fldCharType="begin"/>
      </w:r>
      <w:r>
        <w:instrText xml:space="preserve"> PAGEREF _Toc17801 \h </w:instrText>
      </w:r>
      <w:r>
        <w:fldChar w:fldCharType="separate"/>
      </w:r>
      <w:r>
        <w:t>2</w:t>
      </w:r>
      <w:r>
        <w:fldChar w:fldCharType="end"/>
      </w:r>
      <w:r>
        <w:rPr>
          <w:color w:val="000000"/>
          <w:szCs w:val="32"/>
        </w:rPr>
        <w:fldChar w:fldCharType="end"/>
      </w:r>
    </w:p>
    <w:p w14:paraId="3CC86A83">
      <w:pPr>
        <w:pStyle w:val="28"/>
        <w:tabs>
          <w:tab w:val="right" w:leader="dot" w:pos="9070"/>
          <w:tab w:val="clear" w:pos="9060"/>
        </w:tabs>
      </w:pPr>
      <w:r>
        <w:rPr>
          <w:color w:val="000000"/>
          <w:szCs w:val="32"/>
        </w:rPr>
        <w:fldChar w:fldCharType="begin"/>
      </w:r>
      <w:r>
        <w:rPr>
          <w:szCs w:val="32"/>
        </w:rPr>
        <w:instrText xml:space="preserve"> HYPERLINK \l _Toc5014 </w:instrText>
      </w:r>
      <w:r>
        <w:rPr>
          <w:szCs w:val="32"/>
        </w:rPr>
        <w:fldChar w:fldCharType="separate"/>
      </w:r>
      <w:r>
        <w:rPr>
          <w:rFonts w:hint="default" w:ascii="Times New Roman" w:hAnsi="Times New Roman" w:eastAsia="宋体"/>
        </w:rPr>
        <w:t xml:space="preserve">2 </w:t>
      </w:r>
      <w:r>
        <w:rPr>
          <w:rFonts w:hint="eastAsia"/>
        </w:rPr>
        <w:t>工程概况</w:t>
      </w:r>
      <w:r>
        <w:tab/>
      </w:r>
      <w:r>
        <w:fldChar w:fldCharType="begin"/>
      </w:r>
      <w:r>
        <w:instrText xml:space="preserve"> PAGEREF _Toc5014 \h </w:instrText>
      </w:r>
      <w:r>
        <w:fldChar w:fldCharType="separate"/>
      </w:r>
      <w:r>
        <w:t>3</w:t>
      </w:r>
      <w:r>
        <w:fldChar w:fldCharType="end"/>
      </w:r>
      <w:r>
        <w:rPr>
          <w:color w:val="000000"/>
          <w:szCs w:val="32"/>
        </w:rPr>
        <w:fldChar w:fldCharType="end"/>
      </w:r>
    </w:p>
    <w:p w14:paraId="78B22983">
      <w:pPr>
        <w:pStyle w:val="33"/>
        <w:tabs>
          <w:tab w:val="right" w:leader="dot" w:pos="9070"/>
          <w:tab w:val="clear" w:pos="9060"/>
        </w:tabs>
      </w:pPr>
      <w:r>
        <w:rPr>
          <w:color w:val="000000"/>
          <w:szCs w:val="32"/>
        </w:rPr>
        <w:fldChar w:fldCharType="begin"/>
      </w:r>
      <w:r>
        <w:rPr>
          <w:szCs w:val="32"/>
        </w:rPr>
        <w:instrText xml:space="preserve"> HYPERLINK \l _Toc11829 </w:instrText>
      </w:r>
      <w:r>
        <w:rPr>
          <w:szCs w:val="32"/>
        </w:rPr>
        <w:fldChar w:fldCharType="separate"/>
      </w:r>
      <w:r>
        <w:rPr>
          <w:rFonts w:hint="default" w:ascii="Times New Roman" w:hAnsi="Times New Roman" w:eastAsia="宋体"/>
        </w:rPr>
        <w:t xml:space="preserve">2.1 </w:t>
      </w:r>
      <w:r>
        <w:rPr>
          <w:rFonts w:hint="eastAsia"/>
        </w:rPr>
        <w:t>工程概况</w:t>
      </w:r>
      <w:r>
        <w:tab/>
      </w:r>
      <w:r>
        <w:fldChar w:fldCharType="begin"/>
      </w:r>
      <w:r>
        <w:instrText xml:space="preserve"> PAGEREF _Toc11829 \h </w:instrText>
      </w:r>
      <w:r>
        <w:fldChar w:fldCharType="separate"/>
      </w:r>
      <w:r>
        <w:t>3</w:t>
      </w:r>
      <w:r>
        <w:fldChar w:fldCharType="end"/>
      </w:r>
      <w:r>
        <w:rPr>
          <w:color w:val="000000"/>
          <w:szCs w:val="32"/>
        </w:rPr>
        <w:fldChar w:fldCharType="end"/>
      </w:r>
    </w:p>
    <w:p w14:paraId="2D4838A1">
      <w:pPr>
        <w:pStyle w:val="33"/>
        <w:tabs>
          <w:tab w:val="right" w:leader="dot" w:pos="9070"/>
          <w:tab w:val="clear" w:pos="9060"/>
        </w:tabs>
      </w:pPr>
      <w:r>
        <w:rPr>
          <w:color w:val="000000"/>
          <w:szCs w:val="32"/>
        </w:rPr>
        <w:fldChar w:fldCharType="begin"/>
      </w:r>
      <w:r>
        <w:rPr>
          <w:szCs w:val="32"/>
        </w:rPr>
        <w:instrText xml:space="preserve"> HYPERLINK \l _Toc24628 </w:instrText>
      </w:r>
      <w:r>
        <w:rPr>
          <w:szCs w:val="32"/>
        </w:rPr>
        <w:fldChar w:fldCharType="separate"/>
      </w:r>
      <w:r>
        <w:rPr>
          <w:rFonts w:hint="default" w:ascii="Times New Roman" w:hAnsi="Times New Roman" w:eastAsia="宋体"/>
        </w:rPr>
        <w:t xml:space="preserve">2.2 </w:t>
      </w:r>
      <w:r>
        <w:rPr>
          <w:rFonts w:hint="eastAsia"/>
        </w:rPr>
        <w:t>设备布置情况</w:t>
      </w:r>
      <w:r>
        <w:tab/>
      </w:r>
      <w:r>
        <w:fldChar w:fldCharType="begin"/>
      </w:r>
      <w:r>
        <w:instrText xml:space="preserve"> PAGEREF _Toc24628 \h </w:instrText>
      </w:r>
      <w:r>
        <w:fldChar w:fldCharType="separate"/>
      </w:r>
      <w:r>
        <w:t>8</w:t>
      </w:r>
      <w:r>
        <w:fldChar w:fldCharType="end"/>
      </w:r>
      <w:r>
        <w:rPr>
          <w:color w:val="000000"/>
          <w:szCs w:val="32"/>
        </w:rPr>
        <w:fldChar w:fldCharType="end"/>
      </w:r>
    </w:p>
    <w:p w14:paraId="4861975D">
      <w:pPr>
        <w:pStyle w:val="33"/>
        <w:tabs>
          <w:tab w:val="right" w:leader="dot" w:pos="9070"/>
          <w:tab w:val="clear" w:pos="9060"/>
        </w:tabs>
      </w:pPr>
      <w:r>
        <w:rPr>
          <w:color w:val="000000"/>
          <w:szCs w:val="32"/>
        </w:rPr>
        <w:fldChar w:fldCharType="begin"/>
      </w:r>
      <w:r>
        <w:rPr>
          <w:szCs w:val="32"/>
        </w:rPr>
        <w:instrText xml:space="preserve"> HYPERLINK \l _Toc21519 </w:instrText>
      </w:r>
      <w:r>
        <w:rPr>
          <w:szCs w:val="32"/>
        </w:rPr>
        <w:fldChar w:fldCharType="separate"/>
      </w:r>
      <w:r>
        <w:rPr>
          <w:rFonts w:hint="default" w:ascii="Times New Roman" w:hAnsi="Times New Roman" w:eastAsia="宋体"/>
        </w:rPr>
        <w:t xml:space="preserve">2.3 </w:t>
      </w:r>
      <w:r>
        <w:rPr>
          <w:rFonts w:hint="eastAsia"/>
        </w:rPr>
        <w:t>工程特点</w:t>
      </w:r>
      <w:r>
        <w:tab/>
      </w:r>
      <w:r>
        <w:fldChar w:fldCharType="begin"/>
      </w:r>
      <w:r>
        <w:instrText xml:space="preserve"> PAGEREF _Toc21519 \h </w:instrText>
      </w:r>
      <w:r>
        <w:fldChar w:fldCharType="separate"/>
      </w:r>
      <w:r>
        <w:t>10</w:t>
      </w:r>
      <w:r>
        <w:fldChar w:fldCharType="end"/>
      </w:r>
      <w:r>
        <w:rPr>
          <w:color w:val="000000"/>
          <w:szCs w:val="32"/>
        </w:rPr>
        <w:fldChar w:fldCharType="end"/>
      </w:r>
    </w:p>
    <w:p w14:paraId="0FE973F5">
      <w:pPr>
        <w:pStyle w:val="33"/>
        <w:tabs>
          <w:tab w:val="right" w:leader="dot" w:pos="9070"/>
          <w:tab w:val="clear" w:pos="9060"/>
        </w:tabs>
      </w:pPr>
      <w:r>
        <w:rPr>
          <w:color w:val="000000"/>
          <w:szCs w:val="32"/>
        </w:rPr>
        <w:fldChar w:fldCharType="begin"/>
      </w:r>
      <w:r>
        <w:rPr>
          <w:szCs w:val="32"/>
        </w:rPr>
        <w:instrText xml:space="preserve"> HYPERLINK \l _Toc27813 </w:instrText>
      </w:r>
      <w:r>
        <w:rPr>
          <w:szCs w:val="32"/>
        </w:rPr>
        <w:fldChar w:fldCharType="separate"/>
      </w:r>
      <w:r>
        <w:rPr>
          <w:rFonts w:hint="default" w:ascii="Times New Roman" w:hAnsi="Times New Roman" w:eastAsia="宋体"/>
        </w:rPr>
        <w:t xml:space="preserve">2.4 </w:t>
      </w:r>
      <w:r>
        <w:rPr>
          <w:rFonts w:hint="eastAsia"/>
        </w:rPr>
        <w:t>施工平面布置</w:t>
      </w:r>
      <w:r>
        <w:tab/>
      </w:r>
      <w:r>
        <w:fldChar w:fldCharType="begin"/>
      </w:r>
      <w:r>
        <w:instrText xml:space="preserve"> PAGEREF _Toc27813 \h </w:instrText>
      </w:r>
      <w:r>
        <w:fldChar w:fldCharType="separate"/>
      </w:r>
      <w:r>
        <w:t>10</w:t>
      </w:r>
      <w:r>
        <w:fldChar w:fldCharType="end"/>
      </w:r>
      <w:r>
        <w:rPr>
          <w:color w:val="000000"/>
          <w:szCs w:val="32"/>
        </w:rPr>
        <w:fldChar w:fldCharType="end"/>
      </w:r>
    </w:p>
    <w:p w14:paraId="79067F9B">
      <w:pPr>
        <w:pStyle w:val="33"/>
        <w:tabs>
          <w:tab w:val="right" w:leader="dot" w:pos="9070"/>
          <w:tab w:val="clear" w:pos="9060"/>
        </w:tabs>
      </w:pPr>
      <w:r>
        <w:rPr>
          <w:color w:val="000000"/>
          <w:szCs w:val="32"/>
        </w:rPr>
        <w:fldChar w:fldCharType="begin"/>
      </w:r>
      <w:r>
        <w:rPr>
          <w:szCs w:val="32"/>
        </w:rPr>
        <w:instrText xml:space="preserve"> HYPERLINK \l _Toc20832 </w:instrText>
      </w:r>
      <w:r>
        <w:rPr>
          <w:szCs w:val="32"/>
        </w:rPr>
        <w:fldChar w:fldCharType="separate"/>
      </w:r>
      <w:r>
        <w:rPr>
          <w:rFonts w:hint="default" w:ascii="Times New Roman" w:hAnsi="Times New Roman" w:eastAsia="宋体"/>
        </w:rPr>
        <w:t xml:space="preserve">2.5 </w:t>
      </w:r>
      <w:r>
        <w:rPr>
          <w:rFonts w:hint="eastAsia"/>
        </w:rPr>
        <w:t>施工要求</w:t>
      </w:r>
      <w:r>
        <w:tab/>
      </w:r>
      <w:r>
        <w:fldChar w:fldCharType="begin"/>
      </w:r>
      <w:r>
        <w:instrText xml:space="preserve"> PAGEREF _Toc20832 \h </w:instrText>
      </w:r>
      <w:r>
        <w:fldChar w:fldCharType="separate"/>
      </w:r>
      <w:r>
        <w:t>10</w:t>
      </w:r>
      <w:r>
        <w:fldChar w:fldCharType="end"/>
      </w:r>
      <w:r>
        <w:rPr>
          <w:color w:val="000000"/>
          <w:szCs w:val="32"/>
        </w:rPr>
        <w:fldChar w:fldCharType="end"/>
      </w:r>
    </w:p>
    <w:p w14:paraId="3BE7548D">
      <w:pPr>
        <w:pStyle w:val="33"/>
        <w:tabs>
          <w:tab w:val="right" w:leader="dot" w:pos="9070"/>
          <w:tab w:val="clear" w:pos="9060"/>
        </w:tabs>
      </w:pPr>
      <w:r>
        <w:rPr>
          <w:color w:val="000000"/>
          <w:szCs w:val="32"/>
        </w:rPr>
        <w:fldChar w:fldCharType="begin"/>
      </w:r>
      <w:r>
        <w:rPr>
          <w:szCs w:val="32"/>
        </w:rPr>
        <w:instrText xml:space="preserve"> HYPERLINK \l _Toc14055 </w:instrText>
      </w:r>
      <w:r>
        <w:rPr>
          <w:szCs w:val="32"/>
        </w:rPr>
        <w:fldChar w:fldCharType="separate"/>
      </w:r>
      <w:r>
        <w:rPr>
          <w:rFonts w:hint="default" w:ascii="Times New Roman" w:hAnsi="Times New Roman" w:eastAsia="宋体"/>
        </w:rPr>
        <w:t xml:space="preserve">2.6 </w:t>
      </w:r>
      <w:r>
        <w:rPr>
          <w:rFonts w:hint="eastAsia"/>
        </w:rPr>
        <w:t>技术保证条件</w:t>
      </w:r>
      <w:r>
        <w:tab/>
      </w:r>
      <w:r>
        <w:fldChar w:fldCharType="begin"/>
      </w:r>
      <w:r>
        <w:instrText xml:space="preserve"> PAGEREF _Toc14055 \h </w:instrText>
      </w:r>
      <w:r>
        <w:fldChar w:fldCharType="separate"/>
      </w:r>
      <w:r>
        <w:t>11</w:t>
      </w:r>
      <w:r>
        <w:fldChar w:fldCharType="end"/>
      </w:r>
      <w:r>
        <w:rPr>
          <w:color w:val="000000"/>
          <w:szCs w:val="32"/>
        </w:rPr>
        <w:fldChar w:fldCharType="end"/>
      </w:r>
    </w:p>
    <w:p w14:paraId="109DBBA1">
      <w:pPr>
        <w:pStyle w:val="28"/>
        <w:tabs>
          <w:tab w:val="right" w:leader="dot" w:pos="9070"/>
          <w:tab w:val="clear" w:pos="9060"/>
        </w:tabs>
      </w:pPr>
      <w:r>
        <w:rPr>
          <w:color w:val="000000"/>
          <w:szCs w:val="32"/>
        </w:rPr>
        <w:fldChar w:fldCharType="begin"/>
      </w:r>
      <w:r>
        <w:rPr>
          <w:szCs w:val="32"/>
        </w:rPr>
        <w:instrText xml:space="preserve"> HYPERLINK \l _Toc11681 </w:instrText>
      </w:r>
      <w:r>
        <w:rPr>
          <w:szCs w:val="32"/>
        </w:rPr>
        <w:fldChar w:fldCharType="separate"/>
      </w:r>
      <w:r>
        <w:rPr>
          <w:rFonts w:hint="default" w:ascii="Times New Roman" w:hAnsi="Times New Roman" w:eastAsia="宋体"/>
        </w:rPr>
        <w:t xml:space="preserve">3 </w:t>
      </w:r>
      <w:r>
        <w:rPr>
          <w:rFonts w:hint="eastAsia"/>
        </w:rPr>
        <w:t>施工计划</w:t>
      </w:r>
      <w:r>
        <w:tab/>
      </w:r>
      <w:r>
        <w:fldChar w:fldCharType="begin"/>
      </w:r>
      <w:r>
        <w:instrText xml:space="preserve"> PAGEREF _Toc11681 \h </w:instrText>
      </w:r>
      <w:r>
        <w:fldChar w:fldCharType="separate"/>
      </w:r>
      <w:r>
        <w:t>13</w:t>
      </w:r>
      <w:r>
        <w:fldChar w:fldCharType="end"/>
      </w:r>
      <w:r>
        <w:rPr>
          <w:color w:val="000000"/>
          <w:szCs w:val="32"/>
        </w:rPr>
        <w:fldChar w:fldCharType="end"/>
      </w:r>
    </w:p>
    <w:p w14:paraId="358F0FB2">
      <w:pPr>
        <w:pStyle w:val="33"/>
        <w:tabs>
          <w:tab w:val="right" w:leader="dot" w:pos="9070"/>
          <w:tab w:val="clear" w:pos="9060"/>
        </w:tabs>
      </w:pPr>
      <w:r>
        <w:rPr>
          <w:color w:val="000000"/>
          <w:szCs w:val="32"/>
        </w:rPr>
        <w:fldChar w:fldCharType="begin"/>
      </w:r>
      <w:r>
        <w:rPr>
          <w:szCs w:val="32"/>
        </w:rPr>
        <w:instrText xml:space="preserve"> HYPERLINK \l _Toc27703 </w:instrText>
      </w:r>
      <w:r>
        <w:rPr>
          <w:szCs w:val="32"/>
        </w:rPr>
        <w:fldChar w:fldCharType="separate"/>
      </w:r>
      <w:r>
        <w:rPr>
          <w:rFonts w:hint="default" w:ascii="Times New Roman" w:hAnsi="Times New Roman" w:eastAsia="宋体"/>
        </w:rPr>
        <w:t xml:space="preserve">3.1 </w:t>
      </w:r>
      <w:r>
        <w:rPr>
          <w:rFonts w:hint="eastAsia"/>
        </w:rPr>
        <w:t>施工进度计划</w:t>
      </w:r>
      <w:r>
        <w:tab/>
      </w:r>
      <w:r>
        <w:fldChar w:fldCharType="begin"/>
      </w:r>
      <w:r>
        <w:instrText xml:space="preserve"> PAGEREF _Toc27703 \h </w:instrText>
      </w:r>
      <w:r>
        <w:fldChar w:fldCharType="separate"/>
      </w:r>
      <w:r>
        <w:t>13</w:t>
      </w:r>
      <w:r>
        <w:fldChar w:fldCharType="end"/>
      </w:r>
      <w:r>
        <w:rPr>
          <w:color w:val="000000"/>
          <w:szCs w:val="32"/>
        </w:rPr>
        <w:fldChar w:fldCharType="end"/>
      </w:r>
    </w:p>
    <w:p w14:paraId="345C0761">
      <w:pPr>
        <w:pStyle w:val="33"/>
        <w:tabs>
          <w:tab w:val="right" w:leader="dot" w:pos="9070"/>
          <w:tab w:val="clear" w:pos="9060"/>
        </w:tabs>
      </w:pPr>
      <w:r>
        <w:rPr>
          <w:color w:val="000000"/>
          <w:szCs w:val="32"/>
        </w:rPr>
        <w:fldChar w:fldCharType="begin"/>
      </w:r>
      <w:r>
        <w:rPr>
          <w:szCs w:val="32"/>
        </w:rPr>
        <w:instrText xml:space="preserve"> HYPERLINK \l _Toc15893 </w:instrText>
      </w:r>
      <w:r>
        <w:rPr>
          <w:szCs w:val="32"/>
        </w:rPr>
        <w:fldChar w:fldCharType="separate"/>
      </w:r>
      <w:r>
        <w:rPr>
          <w:rFonts w:hint="default" w:ascii="Times New Roman" w:hAnsi="Times New Roman" w:eastAsia="宋体"/>
        </w:rPr>
        <w:t xml:space="preserve">3.2 </w:t>
      </w:r>
      <w:r>
        <w:rPr>
          <w:rFonts w:hint="eastAsia"/>
        </w:rPr>
        <w:t>材料计划</w:t>
      </w:r>
      <w:r>
        <w:tab/>
      </w:r>
      <w:r>
        <w:fldChar w:fldCharType="begin"/>
      </w:r>
      <w:r>
        <w:instrText xml:space="preserve"> PAGEREF _Toc15893 \h </w:instrText>
      </w:r>
      <w:r>
        <w:fldChar w:fldCharType="separate"/>
      </w:r>
      <w:r>
        <w:t>13</w:t>
      </w:r>
      <w:r>
        <w:fldChar w:fldCharType="end"/>
      </w:r>
      <w:r>
        <w:rPr>
          <w:color w:val="000000"/>
          <w:szCs w:val="32"/>
        </w:rPr>
        <w:fldChar w:fldCharType="end"/>
      </w:r>
    </w:p>
    <w:p w14:paraId="1FB2FD8F">
      <w:pPr>
        <w:pStyle w:val="33"/>
        <w:tabs>
          <w:tab w:val="right" w:leader="dot" w:pos="9070"/>
          <w:tab w:val="clear" w:pos="9060"/>
        </w:tabs>
      </w:pPr>
      <w:r>
        <w:rPr>
          <w:color w:val="000000"/>
          <w:szCs w:val="32"/>
        </w:rPr>
        <w:fldChar w:fldCharType="begin"/>
      </w:r>
      <w:r>
        <w:rPr>
          <w:szCs w:val="32"/>
        </w:rPr>
        <w:instrText xml:space="preserve"> HYPERLINK \l _Toc32197 </w:instrText>
      </w:r>
      <w:r>
        <w:rPr>
          <w:szCs w:val="32"/>
        </w:rPr>
        <w:fldChar w:fldCharType="separate"/>
      </w:r>
      <w:r>
        <w:rPr>
          <w:rFonts w:hint="default" w:ascii="Times New Roman" w:hAnsi="Times New Roman" w:eastAsia="宋体"/>
        </w:rPr>
        <w:t xml:space="preserve">3.3 </w:t>
      </w:r>
      <w:r>
        <w:rPr>
          <w:rFonts w:hint="eastAsia"/>
        </w:rPr>
        <w:t>设备及工具计划</w:t>
      </w:r>
      <w:r>
        <w:tab/>
      </w:r>
      <w:r>
        <w:fldChar w:fldCharType="begin"/>
      </w:r>
      <w:r>
        <w:instrText xml:space="preserve"> PAGEREF _Toc32197 \h </w:instrText>
      </w:r>
      <w:r>
        <w:fldChar w:fldCharType="separate"/>
      </w:r>
      <w:r>
        <w:t>15</w:t>
      </w:r>
      <w:r>
        <w:fldChar w:fldCharType="end"/>
      </w:r>
      <w:r>
        <w:rPr>
          <w:color w:val="000000"/>
          <w:szCs w:val="32"/>
        </w:rPr>
        <w:fldChar w:fldCharType="end"/>
      </w:r>
    </w:p>
    <w:p w14:paraId="18C37895">
      <w:pPr>
        <w:pStyle w:val="28"/>
        <w:tabs>
          <w:tab w:val="right" w:leader="dot" w:pos="9070"/>
          <w:tab w:val="clear" w:pos="9060"/>
        </w:tabs>
      </w:pPr>
      <w:r>
        <w:rPr>
          <w:color w:val="000000"/>
          <w:szCs w:val="32"/>
        </w:rPr>
        <w:fldChar w:fldCharType="begin"/>
      </w:r>
      <w:r>
        <w:rPr>
          <w:szCs w:val="32"/>
        </w:rPr>
        <w:instrText xml:space="preserve"> HYPERLINK \l _Toc17478 </w:instrText>
      </w:r>
      <w:r>
        <w:rPr>
          <w:szCs w:val="32"/>
        </w:rPr>
        <w:fldChar w:fldCharType="separate"/>
      </w:r>
      <w:r>
        <w:rPr>
          <w:rFonts w:hint="default" w:ascii="Times New Roman" w:hAnsi="Times New Roman" w:eastAsia="宋体"/>
        </w:rPr>
        <w:t xml:space="preserve">4 </w:t>
      </w:r>
      <w:r>
        <w:rPr>
          <w:rFonts w:hint="eastAsia"/>
        </w:rPr>
        <w:t>施工工艺</w:t>
      </w:r>
      <w:r>
        <w:tab/>
      </w:r>
      <w:r>
        <w:fldChar w:fldCharType="begin"/>
      </w:r>
      <w:r>
        <w:instrText xml:space="preserve"> PAGEREF _Toc17478 \h </w:instrText>
      </w:r>
      <w:r>
        <w:fldChar w:fldCharType="separate"/>
      </w:r>
      <w:r>
        <w:t>16</w:t>
      </w:r>
      <w:r>
        <w:fldChar w:fldCharType="end"/>
      </w:r>
      <w:r>
        <w:rPr>
          <w:color w:val="000000"/>
          <w:szCs w:val="32"/>
        </w:rPr>
        <w:fldChar w:fldCharType="end"/>
      </w:r>
    </w:p>
    <w:p w14:paraId="37E5265D">
      <w:pPr>
        <w:pStyle w:val="33"/>
        <w:tabs>
          <w:tab w:val="right" w:leader="dot" w:pos="9070"/>
          <w:tab w:val="clear" w:pos="9060"/>
        </w:tabs>
      </w:pPr>
      <w:r>
        <w:rPr>
          <w:color w:val="000000"/>
          <w:szCs w:val="32"/>
        </w:rPr>
        <w:fldChar w:fldCharType="begin"/>
      </w:r>
      <w:r>
        <w:rPr>
          <w:szCs w:val="32"/>
        </w:rPr>
        <w:instrText xml:space="preserve"> HYPERLINK \l _Toc12228 </w:instrText>
      </w:r>
      <w:r>
        <w:rPr>
          <w:szCs w:val="32"/>
        </w:rPr>
        <w:fldChar w:fldCharType="separate"/>
      </w:r>
      <w:r>
        <w:rPr>
          <w:rFonts w:hint="default" w:ascii="Times New Roman" w:hAnsi="Times New Roman" w:eastAsia="宋体"/>
        </w:rPr>
        <w:t xml:space="preserve">4.1 </w:t>
      </w:r>
      <w:r>
        <w:rPr>
          <w:rFonts w:hint="eastAsia"/>
        </w:rPr>
        <w:t>施工方案概述</w:t>
      </w:r>
      <w:r>
        <w:tab/>
      </w:r>
      <w:r>
        <w:fldChar w:fldCharType="begin"/>
      </w:r>
      <w:r>
        <w:instrText xml:space="preserve"> PAGEREF _Toc12228 \h </w:instrText>
      </w:r>
      <w:r>
        <w:fldChar w:fldCharType="separate"/>
      </w:r>
      <w:r>
        <w:t>16</w:t>
      </w:r>
      <w:r>
        <w:fldChar w:fldCharType="end"/>
      </w:r>
      <w:r>
        <w:rPr>
          <w:color w:val="000000"/>
          <w:szCs w:val="32"/>
        </w:rPr>
        <w:fldChar w:fldCharType="end"/>
      </w:r>
    </w:p>
    <w:p w14:paraId="7D303711">
      <w:pPr>
        <w:pStyle w:val="33"/>
        <w:tabs>
          <w:tab w:val="right" w:leader="dot" w:pos="9070"/>
          <w:tab w:val="clear" w:pos="9060"/>
        </w:tabs>
      </w:pPr>
      <w:r>
        <w:rPr>
          <w:color w:val="000000"/>
          <w:szCs w:val="32"/>
        </w:rPr>
        <w:fldChar w:fldCharType="begin"/>
      </w:r>
      <w:r>
        <w:rPr>
          <w:szCs w:val="32"/>
        </w:rPr>
        <w:instrText xml:space="preserve"> HYPERLINK \l _Toc315 </w:instrText>
      </w:r>
      <w:r>
        <w:rPr>
          <w:szCs w:val="32"/>
        </w:rPr>
        <w:fldChar w:fldCharType="separate"/>
      </w:r>
      <w:r>
        <w:rPr>
          <w:rFonts w:hint="default" w:ascii="Times New Roman" w:hAnsi="Times New Roman" w:eastAsia="宋体"/>
        </w:rPr>
        <w:t xml:space="preserve">4.2 </w:t>
      </w:r>
      <w:r>
        <w:rPr>
          <w:rFonts w:hint="eastAsia"/>
        </w:rPr>
        <w:t>主要设备选型</w:t>
      </w:r>
      <w:r>
        <w:tab/>
      </w:r>
      <w:r>
        <w:fldChar w:fldCharType="begin"/>
      </w:r>
      <w:r>
        <w:instrText xml:space="preserve"> PAGEREF _Toc315 \h </w:instrText>
      </w:r>
      <w:r>
        <w:fldChar w:fldCharType="separate"/>
      </w:r>
      <w:r>
        <w:t>16</w:t>
      </w:r>
      <w:r>
        <w:fldChar w:fldCharType="end"/>
      </w:r>
      <w:r>
        <w:rPr>
          <w:color w:val="000000"/>
          <w:szCs w:val="32"/>
        </w:rPr>
        <w:fldChar w:fldCharType="end"/>
      </w:r>
    </w:p>
    <w:p w14:paraId="737D5B73">
      <w:pPr>
        <w:pStyle w:val="33"/>
        <w:tabs>
          <w:tab w:val="right" w:leader="dot" w:pos="9070"/>
          <w:tab w:val="clear" w:pos="9060"/>
        </w:tabs>
      </w:pPr>
      <w:r>
        <w:rPr>
          <w:color w:val="000000"/>
          <w:szCs w:val="32"/>
        </w:rPr>
        <w:fldChar w:fldCharType="begin"/>
      </w:r>
      <w:r>
        <w:rPr>
          <w:szCs w:val="32"/>
        </w:rPr>
        <w:instrText xml:space="preserve"> HYPERLINK \l _Toc7730 </w:instrText>
      </w:r>
      <w:r>
        <w:rPr>
          <w:szCs w:val="32"/>
        </w:rPr>
        <w:fldChar w:fldCharType="separate"/>
      </w:r>
      <w:r>
        <w:rPr>
          <w:rFonts w:hint="default" w:ascii="Times New Roman" w:hAnsi="Times New Roman" w:eastAsia="宋体"/>
        </w:rPr>
        <w:t xml:space="preserve">4.3 </w:t>
      </w:r>
      <w:r>
        <w:rPr>
          <w:rFonts w:hint="eastAsia"/>
        </w:rPr>
        <w:t>施工准备</w:t>
      </w:r>
      <w:r>
        <w:tab/>
      </w:r>
      <w:r>
        <w:fldChar w:fldCharType="begin"/>
      </w:r>
      <w:r>
        <w:instrText xml:space="preserve"> PAGEREF _Toc7730 \h </w:instrText>
      </w:r>
      <w:r>
        <w:fldChar w:fldCharType="separate"/>
      </w:r>
      <w:r>
        <w:t>20</w:t>
      </w:r>
      <w:r>
        <w:fldChar w:fldCharType="end"/>
      </w:r>
      <w:r>
        <w:rPr>
          <w:color w:val="000000"/>
          <w:szCs w:val="32"/>
        </w:rPr>
        <w:fldChar w:fldCharType="end"/>
      </w:r>
    </w:p>
    <w:p w14:paraId="6A50778E">
      <w:pPr>
        <w:pStyle w:val="33"/>
        <w:tabs>
          <w:tab w:val="right" w:leader="dot" w:pos="9070"/>
          <w:tab w:val="clear" w:pos="9060"/>
        </w:tabs>
      </w:pPr>
      <w:r>
        <w:rPr>
          <w:color w:val="000000"/>
          <w:szCs w:val="32"/>
        </w:rPr>
        <w:fldChar w:fldCharType="begin"/>
      </w:r>
      <w:r>
        <w:rPr>
          <w:szCs w:val="32"/>
        </w:rPr>
        <w:instrText xml:space="preserve"> HYPERLINK \l _Toc27561 </w:instrText>
      </w:r>
      <w:r>
        <w:rPr>
          <w:szCs w:val="32"/>
        </w:rPr>
        <w:fldChar w:fldCharType="separate"/>
      </w:r>
      <w:r>
        <w:rPr>
          <w:rFonts w:hint="default" w:ascii="Times New Roman" w:hAnsi="Times New Roman" w:eastAsia="宋体"/>
        </w:rPr>
        <w:t xml:space="preserve">4.4 </w:t>
      </w:r>
      <w:r>
        <w:rPr>
          <w:rFonts w:hint="eastAsia"/>
        </w:rPr>
        <w:t>施工工艺流程图</w:t>
      </w:r>
      <w:r>
        <w:tab/>
      </w:r>
      <w:r>
        <w:fldChar w:fldCharType="begin"/>
      </w:r>
      <w:r>
        <w:instrText xml:space="preserve"> PAGEREF _Toc27561 \h </w:instrText>
      </w:r>
      <w:r>
        <w:fldChar w:fldCharType="separate"/>
      </w:r>
      <w:r>
        <w:t>22</w:t>
      </w:r>
      <w:r>
        <w:fldChar w:fldCharType="end"/>
      </w:r>
      <w:r>
        <w:rPr>
          <w:color w:val="000000"/>
          <w:szCs w:val="32"/>
        </w:rPr>
        <w:fldChar w:fldCharType="end"/>
      </w:r>
    </w:p>
    <w:p w14:paraId="4E11E56A">
      <w:pPr>
        <w:pStyle w:val="33"/>
        <w:tabs>
          <w:tab w:val="right" w:leader="dot" w:pos="9070"/>
          <w:tab w:val="clear" w:pos="9060"/>
        </w:tabs>
      </w:pPr>
      <w:r>
        <w:rPr>
          <w:color w:val="000000"/>
          <w:szCs w:val="32"/>
        </w:rPr>
        <w:fldChar w:fldCharType="begin"/>
      </w:r>
      <w:r>
        <w:rPr>
          <w:szCs w:val="32"/>
        </w:rPr>
        <w:instrText xml:space="preserve"> HYPERLINK \l _Toc19675 </w:instrText>
      </w:r>
      <w:r>
        <w:rPr>
          <w:szCs w:val="32"/>
        </w:rPr>
        <w:fldChar w:fldCharType="separate"/>
      </w:r>
      <w:r>
        <w:rPr>
          <w:rFonts w:hint="default" w:ascii="Times New Roman" w:hAnsi="Times New Roman" w:eastAsia="宋体"/>
        </w:rPr>
        <w:t xml:space="preserve">4.5 </w:t>
      </w:r>
      <w:r>
        <w:rPr>
          <w:rFonts w:hint="eastAsia"/>
        </w:rPr>
        <w:t>施工方法</w:t>
      </w:r>
      <w:r>
        <w:tab/>
      </w:r>
      <w:r>
        <w:fldChar w:fldCharType="begin"/>
      </w:r>
      <w:r>
        <w:instrText xml:space="preserve"> PAGEREF _Toc19675 \h </w:instrText>
      </w:r>
      <w:r>
        <w:fldChar w:fldCharType="separate"/>
      </w:r>
      <w:r>
        <w:t>23</w:t>
      </w:r>
      <w:r>
        <w:fldChar w:fldCharType="end"/>
      </w:r>
      <w:r>
        <w:rPr>
          <w:color w:val="000000"/>
          <w:szCs w:val="32"/>
        </w:rPr>
        <w:fldChar w:fldCharType="end"/>
      </w:r>
    </w:p>
    <w:p w14:paraId="22A77CE0">
      <w:pPr>
        <w:pStyle w:val="33"/>
        <w:tabs>
          <w:tab w:val="right" w:leader="dot" w:pos="9070"/>
          <w:tab w:val="clear" w:pos="9060"/>
        </w:tabs>
      </w:pPr>
      <w:r>
        <w:rPr>
          <w:color w:val="000000"/>
          <w:szCs w:val="32"/>
        </w:rPr>
        <w:fldChar w:fldCharType="begin"/>
      </w:r>
      <w:r>
        <w:rPr>
          <w:szCs w:val="32"/>
        </w:rPr>
        <w:instrText xml:space="preserve"> HYPERLINK \l _Toc26737 </w:instrText>
      </w:r>
      <w:r>
        <w:rPr>
          <w:szCs w:val="32"/>
        </w:rPr>
        <w:fldChar w:fldCharType="separate"/>
      </w:r>
      <w:r>
        <w:rPr>
          <w:rFonts w:hint="default" w:ascii="Times New Roman" w:hAnsi="Times New Roman" w:eastAsia="宋体"/>
          <w:lang w:val="en-US" w:eastAsia="zh-CN"/>
        </w:rPr>
        <w:t xml:space="preserve">4.5.2 </w:t>
      </w:r>
      <w:r>
        <w:rPr>
          <w:rFonts w:hint="eastAsia"/>
          <w:lang w:val="en-US" w:eastAsia="zh-CN"/>
        </w:rPr>
        <w:t>顶升加节</w:t>
      </w:r>
      <w:r>
        <w:tab/>
      </w:r>
      <w:r>
        <w:fldChar w:fldCharType="begin"/>
      </w:r>
      <w:r>
        <w:instrText xml:space="preserve"> PAGEREF _Toc26737 \h </w:instrText>
      </w:r>
      <w:r>
        <w:fldChar w:fldCharType="separate"/>
      </w:r>
      <w:r>
        <w:t>44</w:t>
      </w:r>
      <w:r>
        <w:fldChar w:fldCharType="end"/>
      </w:r>
      <w:r>
        <w:rPr>
          <w:color w:val="000000"/>
          <w:szCs w:val="32"/>
        </w:rPr>
        <w:fldChar w:fldCharType="end"/>
      </w:r>
    </w:p>
    <w:p w14:paraId="2ABDC73B">
      <w:pPr>
        <w:pStyle w:val="33"/>
        <w:tabs>
          <w:tab w:val="right" w:leader="dot" w:pos="9070"/>
          <w:tab w:val="clear" w:pos="9060"/>
        </w:tabs>
      </w:pPr>
      <w:r>
        <w:rPr>
          <w:color w:val="000000"/>
          <w:szCs w:val="32"/>
        </w:rPr>
        <w:fldChar w:fldCharType="begin"/>
      </w:r>
      <w:r>
        <w:rPr>
          <w:szCs w:val="32"/>
        </w:rPr>
        <w:instrText xml:space="preserve"> HYPERLINK \l _Toc17496 </w:instrText>
      </w:r>
      <w:r>
        <w:rPr>
          <w:szCs w:val="32"/>
        </w:rPr>
        <w:fldChar w:fldCharType="separate"/>
      </w:r>
      <w:r>
        <w:rPr>
          <w:rFonts w:hint="default" w:ascii="Times New Roman" w:hAnsi="Times New Roman" w:eastAsia="宋体"/>
        </w:rPr>
        <w:t xml:space="preserve">4.6 </w:t>
      </w:r>
      <w:r>
        <w:rPr>
          <w:rFonts w:hint="eastAsia"/>
        </w:rPr>
        <w:t>检查要求</w:t>
      </w:r>
      <w:r>
        <w:tab/>
      </w:r>
      <w:r>
        <w:fldChar w:fldCharType="begin"/>
      </w:r>
      <w:r>
        <w:instrText xml:space="preserve"> PAGEREF _Toc17496 \h </w:instrText>
      </w:r>
      <w:r>
        <w:fldChar w:fldCharType="separate"/>
      </w:r>
      <w:r>
        <w:t>76</w:t>
      </w:r>
      <w:r>
        <w:fldChar w:fldCharType="end"/>
      </w:r>
      <w:r>
        <w:rPr>
          <w:color w:val="000000"/>
          <w:szCs w:val="32"/>
        </w:rPr>
        <w:fldChar w:fldCharType="end"/>
      </w:r>
    </w:p>
    <w:p w14:paraId="111B7D0D">
      <w:pPr>
        <w:pStyle w:val="28"/>
        <w:tabs>
          <w:tab w:val="right" w:leader="dot" w:pos="9070"/>
          <w:tab w:val="clear" w:pos="9060"/>
        </w:tabs>
      </w:pPr>
      <w:r>
        <w:rPr>
          <w:color w:val="000000"/>
          <w:szCs w:val="32"/>
        </w:rPr>
        <w:fldChar w:fldCharType="begin"/>
      </w:r>
      <w:r>
        <w:rPr>
          <w:szCs w:val="32"/>
        </w:rPr>
        <w:instrText xml:space="preserve"> HYPERLINK \l _Toc8221 </w:instrText>
      </w:r>
      <w:r>
        <w:rPr>
          <w:szCs w:val="32"/>
        </w:rPr>
        <w:fldChar w:fldCharType="separate"/>
      </w:r>
      <w:r>
        <w:rPr>
          <w:rFonts w:hint="default" w:ascii="Times New Roman" w:hAnsi="Times New Roman" w:eastAsia="宋体"/>
        </w:rPr>
        <w:t xml:space="preserve">5 </w:t>
      </w:r>
      <w:r>
        <w:rPr>
          <w:rFonts w:hint="eastAsia"/>
        </w:rPr>
        <w:t>质量管理</w:t>
      </w:r>
      <w:r>
        <w:t>措施</w:t>
      </w:r>
      <w:r>
        <w:tab/>
      </w:r>
      <w:r>
        <w:fldChar w:fldCharType="begin"/>
      </w:r>
      <w:r>
        <w:instrText xml:space="preserve"> PAGEREF _Toc8221 \h </w:instrText>
      </w:r>
      <w:r>
        <w:fldChar w:fldCharType="separate"/>
      </w:r>
      <w:r>
        <w:t>78</w:t>
      </w:r>
      <w:r>
        <w:fldChar w:fldCharType="end"/>
      </w:r>
      <w:r>
        <w:rPr>
          <w:color w:val="000000"/>
          <w:szCs w:val="32"/>
        </w:rPr>
        <w:fldChar w:fldCharType="end"/>
      </w:r>
    </w:p>
    <w:p w14:paraId="3C9E432F">
      <w:pPr>
        <w:pStyle w:val="33"/>
        <w:tabs>
          <w:tab w:val="right" w:leader="dot" w:pos="9070"/>
          <w:tab w:val="clear" w:pos="9060"/>
        </w:tabs>
      </w:pPr>
      <w:r>
        <w:rPr>
          <w:color w:val="000000"/>
          <w:szCs w:val="32"/>
        </w:rPr>
        <w:fldChar w:fldCharType="begin"/>
      </w:r>
      <w:r>
        <w:rPr>
          <w:szCs w:val="32"/>
        </w:rPr>
        <w:instrText xml:space="preserve"> HYPERLINK \l _Toc3095 </w:instrText>
      </w:r>
      <w:r>
        <w:rPr>
          <w:szCs w:val="32"/>
        </w:rPr>
        <w:fldChar w:fldCharType="separate"/>
      </w:r>
      <w:r>
        <w:rPr>
          <w:rFonts w:hint="default" w:ascii="Times New Roman" w:hAnsi="Times New Roman" w:eastAsia="宋体"/>
        </w:rPr>
        <w:t xml:space="preserve">5.1 </w:t>
      </w:r>
      <w:r>
        <w:rPr>
          <w:rFonts w:hint="eastAsia"/>
        </w:rPr>
        <w:t>质量管理组织机构</w:t>
      </w:r>
      <w:r>
        <w:tab/>
      </w:r>
      <w:r>
        <w:fldChar w:fldCharType="begin"/>
      </w:r>
      <w:r>
        <w:instrText xml:space="preserve"> PAGEREF _Toc3095 \h </w:instrText>
      </w:r>
      <w:r>
        <w:fldChar w:fldCharType="separate"/>
      </w:r>
      <w:r>
        <w:t>78</w:t>
      </w:r>
      <w:r>
        <w:fldChar w:fldCharType="end"/>
      </w:r>
      <w:r>
        <w:rPr>
          <w:color w:val="000000"/>
          <w:szCs w:val="32"/>
        </w:rPr>
        <w:fldChar w:fldCharType="end"/>
      </w:r>
    </w:p>
    <w:p w14:paraId="578A8523">
      <w:pPr>
        <w:pStyle w:val="33"/>
        <w:tabs>
          <w:tab w:val="right" w:leader="dot" w:pos="9070"/>
          <w:tab w:val="clear" w:pos="9060"/>
        </w:tabs>
      </w:pPr>
      <w:r>
        <w:rPr>
          <w:color w:val="000000"/>
          <w:szCs w:val="32"/>
        </w:rPr>
        <w:fldChar w:fldCharType="begin"/>
      </w:r>
      <w:r>
        <w:rPr>
          <w:szCs w:val="32"/>
        </w:rPr>
        <w:instrText xml:space="preserve"> HYPERLINK \l _Toc8509 </w:instrText>
      </w:r>
      <w:r>
        <w:rPr>
          <w:szCs w:val="32"/>
        </w:rPr>
        <w:fldChar w:fldCharType="separate"/>
      </w:r>
      <w:r>
        <w:rPr>
          <w:rFonts w:hint="default" w:ascii="Times New Roman" w:hAnsi="Times New Roman" w:eastAsia="宋体"/>
        </w:rPr>
        <w:t xml:space="preserve">5.2 </w:t>
      </w:r>
      <w:r>
        <w:rPr>
          <w:rFonts w:hint="eastAsia"/>
        </w:rPr>
        <w:t>质量保证措施</w:t>
      </w:r>
      <w:r>
        <w:tab/>
      </w:r>
      <w:r>
        <w:fldChar w:fldCharType="begin"/>
      </w:r>
      <w:r>
        <w:instrText xml:space="preserve"> PAGEREF _Toc8509 \h </w:instrText>
      </w:r>
      <w:r>
        <w:fldChar w:fldCharType="separate"/>
      </w:r>
      <w:r>
        <w:t>78</w:t>
      </w:r>
      <w:r>
        <w:fldChar w:fldCharType="end"/>
      </w:r>
      <w:r>
        <w:rPr>
          <w:color w:val="000000"/>
          <w:szCs w:val="32"/>
        </w:rPr>
        <w:fldChar w:fldCharType="end"/>
      </w:r>
    </w:p>
    <w:p w14:paraId="62206548">
      <w:pPr>
        <w:pStyle w:val="28"/>
        <w:tabs>
          <w:tab w:val="right" w:leader="dot" w:pos="9070"/>
          <w:tab w:val="clear" w:pos="9060"/>
        </w:tabs>
      </w:pPr>
      <w:r>
        <w:rPr>
          <w:color w:val="000000"/>
          <w:szCs w:val="32"/>
        </w:rPr>
        <w:fldChar w:fldCharType="begin"/>
      </w:r>
      <w:r>
        <w:rPr>
          <w:szCs w:val="32"/>
        </w:rPr>
        <w:instrText xml:space="preserve"> HYPERLINK \l _Toc4539 </w:instrText>
      </w:r>
      <w:r>
        <w:rPr>
          <w:szCs w:val="32"/>
        </w:rPr>
        <w:fldChar w:fldCharType="separate"/>
      </w:r>
      <w:r>
        <w:rPr>
          <w:rFonts w:hint="default" w:ascii="Times New Roman" w:hAnsi="Times New Roman" w:eastAsia="宋体"/>
        </w:rPr>
        <w:t xml:space="preserve">6 </w:t>
      </w:r>
      <w:r>
        <w:rPr>
          <w:rFonts w:hint="eastAsia"/>
        </w:rPr>
        <w:t>施工风险源辨识及安全保障措施</w:t>
      </w:r>
      <w:r>
        <w:tab/>
      </w:r>
      <w:r>
        <w:fldChar w:fldCharType="begin"/>
      </w:r>
      <w:r>
        <w:instrText xml:space="preserve"> PAGEREF _Toc4539 \h </w:instrText>
      </w:r>
      <w:r>
        <w:fldChar w:fldCharType="separate"/>
      </w:r>
      <w:r>
        <w:t>80</w:t>
      </w:r>
      <w:r>
        <w:fldChar w:fldCharType="end"/>
      </w:r>
      <w:r>
        <w:rPr>
          <w:color w:val="000000"/>
          <w:szCs w:val="32"/>
        </w:rPr>
        <w:fldChar w:fldCharType="end"/>
      </w:r>
    </w:p>
    <w:p w14:paraId="7293DEAB">
      <w:pPr>
        <w:pStyle w:val="33"/>
        <w:tabs>
          <w:tab w:val="right" w:leader="dot" w:pos="9070"/>
          <w:tab w:val="clear" w:pos="9060"/>
        </w:tabs>
      </w:pPr>
      <w:r>
        <w:rPr>
          <w:color w:val="000000"/>
          <w:szCs w:val="32"/>
        </w:rPr>
        <w:fldChar w:fldCharType="begin"/>
      </w:r>
      <w:r>
        <w:rPr>
          <w:szCs w:val="32"/>
        </w:rPr>
        <w:instrText xml:space="preserve"> HYPERLINK \l _Toc16094 </w:instrText>
      </w:r>
      <w:r>
        <w:rPr>
          <w:szCs w:val="32"/>
        </w:rPr>
        <w:fldChar w:fldCharType="separate"/>
      </w:r>
      <w:r>
        <w:rPr>
          <w:rFonts w:hint="default" w:ascii="Times New Roman" w:hAnsi="Times New Roman" w:eastAsia="宋体"/>
        </w:rPr>
        <w:t xml:space="preserve">6.1 </w:t>
      </w:r>
      <w:r>
        <w:rPr>
          <w:rFonts w:hint="eastAsia"/>
        </w:rPr>
        <w:t>风险源辨识及分析</w:t>
      </w:r>
      <w:r>
        <w:tab/>
      </w:r>
      <w:r>
        <w:fldChar w:fldCharType="begin"/>
      </w:r>
      <w:r>
        <w:instrText xml:space="preserve"> PAGEREF _Toc16094 \h </w:instrText>
      </w:r>
      <w:r>
        <w:fldChar w:fldCharType="separate"/>
      </w:r>
      <w:r>
        <w:t>80</w:t>
      </w:r>
      <w:r>
        <w:fldChar w:fldCharType="end"/>
      </w:r>
      <w:r>
        <w:rPr>
          <w:color w:val="000000"/>
          <w:szCs w:val="32"/>
        </w:rPr>
        <w:fldChar w:fldCharType="end"/>
      </w:r>
    </w:p>
    <w:p w14:paraId="7322D3FA">
      <w:pPr>
        <w:pStyle w:val="33"/>
        <w:tabs>
          <w:tab w:val="right" w:leader="dot" w:pos="9070"/>
          <w:tab w:val="clear" w:pos="9060"/>
        </w:tabs>
      </w:pPr>
      <w:r>
        <w:rPr>
          <w:color w:val="000000"/>
          <w:szCs w:val="32"/>
        </w:rPr>
        <w:fldChar w:fldCharType="begin"/>
      </w:r>
      <w:r>
        <w:rPr>
          <w:szCs w:val="32"/>
        </w:rPr>
        <w:instrText xml:space="preserve"> HYPERLINK \l _Toc20558 </w:instrText>
      </w:r>
      <w:r>
        <w:rPr>
          <w:szCs w:val="32"/>
        </w:rPr>
        <w:fldChar w:fldCharType="separate"/>
      </w:r>
      <w:r>
        <w:rPr>
          <w:rFonts w:hint="default" w:ascii="Times New Roman" w:hAnsi="Times New Roman" w:eastAsia="宋体"/>
        </w:rPr>
        <w:t xml:space="preserve">6.2 </w:t>
      </w:r>
      <w:r>
        <w:rPr>
          <w:rFonts w:hint="eastAsia"/>
        </w:rPr>
        <w:t>组织保障措施</w:t>
      </w:r>
      <w:r>
        <w:tab/>
      </w:r>
      <w:r>
        <w:fldChar w:fldCharType="begin"/>
      </w:r>
      <w:r>
        <w:instrText xml:space="preserve"> PAGEREF _Toc20558 \h </w:instrText>
      </w:r>
      <w:r>
        <w:fldChar w:fldCharType="separate"/>
      </w:r>
      <w:r>
        <w:t>83</w:t>
      </w:r>
      <w:r>
        <w:fldChar w:fldCharType="end"/>
      </w:r>
      <w:r>
        <w:rPr>
          <w:color w:val="000000"/>
          <w:szCs w:val="32"/>
        </w:rPr>
        <w:fldChar w:fldCharType="end"/>
      </w:r>
    </w:p>
    <w:p w14:paraId="781B7077">
      <w:pPr>
        <w:pStyle w:val="33"/>
        <w:tabs>
          <w:tab w:val="right" w:leader="dot" w:pos="9070"/>
          <w:tab w:val="clear" w:pos="9060"/>
        </w:tabs>
      </w:pPr>
      <w:r>
        <w:rPr>
          <w:color w:val="000000"/>
          <w:szCs w:val="32"/>
        </w:rPr>
        <w:fldChar w:fldCharType="begin"/>
      </w:r>
      <w:r>
        <w:rPr>
          <w:szCs w:val="32"/>
        </w:rPr>
        <w:instrText xml:space="preserve"> HYPERLINK \l _Toc21350 </w:instrText>
      </w:r>
      <w:r>
        <w:rPr>
          <w:szCs w:val="32"/>
        </w:rPr>
        <w:fldChar w:fldCharType="separate"/>
      </w:r>
      <w:r>
        <w:rPr>
          <w:rFonts w:hint="default" w:ascii="Times New Roman" w:hAnsi="Times New Roman" w:eastAsia="宋体"/>
        </w:rPr>
        <w:t xml:space="preserve">6.3 </w:t>
      </w:r>
      <w:r>
        <w:rPr>
          <w:rFonts w:hint="eastAsia"/>
        </w:rPr>
        <w:t>安全管理保证措施</w:t>
      </w:r>
      <w:r>
        <w:tab/>
      </w:r>
      <w:r>
        <w:fldChar w:fldCharType="begin"/>
      </w:r>
      <w:r>
        <w:instrText xml:space="preserve"> PAGEREF _Toc21350 \h </w:instrText>
      </w:r>
      <w:r>
        <w:fldChar w:fldCharType="separate"/>
      </w:r>
      <w:r>
        <w:t>83</w:t>
      </w:r>
      <w:r>
        <w:fldChar w:fldCharType="end"/>
      </w:r>
      <w:r>
        <w:rPr>
          <w:color w:val="000000"/>
          <w:szCs w:val="32"/>
        </w:rPr>
        <w:fldChar w:fldCharType="end"/>
      </w:r>
    </w:p>
    <w:p w14:paraId="3F2FB03D">
      <w:pPr>
        <w:pStyle w:val="33"/>
        <w:tabs>
          <w:tab w:val="right" w:leader="dot" w:pos="9070"/>
          <w:tab w:val="clear" w:pos="9060"/>
        </w:tabs>
      </w:pPr>
      <w:r>
        <w:rPr>
          <w:color w:val="000000"/>
          <w:szCs w:val="32"/>
        </w:rPr>
        <w:fldChar w:fldCharType="begin"/>
      </w:r>
      <w:r>
        <w:rPr>
          <w:szCs w:val="32"/>
        </w:rPr>
        <w:instrText xml:space="preserve"> HYPERLINK \l _Toc24084 </w:instrText>
      </w:r>
      <w:r>
        <w:rPr>
          <w:szCs w:val="32"/>
        </w:rPr>
        <w:fldChar w:fldCharType="separate"/>
      </w:r>
      <w:r>
        <w:rPr>
          <w:rFonts w:hint="default" w:ascii="Times New Roman" w:hAnsi="Times New Roman" w:eastAsia="宋体"/>
          <w:shd w:val="clear" w:fill="FFFFFF" w:themeFill="background1"/>
        </w:rPr>
        <w:t xml:space="preserve">6.4 </w:t>
      </w:r>
      <w:r>
        <w:rPr>
          <w:rFonts w:hint="eastAsia"/>
          <w:shd w:val="clear" w:color="auto" w:fill="FFFFFF" w:themeFill="background1"/>
        </w:rPr>
        <w:t>施工安全技术控制措施</w:t>
      </w:r>
      <w:r>
        <w:tab/>
      </w:r>
      <w:r>
        <w:fldChar w:fldCharType="begin"/>
      </w:r>
      <w:r>
        <w:instrText xml:space="preserve"> PAGEREF _Toc24084 \h </w:instrText>
      </w:r>
      <w:r>
        <w:fldChar w:fldCharType="separate"/>
      </w:r>
      <w:r>
        <w:t>85</w:t>
      </w:r>
      <w:r>
        <w:fldChar w:fldCharType="end"/>
      </w:r>
      <w:r>
        <w:rPr>
          <w:color w:val="000000"/>
          <w:szCs w:val="32"/>
        </w:rPr>
        <w:fldChar w:fldCharType="end"/>
      </w:r>
    </w:p>
    <w:p w14:paraId="578471A2">
      <w:pPr>
        <w:pStyle w:val="33"/>
        <w:tabs>
          <w:tab w:val="right" w:leader="dot" w:pos="9070"/>
          <w:tab w:val="clear" w:pos="9060"/>
        </w:tabs>
      </w:pPr>
      <w:r>
        <w:rPr>
          <w:color w:val="000000"/>
          <w:szCs w:val="32"/>
        </w:rPr>
        <w:fldChar w:fldCharType="begin"/>
      </w:r>
      <w:r>
        <w:rPr>
          <w:szCs w:val="32"/>
        </w:rPr>
        <w:instrText xml:space="preserve"> HYPERLINK \l _Toc5017 </w:instrText>
      </w:r>
      <w:r>
        <w:rPr>
          <w:szCs w:val="32"/>
        </w:rPr>
        <w:fldChar w:fldCharType="separate"/>
      </w:r>
      <w:r>
        <w:rPr>
          <w:rFonts w:hint="default" w:ascii="Times New Roman" w:hAnsi="Times New Roman" w:eastAsia="宋体"/>
        </w:rPr>
        <w:t xml:space="preserve">6.5 </w:t>
      </w:r>
      <w:r>
        <w:rPr>
          <w:rFonts w:hint="eastAsia"/>
        </w:rPr>
        <w:t>监测监控措施</w:t>
      </w:r>
      <w:r>
        <w:tab/>
      </w:r>
      <w:r>
        <w:fldChar w:fldCharType="begin"/>
      </w:r>
      <w:r>
        <w:instrText xml:space="preserve"> PAGEREF _Toc5017 \h </w:instrText>
      </w:r>
      <w:r>
        <w:fldChar w:fldCharType="separate"/>
      </w:r>
      <w:r>
        <w:t>93</w:t>
      </w:r>
      <w:r>
        <w:fldChar w:fldCharType="end"/>
      </w:r>
      <w:r>
        <w:rPr>
          <w:color w:val="000000"/>
          <w:szCs w:val="32"/>
        </w:rPr>
        <w:fldChar w:fldCharType="end"/>
      </w:r>
    </w:p>
    <w:p w14:paraId="44716F65">
      <w:pPr>
        <w:pStyle w:val="33"/>
        <w:tabs>
          <w:tab w:val="right" w:leader="dot" w:pos="9070"/>
          <w:tab w:val="clear" w:pos="9060"/>
        </w:tabs>
      </w:pPr>
      <w:r>
        <w:rPr>
          <w:color w:val="000000"/>
          <w:szCs w:val="32"/>
        </w:rPr>
        <w:fldChar w:fldCharType="begin"/>
      </w:r>
      <w:r>
        <w:rPr>
          <w:szCs w:val="32"/>
        </w:rPr>
        <w:instrText xml:space="preserve"> HYPERLINK \l _Toc32267 </w:instrText>
      </w:r>
      <w:r>
        <w:rPr>
          <w:szCs w:val="32"/>
        </w:rPr>
        <w:fldChar w:fldCharType="separate"/>
      </w:r>
      <w:r>
        <w:rPr>
          <w:rFonts w:hint="default" w:ascii="Times New Roman" w:hAnsi="Times New Roman" w:eastAsia="宋体"/>
        </w:rPr>
        <w:t xml:space="preserve">6.6 </w:t>
      </w:r>
      <w:r>
        <w:rPr>
          <w:rFonts w:hint="eastAsia"/>
        </w:rPr>
        <w:t>特殊季节保证措施</w:t>
      </w:r>
      <w:r>
        <w:tab/>
      </w:r>
      <w:r>
        <w:fldChar w:fldCharType="begin"/>
      </w:r>
      <w:r>
        <w:instrText xml:space="preserve"> PAGEREF _Toc32267 \h </w:instrText>
      </w:r>
      <w:r>
        <w:fldChar w:fldCharType="separate"/>
      </w:r>
      <w:r>
        <w:t>93</w:t>
      </w:r>
      <w:r>
        <w:fldChar w:fldCharType="end"/>
      </w:r>
      <w:r>
        <w:rPr>
          <w:color w:val="000000"/>
          <w:szCs w:val="32"/>
        </w:rPr>
        <w:fldChar w:fldCharType="end"/>
      </w:r>
    </w:p>
    <w:p w14:paraId="08182E39">
      <w:pPr>
        <w:pStyle w:val="28"/>
        <w:tabs>
          <w:tab w:val="right" w:leader="dot" w:pos="9070"/>
          <w:tab w:val="clear" w:pos="9060"/>
        </w:tabs>
      </w:pPr>
      <w:r>
        <w:rPr>
          <w:color w:val="000000"/>
          <w:szCs w:val="32"/>
        </w:rPr>
        <w:fldChar w:fldCharType="begin"/>
      </w:r>
      <w:r>
        <w:rPr>
          <w:szCs w:val="32"/>
        </w:rPr>
        <w:instrText xml:space="preserve"> HYPERLINK \l _Toc15006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_Toc15006 \h </w:instrText>
      </w:r>
      <w:r>
        <w:fldChar w:fldCharType="separate"/>
      </w:r>
      <w:r>
        <w:t>96</w:t>
      </w:r>
      <w:r>
        <w:fldChar w:fldCharType="end"/>
      </w:r>
      <w:r>
        <w:rPr>
          <w:color w:val="000000"/>
          <w:szCs w:val="32"/>
        </w:rPr>
        <w:fldChar w:fldCharType="end"/>
      </w:r>
    </w:p>
    <w:p w14:paraId="417F5D17">
      <w:pPr>
        <w:pStyle w:val="33"/>
        <w:tabs>
          <w:tab w:val="right" w:leader="dot" w:pos="9070"/>
          <w:tab w:val="clear" w:pos="9060"/>
        </w:tabs>
      </w:pPr>
      <w:r>
        <w:rPr>
          <w:color w:val="000000"/>
          <w:szCs w:val="32"/>
        </w:rPr>
        <w:fldChar w:fldCharType="begin"/>
      </w:r>
      <w:r>
        <w:rPr>
          <w:szCs w:val="32"/>
        </w:rPr>
        <w:instrText xml:space="preserve"> HYPERLINK \l _Toc31324 </w:instrText>
      </w:r>
      <w:r>
        <w:rPr>
          <w:szCs w:val="32"/>
        </w:rPr>
        <w:fldChar w:fldCharType="separate"/>
      </w:r>
      <w:r>
        <w:rPr>
          <w:rFonts w:hint="default" w:ascii="Times New Roman" w:hAnsi="Times New Roman" w:eastAsia="宋体"/>
        </w:rPr>
        <w:t xml:space="preserve">7.1 </w:t>
      </w:r>
      <w:r>
        <w:rPr>
          <w:rFonts w:hint="eastAsia"/>
        </w:rPr>
        <w:t>施工管理人员配备和分工</w:t>
      </w:r>
      <w:r>
        <w:tab/>
      </w:r>
      <w:r>
        <w:fldChar w:fldCharType="begin"/>
      </w:r>
      <w:r>
        <w:instrText xml:space="preserve"> PAGEREF _Toc31324 \h </w:instrText>
      </w:r>
      <w:r>
        <w:fldChar w:fldCharType="separate"/>
      </w:r>
      <w:r>
        <w:t>96</w:t>
      </w:r>
      <w:r>
        <w:fldChar w:fldCharType="end"/>
      </w:r>
      <w:r>
        <w:rPr>
          <w:color w:val="000000"/>
          <w:szCs w:val="32"/>
        </w:rPr>
        <w:fldChar w:fldCharType="end"/>
      </w:r>
    </w:p>
    <w:p w14:paraId="233505EF">
      <w:pPr>
        <w:pStyle w:val="33"/>
        <w:tabs>
          <w:tab w:val="right" w:leader="dot" w:pos="9070"/>
          <w:tab w:val="clear" w:pos="9060"/>
        </w:tabs>
      </w:pPr>
      <w:r>
        <w:rPr>
          <w:color w:val="000000"/>
          <w:szCs w:val="32"/>
        </w:rPr>
        <w:fldChar w:fldCharType="begin"/>
      </w:r>
      <w:r>
        <w:rPr>
          <w:szCs w:val="32"/>
        </w:rPr>
        <w:instrText xml:space="preserve"> HYPERLINK \l _Toc24367 </w:instrText>
      </w:r>
      <w:r>
        <w:rPr>
          <w:szCs w:val="32"/>
        </w:rPr>
        <w:fldChar w:fldCharType="separate"/>
      </w:r>
      <w:r>
        <w:rPr>
          <w:rFonts w:hint="default" w:ascii="Times New Roman" w:hAnsi="Times New Roman" w:eastAsia="宋体"/>
        </w:rPr>
        <w:t xml:space="preserve">7.2 </w:t>
      </w:r>
      <w:r>
        <w:rPr>
          <w:rFonts w:hint="eastAsia"/>
        </w:rPr>
        <w:t>施工作业人员配备及分工</w:t>
      </w:r>
      <w:r>
        <w:tab/>
      </w:r>
      <w:r>
        <w:fldChar w:fldCharType="begin"/>
      </w:r>
      <w:r>
        <w:instrText xml:space="preserve"> PAGEREF _Toc24367 \h </w:instrText>
      </w:r>
      <w:r>
        <w:fldChar w:fldCharType="separate"/>
      </w:r>
      <w:r>
        <w:t>96</w:t>
      </w:r>
      <w:r>
        <w:fldChar w:fldCharType="end"/>
      </w:r>
      <w:r>
        <w:rPr>
          <w:color w:val="000000"/>
          <w:szCs w:val="32"/>
        </w:rPr>
        <w:fldChar w:fldCharType="end"/>
      </w:r>
    </w:p>
    <w:p w14:paraId="6FCFDC3F">
      <w:pPr>
        <w:pStyle w:val="28"/>
        <w:tabs>
          <w:tab w:val="right" w:leader="dot" w:pos="9070"/>
          <w:tab w:val="clear" w:pos="9060"/>
        </w:tabs>
      </w:pPr>
      <w:r>
        <w:rPr>
          <w:color w:val="000000"/>
          <w:szCs w:val="32"/>
        </w:rPr>
        <w:fldChar w:fldCharType="begin"/>
      </w:r>
      <w:r>
        <w:rPr>
          <w:szCs w:val="32"/>
        </w:rPr>
        <w:instrText xml:space="preserve"> HYPERLINK \l _Toc30527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_Toc30527 \h </w:instrText>
      </w:r>
      <w:r>
        <w:fldChar w:fldCharType="separate"/>
      </w:r>
      <w:r>
        <w:t>98</w:t>
      </w:r>
      <w:r>
        <w:fldChar w:fldCharType="end"/>
      </w:r>
      <w:r>
        <w:rPr>
          <w:color w:val="000000"/>
          <w:szCs w:val="32"/>
        </w:rPr>
        <w:fldChar w:fldCharType="end"/>
      </w:r>
    </w:p>
    <w:p w14:paraId="76153313">
      <w:pPr>
        <w:pStyle w:val="33"/>
        <w:tabs>
          <w:tab w:val="right" w:leader="dot" w:pos="9070"/>
          <w:tab w:val="clear" w:pos="9060"/>
        </w:tabs>
      </w:pPr>
      <w:r>
        <w:rPr>
          <w:color w:val="000000"/>
          <w:szCs w:val="32"/>
        </w:rPr>
        <w:fldChar w:fldCharType="begin"/>
      </w:r>
      <w:r>
        <w:rPr>
          <w:szCs w:val="32"/>
        </w:rPr>
        <w:instrText xml:space="preserve"> HYPERLINK \l _Toc868 </w:instrText>
      </w:r>
      <w:r>
        <w:rPr>
          <w:szCs w:val="32"/>
        </w:rPr>
        <w:fldChar w:fldCharType="separate"/>
      </w:r>
      <w:r>
        <w:rPr>
          <w:rFonts w:hint="default" w:ascii="Times New Roman" w:hAnsi="Times New Roman" w:eastAsia="宋体"/>
        </w:rPr>
        <w:t xml:space="preserve">8.1 </w:t>
      </w:r>
      <w:r>
        <w:rPr>
          <w:rFonts w:hint="eastAsia"/>
        </w:rPr>
        <w:t>验收标准</w:t>
      </w:r>
      <w:r>
        <w:tab/>
      </w:r>
      <w:r>
        <w:fldChar w:fldCharType="begin"/>
      </w:r>
      <w:r>
        <w:instrText xml:space="preserve"> PAGEREF _Toc868 \h </w:instrText>
      </w:r>
      <w:r>
        <w:fldChar w:fldCharType="separate"/>
      </w:r>
      <w:r>
        <w:t>98</w:t>
      </w:r>
      <w:r>
        <w:fldChar w:fldCharType="end"/>
      </w:r>
      <w:r>
        <w:rPr>
          <w:color w:val="000000"/>
          <w:szCs w:val="32"/>
        </w:rPr>
        <w:fldChar w:fldCharType="end"/>
      </w:r>
    </w:p>
    <w:p w14:paraId="2208E86E">
      <w:pPr>
        <w:pStyle w:val="33"/>
        <w:tabs>
          <w:tab w:val="right" w:leader="dot" w:pos="9070"/>
          <w:tab w:val="clear" w:pos="9060"/>
        </w:tabs>
      </w:pPr>
      <w:r>
        <w:rPr>
          <w:color w:val="000000"/>
          <w:szCs w:val="32"/>
        </w:rPr>
        <w:fldChar w:fldCharType="begin"/>
      </w:r>
      <w:r>
        <w:rPr>
          <w:szCs w:val="32"/>
        </w:rPr>
        <w:instrText xml:space="preserve"> HYPERLINK \l _Toc10791 </w:instrText>
      </w:r>
      <w:r>
        <w:rPr>
          <w:szCs w:val="32"/>
        </w:rPr>
        <w:fldChar w:fldCharType="separate"/>
      </w:r>
      <w:r>
        <w:rPr>
          <w:rFonts w:hint="default" w:ascii="Times New Roman" w:hAnsi="Times New Roman" w:eastAsia="宋体"/>
        </w:rPr>
        <w:t xml:space="preserve">8.2 </w:t>
      </w:r>
      <w:r>
        <w:t>验收程序</w:t>
      </w:r>
      <w:r>
        <w:tab/>
      </w:r>
      <w:r>
        <w:fldChar w:fldCharType="begin"/>
      </w:r>
      <w:r>
        <w:instrText xml:space="preserve"> PAGEREF _Toc10791 \h </w:instrText>
      </w:r>
      <w:r>
        <w:fldChar w:fldCharType="separate"/>
      </w:r>
      <w:r>
        <w:t>98</w:t>
      </w:r>
      <w:r>
        <w:fldChar w:fldCharType="end"/>
      </w:r>
      <w:r>
        <w:rPr>
          <w:color w:val="000000"/>
          <w:szCs w:val="32"/>
        </w:rPr>
        <w:fldChar w:fldCharType="end"/>
      </w:r>
    </w:p>
    <w:p w14:paraId="47F91C7B">
      <w:pPr>
        <w:pStyle w:val="33"/>
        <w:tabs>
          <w:tab w:val="right" w:leader="dot" w:pos="9070"/>
          <w:tab w:val="clear" w:pos="9060"/>
        </w:tabs>
      </w:pPr>
      <w:r>
        <w:rPr>
          <w:color w:val="000000"/>
          <w:szCs w:val="32"/>
        </w:rPr>
        <w:fldChar w:fldCharType="begin"/>
      </w:r>
      <w:r>
        <w:rPr>
          <w:szCs w:val="32"/>
        </w:rPr>
        <w:instrText xml:space="preserve"> HYPERLINK \l _Toc15287 </w:instrText>
      </w:r>
      <w:r>
        <w:rPr>
          <w:szCs w:val="32"/>
        </w:rPr>
        <w:fldChar w:fldCharType="separate"/>
      </w:r>
      <w:r>
        <w:rPr>
          <w:rFonts w:hint="default" w:ascii="Times New Roman" w:hAnsi="Times New Roman" w:eastAsia="宋体"/>
        </w:rPr>
        <w:t xml:space="preserve">8.3 </w:t>
      </w:r>
      <w:r>
        <w:rPr>
          <w:rFonts w:hint="eastAsia"/>
        </w:rPr>
        <w:t>验收内容</w:t>
      </w:r>
      <w:r>
        <w:tab/>
      </w:r>
      <w:r>
        <w:fldChar w:fldCharType="begin"/>
      </w:r>
      <w:r>
        <w:instrText xml:space="preserve"> PAGEREF _Toc15287 \h </w:instrText>
      </w:r>
      <w:r>
        <w:fldChar w:fldCharType="separate"/>
      </w:r>
      <w:r>
        <w:t>98</w:t>
      </w:r>
      <w:r>
        <w:fldChar w:fldCharType="end"/>
      </w:r>
      <w:r>
        <w:rPr>
          <w:color w:val="000000"/>
          <w:szCs w:val="32"/>
        </w:rPr>
        <w:fldChar w:fldCharType="end"/>
      </w:r>
    </w:p>
    <w:p w14:paraId="14FF1C18">
      <w:pPr>
        <w:pStyle w:val="33"/>
        <w:tabs>
          <w:tab w:val="right" w:leader="dot" w:pos="9070"/>
          <w:tab w:val="clear" w:pos="9060"/>
        </w:tabs>
      </w:pPr>
      <w:r>
        <w:rPr>
          <w:color w:val="000000"/>
          <w:szCs w:val="32"/>
        </w:rPr>
        <w:fldChar w:fldCharType="begin"/>
      </w:r>
      <w:r>
        <w:rPr>
          <w:szCs w:val="32"/>
        </w:rPr>
        <w:instrText xml:space="preserve"> HYPERLINK \l _Toc32563 </w:instrText>
      </w:r>
      <w:r>
        <w:rPr>
          <w:szCs w:val="32"/>
        </w:rPr>
        <w:fldChar w:fldCharType="separate"/>
      </w:r>
      <w:r>
        <w:rPr>
          <w:rFonts w:hint="default" w:ascii="Times New Roman" w:hAnsi="Times New Roman" w:eastAsia="宋体"/>
        </w:rPr>
        <w:t xml:space="preserve">8.4 </w:t>
      </w:r>
      <w:r>
        <w:rPr>
          <w:rFonts w:hint="eastAsia"/>
        </w:rPr>
        <w:t>验收人员</w:t>
      </w:r>
      <w:r>
        <w:tab/>
      </w:r>
      <w:r>
        <w:fldChar w:fldCharType="begin"/>
      </w:r>
      <w:r>
        <w:instrText xml:space="preserve"> PAGEREF _Toc32563 \h </w:instrText>
      </w:r>
      <w:r>
        <w:fldChar w:fldCharType="separate"/>
      </w:r>
      <w:r>
        <w:t>99</w:t>
      </w:r>
      <w:r>
        <w:fldChar w:fldCharType="end"/>
      </w:r>
      <w:r>
        <w:rPr>
          <w:color w:val="000000"/>
          <w:szCs w:val="32"/>
        </w:rPr>
        <w:fldChar w:fldCharType="end"/>
      </w:r>
    </w:p>
    <w:p w14:paraId="294597E4">
      <w:pPr>
        <w:pStyle w:val="28"/>
        <w:tabs>
          <w:tab w:val="right" w:leader="dot" w:pos="9070"/>
          <w:tab w:val="clear" w:pos="9060"/>
        </w:tabs>
      </w:pPr>
      <w:r>
        <w:rPr>
          <w:color w:val="000000"/>
          <w:szCs w:val="32"/>
        </w:rPr>
        <w:fldChar w:fldCharType="begin"/>
      </w:r>
      <w:r>
        <w:rPr>
          <w:szCs w:val="32"/>
        </w:rPr>
        <w:instrText xml:space="preserve"> HYPERLINK \l _Toc28457 </w:instrText>
      </w:r>
      <w:r>
        <w:rPr>
          <w:szCs w:val="32"/>
        </w:rPr>
        <w:fldChar w:fldCharType="separate"/>
      </w:r>
      <w:r>
        <w:rPr>
          <w:rFonts w:hint="default" w:ascii="Times New Roman" w:hAnsi="Times New Roman" w:eastAsia="宋体"/>
        </w:rPr>
        <w:t xml:space="preserve">9 </w:t>
      </w:r>
      <w:r>
        <w:rPr>
          <w:rFonts w:hint="eastAsia"/>
        </w:rPr>
        <w:t>应急处置措施</w:t>
      </w:r>
      <w:r>
        <w:tab/>
      </w:r>
      <w:r>
        <w:fldChar w:fldCharType="begin"/>
      </w:r>
      <w:r>
        <w:instrText xml:space="preserve"> PAGEREF _Toc28457 \h </w:instrText>
      </w:r>
      <w:r>
        <w:fldChar w:fldCharType="separate"/>
      </w:r>
      <w:r>
        <w:t>100</w:t>
      </w:r>
      <w:r>
        <w:fldChar w:fldCharType="end"/>
      </w:r>
      <w:r>
        <w:rPr>
          <w:color w:val="000000"/>
          <w:szCs w:val="32"/>
        </w:rPr>
        <w:fldChar w:fldCharType="end"/>
      </w:r>
    </w:p>
    <w:p w14:paraId="0DF6A67A">
      <w:pPr>
        <w:pStyle w:val="33"/>
        <w:tabs>
          <w:tab w:val="right" w:leader="dot" w:pos="9070"/>
          <w:tab w:val="clear" w:pos="9060"/>
        </w:tabs>
      </w:pPr>
      <w:r>
        <w:rPr>
          <w:color w:val="000000"/>
          <w:szCs w:val="32"/>
        </w:rPr>
        <w:fldChar w:fldCharType="begin"/>
      </w:r>
      <w:r>
        <w:rPr>
          <w:szCs w:val="32"/>
        </w:rPr>
        <w:instrText xml:space="preserve"> HYPERLINK \l _Toc18227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_Toc18227 \h </w:instrText>
      </w:r>
      <w:r>
        <w:fldChar w:fldCharType="separate"/>
      </w:r>
      <w:r>
        <w:t>100</w:t>
      </w:r>
      <w:r>
        <w:fldChar w:fldCharType="end"/>
      </w:r>
      <w:r>
        <w:rPr>
          <w:color w:val="000000"/>
          <w:szCs w:val="32"/>
        </w:rPr>
        <w:fldChar w:fldCharType="end"/>
      </w:r>
    </w:p>
    <w:p w14:paraId="6D1F0342">
      <w:pPr>
        <w:pStyle w:val="33"/>
        <w:tabs>
          <w:tab w:val="right" w:leader="dot" w:pos="9070"/>
          <w:tab w:val="clear" w:pos="9060"/>
        </w:tabs>
      </w:pPr>
      <w:r>
        <w:rPr>
          <w:color w:val="000000"/>
          <w:szCs w:val="32"/>
        </w:rPr>
        <w:fldChar w:fldCharType="begin"/>
      </w:r>
      <w:r>
        <w:rPr>
          <w:szCs w:val="32"/>
        </w:rPr>
        <w:instrText xml:space="preserve"> HYPERLINK \l _Toc450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_Toc450 \h </w:instrText>
      </w:r>
      <w:r>
        <w:fldChar w:fldCharType="separate"/>
      </w:r>
      <w:r>
        <w:t>100</w:t>
      </w:r>
      <w:r>
        <w:fldChar w:fldCharType="end"/>
      </w:r>
      <w:r>
        <w:rPr>
          <w:color w:val="000000"/>
          <w:szCs w:val="32"/>
        </w:rPr>
        <w:fldChar w:fldCharType="end"/>
      </w:r>
    </w:p>
    <w:p w14:paraId="14478EC9">
      <w:pPr>
        <w:pStyle w:val="33"/>
        <w:tabs>
          <w:tab w:val="right" w:leader="dot" w:pos="9070"/>
          <w:tab w:val="clear" w:pos="9060"/>
        </w:tabs>
      </w:pPr>
      <w:r>
        <w:rPr>
          <w:color w:val="000000"/>
          <w:szCs w:val="32"/>
        </w:rPr>
        <w:fldChar w:fldCharType="begin"/>
      </w:r>
      <w:r>
        <w:rPr>
          <w:szCs w:val="32"/>
        </w:rPr>
        <w:instrText xml:space="preserve"> HYPERLINK \l _Toc6849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_Toc6849 \h </w:instrText>
      </w:r>
      <w:r>
        <w:fldChar w:fldCharType="separate"/>
      </w:r>
      <w:r>
        <w:t>100</w:t>
      </w:r>
      <w:r>
        <w:fldChar w:fldCharType="end"/>
      </w:r>
      <w:r>
        <w:rPr>
          <w:color w:val="000000"/>
          <w:szCs w:val="32"/>
        </w:rPr>
        <w:fldChar w:fldCharType="end"/>
      </w:r>
    </w:p>
    <w:p w14:paraId="429537A0">
      <w:pPr>
        <w:pStyle w:val="33"/>
        <w:tabs>
          <w:tab w:val="right" w:leader="dot" w:pos="9070"/>
          <w:tab w:val="clear" w:pos="9060"/>
        </w:tabs>
      </w:pPr>
      <w:r>
        <w:rPr>
          <w:color w:val="000000"/>
          <w:szCs w:val="32"/>
        </w:rPr>
        <w:fldChar w:fldCharType="begin"/>
      </w:r>
      <w:r>
        <w:rPr>
          <w:szCs w:val="32"/>
        </w:rPr>
        <w:instrText xml:space="preserve"> HYPERLINK \l _Toc946 </w:instrText>
      </w:r>
      <w:r>
        <w:rPr>
          <w:szCs w:val="32"/>
        </w:rPr>
        <w:fldChar w:fldCharType="separate"/>
      </w:r>
      <w:r>
        <w:rPr>
          <w:rFonts w:hint="default" w:ascii="Times New Roman" w:hAnsi="Times New Roman" w:eastAsia="宋体" w:cs="宋体"/>
          <w:szCs w:val="24"/>
        </w:rPr>
        <w:t xml:space="preserve">9.4 </w:t>
      </w:r>
      <w:r>
        <w:rPr>
          <w:rFonts w:hint="eastAsia"/>
        </w:rPr>
        <w:t>事故善后及恢复生产</w:t>
      </w:r>
      <w:r>
        <w:tab/>
      </w:r>
      <w:r>
        <w:fldChar w:fldCharType="begin"/>
      </w:r>
      <w:r>
        <w:instrText xml:space="preserve"> PAGEREF _Toc946 \h </w:instrText>
      </w:r>
      <w:r>
        <w:fldChar w:fldCharType="separate"/>
      </w:r>
      <w:r>
        <w:t>109</w:t>
      </w:r>
      <w:r>
        <w:fldChar w:fldCharType="end"/>
      </w:r>
      <w:r>
        <w:rPr>
          <w:color w:val="000000"/>
          <w:szCs w:val="32"/>
        </w:rPr>
        <w:fldChar w:fldCharType="end"/>
      </w:r>
    </w:p>
    <w:p w14:paraId="15BE1669">
      <w:pPr>
        <w:pStyle w:val="28"/>
        <w:tabs>
          <w:tab w:val="right" w:leader="dot" w:pos="9070"/>
          <w:tab w:val="clear" w:pos="9060"/>
        </w:tabs>
      </w:pPr>
      <w:r>
        <w:rPr>
          <w:color w:val="000000"/>
          <w:szCs w:val="32"/>
        </w:rPr>
        <w:fldChar w:fldCharType="begin"/>
      </w:r>
      <w:r>
        <w:rPr>
          <w:szCs w:val="32"/>
        </w:rPr>
        <w:instrText xml:space="preserve"> HYPERLINK \l _Toc17217 </w:instrText>
      </w:r>
      <w:r>
        <w:rPr>
          <w:szCs w:val="32"/>
        </w:rPr>
        <w:fldChar w:fldCharType="separate"/>
      </w:r>
      <w:r>
        <w:rPr>
          <w:rFonts w:hint="default" w:ascii="Times New Roman" w:hAnsi="Times New Roman" w:eastAsia="宋体"/>
        </w:rPr>
        <w:t xml:space="preserve">10 </w:t>
      </w:r>
      <w:r>
        <w:rPr>
          <w:rFonts w:hint="eastAsia"/>
        </w:rPr>
        <w:t>计算书及相关图纸</w:t>
      </w:r>
      <w:r>
        <w:tab/>
      </w:r>
      <w:r>
        <w:fldChar w:fldCharType="begin"/>
      </w:r>
      <w:r>
        <w:instrText xml:space="preserve"> PAGEREF _Toc17217 \h </w:instrText>
      </w:r>
      <w:r>
        <w:fldChar w:fldCharType="separate"/>
      </w:r>
      <w:r>
        <w:t>110</w:t>
      </w:r>
      <w:r>
        <w:fldChar w:fldCharType="end"/>
      </w:r>
      <w:r>
        <w:rPr>
          <w:color w:val="000000"/>
          <w:szCs w:val="32"/>
        </w:rPr>
        <w:fldChar w:fldCharType="end"/>
      </w:r>
    </w:p>
    <w:p w14:paraId="25166C1E">
      <w:pPr>
        <w:pStyle w:val="33"/>
        <w:tabs>
          <w:tab w:val="right" w:leader="dot" w:pos="9070"/>
          <w:tab w:val="clear" w:pos="9060"/>
        </w:tabs>
      </w:pPr>
      <w:r>
        <w:rPr>
          <w:color w:val="000000"/>
          <w:szCs w:val="32"/>
        </w:rPr>
        <w:fldChar w:fldCharType="begin"/>
      </w:r>
      <w:r>
        <w:rPr>
          <w:szCs w:val="32"/>
        </w:rPr>
        <w:instrText xml:space="preserve"> HYPERLINK \l _Toc4834 </w:instrText>
      </w:r>
      <w:r>
        <w:rPr>
          <w:szCs w:val="32"/>
        </w:rPr>
        <w:fldChar w:fldCharType="separate"/>
      </w:r>
      <w:r>
        <w:rPr>
          <w:rFonts w:hint="default" w:ascii="Times New Roman" w:hAnsi="Times New Roman" w:eastAsia="宋体"/>
        </w:rPr>
        <w:t xml:space="preserve">10.1 </w:t>
      </w:r>
      <w:r>
        <w:rPr>
          <w:rFonts w:hint="eastAsia"/>
        </w:rPr>
        <w:t>吊索具选型计算</w:t>
      </w:r>
      <w:r>
        <w:tab/>
      </w:r>
      <w:r>
        <w:fldChar w:fldCharType="begin"/>
      </w:r>
      <w:r>
        <w:instrText xml:space="preserve"> PAGEREF _Toc4834 \h </w:instrText>
      </w:r>
      <w:r>
        <w:fldChar w:fldCharType="separate"/>
      </w:r>
      <w:r>
        <w:t>110</w:t>
      </w:r>
      <w:r>
        <w:fldChar w:fldCharType="end"/>
      </w:r>
      <w:r>
        <w:rPr>
          <w:color w:val="000000"/>
          <w:szCs w:val="32"/>
        </w:rPr>
        <w:fldChar w:fldCharType="end"/>
      </w:r>
    </w:p>
    <w:p w14:paraId="35BB91CD">
      <w:pPr>
        <w:pStyle w:val="33"/>
        <w:tabs>
          <w:tab w:val="right" w:leader="dot" w:pos="9070"/>
          <w:tab w:val="clear" w:pos="9060"/>
        </w:tabs>
      </w:pPr>
      <w:r>
        <w:rPr>
          <w:color w:val="000000"/>
          <w:szCs w:val="32"/>
        </w:rPr>
        <w:fldChar w:fldCharType="begin"/>
      </w:r>
      <w:r>
        <w:rPr>
          <w:szCs w:val="32"/>
        </w:rPr>
        <w:instrText xml:space="preserve"> HYPERLINK \l _Toc16580 </w:instrText>
      </w:r>
      <w:r>
        <w:rPr>
          <w:szCs w:val="32"/>
        </w:rPr>
        <w:fldChar w:fldCharType="separate"/>
      </w:r>
      <w:r>
        <w:rPr>
          <w:rFonts w:hint="default" w:ascii="Times New Roman" w:hAnsi="Times New Roman" w:eastAsia="宋体"/>
          <w:lang w:val="en-US" w:eastAsia="zh-CN"/>
        </w:rPr>
        <w:t xml:space="preserve">10.2 </w:t>
      </w:r>
      <w:r>
        <w:rPr>
          <w:rFonts w:hint="eastAsia"/>
          <w:lang w:val="en-US" w:eastAsia="zh-CN"/>
        </w:rPr>
        <w:t>附着计算</w:t>
      </w:r>
      <w:r>
        <w:tab/>
      </w:r>
      <w:r>
        <w:fldChar w:fldCharType="begin"/>
      </w:r>
      <w:r>
        <w:instrText xml:space="preserve"> PAGEREF _Toc16580 \h </w:instrText>
      </w:r>
      <w:r>
        <w:fldChar w:fldCharType="separate"/>
      </w:r>
      <w:r>
        <w:t>111</w:t>
      </w:r>
      <w:r>
        <w:fldChar w:fldCharType="end"/>
      </w:r>
      <w:r>
        <w:rPr>
          <w:color w:val="000000"/>
          <w:szCs w:val="32"/>
        </w:rPr>
        <w:fldChar w:fldCharType="end"/>
      </w:r>
    </w:p>
    <w:p w14:paraId="7655DD04">
      <w:pPr>
        <w:pStyle w:val="28"/>
        <w:tabs>
          <w:tab w:val="right" w:leader="dot" w:pos="9070"/>
          <w:tab w:val="clear" w:pos="9060"/>
        </w:tabs>
      </w:pPr>
      <w:r>
        <w:rPr>
          <w:color w:val="000000"/>
          <w:szCs w:val="32"/>
        </w:rPr>
        <w:fldChar w:fldCharType="begin"/>
      </w:r>
      <w:r>
        <w:rPr>
          <w:szCs w:val="32"/>
        </w:rPr>
        <w:instrText xml:space="preserve"> HYPERLINK \l _Toc18877 </w:instrText>
      </w:r>
      <w:r>
        <w:rPr>
          <w:szCs w:val="32"/>
        </w:rPr>
        <w:fldChar w:fldCharType="separate"/>
      </w:r>
      <w:r>
        <w:rPr>
          <w:rFonts w:hint="default" w:ascii="Times New Roman" w:hAnsi="Times New Roman" w:eastAsia="宋体"/>
        </w:rPr>
        <w:t xml:space="preserve">11 </w:t>
      </w:r>
      <w:r>
        <w:rPr>
          <w:rFonts w:hint="eastAsia"/>
        </w:rPr>
        <w:t>附件</w:t>
      </w:r>
      <w:r>
        <w:tab/>
      </w:r>
      <w:r>
        <w:fldChar w:fldCharType="begin"/>
      </w:r>
      <w:r>
        <w:instrText xml:space="preserve"> PAGEREF _Toc18877 \h </w:instrText>
      </w:r>
      <w:r>
        <w:fldChar w:fldCharType="separate"/>
      </w:r>
      <w:r>
        <w:t>111</w:t>
      </w:r>
      <w:r>
        <w:fldChar w:fldCharType="end"/>
      </w:r>
      <w:r>
        <w:rPr>
          <w:color w:val="000000"/>
          <w:szCs w:val="32"/>
        </w:rPr>
        <w:fldChar w:fldCharType="end"/>
      </w:r>
    </w:p>
    <w:p w14:paraId="2A1D1270">
      <w:pPr>
        <w:pStyle w:val="33"/>
        <w:tabs>
          <w:tab w:val="right" w:leader="dot" w:pos="9070"/>
          <w:tab w:val="clear" w:pos="9060"/>
        </w:tabs>
      </w:pPr>
      <w:r>
        <w:rPr>
          <w:color w:val="000000"/>
          <w:szCs w:val="32"/>
        </w:rPr>
        <w:fldChar w:fldCharType="begin"/>
      </w:r>
      <w:r>
        <w:rPr>
          <w:szCs w:val="32"/>
        </w:rPr>
        <w:instrText xml:space="preserve"> HYPERLINK \l _Toc31779 </w:instrText>
      </w:r>
      <w:r>
        <w:rPr>
          <w:szCs w:val="32"/>
        </w:rPr>
        <w:fldChar w:fldCharType="separate"/>
      </w:r>
      <w:r>
        <w:rPr>
          <w:rFonts w:hint="eastAsia"/>
        </w:rPr>
        <w:t>附件1：本单位与相关施工人员资质证件</w:t>
      </w:r>
      <w:r>
        <w:tab/>
      </w:r>
      <w:r>
        <w:fldChar w:fldCharType="begin"/>
      </w:r>
      <w:r>
        <w:instrText xml:space="preserve"> PAGEREF _Toc31779 \h </w:instrText>
      </w:r>
      <w:r>
        <w:fldChar w:fldCharType="separate"/>
      </w:r>
      <w:r>
        <w:t>111</w:t>
      </w:r>
      <w:r>
        <w:fldChar w:fldCharType="end"/>
      </w:r>
      <w:r>
        <w:rPr>
          <w:color w:val="000000"/>
          <w:szCs w:val="32"/>
        </w:rPr>
        <w:fldChar w:fldCharType="end"/>
      </w:r>
    </w:p>
    <w:p w14:paraId="1693F731">
      <w:pPr>
        <w:pStyle w:val="33"/>
        <w:tabs>
          <w:tab w:val="right" w:leader="dot" w:pos="9070"/>
          <w:tab w:val="clear" w:pos="9060"/>
        </w:tabs>
      </w:pPr>
      <w:r>
        <w:rPr>
          <w:color w:val="000000"/>
          <w:szCs w:val="32"/>
        </w:rPr>
        <w:fldChar w:fldCharType="begin"/>
      </w:r>
      <w:r>
        <w:rPr>
          <w:szCs w:val="32"/>
        </w:rPr>
        <w:instrText xml:space="preserve"> HYPERLINK \l _Toc11629 </w:instrText>
      </w:r>
      <w:r>
        <w:rPr>
          <w:szCs w:val="32"/>
        </w:rPr>
        <w:fldChar w:fldCharType="separate"/>
      </w:r>
      <w:r>
        <w:rPr>
          <w:rFonts w:hint="eastAsia"/>
        </w:rPr>
        <w:t>附件2：</w:t>
      </w:r>
      <w:r>
        <w:rPr>
          <w:rFonts w:hint="eastAsia"/>
          <w:lang w:val="en-US" w:eastAsia="zh-CN"/>
        </w:rPr>
        <w:t>T7527-18</w:t>
      </w:r>
      <w:r>
        <w:rPr>
          <w:rFonts w:hint="eastAsia"/>
        </w:rPr>
        <w:t>塔式起重机技术资料</w:t>
      </w:r>
      <w:r>
        <w:tab/>
      </w:r>
      <w:r>
        <w:fldChar w:fldCharType="begin"/>
      </w:r>
      <w:r>
        <w:instrText xml:space="preserve"> PAGEREF _Toc11629 \h </w:instrText>
      </w:r>
      <w:r>
        <w:fldChar w:fldCharType="separate"/>
      </w:r>
      <w:r>
        <w:t>111</w:t>
      </w:r>
      <w:r>
        <w:fldChar w:fldCharType="end"/>
      </w:r>
      <w:r>
        <w:rPr>
          <w:color w:val="000000"/>
          <w:szCs w:val="32"/>
        </w:rPr>
        <w:fldChar w:fldCharType="end"/>
      </w:r>
    </w:p>
    <w:p w14:paraId="762E620E">
      <w:pPr>
        <w:pStyle w:val="33"/>
        <w:tabs>
          <w:tab w:val="right" w:leader="dot" w:pos="9070"/>
          <w:tab w:val="clear" w:pos="9060"/>
        </w:tabs>
      </w:pPr>
      <w:r>
        <w:rPr>
          <w:color w:val="000000"/>
          <w:szCs w:val="32"/>
        </w:rPr>
        <w:fldChar w:fldCharType="begin"/>
      </w:r>
      <w:r>
        <w:rPr>
          <w:szCs w:val="32"/>
        </w:rPr>
        <w:instrText xml:space="preserve"> HYPERLINK \l _Toc28365 </w:instrText>
      </w:r>
      <w:r>
        <w:rPr>
          <w:szCs w:val="32"/>
        </w:rPr>
        <w:fldChar w:fldCharType="separate"/>
      </w:r>
      <w:r>
        <w:rPr>
          <w:rFonts w:hint="eastAsia"/>
        </w:rPr>
        <w:t>附件</w:t>
      </w:r>
      <w:r>
        <w:rPr>
          <w:rFonts w:hint="eastAsia"/>
          <w:lang w:val="en-US" w:eastAsia="zh-CN"/>
        </w:rPr>
        <w:t>3</w:t>
      </w:r>
      <w:r>
        <w:rPr>
          <w:rFonts w:hint="eastAsia"/>
        </w:rPr>
        <w:t>：安装自检表</w:t>
      </w:r>
      <w:r>
        <w:tab/>
      </w:r>
      <w:r>
        <w:fldChar w:fldCharType="begin"/>
      </w:r>
      <w:r>
        <w:instrText xml:space="preserve"> PAGEREF _Toc28365 \h </w:instrText>
      </w:r>
      <w:r>
        <w:fldChar w:fldCharType="separate"/>
      </w:r>
      <w:r>
        <w:t>111</w:t>
      </w:r>
      <w:r>
        <w:fldChar w:fldCharType="end"/>
      </w:r>
      <w:r>
        <w:rPr>
          <w:color w:val="000000"/>
          <w:szCs w:val="32"/>
        </w:rPr>
        <w:fldChar w:fldCharType="end"/>
      </w:r>
    </w:p>
    <w:p w14:paraId="41D1B534">
      <w:pPr>
        <w:tabs>
          <w:tab w:val="right" w:leader="dot" w:pos="9060"/>
        </w:tabs>
        <w:spacing w:line="480" w:lineRule="exact"/>
        <w:ind w:firstLine="0" w:firstLineChars="0"/>
        <w:jc w:val="center"/>
        <w:rPr>
          <w:color w:val="000000" w:themeColor="text1"/>
          <w:sz w:val="48"/>
          <w:szCs w:val="32"/>
          <w14:textFill>
            <w14:solidFill>
              <w14:schemeClr w14:val="tx1"/>
            </w14:solidFill>
          </w14:textFill>
        </w:rPr>
        <w:sectPr>
          <w:headerReference r:id="rId11" w:type="default"/>
          <w:footerReference r:id="rId12"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14:paraId="69E1758D">
      <w:pPr>
        <w:pStyle w:val="2"/>
        <w:keepNext/>
        <w:keepLines/>
        <w:pageBreakBefore w:val="0"/>
        <w:widowControl w:val="0"/>
        <w:kinsoku/>
        <w:wordWrap/>
        <w:overflowPunct/>
        <w:topLinePunct w:val="0"/>
        <w:autoSpaceDE/>
        <w:autoSpaceDN/>
        <w:bidi w:val="0"/>
        <w:adjustRightInd/>
        <w:snapToGrid/>
        <w:ind w:left="0" w:leftChars="0" w:firstLineChars="0"/>
        <w:jc w:val="center"/>
        <w:textAlignment w:val="auto"/>
      </w:pPr>
      <w:bookmarkStart w:id="15" w:name="_Toc26437"/>
      <w:bookmarkStart w:id="16" w:name="_Toc40778426"/>
      <w:bookmarkStart w:id="17" w:name="_Toc6385"/>
      <w:bookmarkStart w:id="18" w:name="_Toc29570"/>
      <w:r>
        <w:rPr>
          <w:rFonts w:hint="eastAsia"/>
        </w:rPr>
        <w:t>编制</w:t>
      </w:r>
      <w:bookmarkEnd w:id="15"/>
      <w:bookmarkEnd w:id="16"/>
      <w:r>
        <w:rPr>
          <w:rFonts w:hint="eastAsia"/>
        </w:rPr>
        <w:t>说明、依据及适用范围</w:t>
      </w:r>
      <w:bookmarkEnd w:id="17"/>
      <w:bookmarkEnd w:id="18"/>
    </w:p>
    <w:p w14:paraId="38FC237B">
      <w:pPr>
        <w:pStyle w:val="3"/>
      </w:pPr>
      <w:bookmarkStart w:id="19" w:name="_Toc15521"/>
      <w:bookmarkStart w:id="20" w:name="_Toc21803"/>
      <w:bookmarkStart w:id="21" w:name="_Toc2002"/>
      <w:bookmarkStart w:id="22" w:name="_Toc40778430"/>
      <w:bookmarkStart w:id="23" w:name="_Toc10416"/>
      <w:bookmarkStart w:id="24" w:name="_Toc8330"/>
      <w:r>
        <w:rPr>
          <w:rFonts w:hint="eastAsia"/>
        </w:rPr>
        <w:t>编制</w:t>
      </w:r>
      <w:bookmarkEnd w:id="19"/>
      <w:bookmarkEnd w:id="20"/>
      <w:bookmarkEnd w:id="21"/>
      <w:bookmarkEnd w:id="22"/>
      <w:r>
        <w:rPr>
          <w:rFonts w:hint="eastAsia"/>
        </w:rPr>
        <w:t>说明</w:t>
      </w:r>
      <w:bookmarkEnd w:id="23"/>
      <w:bookmarkEnd w:id="24"/>
    </w:p>
    <w:p w14:paraId="7E6A6782">
      <w:pPr>
        <w:ind w:firstLine="480"/>
      </w:pPr>
      <w:r>
        <w:rPr>
          <w:rFonts w:hint="eastAsia"/>
        </w:rPr>
        <w:t>因</w:t>
      </w: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r>
        <w:rPr>
          <w:rFonts w:hint="eastAsia"/>
        </w:rPr>
        <w:t>施工需要，需要采用</w:t>
      </w:r>
      <w:r>
        <w:rPr>
          <w:rFonts w:hint="eastAsia"/>
          <w:lang w:val="en-US" w:eastAsia="zh-CN"/>
        </w:rPr>
        <w:t>1</w:t>
      </w:r>
      <w:r>
        <w:rPr>
          <w:rFonts w:hint="eastAsia"/>
        </w:rPr>
        <w:t>台</w:t>
      </w:r>
      <w:r>
        <w:rPr>
          <w:rFonts w:hint="eastAsia"/>
          <w:color w:val="000000" w:themeColor="text1"/>
          <w14:textFill>
            <w14:solidFill>
              <w14:schemeClr w14:val="tx1"/>
            </w14:solidFill>
          </w14:textFill>
        </w:rPr>
        <w:t>T</w:t>
      </w:r>
      <w:r>
        <w:rPr>
          <w:rFonts w:hint="eastAsia"/>
          <w:color w:val="000000" w:themeColor="text1"/>
          <w:lang w:val="en-US" w:eastAsia="zh-CN"/>
          <w14:textFill>
            <w14:solidFill>
              <w14:schemeClr w14:val="tx1"/>
            </w14:solidFill>
          </w14:textFill>
        </w:rPr>
        <w:t>7527</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18</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用于</w:t>
      </w:r>
      <w:r>
        <w:fldChar w:fldCharType="begin"/>
      </w:r>
      <w:r>
        <w:instrText xml:space="preserve"> REF 设备位置 \h </w:instrText>
      </w:r>
      <w:r>
        <w:fldChar w:fldCharType="separate"/>
      </w:r>
      <w:r>
        <w:rPr>
          <w:rFonts w:hint="eastAsia"/>
          <w:lang w:eastAsia="zh-CN"/>
        </w:rPr>
        <w:t>马鹿塘大桥</w:t>
      </w:r>
      <w:r>
        <w:fldChar w:fldCharType="end"/>
      </w:r>
      <w:r>
        <w:rPr>
          <w:rFonts w:hint="eastAsia"/>
          <w:lang w:val="en-US" w:eastAsia="zh-CN"/>
        </w:rPr>
        <w:t>右5#墩</w:t>
      </w:r>
      <w:r>
        <w:rPr>
          <w:rFonts w:hint="eastAsia"/>
        </w:rPr>
        <w:t>施工，为认真、全面、系统地做好设备安装安全和质量等工作，防止环境污染，合理安排施工工期，编制本设备安装拆除专项施工方案。</w:t>
      </w:r>
    </w:p>
    <w:p w14:paraId="7E7AE183">
      <w:pPr>
        <w:ind w:firstLine="480"/>
      </w:pPr>
      <w:r>
        <w:rPr>
          <w:rFonts w:hint="eastAsia"/>
        </w:rPr>
        <w:t>本单位负责</w:t>
      </w:r>
      <w:r>
        <w:rPr>
          <w:rFonts w:hint="eastAsia"/>
          <w:color w:val="000000" w:themeColor="text1"/>
          <w14:textFill>
            <w14:solidFill>
              <w14:schemeClr w14:val="tx1"/>
            </w14:solidFill>
          </w14:textFill>
        </w:rPr>
        <w:t>T</w:t>
      </w:r>
      <w:r>
        <w:rPr>
          <w:rFonts w:hint="eastAsia"/>
          <w:color w:val="000000" w:themeColor="text1"/>
          <w:lang w:val="en-US" w:eastAsia="zh-CN"/>
          <w14:textFill>
            <w14:solidFill>
              <w14:schemeClr w14:val="tx1"/>
            </w14:solidFill>
          </w14:textFill>
        </w:rPr>
        <w:t>7527</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18</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的安装拆除、安全装置调试、附着安装、试验验收等具体实施工作。</w:t>
      </w:r>
    </w:p>
    <w:p w14:paraId="6F4F75D2">
      <w:pPr>
        <w:pStyle w:val="3"/>
      </w:pPr>
      <w:bookmarkStart w:id="25" w:name="_Toc40778428"/>
      <w:bookmarkStart w:id="26" w:name="_Toc31425"/>
      <w:bookmarkStart w:id="27" w:name="_Toc17411"/>
      <w:bookmarkStart w:id="28" w:name="_Toc18637"/>
      <w:bookmarkStart w:id="29" w:name="_Toc31747"/>
      <w:bookmarkStart w:id="30" w:name="_Toc10843"/>
      <w:r>
        <w:rPr>
          <w:rFonts w:hint="eastAsia"/>
        </w:rPr>
        <w:t>编制依据</w:t>
      </w:r>
      <w:bookmarkEnd w:id="25"/>
      <w:bookmarkEnd w:id="26"/>
      <w:bookmarkEnd w:id="27"/>
      <w:bookmarkEnd w:id="28"/>
      <w:bookmarkEnd w:id="29"/>
      <w:bookmarkEnd w:id="30"/>
    </w:p>
    <w:p w14:paraId="4E253D17">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14:paraId="05EDD977">
      <w:pPr>
        <w:pStyle w:val="16"/>
      </w:pPr>
      <w:bookmarkStart w:id="31"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31"/>
      <w:r>
        <w:rPr>
          <w:rFonts w:hint="eastAsia"/>
        </w:rPr>
        <w:t xml:space="preserve"> </w:t>
      </w:r>
      <w:bookmarkStart w:id="32" w:name="_Ref117609224"/>
      <w:r>
        <w:rPr>
          <w:rFonts w:hint="eastAsia"/>
        </w:rPr>
        <w:t>编制依据</w:t>
      </w:r>
      <w:bookmarkEnd w:id="32"/>
      <w:r>
        <w:rPr>
          <w:rFonts w:hint="eastAsia"/>
        </w:rPr>
        <w:t>表</w:t>
      </w:r>
    </w:p>
    <w:tbl>
      <w:tblPr>
        <w:tblStyle w:val="14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3AA2D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28D924A9">
            <w:pPr>
              <w:pStyle w:val="17"/>
              <w:rPr>
                <w:b/>
              </w:rPr>
            </w:pPr>
            <w:r>
              <w:rPr>
                <w:rFonts w:hint="eastAsia"/>
                <w:b/>
              </w:rPr>
              <w:t>序号</w:t>
            </w:r>
          </w:p>
        </w:tc>
        <w:tc>
          <w:tcPr>
            <w:tcW w:w="1284" w:type="pct"/>
            <w:shd w:val="clear" w:color="auto" w:fill="auto"/>
            <w:vAlign w:val="center"/>
          </w:tcPr>
          <w:p w14:paraId="1245420E">
            <w:pPr>
              <w:pStyle w:val="17"/>
              <w:rPr>
                <w:b/>
              </w:rPr>
            </w:pPr>
            <w:r>
              <w:rPr>
                <w:rFonts w:hint="eastAsia"/>
                <w:b/>
              </w:rPr>
              <w:t>标准号（文件日期）</w:t>
            </w:r>
          </w:p>
        </w:tc>
        <w:tc>
          <w:tcPr>
            <w:tcW w:w="2654" w:type="pct"/>
            <w:shd w:val="clear" w:color="auto" w:fill="auto"/>
            <w:vAlign w:val="center"/>
          </w:tcPr>
          <w:p w14:paraId="4782BD07">
            <w:pPr>
              <w:pStyle w:val="17"/>
              <w:rPr>
                <w:b/>
              </w:rPr>
            </w:pPr>
            <w:r>
              <w:rPr>
                <w:rFonts w:hint="eastAsia"/>
                <w:b/>
              </w:rPr>
              <w:t>标准（文件）名称</w:t>
            </w:r>
          </w:p>
        </w:tc>
        <w:tc>
          <w:tcPr>
            <w:tcW w:w="641" w:type="pct"/>
            <w:shd w:val="clear" w:color="auto" w:fill="auto"/>
            <w:vAlign w:val="center"/>
          </w:tcPr>
          <w:p w14:paraId="2DBFD840">
            <w:pPr>
              <w:pStyle w:val="17"/>
              <w:rPr>
                <w:b/>
              </w:rPr>
            </w:pPr>
            <w:r>
              <w:rPr>
                <w:rFonts w:hint="eastAsia"/>
                <w:b/>
              </w:rPr>
              <w:t>备注</w:t>
            </w:r>
          </w:p>
        </w:tc>
      </w:tr>
      <w:tr w14:paraId="619F5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BA7224A">
            <w:pPr>
              <w:pStyle w:val="17"/>
              <w:numPr>
                <w:ilvl w:val="0"/>
                <w:numId w:val="6"/>
              </w:numPr>
            </w:pPr>
          </w:p>
        </w:tc>
        <w:tc>
          <w:tcPr>
            <w:tcW w:w="1284" w:type="pct"/>
            <w:shd w:val="clear" w:color="auto" w:fill="auto"/>
            <w:vAlign w:val="center"/>
          </w:tcPr>
          <w:p w14:paraId="31B85A50">
            <w:pPr>
              <w:pStyle w:val="17"/>
            </w:pPr>
          </w:p>
        </w:tc>
        <w:tc>
          <w:tcPr>
            <w:tcW w:w="2654" w:type="pct"/>
            <w:shd w:val="clear" w:color="auto" w:fill="auto"/>
            <w:vAlign w:val="center"/>
          </w:tcPr>
          <w:p w14:paraId="7C90BEF5">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地质勘察报告</w:t>
            </w:r>
          </w:p>
        </w:tc>
        <w:tc>
          <w:tcPr>
            <w:tcW w:w="641" w:type="pct"/>
            <w:shd w:val="clear" w:color="auto" w:fill="auto"/>
            <w:vAlign w:val="center"/>
          </w:tcPr>
          <w:p w14:paraId="2572DEF2">
            <w:pPr>
              <w:pStyle w:val="17"/>
            </w:pPr>
            <w:r>
              <w:rPr>
                <w:rFonts w:hint="eastAsia"/>
              </w:rPr>
              <w:t>勘察文件</w:t>
            </w:r>
          </w:p>
        </w:tc>
      </w:tr>
      <w:tr w14:paraId="12E89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26812BD">
            <w:pPr>
              <w:pStyle w:val="17"/>
              <w:numPr>
                <w:ilvl w:val="0"/>
                <w:numId w:val="6"/>
              </w:numPr>
            </w:pPr>
          </w:p>
        </w:tc>
        <w:tc>
          <w:tcPr>
            <w:tcW w:w="1284" w:type="pct"/>
            <w:shd w:val="clear" w:color="auto" w:fill="auto"/>
            <w:vAlign w:val="center"/>
          </w:tcPr>
          <w:p w14:paraId="753AE9B6">
            <w:pPr>
              <w:pStyle w:val="17"/>
            </w:pPr>
          </w:p>
        </w:tc>
        <w:tc>
          <w:tcPr>
            <w:tcW w:w="2654" w:type="pct"/>
            <w:shd w:val="clear" w:color="auto" w:fill="auto"/>
            <w:vAlign w:val="center"/>
          </w:tcPr>
          <w:p w14:paraId="1737B674">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施工组织设计</w:t>
            </w:r>
          </w:p>
        </w:tc>
        <w:tc>
          <w:tcPr>
            <w:tcW w:w="641" w:type="pct"/>
            <w:shd w:val="clear" w:color="auto" w:fill="auto"/>
            <w:vAlign w:val="center"/>
          </w:tcPr>
          <w:p w14:paraId="7BCD48D3">
            <w:pPr>
              <w:pStyle w:val="17"/>
            </w:pPr>
            <w:r>
              <w:rPr>
                <w:rFonts w:hint="eastAsia"/>
              </w:rPr>
              <w:t>设计文件</w:t>
            </w:r>
          </w:p>
        </w:tc>
      </w:tr>
      <w:tr w14:paraId="04357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5E547AF">
            <w:pPr>
              <w:pStyle w:val="17"/>
              <w:numPr>
                <w:ilvl w:val="0"/>
                <w:numId w:val="6"/>
              </w:numPr>
            </w:pPr>
          </w:p>
        </w:tc>
        <w:tc>
          <w:tcPr>
            <w:tcW w:w="1284" w:type="pct"/>
            <w:shd w:val="clear" w:color="auto" w:fill="auto"/>
            <w:vAlign w:val="center"/>
          </w:tcPr>
          <w:p w14:paraId="0ECC3E73">
            <w:pPr>
              <w:pStyle w:val="17"/>
            </w:pPr>
            <w:r>
              <w:rPr>
                <w:rFonts w:hint="eastAsia"/>
              </w:rPr>
              <w:t>主席令第4号</w:t>
            </w:r>
          </w:p>
        </w:tc>
        <w:tc>
          <w:tcPr>
            <w:tcW w:w="2654" w:type="pct"/>
            <w:shd w:val="clear" w:color="auto" w:fill="auto"/>
            <w:vAlign w:val="center"/>
          </w:tcPr>
          <w:p w14:paraId="72C2565E">
            <w:pPr>
              <w:pStyle w:val="17"/>
            </w:pPr>
            <w:r>
              <w:rPr>
                <w:rFonts w:hint="eastAsia"/>
              </w:rPr>
              <w:t>中华人民共和国特种设备安全法</w:t>
            </w:r>
          </w:p>
        </w:tc>
        <w:tc>
          <w:tcPr>
            <w:tcW w:w="641" w:type="pct"/>
            <w:vMerge w:val="restart"/>
            <w:shd w:val="clear" w:color="auto" w:fill="auto"/>
            <w:vAlign w:val="center"/>
          </w:tcPr>
          <w:p w14:paraId="69197E3B">
            <w:pPr>
              <w:pStyle w:val="17"/>
            </w:pPr>
            <w:r>
              <w:rPr>
                <w:rFonts w:hint="eastAsia"/>
              </w:rPr>
              <w:t>法律</w:t>
            </w:r>
          </w:p>
        </w:tc>
      </w:tr>
      <w:tr w14:paraId="6A05C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9B0AD95">
            <w:pPr>
              <w:pStyle w:val="17"/>
              <w:numPr>
                <w:ilvl w:val="0"/>
                <w:numId w:val="6"/>
              </w:numPr>
            </w:pPr>
          </w:p>
        </w:tc>
        <w:tc>
          <w:tcPr>
            <w:tcW w:w="1284" w:type="pct"/>
            <w:shd w:val="clear" w:color="auto" w:fill="auto"/>
            <w:vAlign w:val="center"/>
          </w:tcPr>
          <w:p w14:paraId="6501C6D4">
            <w:pPr>
              <w:pStyle w:val="17"/>
            </w:pPr>
            <w:r>
              <w:rPr>
                <w:rFonts w:hint="eastAsia"/>
              </w:rPr>
              <w:t>主席令第</w:t>
            </w:r>
            <w:r>
              <w:t>9</w:t>
            </w:r>
            <w:r>
              <w:rPr>
                <w:rFonts w:hint="eastAsia"/>
              </w:rPr>
              <w:t>号</w:t>
            </w:r>
          </w:p>
        </w:tc>
        <w:tc>
          <w:tcPr>
            <w:tcW w:w="2654" w:type="pct"/>
            <w:shd w:val="clear" w:color="auto" w:fill="auto"/>
            <w:vAlign w:val="center"/>
          </w:tcPr>
          <w:p w14:paraId="2C538434">
            <w:pPr>
              <w:pStyle w:val="17"/>
            </w:pPr>
            <w:r>
              <w:rPr>
                <w:rFonts w:hint="eastAsia"/>
              </w:rPr>
              <w:t>中华人民共和国环境保护法</w:t>
            </w:r>
          </w:p>
        </w:tc>
        <w:tc>
          <w:tcPr>
            <w:tcW w:w="641" w:type="pct"/>
            <w:vMerge w:val="continue"/>
            <w:shd w:val="clear" w:color="auto" w:fill="auto"/>
            <w:vAlign w:val="center"/>
          </w:tcPr>
          <w:p w14:paraId="33DD22DB">
            <w:pPr>
              <w:pStyle w:val="17"/>
            </w:pPr>
          </w:p>
        </w:tc>
      </w:tr>
      <w:tr w14:paraId="2952C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6719F68">
            <w:pPr>
              <w:pStyle w:val="17"/>
              <w:numPr>
                <w:ilvl w:val="0"/>
                <w:numId w:val="6"/>
              </w:numPr>
            </w:pPr>
          </w:p>
        </w:tc>
        <w:tc>
          <w:tcPr>
            <w:tcW w:w="1284" w:type="pct"/>
            <w:shd w:val="clear" w:color="auto" w:fill="auto"/>
            <w:vAlign w:val="center"/>
          </w:tcPr>
          <w:p w14:paraId="4E7920ED">
            <w:pPr>
              <w:pStyle w:val="17"/>
            </w:pPr>
            <w:r>
              <w:rPr>
                <w:rFonts w:hint="eastAsia"/>
              </w:rPr>
              <w:t>主席令第</w:t>
            </w:r>
            <w:r>
              <w:t>29</w:t>
            </w:r>
            <w:r>
              <w:rPr>
                <w:rFonts w:hint="eastAsia"/>
              </w:rPr>
              <w:t>号</w:t>
            </w:r>
          </w:p>
        </w:tc>
        <w:tc>
          <w:tcPr>
            <w:tcW w:w="2654" w:type="pct"/>
            <w:shd w:val="clear" w:color="auto" w:fill="auto"/>
            <w:vAlign w:val="center"/>
          </w:tcPr>
          <w:p w14:paraId="26F7480E">
            <w:pPr>
              <w:pStyle w:val="17"/>
            </w:pPr>
            <w:r>
              <w:rPr>
                <w:rFonts w:hint="eastAsia"/>
              </w:rPr>
              <w:t>中华人民共和国建筑法</w:t>
            </w:r>
          </w:p>
        </w:tc>
        <w:tc>
          <w:tcPr>
            <w:tcW w:w="641" w:type="pct"/>
            <w:vMerge w:val="continue"/>
            <w:shd w:val="clear" w:color="auto" w:fill="auto"/>
            <w:vAlign w:val="center"/>
          </w:tcPr>
          <w:p w14:paraId="14F00DA9">
            <w:pPr>
              <w:pStyle w:val="17"/>
            </w:pPr>
          </w:p>
        </w:tc>
      </w:tr>
      <w:tr w14:paraId="43663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3797DD1">
            <w:pPr>
              <w:pStyle w:val="17"/>
              <w:numPr>
                <w:ilvl w:val="0"/>
                <w:numId w:val="6"/>
              </w:numPr>
            </w:pPr>
          </w:p>
        </w:tc>
        <w:tc>
          <w:tcPr>
            <w:tcW w:w="1284" w:type="pct"/>
            <w:shd w:val="clear" w:color="auto" w:fill="auto"/>
            <w:vAlign w:val="center"/>
          </w:tcPr>
          <w:p w14:paraId="46EFC745">
            <w:pPr>
              <w:pStyle w:val="17"/>
            </w:pPr>
            <w:r>
              <w:rPr>
                <w:rFonts w:hint="eastAsia"/>
              </w:rPr>
              <w:t>主席令第</w:t>
            </w:r>
            <w:r>
              <w:t>69</w:t>
            </w:r>
            <w:r>
              <w:rPr>
                <w:rFonts w:hint="eastAsia"/>
              </w:rPr>
              <w:t>号</w:t>
            </w:r>
          </w:p>
        </w:tc>
        <w:tc>
          <w:tcPr>
            <w:tcW w:w="2654" w:type="pct"/>
            <w:shd w:val="clear" w:color="auto" w:fill="auto"/>
            <w:vAlign w:val="center"/>
          </w:tcPr>
          <w:p w14:paraId="32CC2E83">
            <w:pPr>
              <w:pStyle w:val="17"/>
            </w:pPr>
            <w:r>
              <w:rPr>
                <w:rFonts w:hint="eastAsia"/>
              </w:rPr>
              <w:t>中华人民共和国突发事件应对法</w:t>
            </w:r>
          </w:p>
        </w:tc>
        <w:tc>
          <w:tcPr>
            <w:tcW w:w="641" w:type="pct"/>
            <w:vMerge w:val="continue"/>
            <w:shd w:val="clear" w:color="auto" w:fill="auto"/>
            <w:vAlign w:val="center"/>
          </w:tcPr>
          <w:p w14:paraId="73541E2F">
            <w:pPr>
              <w:pStyle w:val="17"/>
            </w:pPr>
          </w:p>
        </w:tc>
      </w:tr>
      <w:tr w14:paraId="75607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D783E2C">
            <w:pPr>
              <w:pStyle w:val="17"/>
              <w:numPr>
                <w:ilvl w:val="0"/>
                <w:numId w:val="6"/>
              </w:numPr>
            </w:pPr>
          </w:p>
        </w:tc>
        <w:tc>
          <w:tcPr>
            <w:tcW w:w="1284" w:type="pct"/>
            <w:shd w:val="clear" w:color="auto" w:fill="auto"/>
            <w:vAlign w:val="center"/>
          </w:tcPr>
          <w:p w14:paraId="3B01CBFA">
            <w:pPr>
              <w:pStyle w:val="17"/>
            </w:pPr>
            <w:r>
              <w:rPr>
                <w:rFonts w:hint="eastAsia"/>
              </w:rPr>
              <w:t>主席令第</w:t>
            </w:r>
            <w:r>
              <w:t>88</w:t>
            </w:r>
            <w:r>
              <w:rPr>
                <w:rFonts w:hint="eastAsia"/>
              </w:rPr>
              <w:t>号</w:t>
            </w:r>
          </w:p>
        </w:tc>
        <w:tc>
          <w:tcPr>
            <w:tcW w:w="2654" w:type="pct"/>
            <w:shd w:val="clear" w:color="auto" w:fill="auto"/>
            <w:vAlign w:val="center"/>
          </w:tcPr>
          <w:p w14:paraId="44AC4CDC">
            <w:pPr>
              <w:pStyle w:val="17"/>
            </w:pPr>
            <w:r>
              <w:t>中华人民共和国安全生产法</w:t>
            </w:r>
          </w:p>
        </w:tc>
        <w:tc>
          <w:tcPr>
            <w:tcW w:w="641" w:type="pct"/>
            <w:vMerge w:val="continue"/>
            <w:shd w:val="clear" w:color="auto" w:fill="auto"/>
            <w:vAlign w:val="center"/>
          </w:tcPr>
          <w:p w14:paraId="79BAAFF5">
            <w:pPr>
              <w:pStyle w:val="17"/>
            </w:pPr>
          </w:p>
        </w:tc>
      </w:tr>
      <w:tr w14:paraId="3CCD9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71540C3">
            <w:pPr>
              <w:pStyle w:val="17"/>
              <w:numPr>
                <w:ilvl w:val="0"/>
                <w:numId w:val="6"/>
              </w:numPr>
            </w:pPr>
          </w:p>
        </w:tc>
        <w:tc>
          <w:tcPr>
            <w:tcW w:w="1284" w:type="pct"/>
            <w:shd w:val="clear" w:color="auto" w:fill="auto"/>
            <w:vAlign w:val="center"/>
          </w:tcPr>
          <w:p w14:paraId="7062F99E">
            <w:pPr>
              <w:pStyle w:val="17"/>
            </w:pPr>
            <w:r>
              <w:rPr>
                <w:rFonts w:hint="eastAsia"/>
              </w:rPr>
              <w:t>国务院令第279号</w:t>
            </w:r>
          </w:p>
        </w:tc>
        <w:tc>
          <w:tcPr>
            <w:tcW w:w="2654" w:type="pct"/>
            <w:shd w:val="clear" w:color="auto" w:fill="auto"/>
            <w:vAlign w:val="center"/>
          </w:tcPr>
          <w:p w14:paraId="1A04C520">
            <w:pPr>
              <w:pStyle w:val="17"/>
            </w:pPr>
            <w:r>
              <w:rPr>
                <w:rFonts w:hint="eastAsia"/>
              </w:rPr>
              <w:t>建设工程质量管理条例</w:t>
            </w:r>
          </w:p>
        </w:tc>
        <w:tc>
          <w:tcPr>
            <w:tcW w:w="641" w:type="pct"/>
            <w:vMerge w:val="restart"/>
            <w:shd w:val="clear" w:color="auto" w:fill="auto"/>
            <w:vAlign w:val="center"/>
          </w:tcPr>
          <w:p w14:paraId="7FCBCD1B">
            <w:pPr>
              <w:pStyle w:val="17"/>
            </w:pPr>
            <w:r>
              <w:rPr>
                <w:rFonts w:hint="eastAsia"/>
              </w:rPr>
              <w:t>法规</w:t>
            </w:r>
          </w:p>
        </w:tc>
      </w:tr>
      <w:tr w14:paraId="6D2FF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86FDC6D">
            <w:pPr>
              <w:pStyle w:val="17"/>
              <w:numPr>
                <w:ilvl w:val="0"/>
                <w:numId w:val="6"/>
              </w:numPr>
            </w:pPr>
          </w:p>
        </w:tc>
        <w:tc>
          <w:tcPr>
            <w:tcW w:w="1284" w:type="pct"/>
            <w:shd w:val="clear" w:color="auto" w:fill="auto"/>
            <w:vAlign w:val="center"/>
          </w:tcPr>
          <w:p w14:paraId="1D827675">
            <w:pPr>
              <w:pStyle w:val="17"/>
            </w:pPr>
            <w:r>
              <w:rPr>
                <w:rFonts w:hint="eastAsia"/>
              </w:rPr>
              <w:t>国务院令第393号</w:t>
            </w:r>
          </w:p>
        </w:tc>
        <w:tc>
          <w:tcPr>
            <w:tcW w:w="2654" w:type="pct"/>
            <w:shd w:val="clear" w:color="auto" w:fill="auto"/>
            <w:vAlign w:val="center"/>
          </w:tcPr>
          <w:p w14:paraId="40B377C1">
            <w:pPr>
              <w:pStyle w:val="17"/>
            </w:pPr>
            <w:r>
              <w:rPr>
                <w:rFonts w:hint="eastAsia"/>
              </w:rPr>
              <w:t>建设工程安全生产管理条例</w:t>
            </w:r>
          </w:p>
        </w:tc>
        <w:tc>
          <w:tcPr>
            <w:tcW w:w="641" w:type="pct"/>
            <w:vMerge w:val="continue"/>
            <w:shd w:val="clear" w:color="auto" w:fill="auto"/>
            <w:vAlign w:val="center"/>
          </w:tcPr>
          <w:p w14:paraId="347AEB72">
            <w:pPr>
              <w:pStyle w:val="17"/>
            </w:pPr>
          </w:p>
        </w:tc>
      </w:tr>
      <w:tr w14:paraId="095EA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CFAD9CE">
            <w:pPr>
              <w:pStyle w:val="17"/>
              <w:numPr>
                <w:ilvl w:val="0"/>
                <w:numId w:val="6"/>
              </w:numPr>
            </w:pPr>
          </w:p>
        </w:tc>
        <w:tc>
          <w:tcPr>
            <w:tcW w:w="1284" w:type="pct"/>
            <w:shd w:val="clear" w:color="auto" w:fill="auto"/>
            <w:vAlign w:val="center"/>
          </w:tcPr>
          <w:p w14:paraId="42C25AC0">
            <w:pPr>
              <w:pStyle w:val="17"/>
            </w:pPr>
            <w:r>
              <w:t>国务院令第397号</w:t>
            </w:r>
          </w:p>
        </w:tc>
        <w:tc>
          <w:tcPr>
            <w:tcW w:w="2654" w:type="pct"/>
            <w:shd w:val="clear" w:color="auto" w:fill="auto"/>
            <w:vAlign w:val="center"/>
          </w:tcPr>
          <w:p w14:paraId="73DBEBF4">
            <w:pPr>
              <w:pStyle w:val="17"/>
            </w:pPr>
            <w:r>
              <w:t>安全生产许可证条例（2014年修订）</w:t>
            </w:r>
          </w:p>
        </w:tc>
        <w:tc>
          <w:tcPr>
            <w:tcW w:w="641" w:type="pct"/>
            <w:vMerge w:val="continue"/>
            <w:shd w:val="clear" w:color="auto" w:fill="auto"/>
            <w:vAlign w:val="center"/>
          </w:tcPr>
          <w:p w14:paraId="5E57E632">
            <w:pPr>
              <w:pStyle w:val="17"/>
            </w:pPr>
          </w:p>
        </w:tc>
      </w:tr>
      <w:tr w14:paraId="37025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3C9EBA7">
            <w:pPr>
              <w:pStyle w:val="17"/>
              <w:numPr>
                <w:ilvl w:val="0"/>
                <w:numId w:val="6"/>
              </w:numPr>
            </w:pPr>
          </w:p>
        </w:tc>
        <w:tc>
          <w:tcPr>
            <w:tcW w:w="1284" w:type="pct"/>
            <w:shd w:val="clear" w:color="auto" w:fill="auto"/>
            <w:vAlign w:val="center"/>
          </w:tcPr>
          <w:p w14:paraId="18E4B4A3">
            <w:pPr>
              <w:pStyle w:val="17"/>
            </w:pPr>
            <w:r>
              <w:rPr>
                <w:rFonts w:hint="eastAsia"/>
              </w:rPr>
              <w:t>国务院令第549号</w:t>
            </w:r>
          </w:p>
        </w:tc>
        <w:tc>
          <w:tcPr>
            <w:tcW w:w="2654" w:type="pct"/>
            <w:shd w:val="clear" w:color="auto" w:fill="auto"/>
            <w:vAlign w:val="center"/>
          </w:tcPr>
          <w:p w14:paraId="53F8DFFA">
            <w:pPr>
              <w:pStyle w:val="17"/>
            </w:pPr>
            <w:r>
              <w:rPr>
                <w:rFonts w:hint="eastAsia"/>
              </w:rPr>
              <w:t>特种设备安全监察条例</w:t>
            </w:r>
          </w:p>
        </w:tc>
        <w:tc>
          <w:tcPr>
            <w:tcW w:w="641" w:type="pct"/>
            <w:vMerge w:val="continue"/>
            <w:shd w:val="clear" w:color="auto" w:fill="auto"/>
            <w:vAlign w:val="center"/>
          </w:tcPr>
          <w:p w14:paraId="09E0B2FB">
            <w:pPr>
              <w:pStyle w:val="17"/>
            </w:pPr>
          </w:p>
        </w:tc>
      </w:tr>
      <w:tr w14:paraId="7C0E7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D15D710">
            <w:pPr>
              <w:pStyle w:val="17"/>
              <w:numPr>
                <w:ilvl w:val="0"/>
                <w:numId w:val="6"/>
              </w:numPr>
            </w:pPr>
          </w:p>
        </w:tc>
        <w:tc>
          <w:tcPr>
            <w:tcW w:w="1284" w:type="pct"/>
            <w:shd w:val="clear" w:color="auto" w:fill="auto"/>
            <w:vAlign w:val="center"/>
          </w:tcPr>
          <w:p w14:paraId="24C89707">
            <w:pPr>
              <w:pStyle w:val="17"/>
            </w:pPr>
            <w:r>
              <w:rPr>
                <w:rFonts w:hint="eastAsia"/>
              </w:rPr>
              <w:t>安监局令第</w:t>
            </w:r>
            <w:r>
              <w:t>30</w:t>
            </w:r>
            <w:r>
              <w:rPr>
                <w:rFonts w:hint="eastAsia"/>
              </w:rPr>
              <w:t>号</w:t>
            </w:r>
          </w:p>
        </w:tc>
        <w:tc>
          <w:tcPr>
            <w:tcW w:w="2654" w:type="pct"/>
            <w:shd w:val="clear" w:color="auto" w:fill="auto"/>
            <w:vAlign w:val="center"/>
          </w:tcPr>
          <w:p w14:paraId="511CD42F">
            <w:pPr>
              <w:pStyle w:val="17"/>
            </w:pPr>
            <w:r>
              <w:rPr>
                <w:rFonts w:hint="eastAsia"/>
              </w:rPr>
              <w:t>特种作业人员安全技术培训考核管理办法</w:t>
            </w:r>
          </w:p>
        </w:tc>
        <w:tc>
          <w:tcPr>
            <w:tcW w:w="641" w:type="pct"/>
            <w:shd w:val="clear" w:color="auto" w:fill="auto"/>
            <w:vAlign w:val="center"/>
          </w:tcPr>
          <w:p w14:paraId="4B382789">
            <w:pPr>
              <w:pStyle w:val="17"/>
            </w:pPr>
            <w:r>
              <w:rPr>
                <w:rFonts w:hint="eastAsia"/>
              </w:rPr>
              <w:t>应急管理部</w:t>
            </w:r>
          </w:p>
        </w:tc>
      </w:tr>
      <w:tr w14:paraId="1E082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E6360C6">
            <w:pPr>
              <w:pStyle w:val="17"/>
              <w:numPr>
                <w:ilvl w:val="0"/>
                <w:numId w:val="6"/>
              </w:numPr>
            </w:pPr>
          </w:p>
        </w:tc>
        <w:tc>
          <w:tcPr>
            <w:tcW w:w="1284" w:type="pct"/>
            <w:shd w:val="clear" w:color="auto" w:fill="auto"/>
            <w:vAlign w:val="center"/>
          </w:tcPr>
          <w:p w14:paraId="0303E958">
            <w:pPr>
              <w:pStyle w:val="17"/>
            </w:pPr>
            <w:r>
              <w:rPr>
                <w:rFonts w:hint="eastAsia"/>
              </w:rPr>
              <w:t>质检总局令第1</w:t>
            </w:r>
            <w:r>
              <w:t>15</w:t>
            </w:r>
            <w:r>
              <w:rPr>
                <w:rFonts w:hint="eastAsia"/>
              </w:rPr>
              <w:t>号</w:t>
            </w:r>
          </w:p>
        </w:tc>
        <w:tc>
          <w:tcPr>
            <w:tcW w:w="2654" w:type="pct"/>
            <w:shd w:val="clear" w:color="auto" w:fill="auto"/>
            <w:vAlign w:val="center"/>
          </w:tcPr>
          <w:p w14:paraId="1429D9C6">
            <w:pPr>
              <w:pStyle w:val="17"/>
            </w:pPr>
            <w:r>
              <w:rPr>
                <w:rFonts w:hint="eastAsia"/>
              </w:rPr>
              <w:t>特种设备事故报告和调查处理规定</w:t>
            </w:r>
          </w:p>
        </w:tc>
        <w:tc>
          <w:tcPr>
            <w:tcW w:w="641" w:type="pct"/>
            <w:vMerge w:val="restart"/>
            <w:shd w:val="clear" w:color="auto" w:fill="auto"/>
            <w:vAlign w:val="center"/>
          </w:tcPr>
          <w:p w14:paraId="13038132">
            <w:pPr>
              <w:pStyle w:val="17"/>
            </w:pPr>
            <w:r>
              <w:rPr>
                <w:rFonts w:hint="eastAsia"/>
              </w:rPr>
              <w:t>国家市场监督管理总局特种设备安全监察局</w:t>
            </w:r>
          </w:p>
        </w:tc>
      </w:tr>
      <w:tr w14:paraId="42CCB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F91B227">
            <w:pPr>
              <w:pStyle w:val="17"/>
              <w:numPr>
                <w:ilvl w:val="0"/>
                <w:numId w:val="6"/>
              </w:numPr>
            </w:pPr>
          </w:p>
        </w:tc>
        <w:tc>
          <w:tcPr>
            <w:tcW w:w="1284" w:type="pct"/>
            <w:shd w:val="clear" w:color="auto" w:fill="auto"/>
            <w:vAlign w:val="center"/>
          </w:tcPr>
          <w:p w14:paraId="34ACF716">
            <w:pPr>
              <w:pStyle w:val="17"/>
            </w:pPr>
            <w:r>
              <w:rPr>
                <w:rFonts w:hint="eastAsia"/>
              </w:rPr>
              <w:t>质检总局令第140号</w:t>
            </w:r>
          </w:p>
        </w:tc>
        <w:tc>
          <w:tcPr>
            <w:tcW w:w="2654" w:type="pct"/>
            <w:shd w:val="clear" w:color="auto" w:fill="auto"/>
            <w:vAlign w:val="center"/>
          </w:tcPr>
          <w:p w14:paraId="1F91DDFF">
            <w:pPr>
              <w:pStyle w:val="17"/>
            </w:pPr>
            <w:r>
              <w:rPr>
                <w:rFonts w:hint="eastAsia"/>
              </w:rPr>
              <w:t>特种设备作业人员监督管理办法</w:t>
            </w:r>
          </w:p>
        </w:tc>
        <w:tc>
          <w:tcPr>
            <w:tcW w:w="641" w:type="pct"/>
            <w:vMerge w:val="continue"/>
            <w:shd w:val="clear" w:color="auto" w:fill="auto"/>
            <w:vAlign w:val="center"/>
          </w:tcPr>
          <w:p w14:paraId="326B4509">
            <w:pPr>
              <w:pStyle w:val="17"/>
            </w:pPr>
          </w:p>
        </w:tc>
      </w:tr>
      <w:tr w14:paraId="4B493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488CAF5">
            <w:pPr>
              <w:pStyle w:val="17"/>
              <w:numPr>
                <w:ilvl w:val="0"/>
                <w:numId w:val="6"/>
              </w:numPr>
            </w:pPr>
          </w:p>
        </w:tc>
        <w:tc>
          <w:tcPr>
            <w:tcW w:w="1284" w:type="pct"/>
            <w:shd w:val="clear" w:color="auto" w:fill="auto"/>
            <w:vAlign w:val="center"/>
          </w:tcPr>
          <w:p w14:paraId="14D34CD0">
            <w:pPr>
              <w:pStyle w:val="17"/>
            </w:pPr>
            <w:r>
              <w:rPr>
                <w:rFonts w:hint="eastAsia"/>
              </w:rPr>
              <w:t>2</w:t>
            </w:r>
            <w:r>
              <w:t>015</w:t>
            </w:r>
            <w:r>
              <w:rPr>
                <w:rFonts w:hint="eastAsia"/>
              </w:rPr>
              <w:t>年第5号</w:t>
            </w:r>
          </w:p>
        </w:tc>
        <w:tc>
          <w:tcPr>
            <w:tcW w:w="2654" w:type="pct"/>
            <w:shd w:val="clear" w:color="auto" w:fill="auto"/>
            <w:vAlign w:val="center"/>
          </w:tcPr>
          <w:p w14:paraId="19E1B402">
            <w:pPr>
              <w:pStyle w:val="17"/>
            </w:pPr>
            <w:r>
              <w:rPr>
                <w:rFonts w:hint="eastAsia"/>
              </w:rPr>
              <w:t>特种设备现场安全监督检查规则</w:t>
            </w:r>
          </w:p>
        </w:tc>
        <w:tc>
          <w:tcPr>
            <w:tcW w:w="641" w:type="pct"/>
            <w:vMerge w:val="continue"/>
            <w:shd w:val="clear" w:color="auto" w:fill="auto"/>
            <w:vAlign w:val="center"/>
          </w:tcPr>
          <w:p w14:paraId="487D1434">
            <w:pPr>
              <w:pStyle w:val="17"/>
            </w:pPr>
          </w:p>
        </w:tc>
      </w:tr>
      <w:tr w14:paraId="10307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9B5CEC6">
            <w:pPr>
              <w:pStyle w:val="17"/>
              <w:numPr>
                <w:ilvl w:val="0"/>
                <w:numId w:val="6"/>
              </w:numPr>
            </w:pPr>
          </w:p>
        </w:tc>
        <w:tc>
          <w:tcPr>
            <w:tcW w:w="1284" w:type="pct"/>
            <w:shd w:val="clear" w:color="auto" w:fill="auto"/>
            <w:vAlign w:val="center"/>
          </w:tcPr>
          <w:p w14:paraId="1D4A427C">
            <w:pPr>
              <w:pStyle w:val="17"/>
            </w:pPr>
            <w:r>
              <w:t>TSG Q7014-2008</w:t>
            </w:r>
          </w:p>
        </w:tc>
        <w:tc>
          <w:tcPr>
            <w:tcW w:w="2654" w:type="pct"/>
            <w:shd w:val="clear" w:color="auto" w:fill="auto"/>
            <w:vAlign w:val="center"/>
          </w:tcPr>
          <w:p w14:paraId="1338EACE">
            <w:pPr>
              <w:pStyle w:val="17"/>
            </w:pPr>
            <w:r>
              <w:rPr>
                <w:rFonts w:hint="eastAsia"/>
              </w:rPr>
              <w:t>起重机械安全保护装置型式试验细则</w:t>
            </w:r>
          </w:p>
        </w:tc>
        <w:tc>
          <w:tcPr>
            <w:tcW w:w="641" w:type="pct"/>
            <w:vMerge w:val="continue"/>
            <w:shd w:val="clear" w:color="auto" w:fill="auto"/>
            <w:vAlign w:val="center"/>
          </w:tcPr>
          <w:p w14:paraId="0BF9602D">
            <w:pPr>
              <w:pStyle w:val="17"/>
            </w:pPr>
          </w:p>
        </w:tc>
      </w:tr>
      <w:tr w14:paraId="7E8A3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9B76D04">
            <w:pPr>
              <w:pStyle w:val="17"/>
              <w:numPr>
                <w:ilvl w:val="0"/>
                <w:numId w:val="6"/>
              </w:numPr>
            </w:pPr>
          </w:p>
        </w:tc>
        <w:tc>
          <w:tcPr>
            <w:tcW w:w="1284" w:type="pct"/>
            <w:shd w:val="clear" w:color="auto" w:fill="auto"/>
            <w:vAlign w:val="center"/>
          </w:tcPr>
          <w:p w14:paraId="7B37C264">
            <w:pPr>
              <w:pStyle w:val="17"/>
            </w:pPr>
            <w:r>
              <w:rPr>
                <w:rFonts w:hint="eastAsia"/>
              </w:rPr>
              <w:t>TSG</w:t>
            </w:r>
            <w:r>
              <w:t xml:space="preserve"> </w:t>
            </w:r>
            <w:r>
              <w:rPr>
                <w:rFonts w:hint="eastAsia"/>
              </w:rPr>
              <w:t>Q</w:t>
            </w:r>
            <w:r>
              <w:t>7016-2016</w:t>
            </w:r>
          </w:p>
        </w:tc>
        <w:tc>
          <w:tcPr>
            <w:tcW w:w="2654" w:type="pct"/>
            <w:shd w:val="clear" w:color="auto" w:fill="auto"/>
            <w:vAlign w:val="center"/>
          </w:tcPr>
          <w:p w14:paraId="3A434F14">
            <w:pPr>
              <w:pStyle w:val="17"/>
            </w:pPr>
            <w:r>
              <w:rPr>
                <w:rFonts w:hint="eastAsia"/>
              </w:rPr>
              <w:t>起重机械安装改造重大修理监督检验规则</w:t>
            </w:r>
          </w:p>
        </w:tc>
        <w:tc>
          <w:tcPr>
            <w:tcW w:w="641" w:type="pct"/>
            <w:vMerge w:val="continue"/>
            <w:shd w:val="clear" w:color="auto" w:fill="auto"/>
            <w:vAlign w:val="center"/>
          </w:tcPr>
          <w:p w14:paraId="0F6B2BCF">
            <w:pPr>
              <w:pStyle w:val="17"/>
            </w:pPr>
          </w:p>
        </w:tc>
      </w:tr>
      <w:tr w14:paraId="58872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55DD2C8">
            <w:pPr>
              <w:pStyle w:val="17"/>
              <w:numPr>
                <w:ilvl w:val="0"/>
                <w:numId w:val="6"/>
              </w:numPr>
            </w:pPr>
          </w:p>
        </w:tc>
        <w:tc>
          <w:tcPr>
            <w:tcW w:w="1284" w:type="pct"/>
            <w:shd w:val="clear" w:color="auto" w:fill="auto"/>
            <w:vAlign w:val="center"/>
          </w:tcPr>
          <w:p w14:paraId="20B2A23F">
            <w:pPr>
              <w:pStyle w:val="17"/>
            </w:pPr>
            <w:r>
              <w:rPr>
                <w:rFonts w:hint="eastAsia"/>
              </w:rPr>
              <w:t>TSG 08-2017</w:t>
            </w:r>
          </w:p>
        </w:tc>
        <w:tc>
          <w:tcPr>
            <w:tcW w:w="2654" w:type="pct"/>
            <w:shd w:val="clear" w:color="auto" w:fill="auto"/>
            <w:vAlign w:val="center"/>
          </w:tcPr>
          <w:p w14:paraId="3430B3F0">
            <w:pPr>
              <w:pStyle w:val="17"/>
            </w:pPr>
            <w:r>
              <w:rPr>
                <w:rFonts w:hint="eastAsia"/>
              </w:rPr>
              <w:t>特种设备使用管理规则</w:t>
            </w:r>
          </w:p>
        </w:tc>
        <w:tc>
          <w:tcPr>
            <w:tcW w:w="641" w:type="pct"/>
            <w:vMerge w:val="continue"/>
            <w:shd w:val="clear" w:color="auto" w:fill="auto"/>
            <w:vAlign w:val="center"/>
          </w:tcPr>
          <w:p w14:paraId="0E1435A0">
            <w:pPr>
              <w:pStyle w:val="17"/>
            </w:pPr>
          </w:p>
        </w:tc>
      </w:tr>
      <w:tr w14:paraId="1BD37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68C729A">
            <w:pPr>
              <w:pStyle w:val="17"/>
              <w:numPr>
                <w:ilvl w:val="0"/>
                <w:numId w:val="6"/>
              </w:numPr>
            </w:pPr>
          </w:p>
        </w:tc>
        <w:tc>
          <w:tcPr>
            <w:tcW w:w="1284" w:type="pct"/>
            <w:shd w:val="clear" w:color="auto" w:fill="auto"/>
            <w:vAlign w:val="center"/>
          </w:tcPr>
          <w:p w14:paraId="39ECC0E4">
            <w:pPr>
              <w:pStyle w:val="17"/>
            </w:pPr>
            <w:r>
              <w:rPr>
                <w:rFonts w:hint="eastAsia"/>
              </w:rPr>
              <w:t>TSG 07-2019</w:t>
            </w:r>
          </w:p>
        </w:tc>
        <w:tc>
          <w:tcPr>
            <w:tcW w:w="2654" w:type="pct"/>
            <w:shd w:val="clear" w:color="auto" w:fill="auto"/>
            <w:vAlign w:val="center"/>
          </w:tcPr>
          <w:p w14:paraId="6A4B233A">
            <w:pPr>
              <w:pStyle w:val="17"/>
            </w:pPr>
            <w:r>
              <w:rPr>
                <w:rFonts w:hint="eastAsia"/>
              </w:rPr>
              <w:t>特种设备生产和充装单位许可规则</w:t>
            </w:r>
          </w:p>
        </w:tc>
        <w:tc>
          <w:tcPr>
            <w:tcW w:w="641" w:type="pct"/>
            <w:vMerge w:val="continue"/>
            <w:shd w:val="clear" w:color="auto" w:fill="auto"/>
            <w:vAlign w:val="center"/>
          </w:tcPr>
          <w:p w14:paraId="7A3F45D9">
            <w:pPr>
              <w:pStyle w:val="17"/>
            </w:pPr>
          </w:p>
        </w:tc>
      </w:tr>
      <w:tr w14:paraId="243C9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C33132">
            <w:pPr>
              <w:pStyle w:val="17"/>
              <w:numPr>
                <w:ilvl w:val="0"/>
                <w:numId w:val="6"/>
              </w:numPr>
            </w:pPr>
          </w:p>
        </w:tc>
        <w:tc>
          <w:tcPr>
            <w:tcW w:w="1284" w:type="pct"/>
            <w:shd w:val="clear" w:color="auto" w:fill="auto"/>
            <w:vAlign w:val="center"/>
          </w:tcPr>
          <w:p w14:paraId="189059C7">
            <w:pPr>
              <w:pStyle w:val="17"/>
            </w:pPr>
            <w:r>
              <w:t>JGJ 46-2005</w:t>
            </w:r>
          </w:p>
        </w:tc>
        <w:tc>
          <w:tcPr>
            <w:tcW w:w="2654" w:type="pct"/>
            <w:shd w:val="clear" w:color="auto" w:fill="auto"/>
            <w:vAlign w:val="center"/>
          </w:tcPr>
          <w:p w14:paraId="77AA3CCC">
            <w:pPr>
              <w:pStyle w:val="17"/>
            </w:pPr>
            <w:r>
              <w:rPr>
                <w:rFonts w:hint="eastAsia"/>
              </w:rPr>
              <w:t>施工现场临时用电安全技术规范</w:t>
            </w:r>
          </w:p>
        </w:tc>
        <w:tc>
          <w:tcPr>
            <w:tcW w:w="641" w:type="pct"/>
            <w:vMerge w:val="restart"/>
            <w:shd w:val="clear" w:color="auto" w:fill="auto"/>
            <w:vAlign w:val="center"/>
          </w:tcPr>
          <w:p w14:paraId="2E7DE7C1">
            <w:pPr>
              <w:pStyle w:val="17"/>
            </w:pPr>
            <w:r>
              <w:t>住房和城乡建设部</w:t>
            </w:r>
          </w:p>
        </w:tc>
      </w:tr>
      <w:tr w14:paraId="1DF3D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DF61462">
            <w:pPr>
              <w:pStyle w:val="17"/>
              <w:numPr>
                <w:ilvl w:val="0"/>
                <w:numId w:val="6"/>
              </w:numPr>
            </w:pPr>
          </w:p>
        </w:tc>
        <w:tc>
          <w:tcPr>
            <w:tcW w:w="1284" w:type="pct"/>
            <w:shd w:val="clear" w:color="auto" w:fill="auto"/>
            <w:vAlign w:val="center"/>
          </w:tcPr>
          <w:p w14:paraId="265C1007">
            <w:pPr>
              <w:pStyle w:val="17"/>
            </w:pPr>
            <w:r>
              <w:t>JGJ 276-2012</w:t>
            </w:r>
          </w:p>
        </w:tc>
        <w:tc>
          <w:tcPr>
            <w:tcW w:w="2654" w:type="pct"/>
            <w:shd w:val="clear" w:color="auto" w:fill="auto"/>
            <w:vAlign w:val="center"/>
          </w:tcPr>
          <w:p w14:paraId="2496414D">
            <w:pPr>
              <w:pStyle w:val="17"/>
            </w:pPr>
            <w:r>
              <w:rPr>
                <w:rFonts w:hint="eastAsia"/>
              </w:rPr>
              <w:t>建筑施工起重吊装工程安全技术规范</w:t>
            </w:r>
          </w:p>
        </w:tc>
        <w:tc>
          <w:tcPr>
            <w:tcW w:w="641" w:type="pct"/>
            <w:vMerge w:val="continue"/>
            <w:shd w:val="clear" w:color="auto" w:fill="auto"/>
            <w:vAlign w:val="center"/>
          </w:tcPr>
          <w:p w14:paraId="6311A952">
            <w:pPr>
              <w:pStyle w:val="17"/>
            </w:pPr>
          </w:p>
        </w:tc>
      </w:tr>
      <w:tr w14:paraId="448E5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EB7F475">
            <w:pPr>
              <w:pStyle w:val="17"/>
              <w:numPr>
                <w:ilvl w:val="0"/>
                <w:numId w:val="6"/>
              </w:numPr>
            </w:pPr>
          </w:p>
        </w:tc>
        <w:tc>
          <w:tcPr>
            <w:tcW w:w="1284" w:type="pct"/>
            <w:shd w:val="clear" w:color="auto" w:fill="auto"/>
            <w:vAlign w:val="center"/>
          </w:tcPr>
          <w:p w14:paraId="2FD27175">
            <w:pPr>
              <w:pStyle w:val="17"/>
            </w:pPr>
            <w:r>
              <w:t>JGJ 80-2016</w:t>
            </w:r>
          </w:p>
        </w:tc>
        <w:tc>
          <w:tcPr>
            <w:tcW w:w="2654" w:type="pct"/>
            <w:shd w:val="clear" w:color="auto" w:fill="auto"/>
            <w:vAlign w:val="center"/>
          </w:tcPr>
          <w:p w14:paraId="61A5AF6F">
            <w:pPr>
              <w:pStyle w:val="17"/>
            </w:pPr>
            <w:r>
              <w:rPr>
                <w:rFonts w:hint="eastAsia"/>
              </w:rPr>
              <w:t>建筑施工高处作业安全技术规范</w:t>
            </w:r>
          </w:p>
        </w:tc>
        <w:tc>
          <w:tcPr>
            <w:tcW w:w="641" w:type="pct"/>
            <w:vMerge w:val="continue"/>
            <w:shd w:val="clear" w:color="auto" w:fill="auto"/>
            <w:vAlign w:val="center"/>
          </w:tcPr>
          <w:p w14:paraId="40CCD79B">
            <w:pPr>
              <w:pStyle w:val="17"/>
            </w:pPr>
          </w:p>
        </w:tc>
      </w:tr>
      <w:tr w14:paraId="0C809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E3AC86E">
            <w:pPr>
              <w:pStyle w:val="17"/>
              <w:numPr>
                <w:ilvl w:val="0"/>
                <w:numId w:val="6"/>
              </w:numPr>
            </w:pPr>
          </w:p>
        </w:tc>
        <w:tc>
          <w:tcPr>
            <w:tcW w:w="1284" w:type="pct"/>
            <w:shd w:val="clear" w:color="auto" w:fill="auto"/>
            <w:vAlign w:val="center"/>
          </w:tcPr>
          <w:p w14:paraId="292A0C1D">
            <w:pPr>
              <w:pStyle w:val="17"/>
            </w:pPr>
            <w:r>
              <w:rPr>
                <w:rFonts w:hint="eastAsia"/>
              </w:rPr>
              <w:t>JGJ</w:t>
            </w:r>
            <w:r>
              <w:t>/</w:t>
            </w:r>
            <w:r>
              <w:rPr>
                <w:rFonts w:hint="eastAsia"/>
              </w:rPr>
              <w:t>T</w:t>
            </w:r>
            <w:r>
              <w:t xml:space="preserve"> 187-2019</w:t>
            </w:r>
          </w:p>
        </w:tc>
        <w:tc>
          <w:tcPr>
            <w:tcW w:w="2654" w:type="pct"/>
            <w:shd w:val="clear" w:color="auto" w:fill="auto"/>
            <w:vAlign w:val="center"/>
          </w:tcPr>
          <w:p w14:paraId="5E720994">
            <w:pPr>
              <w:pStyle w:val="17"/>
            </w:pPr>
            <w:r>
              <w:rPr>
                <w:rFonts w:hint="eastAsia"/>
              </w:rPr>
              <w:t>塔式起重机混凝土基础工程技术标准</w:t>
            </w:r>
          </w:p>
        </w:tc>
        <w:tc>
          <w:tcPr>
            <w:tcW w:w="641" w:type="pct"/>
            <w:vMerge w:val="continue"/>
            <w:shd w:val="clear" w:color="auto" w:fill="auto"/>
            <w:vAlign w:val="center"/>
          </w:tcPr>
          <w:p w14:paraId="6015932A">
            <w:pPr>
              <w:pStyle w:val="17"/>
            </w:pPr>
          </w:p>
        </w:tc>
      </w:tr>
      <w:tr w14:paraId="3038E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672429E">
            <w:pPr>
              <w:pStyle w:val="17"/>
              <w:numPr>
                <w:ilvl w:val="0"/>
                <w:numId w:val="6"/>
              </w:numPr>
            </w:pPr>
          </w:p>
        </w:tc>
        <w:tc>
          <w:tcPr>
            <w:tcW w:w="1284" w:type="pct"/>
            <w:shd w:val="clear" w:color="auto" w:fill="auto"/>
            <w:vAlign w:val="center"/>
          </w:tcPr>
          <w:p w14:paraId="789B8210">
            <w:pPr>
              <w:pStyle w:val="17"/>
            </w:pPr>
            <w:r>
              <w:rPr>
                <w:rFonts w:hint="eastAsia"/>
              </w:rPr>
              <w:t>交通运输部〔2017〕25号</w:t>
            </w:r>
          </w:p>
        </w:tc>
        <w:tc>
          <w:tcPr>
            <w:tcW w:w="2654" w:type="pct"/>
            <w:shd w:val="clear" w:color="auto" w:fill="auto"/>
            <w:vAlign w:val="center"/>
          </w:tcPr>
          <w:p w14:paraId="4C9B594F">
            <w:pPr>
              <w:pStyle w:val="17"/>
            </w:pPr>
            <w:r>
              <w:rPr>
                <w:rFonts w:hint="eastAsia"/>
              </w:rPr>
              <w:t>公路水运工程安全生产监督管理办法</w:t>
            </w:r>
          </w:p>
        </w:tc>
        <w:tc>
          <w:tcPr>
            <w:tcW w:w="641" w:type="pct"/>
            <w:vMerge w:val="restart"/>
            <w:shd w:val="clear" w:color="auto" w:fill="auto"/>
            <w:vAlign w:val="center"/>
          </w:tcPr>
          <w:p w14:paraId="46DEF6BD">
            <w:pPr>
              <w:pStyle w:val="17"/>
            </w:pPr>
            <w:r>
              <w:rPr>
                <w:rFonts w:hint="eastAsia"/>
              </w:rPr>
              <w:t>交通运输部</w:t>
            </w:r>
          </w:p>
        </w:tc>
      </w:tr>
      <w:tr w14:paraId="1DC7C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70892AF">
            <w:pPr>
              <w:pStyle w:val="17"/>
              <w:numPr>
                <w:ilvl w:val="0"/>
                <w:numId w:val="6"/>
              </w:numPr>
            </w:pPr>
          </w:p>
        </w:tc>
        <w:tc>
          <w:tcPr>
            <w:tcW w:w="1284" w:type="pct"/>
            <w:shd w:val="clear" w:color="auto" w:fill="auto"/>
            <w:vAlign w:val="center"/>
          </w:tcPr>
          <w:p w14:paraId="77A981F1">
            <w:pPr>
              <w:pStyle w:val="17"/>
            </w:pPr>
            <w:r>
              <w:t>JTG F9-2015</w:t>
            </w:r>
          </w:p>
        </w:tc>
        <w:tc>
          <w:tcPr>
            <w:tcW w:w="2654" w:type="pct"/>
            <w:shd w:val="clear" w:color="auto" w:fill="auto"/>
            <w:vAlign w:val="center"/>
          </w:tcPr>
          <w:p w14:paraId="5714A3D3">
            <w:pPr>
              <w:pStyle w:val="17"/>
            </w:pPr>
            <w:r>
              <w:rPr>
                <w:rFonts w:hint="eastAsia"/>
              </w:rPr>
              <w:t>公路工程施工安全技术规范</w:t>
            </w:r>
          </w:p>
        </w:tc>
        <w:tc>
          <w:tcPr>
            <w:tcW w:w="641" w:type="pct"/>
            <w:vMerge w:val="continue"/>
            <w:shd w:val="clear" w:color="auto" w:fill="auto"/>
            <w:vAlign w:val="center"/>
          </w:tcPr>
          <w:p w14:paraId="7D136CB3">
            <w:pPr>
              <w:pStyle w:val="17"/>
            </w:pPr>
          </w:p>
        </w:tc>
      </w:tr>
      <w:tr w14:paraId="4B053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527AAFA">
            <w:pPr>
              <w:pStyle w:val="17"/>
              <w:numPr>
                <w:ilvl w:val="0"/>
                <w:numId w:val="6"/>
              </w:numPr>
            </w:pPr>
          </w:p>
        </w:tc>
        <w:tc>
          <w:tcPr>
            <w:tcW w:w="1284" w:type="pct"/>
            <w:shd w:val="clear" w:color="auto" w:fill="auto"/>
            <w:vAlign w:val="center"/>
          </w:tcPr>
          <w:p w14:paraId="5E211C0A">
            <w:pPr>
              <w:pStyle w:val="17"/>
            </w:pPr>
            <w:r>
              <w:rPr>
                <w:rFonts w:hint="eastAsia"/>
              </w:rPr>
              <w:t>GB</w:t>
            </w:r>
            <w:r>
              <w:t xml:space="preserve"> </w:t>
            </w:r>
            <w:r>
              <w:rPr>
                <w:rFonts w:hint="eastAsia"/>
              </w:rPr>
              <w:t>50278-2010</w:t>
            </w:r>
          </w:p>
        </w:tc>
        <w:tc>
          <w:tcPr>
            <w:tcW w:w="2654" w:type="pct"/>
            <w:shd w:val="clear" w:color="auto" w:fill="auto"/>
            <w:vAlign w:val="center"/>
          </w:tcPr>
          <w:p w14:paraId="764210FF">
            <w:pPr>
              <w:pStyle w:val="17"/>
            </w:pPr>
            <w:r>
              <w:rPr>
                <w:rFonts w:hint="eastAsia"/>
              </w:rPr>
              <w:t>起重设备安装工程施工及验收规范</w:t>
            </w:r>
          </w:p>
        </w:tc>
        <w:tc>
          <w:tcPr>
            <w:tcW w:w="641" w:type="pct"/>
            <w:vMerge w:val="restart"/>
            <w:shd w:val="clear" w:color="auto" w:fill="auto"/>
            <w:vAlign w:val="center"/>
          </w:tcPr>
          <w:p w14:paraId="0E148BCA">
            <w:pPr>
              <w:pStyle w:val="17"/>
            </w:pPr>
            <w:r>
              <w:rPr>
                <w:rFonts w:hint="eastAsia"/>
              </w:rPr>
              <w:t>国家标准</w:t>
            </w:r>
          </w:p>
        </w:tc>
      </w:tr>
      <w:tr w14:paraId="68CA5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6AC89BB">
            <w:pPr>
              <w:pStyle w:val="17"/>
              <w:numPr>
                <w:ilvl w:val="0"/>
                <w:numId w:val="6"/>
              </w:numPr>
            </w:pPr>
          </w:p>
        </w:tc>
        <w:tc>
          <w:tcPr>
            <w:tcW w:w="1284" w:type="pct"/>
            <w:shd w:val="clear" w:color="auto" w:fill="auto"/>
            <w:vAlign w:val="center"/>
          </w:tcPr>
          <w:p w14:paraId="283A82E6">
            <w:pPr>
              <w:pStyle w:val="17"/>
            </w:pPr>
            <w:r>
              <w:rPr>
                <w:rFonts w:hint="eastAsia"/>
              </w:rPr>
              <w:t>GB 50231-2009</w:t>
            </w:r>
          </w:p>
        </w:tc>
        <w:tc>
          <w:tcPr>
            <w:tcW w:w="2654" w:type="pct"/>
            <w:shd w:val="clear" w:color="auto" w:fill="auto"/>
            <w:vAlign w:val="center"/>
          </w:tcPr>
          <w:p w14:paraId="3345D6E4">
            <w:pPr>
              <w:pStyle w:val="17"/>
            </w:pPr>
            <w:r>
              <w:rPr>
                <w:rFonts w:hint="eastAsia"/>
              </w:rPr>
              <w:t>机械设备安装工程施工及验收通用规范</w:t>
            </w:r>
          </w:p>
        </w:tc>
        <w:tc>
          <w:tcPr>
            <w:tcW w:w="641" w:type="pct"/>
            <w:vMerge w:val="continue"/>
            <w:shd w:val="clear" w:color="auto" w:fill="auto"/>
            <w:vAlign w:val="center"/>
          </w:tcPr>
          <w:p w14:paraId="02D7B6A1">
            <w:pPr>
              <w:pStyle w:val="17"/>
            </w:pPr>
          </w:p>
        </w:tc>
      </w:tr>
      <w:tr w14:paraId="74760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ADD7C5B">
            <w:pPr>
              <w:pStyle w:val="17"/>
              <w:numPr>
                <w:ilvl w:val="0"/>
                <w:numId w:val="6"/>
              </w:numPr>
            </w:pPr>
          </w:p>
        </w:tc>
        <w:tc>
          <w:tcPr>
            <w:tcW w:w="1284" w:type="pct"/>
            <w:shd w:val="clear" w:color="auto" w:fill="auto"/>
            <w:vAlign w:val="center"/>
          </w:tcPr>
          <w:p w14:paraId="54A1A949">
            <w:pPr>
              <w:pStyle w:val="17"/>
            </w:pPr>
            <w:r>
              <w:rPr>
                <w:rFonts w:hint="eastAsia"/>
              </w:rPr>
              <w:t>GB 50256-2014</w:t>
            </w:r>
          </w:p>
        </w:tc>
        <w:tc>
          <w:tcPr>
            <w:tcW w:w="2654" w:type="pct"/>
            <w:shd w:val="clear" w:color="auto" w:fill="auto"/>
            <w:vAlign w:val="center"/>
          </w:tcPr>
          <w:p w14:paraId="4A94CD51">
            <w:pPr>
              <w:pStyle w:val="17"/>
            </w:pPr>
            <w:r>
              <w:rPr>
                <w:rFonts w:hint="eastAsia"/>
              </w:rPr>
              <w:t>电气装置安装工程起重机电气装置施工及验收规范</w:t>
            </w:r>
          </w:p>
        </w:tc>
        <w:tc>
          <w:tcPr>
            <w:tcW w:w="641" w:type="pct"/>
            <w:vMerge w:val="continue"/>
            <w:shd w:val="clear" w:color="auto" w:fill="auto"/>
            <w:vAlign w:val="center"/>
          </w:tcPr>
          <w:p w14:paraId="545336F0">
            <w:pPr>
              <w:pStyle w:val="17"/>
            </w:pPr>
          </w:p>
        </w:tc>
      </w:tr>
      <w:tr w14:paraId="21BA3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5AD7E52">
            <w:pPr>
              <w:pStyle w:val="17"/>
              <w:numPr>
                <w:ilvl w:val="0"/>
                <w:numId w:val="6"/>
              </w:numPr>
            </w:pPr>
          </w:p>
        </w:tc>
        <w:tc>
          <w:tcPr>
            <w:tcW w:w="1284" w:type="pct"/>
            <w:shd w:val="clear" w:color="auto" w:fill="auto"/>
            <w:vAlign w:val="center"/>
          </w:tcPr>
          <w:p w14:paraId="0AFCD6E8">
            <w:pPr>
              <w:pStyle w:val="17"/>
            </w:pPr>
            <w:r>
              <w:rPr>
                <w:rFonts w:hint="eastAsia"/>
              </w:rPr>
              <w:t>GB 50009-2012</w:t>
            </w:r>
          </w:p>
        </w:tc>
        <w:tc>
          <w:tcPr>
            <w:tcW w:w="2654" w:type="pct"/>
            <w:shd w:val="clear" w:color="auto" w:fill="auto"/>
            <w:vAlign w:val="center"/>
          </w:tcPr>
          <w:p w14:paraId="4BDD1AC1">
            <w:pPr>
              <w:pStyle w:val="17"/>
            </w:pPr>
            <w:r>
              <w:rPr>
                <w:rFonts w:hint="eastAsia"/>
              </w:rPr>
              <w:t>建筑结构荷载规范</w:t>
            </w:r>
          </w:p>
        </w:tc>
        <w:tc>
          <w:tcPr>
            <w:tcW w:w="641" w:type="pct"/>
            <w:vMerge w:val="continue"/>
            <w:shd w:val="clear" w:color="auto" w:fill="auto"/>
            <w:vAlign w:val="center"/>
          </w:tcPr>
          <w:p w14:paraId="26EEC23B">
            <w:pPr>
              <w:pStyle w:val="17"/>
            </w:pPr>
          </w:p>
        </w:tc>
      </w:tr>
      <w:tr w14:paraId="04825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F8D4749">
            <w:pPr>
              <w:pStyle w:val="17"/>
              <w:numPr>
                <w:ilvl w:val="0"/>
                <w:numId w:val="6"/>
              </w:numPr>
            </w:pPr>
          </w:p>
        </w:tc>
        <w:tc>
          <w:tcPr>
            <w:tcW w:w="1284" w:type="pct"/>
            <w:shd w:val="clear" w:color="auto" w:fill="auto"/>
            <w:vAlign w:val="center"/>
          </w:tcPr>
          <w:p w14:paraId="7BD90595">
            <w:pPr>
              <w:pStyle w:val="17"/>
            </w:pPr>
            <w:r>
              <w:rPr>
                <w:rFonts w:hint="eastAsia"/>
              </w:rPr>
              <w:t>GB 50007-2011</w:t>
            </w:r>
          </w:p>
        </w:tc>
        <w:tc>
          <w:tcPr>
            <w:tcW w:w="2654" w:type="pct"/>
            <w:shd w:val="clear" w:color="auto" w:fill="auto"/>
            <w:vAlign w:val="center"/>
          </w:tcPr>
          <w:p w14:paraId="05115D75">
            <w:pPr>
              <w:pStyle w:val="17"/>
            </w:pPr>
            <w:r>
              <w:rPr>
                <w:rFonts w:hint="eastAsia"/>
              </w:rPr>
              <w:t>建筑地基基础设计规范</w:t>
            </w:r>
          </w:p>
        </w:tc>
        <w:tc>
          <w:tcPr>
            <w:tcW w:w="641" w:type="pct"/>
            <w:vMerge w:val="continue"/>
            <w:shd w:val="clear" w:color="auto" w:fill="auto"/>
            <w:vAlign w:val="center"/>
          </w:tcPr>
          <w:p w14:paraId="6EDE9A0C">
            <w:pPr>
              <w:pStyle w:val="17"/>
            </w:pPr>
          </w:p>
        </w:tc>
      </w:tr>
      <w:tr w14:paraId="41EE3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DCD67EB">
            <w:pPr>
              <w:pStyle w:val="17"/>
              <w:numPr>
                <w:ilvl w:val="0"/>
                <w:numId w:val="6"/>
              </w:numPr>
            </w:pPr>
          </w:p>
        </w:tc>
        <w:tc>
          <w:tcPr>
            <w:tcW w:w="1284" w:type="pct"/>
            <w:shd w:val="clear" w:color="auto" w:fill="auto"/>
            <w:vAlign w:val="center"/>
          </w:tcPr>
          <w:p w14:paraId="4D5A4523">
            <w:pPr>
              <w:pStyle w:val="17"/>
            </w:pPr>
            <w:r>
              <w:rPr>
                <w:rFonts w:hint="eastAsia"/>
              </w:rPr>
              <w:t>GB</w:t>
            </w:r>
            <w:r>
              <w:t xml:space="preserve"> 8918-2006</w:t>
            </w:r>
          </w:p>
        </w:tc>
        <w:tc>
          <w:tcPr>
            <w:tcW w:w="2654" w:type="pct"/>
            <w:shd w:val="clear" w:color="auto" w:fill="auto"/>
            <w:vAlign w:val="center"/>
          </w:tcPr>
          <w:p w14:paraId="73F82813">
            <w:pPr>
              <w:pStyle w:val="17"/>
            </w:pPr>
            <w:r>
              <w:rPr>
                <w:rFonts w:hint="eastAsia"/>
              </w:rPr>
              <w:t>重要用途钢丝绳</w:t>
            </w:r>
          </w:p>
        </w:tc>
        <w:tc>
          <w:tcPr>
            <w:tcW w:w="641" w:type="pct"/>
            <w:vMerge w:val="continue"/>
            <w:shd w:val="clear" w:color="auto" w:fill="auto"/>
            <w:vAlign w:val="center"/>
          </w:tcPr>
          <w:p w14:paraId="47FCB60A">
            <w:pPr>
              <w:pStyle w:val="17"/>
            </w:pPr>
          </w:p>
        </w:tc>
      </w:tr>
      <w:tr w14:paraId="0DA87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40B523A">
            <w:pPr>
              <w:pStyle w:val="17"/>
              <w:numPr>
                <w:ilvl w:val="0"/>
                <w:numId w:val="6"/>
              </w:numPr>
            </w:pPr>
          </w:p>
        </w:tc>
        <w:tc>
          <w:tcPr>
            <w:tcW w:w="1284" w:type="pct"/>
            <w:shd w:val="clear" w:color="auto" w:fill="auto"/>
            <w:vAlign w:val="center"/>
          </w:tcPr>
          <w:p w14:paraId="1EC811F0">
            <w:pPr>
              <w:pStyle w:val="17"/>
            </w:pPr>
            <w:r>
              <w:t>GB/T 5031-2008</w:t>
            </w:r>
          </w:p>
        </w:tc>
        <w:tc>
          <w:tcPr>
            <w:tcW w:w="2654" w:type="pct"/>
            <w:shd w:val="clear" w:color="auto" w:fill="auto"/>
            <w:vAlign w:val="center"/>
          </w:tcPr>
          <w:p w14:paraId="138F91F0">
            <w:pPr>
              <w:pStyle w:val="17"/>
            </w:pPr>
            <w:r>
              <w:t>塔式起重机</w:t>
            </w:r>
          </w:p>
        </w:tc>
        <w:tc>
          <w:tcPr>
            <w:tcW w:w="641" w:type="pct"/>
            <w:vMerge w:val="continue"/>
            <w:shd w:val="clear" w:color="auto" w:fill="auto"/>
            <w:vAlign w:val="center"/>
          </w:tcPr>
          <w:p w14:paraId="28E209A6">
            <w:pPr>
              <w:pStyle w:val="17"/>
            </w:pPr>
          </w:p>
        </w:tc>
      </w:tr>
      <w:tr w14:paraId="6CE3A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8665F96">
            <w:pPr>
              <w:pStyle w:val="17"/>
              <w:numPr>
                <w:ilvl w:val="0"/>
                <w:numId w:val="6"/>
              </w:numPr>
            </w:pPr>
          </w:p>
        </w:tc>
        <w:tc>
          <w:tcPr>
            <w:tcW w:w="1284" w:type="pct"/>
            <w:shd w:val="clear" w:color="auto" w:fill="auto"/>
            <w:vAlign w:val="center"/>
          </w:tcPr>
          <w:p w14:paraId="1CB2AF3A">
            <w:pPr>
              <w:pStyle w:val="17"/>
            </w:pPr>
            <w:r>
              <w:t>GB/T 23723.3-2010</w:t>
            </w:r>
          </w:p>
        </w:tc>
        <w:tc>
          <w:tcPr>
            <w:tcW w:w="2654" w:type="pct"/>
            <w:shd w:val="clear" w:color="auto" w:fill="auto"/>
            <w:vAlign w:val="center"/>
          </w:tcPr>
          <w:p w14:paraId="100980F5">
            <w:pPr>
              <w:pStyle w:val="17"/>
            </w:pPr>
            <w:r>
              <w:t>起重机 安全使用 第3部分：塔式起重机</w:t>
            </w:r>
          </w:p>
        </w:tc>
        <w:tc>
          <w:tcPr>
            <w:tcW w:w="641" w:type="pct"/>
            <w:vMerge w:val="continue"/>
            <w:shd w:val="clear" w:color="auto" w:fill="auto"/>
            <w:vAlign w:val="center"/>
          </w:tcPr>
          <w:p w14:paraId="25047F4A">
            <w:pPr>
              <w:pStyle w:val="17"/>
            </w:pPr>
          </w:p>
        </w:tc>
      </w:tr>
      <w:tr w14:paraId="06950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723B3F9">
            <w:pPr>
              <w:pStyle w:val="17"/>
              <w:numPr>
                <w:ilvl w:val="0"/>
                <w:numId w:val="6"/>
              </w:numPr>
            </w:pPr>
          </w:p>
        </w:tc>
        <w:tc>
          <w:tcPr>
            <w:tcW w:w="1284" w:type="pct"/>
            <w:shd w:val="clear" w:color="auto" w:fill="auto"/>
            <w:vAlign w:val="center"/>
          </w:tcPr>
          <w:p w14:paraId="0FB2453A">
            <w:pPr>
              <w:pStyle w:val="17"/>
            </w:pPr>
            <w:r>
              <w:t>GB/T 13752-2017</w:t>
            </w:r>
          </w:p>
        </w:tc>
        <w:tc>
          <w:tcPr>
            <w:tcW w:w="2654" w:type="pct"/>
            <w:shd w:val="clear" w:color="auto" w:fill="auto"/>
            <w:vAlign w:val="center"/>
          </w:tcPr>
          <w:p w14:paraId="46CD5B41">
            <w:pPr>
              <w:pStyle w:val="17"/>
            </w:pPr>
            <w:r>
              <w:t>塔式起重机设计规范</w:t>
            </w:r>
          </w:p>
        </w:tc>
        <w:tc>
          <w:tcPr>
            <w:tcW w:w="641" w:type="pct"/>
            <w:vMerge w:val="continue"/>
            <w:shd w:val="clear" w:color="auto" w:fill="auto"/>
            <w:vAlign w:val="center"/>
          </w:tcPr>
          <w:p w14:paraId="2830CC2B">
            <w:pPr>
              <w:pStyle w:val="17"/>
            </w:pPr>
          </w:p>
        </w:tc>
      </w:tr>
      <w:tr w14:paraId="7535D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42A90A8">
            <w:pPr>
              <w:pStyle w:val="17"/>
              <w:numPr>
                <w:ilvl w:val="0"/>
                <w:numId w:val="6"/>
              </w:numPr>
            </w:pPr>
          </w:p>
        </w:tc>
        <w:tc>
          <w:tcPr>
            <w:tcW w:w="1284" w:type="pct"/>
            <w:shd w:val="clear" w:color="auto" w:fill="auto"/>
            <w:vAlign w:val="center"/>
          </w:tcPr>
          <w:p w14:paraId="497ECFA8">
            <w:pPr>
              <w:pStyle w:val="17"/>
            </w:pPr>
            <w:r>
              <w:rPr>
                <w:rFonts w:hint="eastAsia"/>
              </w:rPr>
              <w:t>GB/T 16762-2020</w:t>
            </w:r>
          </w:p>
        </w:tc>
        <w:tc>
          <w:tcPr>
            <w:tcW w:w="2654" w:type="pct"/>
            <w:shd w:val="clear" w:color="auto" w:fill="auto"/>
            <w:vAlign w:val="center"/>
          </w:tcPr>
          <w:p w14:paraId="19008078">
            <w:pPr>
              <w:pStyle w:val="17"/>
            </w:pPr>
            <w:r>
              <w:rPr>
                <w:rFonts w:hint="eastAsia"/>
              </w:rPr>
              <w:t>一般用途钢丝绳吊索特性和技术条件</w:t>
            </w:r>
          </w:p>
        </w:tc>
        <w:tc>
          <w:tcPr>
            <w:tcW w:w="641" w:type="pct"/>
            <w:vMerge w:val="continue"/>
            <w:shd w:val="clear" w:color="auto" w:fill="auto"/>
            <w:vAlign w:val="center"/>
          </w:tcPr>
          <w:p w14:paraId="19AA635D">
            <w:pPr>
              <w:pStyle w:val="17"/>
            </w:pPr>
          </w:p>
        </w:tc>
      </w:tr>
      <w:tr w14:paraId="169B9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2560297">
            <w:pPr>
              <w:pStyle w:val="17"/>
              <w:numPr>
                <w:ilvl w:val="0"/>
                <w:numId w:val="6"/>
              </w:numPr>
            </w:pPr>
          </w:p>
        </w:tc>
        <w:tc>
          <w:tcPr>
            <w:tcW w:w="1284" w:type="pct"/>
            <w:shd w:val="clear" w:color="auto" w:fill="auto"/>
            <w:vAlign w:val="center"/>
          </w:tcPr>
          <w:p w14:paraId="7A0A8399">
            <w:pPr>
              <w:pStyle w:val="17"/>
            </w:pPr>
            <w:r>
              <w:t>GB/T 25854-2010</w:t>
            </w:r>
          </w:p>
        </w:tc>
        <w:tc>
          <w:tcPr>
            <w:tcW w:w="2654" w:type="pct"/>
            <w:shd w:val="clear" w:color="auto" w:fill="auto"/>
            <w:vAlign w:val="center"/>
          </w:tcPr>
          <w:p w14:paraId="728F2066">
            <w:pPr>
              <w:pStyle w:val="17"/>
            </w:pPr>
            <w:r>
              <w:t>一般起重用D形和弓形锻造卸扣</w:t>
            </w:r>
          </w:p>
        </w:tc>
        <w:tc>
          <w:tcPr>
            <w:tcW w:w="641" w:type="pct"/>
            <w:vMerge w:val="continue"/>
            <w:shd w:val="clear" w:color="auto" w:fill="auto"/>
            <w:vAlign w:val="center"/>
          </w:tcPr>
          <w:p w14:paraId="1A1B02DB">
            <w:pPr>
              <w:pStyle w:val="17"/>
            </w:pPr>
          </w:p>
        </w:tc>
      </w:tr>
      <w:tr w14:paraId="20131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22AFAAC">
            <w:pPr>
              <w:pStyle w:val="17"/>
              <w:numPr>
                <w:ilvl w:val="0"/>
                <w:numId w:val="6"/>
              </w:numPr>
            </w:pPr>
          </w:p>
        </w:tc>
        <w:tc>
          <w:tcPr>
            <w:tcW w:w="1284" w:type="pct"/>
            <w:shd w:val="clear" w:color="auto" w:fill="auto"/>
            <w:vAlign w:val="center"/>
          </w:tcPr>
          <w:p w14:paraId="3A6C7383">
            <w:pPr>
              <w:pStyle w:val="17"/>
            </w:pPr>
            <w:r>
              <w:t>GB/T 11345</w:t>
            </w:r>
            <w:r>
              <w:rPr>
                <w:rFonts w:hint="eastAsia"/>
              </w:rPr>
              <w:t>-</w:t>
            </w:r>
            <w:r>
              <w:t>2015</w:t>
            </w:r>
          </w:p>
        </w:tc>
        <w:tc>
          <w:tcPr>
            <w:tcW w:w="2654" w:type="pct"/>
            <w:shd w:val="clear" w:color="auto" w:fill="auto"/>
            <w:vAlign w:val="center"/>
          </w:tcPr>
          <w:p w14:paraId="3F11F069">
            <w:pPr>
              <w:pStyle w:val="17"/>
            </w:pPr>
            <w:r>
              <w:t>钢焊缝手工超声波探伤方法和探伤结果分级</w:t>
            </w:r>
          </w:p>
        </w:tc>
        <w:tc>
          <w:tcPr>
            <w:tcW w:w="641" w:type="pct"/>
            <w:vMerge w:val="continue"/>
            <w:shd w:val="clear" w:color="auto" w:fill="auto"/>
            <w:vAlign w:val="center"/>
          </w:tcPr>
          <w:p w14:paraId="76C8BF8C">
            <w:pPr>
              <w:pStyle w:val="17"/>
            </w:pPr>
          </w:p>
        </w:tc>
      </w:tr>
      <w:tr w14:paraId="68731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56AB748">
            <w:pPr>
              <w:pStyle w:val="17"/>
              <w:numPr>
                <w:ilvl w:val="0"/>
                <w:numId w:val="6"/>
              </w:numPr>
            </w:pPr>
          </w:p>
        </w:tc>
        <w:tc>
          <w:tcPr>
            <w:tcW w:w="1284" w:type="pct"/>
            <w:shd w:val="clear" w:color="auto" w:fill="auto"/>
            <w:vAlign w:val="center"/>
          </w:tcPr>
          <w:p w14:paraId="6CB44C71">
            <w:pPr>
              <w:pStyle w:val="17"/>
            </w:pPr>
          </w:p>
        </w:tc>
        <w:tc>
          <w:tcPr>
            <w:tcW w:w="2654" w:type="pct"/>
            <w:shd w:val="clear" w:color="auto" w:fill="auto"/>
            <w:vAlign w:val="center"/>
          </w:tcPr>
          <w:p w14:paraId="172A59DA">
            <w:pPr>
              <w:pStyle w:val="17"/>
            </w:pPr>
            <w:bookmarkStart w:id="33" w:name="大临基础施工方案"/>
            <w:r>
              <w:rPr>
                <w:rFonts w:hint="eastAsia"/>
              </w:rPr>
              <w:t>马鹿塘特大桥主墩承台专项施工方案</w:t>
            </w:r>
            <w:bookmarkEnd w:id="33"/>
          </w:p>
        </w:tc>
        <w:tc>
          <w:tcPr>
            <w:tcW w:w="641" w:type="pct"/>
            <w:shd w:val="clear" w:color="auto" w:fill="auto"/>
            <w:vAlign w:val="center"/>
          </w:tcPr>
          <w:p w14:paraId="4E721E73">
            <w:pPr>
              <w:pStyle w:val="17"/>
            </w:pPr>
            <w:r>
              <w:rPr>
                <w:rFonts w:hint="eastAsia"/>
              </w:rPr>
              <w:t>项目方案</w:t>
            </w:r>
          </w:p>
        </w:tc>
      </w:tr>
      <w:tr w14:paraId="5B997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4D3DF29">
            <w:pPr>
              <w:pStyle w:val="17"/>
              <w:numPr>
                <w:ilvl w:val="0"/>
                <w:numId w:val="6"/>
              </w:numPr>
            </w:pPr>
          </w:p>
        </w:tc>
        <w:tc>
          <w:tcPr>
            <w:tcW w:w="1284" w:type="pct"/>
            <w:shd w:val="clear" w:color="auto" w:fill="auto"/>
            <w:vAlign w:val="center"/>
          </w:tcPr>
          <w:p w14:paraId="7A99C2AE">
            <w:pPr>
              <w:pStyle w:val="17"/>
            </w:pPr>
          </w:p>
        </w:tc>
        <w:tc>
          <w:tcPr>
            <w:tcW w:w="2654" w:type="pct"/>
            <w:shd w:val="clear" w:color="auto" w:fill="auto"/>
            <w:vAlign w:val="center"/>
          </w:tcPr>
          <w:p w14:paraId="41529050">
            <w:pPr>
              <w:pStyle w:val="17"/>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说明书</w:t>
            </w:r>
          </w:p>
        </w:tc>
        <w:tc>
          <w:tcPr>
            <w:tcW w:w="641" w:type="pct"/>
            <w:vMerge w:val="restart"/>
            <w:shd w:val="clear" w:color="auto" w:fill="auto"/>
            <w:vAlign w:val="center"/>
          </w:tcPr>
          <w:p w14:paraId="173E86DC">
            <w:pPr>
              <w:pStyle w:val="17"/>
            </w:pPr>
            <w:r>
              <w:rPr>
                <w:rFonts w:hint="eastAsia"/>
              </w:rPr>
              <w:t>技术资料</w:t>
            </w:r>
          </w:p>
        </w:tc>
      </w:tr>
      <w:tr w14:paraId="20538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DA2A037">
            <w:pPr>
              <w:pStyle w:val="17"/>
              <w:numPr>
                <w:ilvl w:val="0"/>
                <w:numId w:val="6"/>
              </w:numPr>
            </w:pPr>
          </w:p>
        </w:tc>
        <w:tc>
          <w:tcPr>
            <w:tcW w:w="1284" w:type="pct"/>
            <w:shd w:val="clear" w:color="auto" w:fill="auto"/>
            <w:vAlign w:val="center"/>
          </w:tcPr>
          <w:p w14:paraId="2B1B5845">
            <w:pPr>
              <w:pStyle w:val="17"/>
            </w:pPr>
          </w:p>
        </w:tc>
        <w:tc>
          <w:tcPr>
            <w:tcW w:w="2654" w:type="pct"/>
            <w:shd w:val="clear" w:color="auto" w:fill="auto"/>
            <w:vAlign w:val="center"/>
          </w:tcPr>
          <w:p w14:paraId="4A234514">
            <w:pPr>
              <w:pStyle w:val="17"/>
            </w:pP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资料</w:t>
            </w:r>
          </w:p>
        </w:tc>
        <w:tc>
          <w:tcPr>
            <w:tcW w:w="641" w:type="pct"/>
            <w:vMerge w:val="continue"/>
            <w:shd w:val="clear" w:color="auto" w:fill="auto"/>
            <w:vAlign w:val="center"/>
          </w:tcPr>
          <w:p w14:paraId="2AED8A14">
            <w:pPr>
              <w:pStyle w:val="17"/>
            </w:pPr>
          </w:p>
        </w:tc>
      </w:tr>
    </w:tbl>
    <w:p w14:paraId="42D3153D">
      <w:pPr>
        <w:pStyle w:val="3"/>
      </w:pPr>
      <w:bookmarkStart w:id="34" w:name="_Toc17801"/>
      <w:bookmarkStart w:id="35" w:name="_Toc18665"/>
      <w:r>
        <w:rPr>
          <w:rFonts w:hint="eastAsia"/>
        </w:rPr>
        <w:t>适用范围</w:t>
      </w:r>
      <w:bookmarkEnd w:id="34"/>
      <w:bookmarkEnd w:id="35"/>
    </w:p>
    <w:p w14:paraId="55E66CE4">
      <w:pPr>
        <w:ind w:firstLine="480"/>
      </w:pPr>
      <w:bookmarkStart w:id="36" w:name="_Toc17866"/>
      <w:bookmarkStart w:id="37" w:name="_Toc40778431"/>
      <w:r>
        <w:rPr>
          <w:rFonts w:hint="eastAsia"/>
        </w:rPr>
        <w:t>本方案适用于</w:t>
      </w:r>
      <w:r>
        <w:fldChar w:fldCharType="begin"/>
      </w:r>
      <w:r>
        <w:instrText xml:space="preserve"> </w:instrText>
      </w:r>
      <w:r>
        <w:rPr>
          <w:rFonts w:hint="eastAsia"/>
        </w:rPr>
        <w:instrText xml:space="preserve">REF 项目名称</w:instrText>
      </w:r>
      <w:r>
        <w:instrText xml:space="preserve"> </w:instrText>
      </w:r>
      <w:r>
        <w:fldChar w:fldCharType="separate"/>
      </w:r>
      <w:r>
        <w:rPr>
          <w:rFonts w:hint="eastAsia"/>
          <w:bCs/>
        </w:rPr>
        <w:t>天保至麻栗坡高速公路TJ-2标项</w:t>
      </w:r>
      <w:r>
        <w:rPr>
          <w:rFonts w:hint="eastAsia"/>
        </w:rPr>
        <w:t>目</w:t>
      </w:r>
      <w:r>
        <w:fldChar w:fldCharType="end"/>
      </w:r>
      <w:r>
        <w:fldChar w:fldCharType="begin"/>
      </w:r>
      <w:r>
        <w:instrText xml:space="preserve"> REF 设备位置 \h </w:instrText>
      </w:r>
      <w:r>
        <w:fldChar w:fldCharType="separate"/>
      </w:r>
      <w:r>
        <w:rPr>
          <w:rFonts w:hint="eastAsia"/>
          <w:lang w:eastAsia="zh-CN"/>
        </w:rPr>
        <w:t>马鹿塘大桥</w:t>
      </w:r>
      <w:r>
        <w:fldChar w:fldCharType="end"/>
      </w:r>
      <w:r>
        <w:rPr>
          <w:rFonts w:hint="eastAsia"/>
          <w:lang w:val="en-US" w:eastAsia="zh-CN"/>
        </w:rPr>
        <w:t>1</w:t>
      </w:r>
      <w:r>
        <w:rPr>
          <w:rFonts w:hint="eastAsia"/>
        </w:rPr>
        <w:t>台</w:t>
      </w:r>
      <w:r>
        <w:rPr>
          <w:rFonts w:hint="eastAsia"/>
          <w:color w:val="000000" w:themeColor="text1"/>
          <w14:textFill>
            <w14:solidFill>
              <w14:schemeClr w14:val="tx1"/>
            </w14:solidFill>
          </w14:textFill>
        </w:rPr>
        <w:t>T</w:t>
      </w:r>
      <w:r>
        <w:rPr>
          <w:rFonts w:hint="eastAsia"/>
          <w:color w:val="000000" w:themeColor="text1"/>
          <w:lang w:val="en-US" w:eastAsia="zh-CN"/>
          <w14:textFill>
            <w14:solidFill>
              <w14:schemeClr w14:val="tx1"/>
            </w14:solidFill>
          </w14:textFill>
        </w:rPr>
        <w:t>7527</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18</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安装（拆除）施工作业</w:t>
      </w:r>
      <w:r>
        <w:t>，主要包括</w:t>
      </w:r>
      <w:r>
        <w:rPr>
          <w:rFonts w:hint="eastAsia"/>
        </w:rPr>
        <w:t>设备</w:t>
      </w:r>
      <w:r>
        <w:t>安装、顶升、扶墙施工、拆除等施工有关的工艺流程、注意事项及验收标准</w:t>
      </w:r>
      <w:r>
        <w:rPr>
          <w:rFonts w:hint="eastAsia"/>
        </w:rPr>
        <w:t>。</w:t>
      </w:r>
      <w:r>
        <w:br w:type="page"/>
      </w:r>
    </w:p>
    <w:p w14:paraId="0ECA8E3F">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38" w:name="_Toc40778420"/>
      <w:bookmarkStart w:id="39" w:name="_Toc24395"/>
      <w:bookmarkStart w:id="40" w:name="_Toc5014"/>
      <w:bookmarkStart w:id="41" w:name="_Toc3812"/>
      <w:r>
        <w:rPr>
          <w:rFonts w:hint="eastAsia"/>
        </w:rPr>
        <w:t>工程概况</w:t>
      </w:r>
      <w:bookmarkEnd w:id="38"/>
      <w:bookmarkEnd w:id="39"/>
      <w:bookmarkEnd w:id="40"/>
      <w:bookmarkEnd w:id="41"/>
    </w:p>
    <w:p w14:paraId="63BA09AD">
      <w:pPr>
        <w:pStyle w:val="3"/>
      </w:pPr>
      <w:bookmarkStart w:id="42" w:name="_Toc28632"/>
      <w:bookmarkStart w:id="43" w:name="_Toc12207"/>
      <w:bookmarkStart w:id="44" w:name="_Toc40778421"/>
      <w:bookmarkStart w:id="45" w:name="_Toc11829"/>
      <w:r>
        <w:rPr>
          <w:rFonts w:hint="eastAsia"/>
        </w:rPr>
        <w:t>工程概况</w:t>
      </w:r>
      <w:bookmarkEnd w:id="42"/>
      <w:bookmarkEnd w:id="43"/>
      <w:bookmarkEnd w:id="44"/>
      <w:bookmarkEnd w:id="45"/>
    </w:p>
    <w:p w14:paraId="6E612C58">
      <w:pPr>
        <w:pStyle w:val="4"/>
        <w:numPr>
          <w:ilvl w:val="2"/>
          <w:numId w:val="1"/>
        </w:numPr>
        <w:bidi w:val="0"/>
      </w:pPr>
      <w:r>
        <w:rPr>
          <w:rFonts w:hint="eastAsia"/>
        </w:rPr>
        <w:t>工程项目简介</w:t>
      </w:r>
    </w:p>
    <w:p w14:paraId="7AA889F7">
      <w:pPr>
        <w:ind w:firstLine="480"/>
      </w:pPr>
      <w:bookmarkStart w:id="46" w:name="_Hlk50453250"/>
      <w:r>
        <w:rPr>
          <w:rFonts w:hint="eastAsia"/>
        </w:rPr>
        <w:t>国家高速公路网G5615天保至猴桥高速公路天保至文山段位于云南省东南部文山州境内，路线自南向北途经文山州麻栗坡县、西畴县、文山市。</w:t>
      </w:r>
    </w:p>
    <w:bookmarkEnd w:id="46"/>
    <w:p w14:paraId="04AB48DB">
      <w:pPr>
        <w:ind w:firstLine="480"/>
      </w:pPr>
      <w:r>
        <w:rPr>
          <w:rFonts w:hint="eastAsia"/>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14:paraId="42F7CCA8">
      <w:pPr>
        <w:ind w:firstLine="480"/>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w:t>
      </w:r>
      <w:r>
        <w:rPr>
          <w:rFonts w:hint="eastAsia"/>
          <w:lang w:val="en-US" w:eastAsia="zh-CN"/>
        </w:rPr>
        <w:t>.1</w:t>
      </w:r>
      <w:r>
        <w:rPr>
          <w:rFonts w:hint="eastAsia"/>
        </w:rPr>
        <w:t>-</w:t>
      </w:r>
      <w:r>
        <w:t>1</w:t>
      </w:r>
      <w:r>
        <w:fldChar w:fldCharType="end"/>
      </w:r>
      <w:r>
        <w:rPr>
          <w:rFonts w:hint="eastAsia"/>
        </w:rPr>
        <w:t>所示。</w:t>
      </w:r>
    </w:p>
    <w:p w14:paraId="3C53C346">
      <w:pPr>
        <w:pStyle w:val="117"/>
      </w:pPr>
      <w:r>
        <w:drawing>
          <wp:inline distT="0" distB="0" distL="114300" distR="114300">
            <wp:extent cx="5273675" cy="3634105"/>
            <wp:effectExtent l="19050" t="19050" r="22225" b="2349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8"/>
                    <a:stretch>
                      <a:fillRect/>
                    </a:stretch>
                  </pic:blipFill>
                  <pic:spPr>
                    <a:xfrm>
                      <a:off x="0" y="0"/>
                      <a:ext cx="5274000" cy="3634354"/>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38414EF">
      <w:pPr>
        <w:pStyle w:val="116"/>
      </w:pPr>
      <w:bookmarkStart w:id="47"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w:t>
      </w:r>
      <w:r>
        <w:fldChar w:fldCharType="end"/>
      </w:r>
      <w:r>
        <w:rPr>
          <w:rFonts w:hint="eastAsia"/>
          <w:lang w:val="en-US" w:eastAsia="zh-CN"/>
        </w:rPr>
        <w:t>.1</w:t>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47"/>
      <w:r>
        <w:t xml:space="preserve"> </w:t>
      </w:r>
      <w:r>
        <w:rPr>
          <w:rFonts w:hint="eastAsia"/>
        </w:rPr>
        <w:t>项目地理位置图</w:t>
      </w:r>
    </w:p>
    <w:p w14:paraId="6A2859A3">
      <w:pPr>
        <w:pStyle w:val="4"/>
        <w:numPr>
          <w:ilvl w:val="2"/>
          <w:numId w:val="1"/>
        </w:numPr>
        <w:bidi w:val="0"/>
      </w:pPr>
      <w:r>
        <w:rPr>
          <w:rFonts w:hint="eastAsia"/>
        </w:rPr>
        <w:t>自然条件及使用环境</w:t>
      </w:r>
    </w:p>
    <w:p w14:paraId="3C62B697">
      <w:pPr>
        <w:pStyle w:val="5"/>
      </w:pPr>
      <w:r>
        <w:rPr>
          <w:rFonts w:hint="eastAsia"/>
        </w:rPr>
        <w:t>气候条件</w:t>
      </w:r>
    </w:p>
    <w:p w14:paraId="447C29C1">
      <w:pPr>
        <w:ind w:firstLine="480"/>
      </w:pPr>
      <w:r>
        <w:rPr>
          <w:rFonts w:hint="eastAsia"/>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14:paraId="5E6CACBB">
      <w:pPr>
        <w:pStyle w:val="5"/>
      </w:pPr>
      <w:r>
        <w:t>水文条件</w:t>
      </w:r>
    </w:p>
    <w:p w14:paraId="4ACED616">
      <w:pPr>
        <w:pStyle w:val="78"/>
        <w:numPr>
          <w:ilvl w:val="0"/>
          <w:numId w:val="7"/>
        </w:numPr>
        <w:ind w:firstLineChars="0"/>
        <w:rPr>
          <w:szCs w:val="24"/>
        </w:rPr>
      </w:pPr>
      <w:r>
        <w:rPr>
          <w:rFonts w:hint="eastAsia" w:ascii="宋体" w:hAnsi="宋体"/>
        </w:rPr>
        <w:t>地表水</w:t>
      </w:r>
    </w:p>
    <w:p w14:paraId="28FC7E48">
      <w:pPr>
        <w:ind w:firstLine="480"/>
      </w:pPr>
      <w:r>
        <w:rPr>
          <w:rFonts w:hint="eastAsia" w:ascii="宋体" w:hAnsi="宋体"/>
        </w:rPr>
        <w:t>桥址区地表水较发育，地表水为大气降水形成的暂时性地表面流及冲沟流水，地表水断面流量受降雨量控制，主要顺坡及沟向低处排泄，汇流于南温河水库，部分沿裂隙下渗补给地下水。</w:t>
      </w:r>
    </w:p>
    <w:p w14:paraId="215964A2">
      <w:pPr>
        <w:pStyle w:val="78"/>
        <w:numPr>
          <w:ilvl w:val="0"/>
          <w:numId w:val="7"/>
        </w:numPr>
        <w:ind w:firstLineChars="0"/>
        <w:rPr>
          <w:rFonts w:ascii="宋体" w:hAnsi="宋体"/>
        </w:rPr>
      </w:pPr>
      <w:r>
        <w:rPr>
          <w:rFonts w:hint="eastAsia" w:ascii="宋体" w:hAnsi="宋体"/>
        </w:rPr>
        <w:t>地下水</w:t>
      </w:r>
    </w:p>
    <w:p w14:paraId="5250C300">
      <w:pPr>
        <w:ind w:firstLine="480"/>
      </w:pPr>
      <w:r>
        <w:rPr>
          <w:rFonts w:hint="eastAsia" w:ascii="宋体" w:hAnsi="宋体"/>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w:t>
      </w:r>
      <w:r>
        <w:rPr>
          <w:rFonts w:hint="eastAsia"/>
        </w:rPr>
        <w:t>559.1</w:t>
      </w:r>
      <w:r>
        <w:rPr>
          <w:rFonts w:hint="eastAsia" w:ascii="宋体" w:hAnsi="宋体"/>
        </w:rPr>
        <w:t>～</w:t>
      </w:r>
      <w:r>
        <w:rPr>
          <w:rFonts w:hint="eastAsia"/>
        </w:rPr>
        <w:t>623.23m</w:t>
      </w:r>
      <w:r>
        <w:rPr>
          <w:rFonts w:hint="eastAsia" w:ascii="宋体" w:hAnsi="宋体"/>
        </w:rPr>
        <w:t>。</w:t>
      </w:r>
    </w:p>
    <w:p w14:paraId="63DF3A1C">
      <w:pPr>
        <w:pStyle w:val="5"/>
      </w:pPr>
      <w:r>
        <w:t>地质条件</w:t>
      </w:r>
    </w:p>
    <w:p w14:paraId="54F2563F">
      <w:pPr>
        <w:ind w:firstLine="480"/>
        <w:rPr>
          <w:lang w:bidi="ar"/>
        </w:rPr>
      </w:pPr>
      <w:r>
        <w:rPr>
          <w:rFonts w:hint="eastAsia"/>
          <w:lang w:bidi="ar"/>
        </w:rPr>
        <w:t>根据工程地质调绘及钻孔揭示资料，桥址区在勘探深度范围内上覆地层主要为第四系全新统残坡积层，下伏花岗片麻岩(Gn)组成。桥址区在勘探深度范围内可分为5个工程地质层，现由上而下分述如下：</w:t>
      </w:r>
    </w:p>
    <w:p w14:paraId="40C04D33">
      <w:pPr>
        <w:pStyle w:val="78"/>
        <w:numPr>
          <w:ilvl w:val="0"/>
          <w:numId w:val="8"/>
        </w:numPr>
        <w:ind w:firstLineChars="0"/>
        <w:rPr>
          <w:lang w:bidi="ar"/>
        </w:rPr>
      </w:pPr>
      <w:r>
        <w:rPr>
          <w:rFonts w:hint="eastAsia"/>
          <w:lang w:bidi="ar"/>
        </w:rPr>
        <w:t>78-2砂质黏性土（Q</w:t>
      </w:r>
      <w:r>
        <w:rPr>
          <w:rFonts w:hint="eastAsia"/>
          <w:vertAlign w:val="subscript"/>
          <w:lang w:bidi="ar"/>
        </w:rPr>
        <w:t>4</w:t>
      </w:r>
      <w:r>
        <w:rPr>
          <w:rFonts w:hint="eastAsia"/>
          <w:vertAlign w:val="superscript"/>
          <w:lang w:bidi="ar"/>
        </w:rPr>
        <w:t>el+dl</w:t>
      </w:r>
      <w:r>
        <w:rPr>
          <w:rFonts w:hint="eastAsia"/>
          <w:lang w:bidi="ar"/>
        </w:rPr>
        <w:t>）：黄褐色，稍湿，可塑，土质不均，含砂约20%-40%，含角砾约10%，表层约30cm含大量植物根系。，钻探揭示层厚约1.40～10.00m，承载力基本容许值[f</w:t>
      </w:r>
      <w:r>
        <w:rPr>
          <w:rFonts w:hint="eastAsia"/>
          <w:vertAlign w:val="subscript"/>
          <w:lang w:bidi="ar"/>
        </w:rPr>
        <w:t>a0</w:t>
      </w:r>
      <w:r>
        <w:rPr>
          <w:rFonts w:hint="eastAsia"/>
          <w:lang w:bidi="ar"/>
        </w:rPr>
        <w:t>]=180kPa，摩阻力标准值q</w:t>
      </w:r>
      <w:r>
        <w:rPr>
          <w:rFonts w:hint="eastAsia"/>
          <w:vertAlign w:val="subscript"/>
          <w:lang w:bidi="ar"/>
        </w:rPr>
        <w:t>ik</w:t>
      </w:r>
      <w:r>
        <w:rPr>
          <w:rFonts w:hint="eastAsia"/>
          <w:lang w:bidi="ar"/>
        </w:rPr>
        <w:t>=60kPa。</w:t>
      </w:r>
    </w:p>
    <w:p w14:paraId="135E4A36">
      <w:pPr>
        <w:pStyle w:val="78"/>
        <w:numPr>
          <w:ilvl w:val="0"/>
          <w:numId w:val="8"/>
        </w:numPr>
        <w:ind w:firstLineChars="0"/>
        <w:rPr>
          <w:lang w:bidi="ar"/>
        </w:rPr>
      </w:pPr>
      <w:r>
        <w:rPr>
          <w:rFonts w:hint="eastAsia"/>
          <w:lang w:bidi="ar"/>
        </w:rPr>
        <w:t>80-2砾质黏性土（Q</w:t>
      </w:r>
      <w:r>
        <w:rPr>
          <w:rFonts w:hint="eastAsia"/>
          <w:vertAlign w:val="subscript"/>
          <w:lang w:bidi="ar"/>
        </w:rPr>
        <w:t>4</w:t>
      </w:r>
      <w:r>
        <w:rPr>
          <w:rFonts w:hint="eastAsia"/>
          <w:vertAlign w:val="superscript"/>
          <w:lang w:bidi="ar"/>
        </w:rPr>
        <w:t>el+dl</w:t>
      </w:r>
      <w:r>
        <w:rPr>
          <w:rFonts w:hint="eastAsia"/>
          <w:lang w:bidi="ar"/>
        </w:rPr>
        <w:t>）：砾质黏性土：黄褐色，稍湿，可塑，土质不均，含砾约20%-30%，表层约30cm含大量植物根系。钻探揭示层厚约4.20m，承载力基本容许值[f</w:t>
      </w:r>
      <w:r>
        <w:rPr>
          <w:rFonts w:hint="eastAsia"/>
          <w:vertAlign w:val="subscript"/>
          <w:lang w:bidi="ar"/>
        </w:rPr>
        <w:t>a0</w:t>
      </w:r>
      <w:r>
        <w:rPr>
          <w:rFonts w:hint="eastAsia"/>
          <w:lang w:bidi="ar"/>
        </w:rPr>
        <w:t>]=200kPa，摩阻力标准值q</w:t>
      </w:r>
      <w:r>
        <w:rPr>
          <w:rFonts w:hint="eastAsia"/>
          <w:vertAlign w:val="subscript"/>
          <w:lang w:bidi="ar"/>
        </w:rPr>
        <w:t>ik</w:t>
      </w:r>
      <w:r>
        <w:rPr>
          <w:rFonts w:hint="eastAsia"/>
          <w:lang w:bidi="ar"/>
        </w:rPr>
        <w:t>=65kPa。</w:t>
      </w:r>
    </w:p>
    <w:p w14:paraId="51E5DDA9">
      <w:pPr>
        <w:pStyle w:val="78"/>
        <w:numPr>
          <w:ilvl w:val="0"/>
          <w:numId w:val="8"/>
        </w:numPr>
        <w:ind w:firstLineChars="0"/>
        <w:rPr>
          <w:lang w:bidi="ar"/>
        </w:rPr>
      </w:pPr>
      <w:r>
        <w:rPr>
          <w:rFonts w:hint="eastAsia"/>
          <w:lang w:bidi="ar"/>
        </w:rPr>
        <w:t>65-1全风化花岗片麻岩（Gn）：黄褐色，原岩结构构造已破坏，长石已风化成高岭土，残留矿物主要为石英。层厚：3.50～38.30m，承载力基本容许值[f</w:t>
      </w:r>
      <w:r>
        <w:rPr>
          <w:rFonts w:hint="eastAsia"/>
          <w:vertAlign w:val="subscript"/>
          <w:lang w:bidi="ar"/>
        </w:rPr>
        <w:t>a0</w:t>
      </w:r>
      <w:r>
        <w:rPr>
          <w:rFonts w:hint="eastAsia"/>
          <w:lang w:bidi="ar"/>
        </w:rPr>
        <w:t>]=320kPa，摩阻力标准值q</w:t>
      </w:r>
      <w:r>
        <w:rPr>
          <w:rFonts w:hint="eastAsia"/>
          <w:vertAlign w:val="subscript"/>
          <w:lang w:bidi="ar"/>
        </w:rPr>
        <w:t>ik</w:t>
      </w:r>
      <w:r>
        <w:rPr>
          <w:rFonts w:hint="eastAsia"/>
          <w:lang w:bidi="ar"/>
        </w:rPr>
        <w:t>=55kPa。</w:t>
      </w:r>
    </w:p>
    <w:p w14:paraId="13CDD92E">
      <w:pPr>
        <w:pStyle w:val="78"/>
        <w:numPr>
          <w:ilvl w:val="0"/>
          <w:numId w:val="8"/>
        </w:numPr>
        <w:ind w:firstLineChars="0"/>
        <w:rPr>
          <w:lang w:bidi="ar"/>
        </w:rPr>
      </w:pPr>
      <w:r>
        <w:rPr>
          <w:rFonts w:hint="eastAsia"/>
          <w:lang w:bidi="ar"/>
        </w:rPr>
        <w:t>65-2强风化花岗片麻岩（Gn）：灰白色，粗粒结构，片麻构造，主要矿物成分为长石、石英与黑云母等，节理裂隙发育，裂面铁质浸染，岩芯呈短柱状，，少量呈碎块状。层厚：0.60～59.30m，承载力基本容许值[f</w:t>
      </w:r>
      <w:r>
        <w:rPr>
          <w:rFonts w:hint="eastAsia"/>
          <w:vertAlign w:val="subscript"/>
          <w:lang w:bidi="ar"/>
        </w:rPr>
        <w:t>a0</w:t>
      </w:r>
      <w:r>
        <w:rPr>
          <w:rFonts w:hint="eastAsia"/>
          <w:lang w:bidi="ar"/>
        </w:rPr>
        <w:t>]=700kPa，摩阻力标准值q</w:t>
      </w:r>
      <w:r>
        <w:rPr>
          <w:rFonts w:hint="eastAsia"/>
          <w:vertAlign w:val="subscript"/>
          <w:lang w:bidi="ar"/>
        </w:rPr>
        <w:t>ik</w:t>
      </w:r>
      <w:r>
        <w:rPr>
          <w:rFonts w:hint="eastAsia"/>
          <w:lang w:bidi="ar"/>
        </w:rPr>
        <w:t>=120kPa。</w:t>
      </w:r>
    </w:p>
    <w:p w14:paraId="2369883D">
      <w:pPr>
        <w:pStyle w:val="78"/>
        <w:numPr>
          <w:ilvl w:val="0"/>
          <w:numId w:val="8"/>
        </w:numPr>
        <w:ind w:firstLineChars="0"/>
      </w:pPr>
      <w:r>
        <w:rPr>
          <w:rFonts w:hint="eastAsia"/>
          <w:lang w:bidi="ar"/>
        </w:rPr>
        <w:t>65-3中风化花岗片麻岩（Gn）：青灰色，粗粒结构，片麻构造，主要矿物成分以长石，石英与黑云母等。节理裂隙稍发育，岩芯呈短柱状，少量碎块状。锤击声脆。本次钻探揭露最大层厚37.60m（未揭穿），承载力基本容许值[f</w:t>
      </w:r>
      <w:r>
        <w:rPr>
          <w:rFonts w:hint="eastAsia"/>
          <w:vertAlign w:val="subscript"/>
          <w:lang w:bidi="ar"/>
        </w:rPr>
        <w:t>a0</w:t>
      </w:r>
      <w:r>
        <w:rPr>
          <w:rFonts w:hint="eastAsia"/>
          <w:lang w:bidi="ar"/>
        </w:rPr>
        <w:t>]=1500kPa，摩阻力标准值q</w:t>
      </w:r>
      <w:r>
        <w:rPr>
          <w:rFonts w:hint="eastAsia"/>
          <w:vertAlign w:val="subscript"/>
          <w:lang w:bidi="ar"/>
        </w:rPr>
        <w:t>ik</w:t>
      </w:r>
      <w:r>
        <w:rPr>
          <w:rFonts w:hint="eastAsia"/>
          <w:lang w:bidi="ar"/>
        </w:rPr>
        <w:t>=180kPa。</w:t>
      </w:r>
    </w:p>
    <w:p w14:paraId="028C08B6">
      <w:pPr>
        <w:pStyle w:val="4"/>
        <w:numPr>
          <w:ilvl w:val="2"/>
          <w:numId w:val="1"/>
        </w:numPr>
        <w:bidi w:val="0"/>
        <w:rPr>
          <w:rFonts w:hint="eastAsia"/>
          <w:lang w:val="en-US" w:eastAsia="zh-CN"/>
        </w:rPr>
      </w:pPr>
      <w:r>
        <w:rPr>
          <w:rFonts w:hint="eastAsia"/>
          <w:lang w:val="en-US" w:eastAsia="zh-CN"/>
        </w:rPr>
        <w:t>设备概况</w:t>
      </w:r>
    </w:p>
    <w:p w14:paraId="7FA62C6F">
      <w:pPr>
        <w:pStyle w:val="5"/>
      </w:pPr>
      <w:r>
        <w:rPr>
          <w:rFonts w:hint="eastAsia"/>
        </w:rPr>
        <w:t>设备基本概况</w:t>
      </w:r>
    </w:p>
    <w:p w14:paraId="3C7C6D55">
      <w:pPr>
        <w:pStyle w:val="78"/>
        <w:numPr>
          <w:ilvl w:val="0"/>
          <w:numId w:val="9"/>
        </w:numPr>
        <w:ind w:firstLineChars="0"/>
      </w:pPr>
      <w:r>
        <w:rPr>
          <w:rFonts w:hint="eastAsia"/>
        </w:rPr>
        <w:t>用途：</w:t>
      </w:r>
      <w:r>
        <w:fldChar w:fldCharType="begin"/>
      </w:r>
      <w:r>
        <w:instrText xml:space="preserve"> </w:instrText>
      </w:r>
      <w:r>
        <w:rPr>
          <w:rFonts w:hint="eastAsia"/>
        </w:rPr>
        <w:instrText xml:space="preserve">REF 设备位置</w:instrText>
      </w:r>
      <w:r>
        <w:instrText xml:space="preserve"> </w:instrText>
      </w:r>
      <w:r>
        <w:fldChar w:fldCharType="separate"/>
      </w:r>
      <w:r>
        <w:rPr>
          <w:rFonts w:hint="eastAsia"/>
          <w:lang w:eastAsia="zh-CN"/>
        </w:rPr>
        <w:t>马鹿塘大桥</w:t>
      </w:r>
      <w:r>
        <w:fldChar w:fldCharType="end"/>
      </w:r>
      <w:r>
        <w:rPr>
          <w:rFonts w:hint="eastAsia"/>
        </w:rPr>
        <w:t>施工；</w:t>
      </w:r>
    </w:p>
    <w:p w14:paraId="6EA674ED">
      <w:pPr>
        <w:pStyle w:val="78"/>
        <w:numPr>
          <w:ilvl w:val="0"/>
          <w:numId w:val="9"/>
        </w:numPr>
        <w:ind w:firstLineChars="0"/>
      </w:pPr>
      <w:r>
        <w:t>设备数量：</w:t>
      </w:r>
      <w:r>
        <w:rPr>
          <w:rFonts w:hint="eastAsia"/>
          <w:lang w:val="en-US" w:eastAsia="zh-CN"/>
        </w:rPr>
        <w:t>T7527-18</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lang w:val="en-US" w:eastAsia="zh-CN"/>
        </w:rPr>
        <w:t>1</w:t>
      </w:r>
      <w:r>
        <w:rPr>
          <w:rFonts w:hint="eastAsia"/>
        </w:rPr>
        <w:t>台。</w:t>
      </w:r>
    </w:p>
    <w:p w14:paraId="752B0913">
      <w:pPr>
        <w:pStyle w:val="5"/>
      </w:pPr>
      <w:r>
        <w:rPr>
          <w:rFonts w:hint="eastAsia"/>
        </w:rPr>
        <w:t>设备主要技术参数</w:t>
      </w:r>
    </w:p>
    <w:p w14:paraId="4DA8ED5B">
      <w:pPr>
        <w:pStyle w:val="156"/>
        <w:numPr>
          <w:ilvl w:val="4"/>
          <w:numId w:val="0"/>
        </w:numPr>
        <w:ind w:leftChars="0"/>
        <w:rPr>
          <w:b w:val="0"/>
          <w:bCs w:val="0"/>
        </w:rPr>
      </w:pPr>
      <w:r>
        <w:rPr>
          <w:rFonts w:hint="eastAsia"/>
          <w:b w:val="0"/>
          <w:bCs w:val="0"/>
          <w:color w:val="000000" w:themeColor="text1"/>
          <w14:textFill>
            <w14:solidFill>
              <w14:schemeClr w14:val="tx1"/>
            </w14:solidFill>
          </w14:textFill>
        </w:rPr>
        <w:t>T</w:t>
      </w:r>
      <w:r>
        <w:rPr>
          <w:rFonts w:hint="eastAsia"/>
          <w:b w:val="0"/>
          <w:bCs w:val="0"/>
          <w:color w:val="000000" w:themeColor="text1"/>
          <w:lang w:val="en-US" w:eastAsia="zh-CN"/>
          <w14:textFill>
            <w14:solidFill>
              <w14:schemeClr w14:val="tx1"/>
            </w14:solidFill>
          </w14:textFill>
        </w:rPr>
        <w:t>7527</w:t>
      </w:r>
      <w:r>
        <w:rPr>
          <w:rFonts w:hint="eastAsia"/>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18</w:t>
      </w:r>
      <w:r>
        <w:rPr>
          <w:b w:val="0"/>
          <w:bCs w:val="0"/>
        </w:rPr>
        <w:fldChar w:fldCharType="begin"/>
      </w:r>
      <w:r>
        <w:rPr>
          <w:b w:val="0"/>
          <w:bCs w:val="0"/>
        </w:rPr>
        <w:instrText xml:space="preserve"> </w:instrText>
      </w:r>
      <w:r>
        <w:rPr>
          <w:rFonts w:hint="eastAsia"/>
          <w:b w:val="0"/>
          <w:bCs w:val="0"/>
        </w:rPr>
        <w:instrText xml:space="preserve">REF 设备类型 \h</w:instrText>
      </w:r>
      <w:r>
        <w:rPr>
          <w:b w:val="0"/>
          <w:bCs w:val="0"/>
        </w:rPr>
        <w:instrText xml:space="preserve">  \* MERGEFORMAT </w:instrText>
      </w:r>
      <w:r>
        <w:rPr>
          <w:b w:val="0"/>
          <w:bCs w:val="0"/>
        </w:rPr>
        <w:fldChar w:fldCharType="separate"/>
      </w:r>
      <w:r>
        <w:rPr>
          <w:rFonts w:hint="eastAsia"/>
          <w:b w:val="0"/>
          <w:bCs w:val="0"/>
        </w:rPr>
        <w:t>塔式起重机</w:t>
      </w:r>
      <w:r>
        <w:rPr>
          <w:b w:val="0"/>
          <w:bCs w:val="0"/>
        </w:rPr>
        <w:fldChar w:fldCharType="end"/>
      </w:r>
    </w:p>
    <w:p w14:paraId="5A97798B">
      <w:pPr>
        <w:pStyle w:val="78"/>
        <w:numPr>
          <w:ilvl w:val="0"/>
          <w:numId w:val="10"/>
        </w:numPr>
        <w:ind w:firstLineChars="0"/>
      </w:pPr>
      <w:r>
        <w:rPr>
          <w:rFonts w:hint="eastAsia"/>
        </w:rPr>
        <w:t>整机性能参数</w:t>
      </w:r>
    </w:p>
    <w:p w14:paraId="28116801">
      <w:pPr>
        <w:ind w:firstLine="480"/>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t>2.1.3</w:t>
      </w:r>
      <w:r>
        <w:rPr>
          <w:rFonts w:hint="eastAsia"/>
          <w:lang w:val="en-US" w:eastAsia="zh-CN"/>
        </w:rPr>
        <w:t>.2</w:t>
      </w:r>
      <w:r>
        <w:rPr>
          <w:rFonts w:hint="eastAsia"/>
        </w:rPr>
        <w:t>-</w:t>
      </w:r>
      <w:r>
        <w:t>1</w:t>
      </w:r>
      <w:r>
        <w:fldChar w:fldCharType="end"/>
      </w:r>
      <w:r>
        <w:rPr>
          <w:rFonts w:hint="eastAsia"/>
        </w:rPr>
        <w:t>所示。</w:t>
      </w:r>
    </w:p>
    <w:p w14:paraId="2841B7FA">
      <w:pPr>
        <w:pStyle w:val="16"/>
      </w:pPr>
      <w:bookmarkStart w:id="48"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lang w:val="en-US" w:eastAsia="zh-CN"/>
        </w:rPr>
        <w:t>.2</w:t>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48"/>
      <w:r>
        <w:rPr>
          <w:rFonts w:hint="eastAsia"/>
        </w:rPr>
        <w:t xml:space="preserve"> 设备整机性能参数表</w:t>
      </w:r>
    </w:p>
    <w:p w14:paraId="4AA884DF">
      <w:pPr>
        <w:widowControl w:val="0"/>
        <w:spacing w:line="360" w:lineRule="auto"/>
        <w:ind w:firstLine="480" w:firstLineChars="200"/>
        <w:jc w:val="center"/>
        <w:rPr>
          <w:rFonts w:hint="eastAsia" w:ascii="文鼎书宋简" w:hAnsi="宋体" w:eastAsia="文鼎书宋简" w:cs="宋体"/>
          <w:color w:val="000000"/>
          <w:spacing w:val="12"/>
          <w:kern w:val="0"/>
          <w:sz w:val="24"/>
          <w:szCs w:val="28"/>
          <w:lang w:val="en-US" w:eastAsia="zh-CN" w:bidi="ar-SA"/>
        </w:rPr>
      </w:pPr>
      <w:r>
        <w:drawing>
          <wp:inline distT="0" distB="0" distL="114300" distR="114300">
            <wp:extent cx="4648200" cy="6391275"/>
            <wp:effectExtent l="0" t="0" r="0"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9"/>
                    <a:stretch>
                      <a:fillRect/>
                    </a:stretch>
                  </pic:blipFill>
                  <pic:spPr>
                    <a:xfrm>
                      <a:off x="0" y="0"/>
                      <a:ext cx="4648200" cy="6391275"/>
                    </a:xfrm>
                    <a:prstGeom prst="rect">
                      <a:avLst/>
                    </a:prstGeom>
                    <a:noFill/>
                    <a:ln>
                      <a:noFill/>
                    </a:ln>
                  </pic:spPr>
                </pic:pic>
              </a:graphicData>
            </a:graphic>
          </wp:inline>
        </w:drawing>
      </w:r>
    </w:p>
    <w:p w14:paraId="31BB6A8B">
      <w:pPr>
        <w:pStyle w:val="78"/>
        <w:numPr>
          <w:ilvl w:val="0"/>
          <w:numId w:val="10"/>
        </w:numPr>
        <w:ind w:firstLineChars="0"/>
      </w:pPr>
      <w:r>
        <w:rPr>
          <w:rFonts w:hint="eastAsia"/>
        </w:rPr>
        <w:t>载荷性能表</w:t>
      </w:r>
    </w:p>
    <w:p w14:paraId="6F601318">
      <w:pPr>
        <w:ind w:firstLine="480"/>
      </w:pPr>
      <w:r>
        <w:rPr>
          <w:rFonts w:hint="eastAsia"/>
        </w:rPr>
        <w:t>设备载荷性能如</w:t>
      </w: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t>2.1.3</w:t>
      </w:r>
      <w:r>
        <w:rPr>
          <w:rFonts w:hint="eastAsia"/>
          <w:lang w:val="en-US" w:eastAsia="zh-CN"/>
        </w:rPr>
        <w:t>.2</w:t>
      </w:r>
      <w:r>
        <w:rPr>
          <w:rFonts w:hint="eastAsia"/>
        </w:rPr>
        <w:t>-</w:t>
      </w:r>
      <w:r>
        <w:t>2</w:t>
      </w:r>
      <w:r>
        <w:fldChar w:fldCharType="end"/>
      </w:r>
      <w:r>
        <w:rPr>
          <w:rFonts w:hint="eastAsia"/>
        </w:rPr>
        <w:t>所示。</w:t>
      </w:r>
    </w:p>
    <w:p w14:paraId="392EDF0A">
      <w:pPr>
        <w:pStyle w:val="16"/>
      </w:pPr>
      <w:bookmarkStart w:id="49" w:name="_Ref129267132"/>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lang w:val="en-US" w:eastAsia="zh-CN"/>
        </w:rPr>
        <w:t>.2</w:t>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49"/>
      <w:r>
        <w:rPr>
          <w:rFonts w:hint="eastAsia"/>
        </w:rPr>
        <w:t xml:space="preserve"> 载荷性能表</w:t>
      </w:r>
    </w:p>
    <w:p w14:paraId="5DCCF8D3">
      <w:pPr>
        <w:pStyle w:val="17"/>
      </w:pPr>
      <w:r>
        <w:rPr>
          <w:sz w:val="24"/>
        </w:rP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1755775</wp:posOffset>
                </wp:positionV>
                <wp:extent cx="5427980" cy="471170"/>
                <wp:effectExtent l="13970" t="13970" r="25400" b="29210"/>
                <wp:wrapNone/>
                <wp:docPr id="14" name="矩形 14"/>
                <wp:cNvGraphicFramePr/>
                <a:graphic xmlns:a="http://schemas.openxmlformats.org/drawingml/2006/main">
                  <a:graphicData uri="http://schemas.microsoft.com/office/word/2010/wordprocessingShape">
                    <wps:wsp>
                      <wps:cNvSpPr/>
                      <wps:spPr>
                        <a:xfrm>
                          <a:off x="819150" y="1763395"/>
                          <a:ext cx="5427980" cy="47117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pt;margin-top:138.25pt;height:37.1pt;width:427.4pt;z-index:251660288;v-text-anchor:middle;mso-width-relative:page;mso-height-relative:page;" filled="f" stroked="t" coordsize="21600,21600" o:gfxdata="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vUmKXaAAAACwEAAA8AAAAAAAAAAQAg&#10;AAAAIgAAAGRycy9kb3ducmV2LnhtbFBLAQIUABQAAAAIAIdO4kCMgkAqfgIAAOYEAAAOAAAAAAAA&#10;AAEAIAAAACkBAABkcnMvZTJvRG9jLnhtbFBLBQYAAAAABgAGAFkBAAAZBgAAAAA=&#10;">
                <v:fill on="f" focussize="0,0"/>
                <v:stroke weight="2.25pt" color="#FF0000 [3204]" miterlimit="8" joinstyle="miter"/>
                <v:imagedata o:title=""/>
                <o:lock v:ext="edit" aspectratio="f"/>
              </v:rect>
            </w:pict>
          </mc:Fallback>
        </mc:AlternateContent>
      </w:r>
      <w:r>
        <w:drawing>
          <wp:inline distT="0" distB="0" distL="114300" distR="114300">
            <wp:extent cx="5271770" cy="2961005"/>
            <wp:effectExtent l="0" t="0" r="5080"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271770" cy="2961005"/>
                    </a:xfrm>
                    <a:prstGeom prst="rect">
                      <a:avLst/>
                    </a:prstGeom>
                    <a:noFill/>
                    <a:ln>
                      <a:noFill/>
                    </a:ln>
                  </pic:spPr>
                </pic:pic>
              </a:graphicData>
            </a:graphic>
          </wp:inline>
        </w:drawing>
      </w:r>
    </w:p>
    <w:p w14:paraId="6BF00AE4">
      <w:pPr>
        <w:pStyle w:val="5"/>
      </w:pPr>
      <w:r>
        <w:rPr>
          <w:rFonts w:hint="eastAsia"/>
        </w:rPr>
        <w:t>设备结构图</w:t>
      </w:r>
    </w:p>
    <w:p w14:paraId="0A1F4DE1">
      <w:pPr>
        <w:pStyle w:val="156"/>
        <w:numPr>
          <w:ilvl w:val="4"/>
          <w:numId w:val="0"/>
        </w:numPr>
        <w:ind w:leftChars="0"/>
      </w:pPr>
      <w:r>
        <w:rPr>
          <w:rFonts w:hint="eastAsia"/>
          <w:lang w:val="en-US" w:eastAsia="zh-CN"/>
        </w:rPr>
        <w:t>T7527-18</w:t>
      </w:r>
      <w:r>
        <w:fldChar w:fldCharType="begin"/>
      </w:r>
      <w:r>
        <w:instrText xml:space="preserve"> </w:instrText>
      </w:r>
      <w:r>
        <w:rPr>
          <w:rFonts w:hint="eastAsia"/>
        </w:rPr>
        <w:instrText xml:space="preserve">REF 设备类型 \h</w:instrText>
      </w:r>
      <w:r>
        <w:instrText xml:space="preserve">  \* MERGEFORMAT </w:instrText>
      </w:r>
      <w:r>
        <w:fldChar w:fldCharType="separate"/>
      </w:r>
      <w:r>
        <w:rPr>
          <w:rFonts w:hint="eastAsia"/>
        </w:rPr>
        <w:t>塔式起重机</w:t>
      </w:r>
      <w:r>
        <w:fldChar w:fldCharType="end"/>
      </w:r>
    </w:p>
    <w:p w14:paraId="570910DD">
      <w:pPr>
        <w:ind w:firstLine="480"/>
      </w:pPr>
      <w:r>
        <w:t>设备结构图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lang w:val="en-US" w:eastAsia="zh-CN"/>
        </w:rPr>
        <w:t>.3</w:t>
      </w:r>
      <w:r>
        <w:rPr>
          <w:rFonts w:hint="eastAsia"/>
        </w:rPr>
        <w:t>-</w:t>
      </w:r>
      <w:r>
        <w:t>1</w:t>
      </w:r>
      <w:r>
        <w:fldChar w:fldCharType="end"/>
      </w:r>
      <w:r>
        <w:rPr>
          <w:rFonts w:hint="eastAsia"/>
        </w:rPr>
        <w:t>所示。</w:t>
      </w:r>
    </w:p>
    <w:p w14:paraId="758C8055">
      <w:pPr>
        <w:pStyle w:val="117"/>
      </w:pPr>
      <w:r>
        <w:drawing>
          <wp:inline distT="0" distB="0" distL="114300" distR="114300">
            <wp:extent cx="5273040" cy="6908800"/>
            <wp:effectExtent l="0" t="0" r="3810" b="6350"/>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1"/>
                    <a:stretch>
                      <a:fillRect/>
                    </a:stretch>
                  </pic:blipFill>
                  <pic:spPr>
                    <a:xfrm>
                      <a:off x="0" y="0"/>
                      <a:ext cx="5273040" cy="6908800"/>
                    </a:xfrm>
                    <a:prstGeom prst="rect">
                      <a:avLst/>
                    </a:prstGeom>
                    <a:noFill/>
                    <a:ln>
                      <a:noFill/>
                    </a:ln>
                  </pic:spPr>
                </pic:pic>
              </a:graphicData>
            </a:graphic>
          </wp:inline>
        </w:drawing>
      </w:r>
    </w:p>
    <w:p w14:paraId="44F7E8DE">
      <w:pPr>
        <w:pStyle w:val="116"/>
      </w:pPr>
      <w:bookmarkStart w:id="50"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lang w:val="en-US" w:eastAsia="zh-CN"/>
        </w:rPr>
        <w:t>.3</w:t>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0"/>
      <w:r>
        <w:t xml:space="preserve"> 设备结构图</w:t>
      </w:r>
      <w:r>
        <w:rPr>
          <w:rFonts w:hint="eastAsia"/>
        </w:rPr>
        <w:t>（mm）</w:t>
      </w:r>
    </w:p>
    <w:p w14:paraId="3A0DCAC1">
      <w:pPr>
        <w:pStyle w:val="3"/>
        <w:bidi w:val="0"/>
        <w:ind w:left="0" w:leftChars="0" w:firstLine="0" w:firstLineChars="0"/>
      </w:pPr>
      <w:bookmarkStart w:id="51" w:name="_Toc24628"/>
      <w:r>
        <w:rPr>
          <w:rFonts w:hint="eastAsia"/>
        </w:rPr>
        <w:t>设备布置情况</w:t>
      </w:r>
      <w:bookmarkEnd w:id="51"/>
    </w:p>
    <w:p w14:paraId="12BA9AED">
      <w:pPr>
        <w:ind w:firstLine="480"/>
      </w:pPr>
      <w:r>
        <w:rPr>
          <w:rFonts w:hint="eastAsia"/>
        </w:rPr>
        <w:t>设备安装及使用信息如</w:t>
      </w:r>
      <w:r>
        <w:fldChar w:fldCharType="begin"/>
      </w:r>
      <w:r>
        <w:instrText xml:space="preserve"> </w:instrText>
      </w:r>
      <w:r>
        <w:rPr>
          <w:rFonts w:hint="eastAsia"/>
        </w:rPr>
        <w:instrText xml:space="preserve">REF _Ref132102606 \h</w:instrText>
      </w:r>
      <w:r>
        <w:instrText xml:space="preserve"> </w:instrText>
      </w:r>
      <w:r>
        <w:fldChar w:fldCharType="separate"/>
      </w:r>
      <w:r>
        <w:rPr>
          <w:rFonts w:hint="eastAsia"/>
        </w:rPr>
        <w:t>表</w:t>
      </w:r>
      <w:r>
        <w:t>2.</w:t>
      </w:r>
      <w:r>
        <w:rPr>
          <w:rFonts w:hint="eastAsia"/>
          <w:lang w:val="en-US" w:eastAsia="zh-CN"/>
        </w:rPr>
        <w:t>2</w:t>
      </w:r>
      <w:r>
        <w:rPr>
          <w:rFonts w:hint="eastAsia"/>
        </w:rPr>
        <w:t>-</w:t>
      </w:r>
      <w:r>
        <w:t>1</w:t>
      </w:r>
      <w:r>
        <w:fldChar w:fldCharType="end"/>
      </w:r>
      <w:r>
        <w:rPr>
          <w:rFonts w:hint="eastAsia"/>
        </w:rPr>
        <w:t>所示。</w:t>
      </w:r>
    </w:p>
    <w:p w14:paraId="5574D6D5">
      <w:pPr>
        <w:pStyle w:val="16"/>
      </w:pPr>
      <w:bookmarkStart w:id="52" w:name="_Ref13210260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w:t>
      </w:r>
      <w:r>
        <w:rPr>
          <w:rFonts w:hint="eastAsia"/>
          <w:lang w:val="en-US" w:eastAsia="zh-CN"/>
        </w:rPr>
        <w:t>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52"/>
      <w:r>
        <w:rPr>
          <w:rFonts w:hint="eastAsia"/>
        </w:rPr>
        <w:t xml:space="preserve"> </w:t>
      </w:r>
      <w:r>
        <w:rPr>
          <w:rFonts w:hint="eastAsia"/>
          <w:lang w:val="en-US" w:eastAsia="zh-CN"/>
        </w:rPr>
        <w:t>T7527-18</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安装及使用信息表</w:t>
      </w:r>
    </w:p>
    <w:tbl>
      <w:tblPr>
        <w:tblStyle w:val="41"/>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44"/>
        <w:gridCol w:w="1265"/>
        <w:gridCol w:w="1219"/>
        <w:gridCol w:w="1201"/>
        <w:gridCol w:w="1067"/>
        <w:gridCol w:w="1212"/>
        <w:gridCol w:w="1344"/>
      </w:tblGrid>
      <w:tr w14:paraId="0CA7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74" w:type="dxa"/>
            <w:tcBorders>
              <w:top w:val="single" w:color="auto" w:sz="8" w:space="0"/>
              <w:left w:val="single" w:color="auto" w:sz="8" w:space="0"/>
              <w:bottom w:val="single" w:color="auto" w:sz="4" w:space="0"/>
              <w:right w:val="single" w:color="auto" w:sz="4" w:space="0"/>
            </w:tcBorders>
            <w:vAlign w:val="center"/>
          </w:tcPr>
          <w:p w14:paraId="6F7EA3A6">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塔机编号</w:t>
            </w:r>
          </w:p>
        </w:tc>
        <w:tc>
          <w:tcPr>
            <w:tcW w:w="1544" w:type="dxa"/>
            <w:tcBorders>
              <w:top w:val="single" w:color="auto" w:sz="8" w:space="0"/>
              <w:left w:val="single" w:color="auto" w:sz="8" w:space="0"/>
              <w:bottom w:val="single" w:color="auto" w:sz="4" w:space="0"/>
              <w:right w:val="single" w:color="auto" w:sz="4" w:space="0"/>
            </w:tcBorders>
            <w:vAlign w:val="center"/>
          </w:tcPr>
          <w:p w14:paraId="39C804DE">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塔机型号</w:t>
            </w:r>
          </w:p>
        </w:tc>
        <w:tc>
          <w:tcPr>
            <w:tcW w:w="1265" w:type="dxa"/>
            <w:tcBorders>
              <w:top w:val="single" w:color="auto" w:sz="8" w:space="0"/>
              <w:left w:val="single" w:color="auto" w:sz="4" w:space="0"/>
              <w:bottom w:val="single" w:color="auto" w:sz="4" w:space="0"/>
              <w:right w:val="single" w:color="auto" w:sz="4" w:space="0"/>
            </w:tcBorders>
            <w:vAlign w:val="center"/>
          </w:tcPr>
          <w:p w14:paraId="23172A2E">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初装高度m</w:t>
            </w:r>
          </w:p>
        </w:tc>
        <w:tc>
          <w:tcPr>
            <w:tcW w:w="1219" w:type="dxa"/>
            <w:tcBorders>
              <w:top w:val="single" w:color="auto" w:sz="8" w:space="0"/>
              <w:left w:val="single" w:color="auto" w:sz="4" w:space="0"/>
              <w:bottom w:val="single" w:color="auto" w:sz="4" w:space="0"/>
              <w:right w:val="single" w:color="auto" w:sz="4" w:space="0"/>
            </w:tcBorders>
            <w:vAlign w:val="center"/>
          </w:tcPr>
          <w:p w14:paraId="3B7BDBBA">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最终安装高度m</w:t>
            </w:r>
          </w:p>
        </w:tc>
        <w:tc>
          <w:tcPr>
            <w:tcW w:w="1201" w:type="dxa"/>
            <w:tcBorders>
              <w:top w:val="single" w:color="auto" w:sz="8" w:space="0"/>
              <w:left w:val="single" w:color="auto" w:sz="4" w:space="0"/>
              <w:bottom w:val="single" w:color="auto" w:sz="4" w:space="0"/>
              <w:right w:val="single" w:color="auto" w:sz="4" w:space="0"/>
            </w:tcBorders>
            <w:vAlign w:val="center"/>
          </w:tcPr>
          <w:p w14:paraId="7E90EA21">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预埋形式</w:t>
            </w:r>
          </w:p>
        </w:tc>
        <w:tc>
          <w:tcPr>
            <w:tcW w:w="1067" w:type="dxa"/>
            <w:tcBorders>
              <w:top w:val="single" w:color="auto" w:sz="8" w:space="0"/>
              <w:left w:val="single" w:color="auto" w:sz="4" w:space="0"/>
              <w:bottom w:val="single" w:color="auto" w:sz="4" w:space="0"/>
              <w:right w:val="single" w:color="auto" w:sz="4" w:space="0"/>
            </w:tcBorders>
            <w:vAlign w:val="center"/>
          </w:tcPr>
          <w:p w14:paraId="7109E955">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起重臂长度</w:t>
            </w:r>
          </w:p>
        </w:tc>
        <w:tc>
          <w:tcPr>
            <w:tcW w:w="1212" w:type="dxa"/>
            <w:tcBorders>
              <w:top w:val="single" w:color="auto" w:sz="8" w:space="0"/>
              <w:left w:val="single" w:color="auto" w:sz="4" w:space="0"/>
              <w:bottom w:val="single" w:color="auto" w:sz="4" w:space="0"/>
              <w:right w:val="single" w:color="auto" w:sz="4" w:space="0"/>
            </w:tcBorders>
            <w:vAlign w:val="center"/>
          </w:tcPr>
          <w:p w14:paraId="435D5B2B">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起重臂</w:t>
            </w:r>
          </w:p>
          <w:p w14:paraId="26D0AA77">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顶升方向</w:t>
            </w:r>
          </w:p>
        </w:tc>
        <w:tc>
          <w:tcPr>
            <w:tcW w:w="1344" w:type="dxa"/>
            <w:tcBorders>
              <w:top w:val="single" w:color="auto" w:sz="8" w:space="0"/>
              <w:left w:val="single" w:color="auto" w:sz="4" w:space="0"/>
              <w:bottom w:val="single" w:color="auto" w:sz="4" w:space="0"/>
              <w:right w:val="single" w:color="auto" w:sz="4" w:space="0"/>
            </w:tcBorders>
            <w:vAlign w:val="center"/>
          </w:tcPr>
          <w:p w14:paraId="4FF2DFF2">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基础顶标高</w:t>
            </w:r>
          </w:p>
        </w:tc>
      </w:tr>
      <w:tr w14:paraId="0558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14:paraId="4B0DAC1D">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右5</w:t>
            </w:r>
            <w:r>
              <w:rPr>
                <w:rFonts w:hint="eastAsia" w:ascii="Times New Roman" w:hAnsi="Times New Roman" w:eastAsia="仿宋_GB2312" w:cs="Times New Roman"/>
                <w:kern w:val="0"/>
                <w:sz w:val="21"/>
                <w:szCs w:val="21"/>
                <w:highlight w:val="lightGray"/>
                <w:lang w:val="en-US" w:eastAsia="zh-CN" w:bidi="ar-SA"/>
              </w:rPr>
              <w:t>#墩塔机</w:t>
            </w:r>
          </w:p>
        </w:tc>
        <w:tc>
          <w:tcPr>
            <w:tcW w:w="1544" w:type="dxa"/>
            <w:tcBorders>
              <w:top w:val="single" w:color="auto" w:sz="4" w:space="0"/>
              <w:left w:val="single" w:color="auto" w:sz="8" w:space="0"/>
              <w:bottom w:val="single" w:color="auto" w:sz="4" w:space="0"/>
              <w:right w:val="single" w:color="auto" w:sz="4" w:space="0"/>
            </w:tcBorders>
            <w:vAlign w:val="center"/>
          </w:tcPr>
          <w:p w14:paraId="6F7C665D">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T7257-18</w:t>
            </w:r>
          </w:p>
        </w:tc>
        <w:tc>
          <w:tcPr>
            <w:tcW w:w="1265" w:type="dxa"/>
            <w:tcBorders>
              <w:top w:val="single" w:color="auto" w:sz="4" w:space="0"/>
              <w:left w:val="single" w:color="auto" w:sz="4" w:space="0"/>
              <w:bottom w:val="single" w:color="auto" w:sz="4" w:space="0"/>
              <w:right w:val="single" w:color="auto" w:sz="4" w:space="0"/>
            </w:tcBorders>
            <w:vAlign w:val="center"/>
          </w:tcPr>
          <w:p w14:paraId="49B82F5B">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51</w:t>
            </w:r>
          </w:p>
        </w:tc>
        <w:tc>
          <w:tcPr>
            <w:tcW w:w="1219" w:type="dxa"/>
            <w:tcBorders>
              <w:top w:val="single" w:color="auto" w:sz="4" w:space="0"/>
              <w:left w:val="single" w:color="auto" w:sz="4" w:space="0"/>
              <w:bottom w:val="single" w:color="auto" w:sz="4" w:space="0"/>
              <w:right w:val="single" w:color="auto" w:sz="4" w:space="0"/>
            </w:tcBorders>
            <w:vAlign w:val="center"/>
          </w:tcPr>
          <w:p w14:paraId="73143099">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51</w:t>
            </w:r>
          </w:p>
        </w:tc>
        <w:tc>
          <w:tcPr>
            <w:tcW w:w="1201" w:type="dxa"/>
            <w:tcBorders>
              <w:top w:val="single" w:color="auto" w:sz="4" w:space="0"/>
              <w:left w:val="single" w:color="auto" w:sz="4" w:space="0"/>
              <w:bottom w:val="single" w:color="auto" w:sz="4" w:space="0"/>
              <w:right w:val="single" w:color="auto" w:sz="4" w:space="0"/>
            </w:tcBorders>
            <w:vAlign w:val="center"/>
          </w:tcPr>
          <w:p w14:paraId="1B8A41D0">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ascii="Times New Roman" w:hAnsi="Times New Roman" w:eastAsia="仿宋_GB2312" w:cs="Times New Roman"/>
                <w:kern w:val="0"/>
                <w:sz w:val="21"/>
                <w:szCs w:val="21"/>
                <w:highlight w:val="lightGray"/>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14:paraId="686B4706">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45</w:t>
            </w:r>
            <w:r>
              <w:rPr>
                <w:rFonts w:hint="eastAsia" w:ascii="Times New Roman" w:hAnsi="Times New Roman" w:eastAsia="仿宋_GB2312" w:cs="Times New Roman"/>
                <w:kern w:val="0"/>
                <w:sz w:val="21"/>
                <w:szCs w:val="21"/>
                <w:highlight w:val="lightGray"/>
                <w:lang w:val="en-US" w:eastAsia="zh-CN" w:bidi="ar-SA"/>
              </w:rPr>
              <w:t>m</w:t>
            </w:r>
          </w:p>
        </w:tc>
        <w:tc>
          <w:tcPr>
            <w:tcW w:w="1212" w:type="dxa"/>
            <w:tcBorders>
              <w:top w:val="single" w:color="auto" w:sz="4" w:space="0"/>
              <w:left w:val="single" w:color="auto" w:sz="4" w:space="0"/>
              <w:bottom w:val="single" w:color="auto" w:sz="4" w:space="0"/>
              <w:right w:val="single" w:color="auto" w:sz="4" w:space="0"/>
            </w:tcBorders>
            <w:vAlign w:val="center"/>
          </w:tcPr>
          <w:p w14:paraId="318B01A2">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南</w:t>
            </w:r>
          </w:p>
        </w:tc>
        <w:tc>
          <w:tcPr>
            <w:tcW w:w="1344" w:type="dxa"/>
            <w:tcBorders>
              <w:top w:val="single" w:color="auto" w:sz="4" w:space="0"/>
              <w:left w:val="single" w:color="auto" w:sz="4" w:space="0"/>
              <w:bottom w:val="single" w:color="auto" w:sz="4" w:space="0"/>
              <w:right w:val="single" w:color="auto" w:sz="4" w:space="0"/>
            </w:tcBorders>
            <w:vAlign w:val="center"/>
          </w:tcPr>
          <w:p w14:paraId="23D7EF01">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lightGray"/>
                <w:lang w:val="en-US" w:eastAsia="zh-CN" w:bidi="ar-SA"/>
              </w:rPr>
            </w:pPr>
            <w:r>
              <w:rPr>
                <w:rFonts w:hint="eastAsia" w:eastAsia="仿宋_GB2312" w:cs="Times New Roman"/>
                <w:kern w:val="0"/>
                <w:sz w:val="21"/>
                <w:szCs w:val="21"/>
                <w:highlight w:val="lightGray"/>
                <w:lang w:val="en-US" w:eastAsia="zh-CN" w:bidi="ar-SA"/>
              </w:rPr>
              <w:t>707.458m</w:t>
            </w:r>
          </w:p>
        </w:tc>
      </w:tr>
    </w:tbl>
    <w:p w14:paraId="3DBC5D72">
      <w:pPr>
        <w:ind w:firstLine="480"/>
        <w:rPr>
          <w:rFonts w:hint="eastAsia"/>
          <w:bCs/>
        </w:rPr>
      </w:pPr>
      <w:r>
        <w:rPr>
          <w:rFonts w:hint="eastAsia"/>
          <w:bCs/>
        </w:rPr>
        <w:t>设备在安装部位平面布置图、初装立面布置图与终装立面布置图如</w:t>
      </w:r>
      <w:r>
        <w:rPr>
          <w:bCs/>
        </w:rPr>
        <w:fldChar w:fldCharType="begin"/>
      </w:r>
      <w:r>
        <w:rPr>
          <w:bCs/>
        </w:rPr>
        <w:instrText xml:space="preserve"> </w:instrText>
      </w:r>
      <w:r>
        <w:rPr>
          <w:rFonts w:hint="eastAsia"/>
          <w:bCs/>
        </w:rPr>
        <w:instrText xml:space="preserve">REF _Ref123718991 \h</w:instrText>
      </w:r>
      <w:r>
        <w:rPr>
          <w:bCs/>
        </w:rPr>
        <w:instrText xml:space="preserve"> </w:instrText>
      </w:r>
      <w:r>
        <w:rPr>
          <w:bCs/>
        </w:rPr>
        <w:fldChar w:fldCharType="separate"/>
      </w:r>
      <w:r>
        <w:rPr>
          <w:rFonts w:hint="eastAsia"/>
        </w:rPr>
        <w:t>图</w:t>
      </w:r>
      <w:r>
        <w:t>2.</w:t>
      </w:r>
      <w:r>
        <w:rPr>
          <w:rFonts w:hint="eastAsia"/>
          <w:lang w:val="en-US" w:eastAsia="zh-CN"/>
        </w:rPr>
        <w:t>2</w:t>
      </w:r>
      <w:r>
        <w:rPr>
          <w:rFonts w:hint="eastAsia"/>
        </w:rPr>
        <w:t>-</w:t>
      </w:r>
      <w:r>
        <w:rPr>
          <w:rFonts w:hint="eastAsia"/>
          <w:lang w:val="en-US" w:eastAsia="zh-CN"/>
        </w:rPr>
        <w:t>2</w:t>
      </w:r>
      <w:r>
        <w:rPr>
          <w:bCs/>
        </w:rPr>
        <w:fldChar w:fldCharType="end"/>
      </w:r>
      <w:r>
        <w:rPr>
          <w:rFonts w:hint="eastAsia"/>
          <w:bCs/>
        </w:rPr>
        <w:t>、</w:t>
      </w:r>
      <w:r>
        <w:rPr>
          <w:bCs/>
        </w:rPr>
        <w:fldChar w:fldCharType="begin"/>
      </w:r>
      <w:r>
        <w:rPr>
          <w:bCs/>
        </w:rPr>
        <w:instrText xml:space="preserve"> REF _Ref123718992 \h </w:instrText>
      </w:r>
      <w:r>
        <w:rPr>
          <w:bCs/>
        </w:rPr>
        <w:fldChar w:fldCharType="separate"/>
      </w:r>
      <w:r>
        <w:rPr>
          <w:rFonts w:hint="eastAsia"/>
        </w:rPr>
        <w:t>图</w:t>
      </w:r>
      <w:r>
        <w:t>2.</w:t>
      </w:r>
      <w:r>
        <w:rPr>
          <w:rFonts w:hint="eastAsia"/>
          <w:lang w:val="en-US" w:eastAsia="zh-CN"/>
        </w:rPr>
        <w:t>2</w:t>
      </w:r>
      <w:r>
        <w:rPr>
          <w:rFonts w:hint="eastAsia"/>
        </w:rPr>
        <w:t>-</w:t>
      </w:r>
      <w:r>
        <w:rPr>
          <w:rFonts w:hint="eastAsia"/>
          <w:lang w:val="en-US" w:eastAsia="zh-CN"/>
        </w:rPr>
        <w:t>3</w:t>
      </w:r>
      <w:r>
        <w:rPr>
          <w:bCs/>
        </w:rPr>
        <w:fldChar w:fldCharType="end"/>
      </w:r>
      <w:r>
        <w:rPr>
          <w:rFonts w:hint="eastAsia"/>
          <w:bCs/>
        </w:rPr>
        <w:t>所示。</w:t>
      </w:r>
    </w:p>
    <w:p w14:paraId="6C5729CA">
      <w:pPr>
        <w:ind w:firstLine="480"/>
        <w:jc w:val="center"/>
      </w:pPr>
      <w:r>
        <w:drawing>
          <wp:inline distT="0" distB="0" distL="114300" distR="114300">
            <wp:extent cx="4962525" cy="554355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a:stretch>
                      <a:fillRect/>
                    </a:stretch>
                  </pic:blipFill>
                  <pic:spPr>
                    <a:xfrm>
                      <a:off x="0" y="0"/>
                      <a:ext cx="4962525" cy="5543550"/>
                    </a:xfrm>
                    <a:prstGeom prst="rect">
                      <a:avLst/>
                    </a:prstGeom>
                    <a:noFill/>
                    <a:ln>
                      <a:noFill/>
                    </a:ln>
                  </pic:spPr>
                </pic:pic>
              </a:graphicData>
            </a:graphic>
          </wp:inline>
        </w:drawing>
      </w:r>
    </w:p>
    <w:p w14:paraId="1638FDBE">
      <w:pPr>
        <w:pStyle w:val="116"/>
        <w:rPr>
          <w:bCs/>
        </w:rPr>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w:t>
      </w:r>
      <w:r>
        <w:rPr>
          <w:rFonts w:hint="eastAsia"/>
          <w:lang w:val="en-US" w:eastAsia="zh-CN"/>
        </w:rPr>
        <w:t>2</w:t>
      </w:r>
      <w:r>
        <w:fldChar w:fldCharType="end"/>
      </w:r>
      <w:r>
        <w:rPr>
          <w:rFonts w:hint="eastAsia"/>
        </w:rPr>
        <w:t>-</w:t>
      </w:r>
      <w:r>
        <w:rPr>
          <w:rFonts w:hint="eastAsia"/>
          <w:lang w:val="en-US" w:eastAsia="zh-CN"/>
        </w:rPr>
        <w:t>2</w:t>
      </w:r>
      <w:r>
        <w:t xml:space="preserve"> </w:t>
      </w:r>
      <w:r>
        <w:rPr>
          <w:rFonts w:hint="eastAsia"/>
          <w:bCs/>
        </w:rPr>
        <w:t>设备在安装部位平面布置图（mm）</w:t>
      </w:r>
    </w:p>
    <w:p w14:paraId="7C90F148">
      <w:pPr>
        <w:ind w:left="0" w:leftChars="0" w:firstLine="0" w:firstLineChars="0"/>
        <w:jc w:val="center"/>
        <w:rPr>
          <w:rFonts w:hint="eastAsia"/>
        </w:rPr>
      </w:pPr>
      <w:r>
        <w:drawing>
          <wp:inline distT="0" distB="0" distL="114300" distR="114300">
            <wp:extent cx="5273675" cy="5974715"/>
            <wp:effectExtent l="0" t="0" r="3175"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5273675" cy="5974715"/>
                    </a:xfrm>
                    <a:prstGeom prst="rect">
                      <a:avLst/>
                    </a:prstGeom>
                    <a:noFill/>
                    <a:ln>
                      <a:noFill/>
                    </a:ln>
                  </pic:spPr>
                </pic:pic>
              </a:graphicData>
            </a:graphic>
          </wp:inline>
        </w:drawing>
      </w:r>
    </w:p>
    <w:p w14:paraId="491CFE61">
      <w:pPr>
        <w:pStyle w:val="116"/>
        <w:rPr>
          <w:bCs/>
        </w:rPr>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w:t>
      </w:r>
      <w:r>
        <w:rPr>
          <w:rFonts w:hint="eastAsia"/>
          <w:lang w:val="en-US" w:eastAsia="zh-CN"/>
        </w:rPr>
        <w:t>2</w:t>
      </w:r>
      <w:r>
        <w:fldChar w:fldCharType="end"/>
      </w:r>
      <w:r>
        <w:rPr>
          <w:rFonts w:hint="eastAsia"/>
        </w:rPr>
        <w:t>-</w:t>
      </w:r>
      <w:r>
        <w:rPr>
          <w:rFonts w:hint="eastAsia"/>
          <w:lang w:val="en-US" w:eastAsia="zh-CN"/>
        </w:rPr>
        <w:t>3</w:t>
      </w:r>
      <w:r>
        <w:t xml:space="preserve"> </w:t>
      </w:r>
      <w:r>
        <w:rPr>
          <w:rFonts w:hint="eastAsia"/>
          <w:bCs/>
          <w:lang w:val="en-US" w:eastAsia="zh-CN"/>
        </w:rPr>
        <w:t>T7527-18</w:t>
      </w:r>
      <w:r>
        <w:rPr>
          <w:bCs/>
        </w:rPr>
        <w:fldChar w:fldCharType="begin"/>
      </w:r>
      <w:r>
        <w:rPr>
          <w:bCs/>
        </w:rPr>
        <w:instrText xml:space="preserve"> REF 设备类型 \h </w:instrText>
      </w:r>
      <w:r>
        <w:rPr>
          <w:bCs/>
        </w:rPr>
        <w:fldChar w:fldCharType="separate"/>
      </w:r>
      <w:r>
        <w:rPr>
          <w:rFonts w:hint="eastAsia"/>
        </w:rPr>
        <w:t>塔式起重机</w:t>
      </w:r>
      <w:r>
        <w:rPr>
          <w:bCs/>
        </w:rPr>
        <w:fldChar w:fldCharType="end"/>
      </w:r>
      <w:r>
        <w:rPr>
          <w:rFonts w:hint="eastAsia"/>
          <w:bCs/>
        </w:rPr>
        <w:t>立面布置图（mm）</w:t>
      </w:r>
    </w:p>
    <w:p w14:paraId="00B28015">
      <w:pPr>
        <w:ind w:firstLine="480"/>
        <w:rPr>
          <w:rFonts w:hint="eastAsia"/>
        </w:rPr>
        <w:sectPr>
          <w:headerReference r:id="rId13" w:type="default"/>
          <w:footerReference r:id="rId14" w:type="default"/>
          <w:pgSz w:w="11906" w:h="16838"/>
          <w:pgMar w:top="1440" w:right="1800" w:bottom="1440" w:left="1800" w:header="851" w:footer="992" w:gutter="0"/>
          <w:pgNumType w:fmt="decimal" w:start="1"/>
          <w:cols w:space="425" w:num="1"/>
          <w:docGrid w:type="lines" w:linePitch="312" w:charSpace="0"/>
        </w:sectPr>
      </w:pPr>
    </w:p>
    <w:p w14:paraId="6FB20680">
      <w:pPr>
        <w:pStyle w:val="3"/>
      </w:pPr>
      <w:bookmarkStart w:id="53" w:name="_Toc21519"/>
      <w:r>
        <w:rPr>
          <w:rFonts w:hint="eastAsia"/>
        </w:rPr>
        <w:t>工程特点</w:t>
      </w:r>
      <w:bookmarkEnd w:id="53"/>
    </w:p>
    <w:p w14:paraId="7BCD1D51">
      <w:pPr>
        <w:pStyle w:val="78"/>
        <w:numPr>
          <w:ilvl w:val="0"/>
          <w:numId w:val="11"/>
        </w:numPr>
        <w:ind w:firstLineChars="0"/>
      </w:pPr>
      <w:r>
        <w:t>现场</w:t>
      </w:r>
      <w:r>
        <w:rPr>
          <w:rFonts w:hint="eastAsia"/>
        </w:rPr>
        <w:t>安拆</w:t>
      </w:r>
      <w:r>
        <w:t>场地受限，大型设备吊装难度大；</w:t>
      </w:r>
    </w:p>
    <w:p w14:paraId="18BF6786">
      <w:pPr>
        <w:pStyle w:val="78"/>
        <w:numPr>
          <w:ilvl w:val="0"/>
          <w:numId w:val="11"/>
        </w:numPr>
        <w:ind w:firstLineChars="0"/>
      </w:pPr>
      <w:r>
        <w:t>构建数量多，现场无法堆放，需多次进行转运；</w:t>
      </w:r>
    </w:p>
    <w:p w14:paraId="600CF5A6">
      <w:pPr>
        <w:pStyle w:val="78"/>
        <w:numPr>
          <w:ilvl w:val="0"/>
          <w:numId w:val="11"/>
        </w:numPr>
        <w:ind w:firstLineChars="0"/>
      </w:pPr>
      <w:r>
        <w:rPr>
          <w:rFonts w:hint="eastAsia"/>
        </w:rPr>
        <w:t>本施工过程包含高空作业，安全风险较大。</w:t>
      </w:r>
    </w:p>
    <w:p w14:paraId="78DB16B1">
      <w:pPr>
        <w:pStyle w:val="3"/>
      </w:pPr>
      <w:bookmarkStart w:id="54" w:name="_Toc27813"/>
      <w:bookmarkStart w:id="55" w:name="_Toc93050658"/>
      <w:r>
        <w:rPr>
          <w:rFonts w:hint="eastAsia"/>
        </w:rPr>
        <w:t>施工平面布置</w:t>
      </w:r>
      <w:bookmarkEnd w:id="54"/>
      <w:bookmarkEnd w:id="55"/>
    </w:p>
    <w:p w14:paraId="35F5927E">
      <w:pPr>
        <w:ind w:firstLine="480"/>
        <w:rPr>
          <w:rFonts w:hint="eastAsia"/>
        </w:rPr>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w:t>
      </w:r>
      <w:r>
        <w:rPr>
          <w:rFonts w:hint="eastAsia"/>
          <w:lang w:val="en-US" w:eastAsia="zh-CN"/>
        </w:rPr>
        <w:t>4</w:t>
      </w:r>
      <w:r>
        <w:rPr>
          <w:rFonts w:hint="eastAsia"/>
        </w:rPr>
        <w:t>-</w:t>
      </w:r>
      <w:r>
        <w:t>1</w:t>
      </w:r>
      <w:r>
        <w:fldChar w:fldCharType="end"/>
      </w:r>
      <w:r>
        <w:rPr>
          <w:rFonts w:hint="eastAsia"/>
        </w:rPr>
        <w:t>所示。</w:t>
      </w:r>
    </w:p>
    <w:p w14:paraId="1998FE21">
      <w:pPr>
        <w:ind w:firstLine="480"/>
        <w:jc w:val="center"/>
      </w:pPr>
      <w:r>
        <w:drawing>
          <wp:inline distT="0" distB="0" distL="114300" distR="114300">
            <wp:extent cx="4962525" cy="5543550"/>
            <wp:effectExtent l="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4962525" cy="5543550"/>
                    </a:xfrm>
                    <a:prstGeom prst="rect">
                      <a:avLst/>
                    </a:prstGeom>
                    <a:noFill/>
                    <a:ln>
                      <a:noFill/>
                    </a:ln>
                  </pic:spPr>
                </pic:pic>
              </a:graphicData>
            </a:graphic>
          </wp:inline>
        </w:drawing>
      </w:r>
    </w:p>
    <w:p w14:paraId="38D735F6">
      <w:pPr>
        <w:pStyle w:val="116"/>
        <w:rPr>
          <w:bCs/>
        </w:rPr>
      </w:pPr>
      <w:r>
        <w:rPr>
          <w:rFonts w:hint="eastAsia"/>
        </w:rPr>
        <w:t>图</w:t>
      </w:r>
      <w:r>
        <w:rPr>
          <w:rFonts w:hint="eastAsia"/>
          <w:lang w:val="en-US" w:eastAsia="zh-CN"/>
        </w:rPr>
        <w:t>2.4</w:t>
      </w:r>
      <w:r>
        <w:rPr>
          <w:rFonts w:hint="eastAsia"/>
        </w:rPr>
        <w:t>-</w:t>
      </w:r>
      <w:r>
        <w:rPr>
          <w:rFonts w:hint="eastAsia"/>
          <w:lang w:val="en-US" w:eastAsia="zh-CN"/>
        </w:rPr>
        <w:t>1</w:t>
      </w:r>
      <w:r>
        <w:t xml:space="preserve"> </w:t>
      </w:r>
      <w:r>
        <w:rPr>
          <w:rFonts w:hint="eastAsia"/>
          <w:bCs/>
          <w:lang w:val="en-US" w:eastAsia="zh-CN"/>
        </w:rPr>
        <w:t>T7527-18</w:t>
      </w:r>
      <w:r>
        <w:rPr>
          <w:bCs/>
        </w:rPr>
        <w:fldChar w:fldCharType="begin"/>
      </w:r>
      <w:r>
        <w:rPr>
          <w:bCs/>
        </w:rPr>
        <w:instrText xml:space="preserve"> REF 设备类型 \h </w:instrText>
      </w:r>
      <w:r>
        <w:rPr>
          <w:bCs/>
        </w:rPr>
        <w:fldChar w:fldCharType="separate"/>
      </w:r>
      <w:r>
        <w:rPr>
          <w:rFonts w:hint="eastAsia"/>
        </w:rPr>
        <w:t>塔式起重机</w:t>
      </w:r>
      <w:r>
        <w:rPr>
          <w:bCs/>
        </w:rPr>
        <w:fldChar w:fldCharType="end"/>
      </w:r>
      <w:r>
        <w:rPr>
          <w:rFonts w:hint="eastAsia"/>
          <w:bCs/>
          <w:lang w:val="en-US" w:eastAsia="zh-CN"/>
        </w:rPr>
        <w:t>平</w:t>
      </w:r>
      <w:r>
        <w:rPr>
          <w:rFonts w:hint="eastAsia"/>
          <w:bCs/>
        </w:rPr>
        <w:t>面布置图（mm）</w:t>
      </w:r>
    </w:p>
    <w:p w14:paraId="2D9AF014">
      <w:pPr>
        <w:pStyle w:val="3"/>
      </w:pPr>
      <w:bookmarkStart w:id="56" w:name="_Toc20832"/>
      <w:r>
        <w:rPr>
          <w:rFonts w:hint="eastAsia"/>
        </w:rPr>
        <w:t>施工要求</w:t>
      </w:r>
      <w:bookmarkEnd w:id="56"/>
    </w:p>
    <w:p w14:paraId="1E38CDDF">
      <w:pPr>
        <w:pStyle w:val="4"/>
        <w:numPr>
          <w:ilvl w:val="2"/>
          <w:numId w:val="1"/>
        </w:numPr>
        <w:bidi w:val="0"/>
      </w:pPr>
      <w:r>
        <w:rPr>
          <w:rFonts w:hint="eastAsia"/>
        </w:rPr>
        <w:t>工期要求</w:t>
      </w:r>
    </w:p>
    <w:p w14:paraId="6BB6F2A6">
      <w:pPr>
        <w:ind w:firstLine="480"/>
        <w:rPr>
          <w:rFonts w:hint="eastAsia" w:eastAsia="宋体"/>
          <w:color w:val="auto"/>
          <w:lang w:eastAsia="zh-CN"/>
        </w:rPr>
      </w:pPr>
      <w:r>
        <w:rPr>
          <w:rFonts w:hint="eastAsia"/>
          <w:color w:val="auto"/>
        </w:rPr>
        <w:t>根据总体施工进度安排</w:t>
      </w:r>
      <w:r>
        <w:rPr>
          <w:rFonts w:hint="eastAsia"/>
          <w:color w:val="auto"/>
          <w:lang w:eastAsia="zh-CN"/>
        </w:rPr>
        <w:t>：</w:t>
      </w:r>
    </w:p>
    <w:p w14:paraId="5BB52967">
      <w:pPr>
        <w:ind w:firstLine="480"/>
        <w:rPr>
          <w:rFonts w:hint="eastAsia"/>
          <w:color w:val="auto"/>
          <w:highlight w:val="lightGray"/>
        </w:rPr>
      </w:pPr>
      <w:r>
        <w:rPr>
          <w:rFonts w:hint="eastAsia" w:ascii="Calibri"/>
          <w:color w:val="auto"/>
          <w:highlight w:val="lightGray"/>
          <w:lang w:val="en-US" w:eastAsia="zh-CN"/>
        </w:rPr>
        <w:t>8</w:t>
      </w:r>
      <w:r>
        <w:rPr>
          <w:rFonts w:hint="eastAsia" w:ascii="Calibri" w:eastAsia="宋体"/>
          <w:color w:val="auto"/>
          <w:highlight w:val="lightGray"/>
          <w:lang w:val="en-US" w:eastAsia="zh-CN"/>
        </w:rPr>
        <w:t>#墩塔机</w:t>
      </w:r>
      <w:r>
        <w:rPr>
          <w:rFonts w:hint="eastAsia"/>
          <w:color w:val="auto"/>
          <w:highlight w:val="lightGray"/>
          <w:lang w:val="en-US" w:eastAsia="zh-CN"/>
        </w:rPr>
        <w:t>T7527-18</w:t>
      </w:r>
      <w:r>
        <w:rPr>
          <w:color w:val="auto"/>
          <w:highlight w:val="lightGray"/>
        </w:rPr>
        <w:fldChar w:fldCharType="begin"/>
      </w:r>
      <w:r>
        <w:rPr>
          <w:color w:val="auto"/>
          <w:highlight w:val="lightGray"/>
        </w:rPr>
        <w:instrText xml:space="preserve"> REF 设备类型 \h  \* MERGEFORMAT </w:instrText>
      </w:r>
      <w:r>
        <w:rPr>
          <w:color w:val="auto"/>
          <w:highlight w:val="lightGray"/>
        </w:rPr>
        <w:fldChar w:fldCharType="separate"/>
      </w:r>
      <w:r>
        <w:rPr>
          <w:rFonts w:hint="eastAsia"/>
          <w:color w:val="auto"/>
          <w:highlight w:val="lightGray"/>
        </w:rPr>
        <w:t>塔式起重机</w:t>
      </w:r>
      <w:r>
        <w:rPr>
          <w:color w:val="auto"/>
          <w:highlight w:val="lightGray"/>
        </w:rPr>
        <w:fldChar w:fldCharType="end"/>
      </w:r>
      <w:r>
        <w:rPr>
          <w:color w:val="auto"/>
          <w:highlight w:val="lightGray"/>
        </w:rPr>
        <w:t>安装</w:t>
      </w:r>
      <w:r>
        <w:rPr>
          <w:rFonts w:hint="eastAsia"/>
          <w:color w:val="auto"/>
          <w:highlight w:val="lightGray"/>
        </w:rPr>
        <w:t>施工工期为</w:t>
      </w:r>
      <w:r>
        <w:rPr>
          <w:rFonts w:hint="eastAsia" w:ascii="Calibri"/>
          <w:color w:val="auto"/>
          <w:highlight w:val="lightGray"/>
          <w:lang w:val="en-US" w:eastAsia="zh-CN"/>
        </w:rPr>
        <w:t>7</w:t>
      </w:r>
      <w:r>
        <w:rPr>
          <w:rFonts w:hint="eastAsia"/>
          <w:color w:val="auto"/>
          <w:highlight w:val="lightGray"/>
        </w:rPr>
        <w:t>天，施工计划开始时间为202</w:t>
      </w:r>
      <w:r>
        <w:rPr>
          <w:rFonts w:hint="eastAsia"/>
          <w:color w:val="auto"/>
          <w:highlight w:val="lightGray"/>
          <w:lang w:val="en-US" w:eastAsia="zh-CN"/>
        </w:rPr>
        <w:t>4</w:t>
      </w:r>
      <w:r>
        <w:rPr>
          <w:rFonts w:hint="eastAsia"/>
          <w:color w:val="auto"/>
          <w:highlight w:val="lightGray"/>
        </w:rPr>
        <w:t>年</w:t>
      </w:r>
      <w:r>
        <w:rPr>
          <w:rFonts w:hint="eastAsia" w:ascii="Calibri"/>
          <w:color w:val="auto"/>
          <w:highlight w:val="lightGray"/>
          <w:lang w:val="en-US" w:eastAsia="zh-CN"/>
        </w:rPr>
        <w:t>6</w:t>
      </w:r>
      <w:r>
        <w:rPr>
          <w:rFonts w:hint="eastAsia"/>
          <w:color w:val="auto"/>
          <w:highlight w:val="lightGray"/>
        </w:rPr>
        <w:t>月</w:t>
      </w:r>
      <w:r>
        <w:rPr>
          <w:rFonts w:hint="eastAsia" w:ascii="Calibri"/>
          <w:color w:val="auto"/>
          <w:highlight w:val="lightGray"/>
          <w:lang w:val="en-US" w:eastAsia="zh-CN"/>
        </w:rPr>
        <w:t>24</w:t>
      </w:r>
      <w:r>
        <w:rPr>
          <w:rFonts w:hint="eastAsia"/>
          <w:color w:val="auto"/>
          <w:highlight w:val="lightGray"/>
        </w:rPr>
        <w:t>日，完成时间为202</w:t>
      </w:r>
      <w:r>
        <w:rPr>
          <w:rFonts w:hint="eastAsia"/>
          <w:color w:val="auto"/>
          <w:highlight w:val="lightGray"/>
          <w:lang w:val="en-US" w:eastAsia="zh-CN"/>
        </w:rPr>
        <w:t>4</w:t>
      </w:r>
      <w:r>
        <w:rPr>
          <w:rFonts w:hint="eastAsia"/>
          <w:color w:val="auto"/>
          <w:highlight w:val="lightGray"/>
        </w:rPr>
        <w:t>年</w:t>
      </w:r>
      <w:r>
        <w:rPr>
          <w:rFonts w:hint="eastAsia" w:ascii="Calibri"/>
          <w:color w:val="auto"/>
          <w:highlight w:val="lightGray"/>
          <w:lang w:val="en-US" w:eastAsia="zh-CN"/>
        </w:rPr>
        <w:t>6</w:t>
      </w:r>
      <w:r>
        <w:rPr>
          <w:rFonts w:hint="eastAsia"/>
          <w:color w:val="auto"/>
          <w:highlight w:val="lightGray"/>
        </w:rPr>
        <w:t>月</w:t>
      </w:r>
      <w:r>
        <w:rPr>
          <w:rFonts w:hint="eastAsia"/>
          <w:color w:val="auto"/>
          <w:highlight w:val="lightGray"/>
          <w:lang w:val="en-US" w:eastAsia="zh-CN"/>
        </w:rPr>
        <w:t>30</w:t>
      </w:r>
      <w:r>
        <w:rPr>
          <w:rFonts w:hint="eastAsia"/>
          <w:color w:val="auto"/>
          <w:highlight w:val="lightGray"/>
        </w:rPr>
        <w:t>日。</w:t>
      </w:r>
    </w:p>
    <w:p w14:paraId="125D6403">
      <w:pPr>
        <w:ind w:firstLine="480"/>
        <w:rPr>
          <w:rFonts w:hint="eastAsia" w:ascii="Times New Roman" w:hAnsi="Times New Roman" w:eastAsia="宋体" w:cs="Times New Roman"/>
          <w:color w:val="0000FF"/>
          <w:highlight w:val="lightGray"/>
        </w:rPr>
      </w:pPr>
      <w:r>
        <w:rPr>
          <w:rFonts w:hint="eastAsia" w:ascii="Calibri" w:cs="Times New Roman"/>
          <w:color w:val="auto"/>
          <w:highlight w:val="lightGray"/>
          <w:lang w:val="en-US" w:eastAsia="zh-CN"/>
        </w:rPr>
        <w:t>8</w:t>
      </w:r>
      <w:r>
        <w:rPr>
          <w:rFonts w:hint="eastAsia" w:ascii="Calibri" w:hAnsi="Times New Roman" w:eastAsia="宋体" w:cs="Times New Roman"/>
          <w:color w:val="auto"/>
          <w:highlight w:val="lightGray"/>
          <w:lang w:val="en-US" w:eastAsia="zh-CN"/>
        </w:rPr>
        <w:t>#墩塔机</w:t>
      </w:r>
      <w:r>
        <w:rPr>
          <w:rFonts w:hint="eastAsia" w:ascii="Calibri" w:cs="Times New Roman"/>
          <w:color w:val="auto"/>
          <w:highlight w:val="lightGray"/>
          <w:lang w:val="en-US" w:eastAsia="zh-CN"/>
        </w:rPr>
        <w:t>T</w:t>
      </w:r>
      <w:r>
        <w:rPr>
          <w:rFonts w:hint="eastAsia" w:cs="Times New Roman"/>
          <w:color w:val="auto"/>
          <w:highlight w:val="lightGray"/>
          <w:lang w:val="en-US" w:eastAsia="zh-CN"/>
        </w:rPr>
        <w:t>7527-18</w:t>
      </w:r>
      <w:r>
        <w:rPr>
          <w:rFonts w:ascii="Times New Roman" w:hAnsi="Times New Roman" w:eastAsia="宋体" w:cs="Times New Roman"/>
          <w:color w:val="auto"/>
          <w:highlight w:val="lightGray"/>
        </w:rPr>
        <w:fldChar w:fldCharType="begin"/>
      </w:r>
      <w:r>
        <w:rPr>
          <w:rFonts w:ascii="Times New Roman" w:hAnsi="Times New Roman" w:eastAsia="宋体" w:cs="Times New Roman"/>
          <w:color w:val="auto"/>
          <w:highlight w:val="lightGray"/>
        </w:rPr>
        <w:instrText xml:space="preserve"> REF 设备类型 \h  \* MERGEFORMAT </w:instrText>
      </w:r>
      <w:r>
        <w:rPr>
          <w:rFonts w:ascii="Times New Roman" w:hAnsi="Times New Roman" w:eastAsia="宋体" w:cs="Times New Roman"/>
          <w:color w:val="auto"/>
          <w:highlight w:val="lightGray"/>
        </w:rPr>
        <w:fldChar w:fldCharType="separate"/>
      </w:r>
      <w:r>
        <w:rPr>
          <w:rFonts w:hint="eastAsia" w:ascii="Times New Roman" w:hAnsi="Times New Roman" w:eastAsia="宋体" w:cs="Times New Roman"/>
          <w:color w:val="auto"/>
          <w:highlight w:val="lightGray"/>
        </w:rPr>
        <w:t>塔式起重机</w:t>
      </w:r>
      <w:r>
        <w:rPr>
          <w:rFonts w:ascii="Times New Roman" w:hAnsi="Times New Roman" w:eastAsia="宋体" w:cs="Times New Roman"/>
          <w:color w:val="auto"/>
          <w:highlight w:val="lightGray"/>
        </w:rPr>
        <w:fldChar w:fldCharType="end"/>
      </w:r>
      <w:r>
        <w:rPr>
          <w:rFonts w:hint="eastAsia" w:ascii="Times New Roman" w:hAnsi="Times New Roman" w:eastAsia="宋体" w:cs="Times New Roman"/>
          <w:color w:val="auto"/>
          <w:highlight w:val="lightGray"/>
          <w:lang w:val="en-US" w:eastAsia="zh-CN"/>
        </w:rPr>
        <w:t>拆卸</w:t>
      </w:r>
      <w:r>
        <w:rPr>
          <w:rFonts w:hint="eastAsia" w:ascii="Times New Roman" w:hAnsi="Times New Roman" w:eastAsia="宋体" w:cs="Times New Roman"/>
          <w:color w:val="auto"/>
          <w:highlight w:val="lightGray"/>
        </w:rPr>
        <w:t>施工工期为</w:t>
      </w:r>
      <w:r>
        <w:rPr>
          <w:rFonts w:hint="eastAsia" w:ascii="Calibri" w:cs="Times New Roman"/>
          <w:color w:val="auto"/>
          <w:highlight w:val="lightGray"/>
          <w:lang w:val="en-US" w:eastAsia="zh-CN"/>
        </w:rPr>
        <w:t>7</w:t>
      </w:r>
      <w:r>
        <w:rPr>
          <w:rFonts w:hint="eastAsia" w:ascii="Times New Roman" w:hAnsi="Times New Roman" w:eastAsia="宋体" w:cs="Times New Roman"/>
          <w:color w:val="auto"/>
          <w:highlight w:val="lightGray"/>
        </w:rPr>
        <w:t>天，施工计划开始时间为202</w:t>
      </w:r>
      <w:r>
        <w:rPr>
          <w:rFonts w:hint="eastAsia" w:cs="Times New Roman"/>
          <w:color w:val="auto"/>
          <w:highlight w:val="lightGray"/>
          <w:lang w:val="en-US" w:eastAsia="zh-CN"/>
        </w:rPr>
        <w:t>5</w:t>
      </w:r>
      <w:r>
        <w:rPr>
          <w:rFonts w:hint="eastAsia" w:ascii="Times New Roman" w:hAnsi="Times New Roman" w:eastAsia="宋体" w:cs="Times New Roman"/>
          <w:color w:val="auto"/>
          <w:highlight w:val="lightGray"/>
        </w:rPr>
        <w:t>年</w:t>
      </w:r>
      <w:r>
        <w:rPr>
          <w:rFonts w:hint="eastAsia" w:ascii="Calibri" w:cs="Times New Roman"/>
          <w:color w:val="auto"/>
          <w:highlight w:val="lightGray"/>
          <w:lang w:val="en-US" w:eastAsia="zh-CN"/>
        </w:rPr>
        <w:t>10</w:t>
      </w:r>
      <w:r>
        <w:rPr>
          <w:rFonts w:hint="eastAsia" w:ascii="Times New Roman" w:hAnsi="Times New Roman" w:eastAsia="宋体" w:cs="Times New Roman"/>
          <w:color w:val="auto"/>
          <w:highlight w:val="lightGray"/>
        </w:rPr>
        <w:t>月</w:t>
      </w:r>
      <w:r>
        <w:rPr>
          <w:rFonts w:hint="eastAsia" w:ascii="Calibri" w:cs="Times New Roman"/>
          <w:color w:val="auto"/>
          <w:highlight w:val="lightGray"/>
          <w:lang w:val="en-US" w:eastAsia="zh-CN"/>
        </w:rPr>
        <w:t>24</w:t>
      </w:r>
      <w:r>
        <w:rPr>
          <w:rFonts w:hint="eastAsia" w:ascii="Times New Roman" w:hAnsi="Times New Roman" w:eastAsia="宋体" w:cs="Times New Roman"/>
          <w:color w:val="auto"/>
          <w:highlight w:val="lightGray"/>
        </w:rPr>
        <w:t>日，完成时间为202</w:t>
      </w:r>
      <w:r>
        <w:rPr>
          <w:rFonts w:hint="eastAsia" w:ascii="Times New Roman" w:hAnsi="Times New Roman" w:eastAsia="宋体" w:cs="Times New Roman"/>
          <w:color w:val="auto"/>
          <w:highlight w:val="lightGray"/>
          <w:lang w:val="en-US" w:eastAsia="zh-CN"/>
        </w:rPr>
        <w:t>4</w:t>
      </w:r>
      <w:r>
        <w:rPr>
          <w:rFonts w:hint="eastAsia" w:ascii="Times New Roman" w:hAnsi="Times New Roman" w:eastAsia="宋体" w:cs="Times New Roman"/>
          <w:color w:val="auto"/>
          <w:highlight w:val="lightGray"/>
        </w:rPr>
        <w:t>年</w:t>
      </w:r>
      <w:r>
        <w:rPr>
          <w:rFonts w:hint="eastAsia" w:ascii="Calibri" w:cs="Times New Roman"/>
          <w:color w:val="auto"/>
          <w:highlight w:val="lightGray"/>
          <w:lang w:val="en-US" w:eastAsia="zh-CN"/>
        </w:rPr>
        <w:t>10</w:t>
      </w:r>
      <w:r>
        <w:rPr>
          <w:rFonts w:hint="eastAsia" w:ascii="Times New Roman" w:hAnsi="Times New Roman" w:eastAsia="宋体" w:cs="Times New Roman"/>
          <w:color w:val="auto"/>
          <w:highlight w:val="lightGray"/>
        </w:rPr>
        <w:t>月</w:t>
      </w:r>
      <w:r>
        <w:rPr>
          <w:rFonts w:hint="eastAsia" w:cs="Times New Roman"/>
          <w:color w:val="auto"/>
          <w:highlight w:val="lightGray"/>
          <w:lang w:val="en-US" w:eastAsia="zh-CN"/>
        </w:rPr>
        <w:t>30</w:t>
      </w:r>
      <w:r>
        <w:rPr>
          <w:rFonts w:hint="eastAsia" w:ascii="Times New Roman" w:hAnsi="Times New Roman" w:eastAsia="宋体" w:cs="Times New Roman"/>
          <w:color w:val="auto"/>
          <w:highlight w:val="lightGray"/>
        </w:rPr>
        <w:t>日。</w:t>
      </w:r>
    </w:p>
    <w:p w14:paraId="7EE6665E">
      <w:pPr>
        <w:pStyle w:val="4"/>
        <w:numPr>
          <w:ilvl w:val="2"/>
          <w:numId w:val="1"/>
        </w:numPr>
        <w:bidi w:val="0"/>
      </w:pPr>
      <w:r>
        <w:rPr>
          <w:rFonts w:hint="eastAsia"/>
        </w:rPr>
        <w:t>质量要求</w:t>
      </w:r>
    </w:p>
    <w:p w14:paraId="254033F5">
      <w:pPr>
        <w:numPr>
          <w:ilvl w:val="0"/>
          <w:numId w:val="12"/>
        </w:numPr>
      </w:pPr>
      <w:r>
        <w:t>不发生质量事故，不发生造成社会恶劣影响的其他事件</w:t>
      </w:r>
      <w:r>
        <w:rPr>
          <w:rFonts w:hint="eastAsia"/>
        </w:rPr>
        <w:t>；</w:t>
      </w:r>
    </w:p>
    <w:p w14:paraId="7CFFD342">
      <w:pPr>
        <w:numPr>
          <w:ilvl w:val="0"/>
          <w:numId w:val="12"/>
        </w:numPr>
      </w:pPr>
      <w:r>
        <w:rPr>
          <w:rFonts w:hint="eastAsia"/>
        </w:rPr>
        <w:t>工程质量符合合同、图纸及规范要求。</w:t>
      </w:r>
    </w:p>
    <w:p w14:paraId="7B8051AD">
      <w:pPr>
        <w:pStyle w:val="4"/>
      </w:pPr>
      <w:r>
        <w:rPr>
          <w:rFonts w:hint="eastAsia"/>
        </w:rPr>
        <w:t>安全文明施工要求</w:t>
      </w:r>
    </w:p>
    <w:p w14:paraId="00CD1617">
      <w:pPr>
        <w:numPr>
          <w:ilvl w:val="0"/>
          <w:numId w:val="13"/>
        </w:numPr>
      </w:pPr>
      <w:r>
        <w:rPr>
          <w:rFonts w:hint="eastAsia"/>
        </w:rPr>
        <w:t>一般及较大安全事故发生率为0；</w:t>
      </w:r>
    </w:p>
    <w:p w14:paraId="1058F75E">
      <w:pPr>
        <w:numPr>
          <w:ilvl w:val="0"/>
          <w:numId w:val="13"/>
        </w:numPr>
      </w:pPr>
      <w:r>
        <w:rPr>
          <w:rFonts w:hint="eastAsia"/>
        </w:rPr>
        <w:t>人员受伤事故发生率为0；</w:t>
      </w:r>
    </w:p>
    <w:p w14:paraId="1D31DD7C">
      <w:pPr>
        <w:numPr>
          <w:ilvl w:val="0"/>
          <w:numId w:val="13"/>
        </w:numPr>
      </w:pPr>
      <w:r>
        <w:rPr>
          <w:rFonts w:hint="eastAsia"/>
        </w:rPr>
        <w:t>所有进场施工人员安全教育考核率达100%，特殊岗位操作人员持证上岗率达100%；</w:t>
      </w:r>
    </w:p>
    <w:p w14:paraId="5ECA079D">
      <w:pPr>
        <w:numPr>
          <w:ilvl w:val="0"/>
          <w:numId w:val="13"/>
        </w:numPr>
      </w:pPr>
      <w:r>
        <w:rPr>
          <w:rFonts w:hint="eastAsia"/>
        </w:rPr>
        <w:t>各种防护用品、设施合格率达100%，施工安全技术交底率达100%。</w:t>
      </w:r>
    </w:p>
    <w:p w14:paraId="3FB0508C">
      <w:pPr>
        <w:pStyle w:val="4"/>
        <w:numPr>
          <w:ilvl w:val="2"/>
          <w:numId w:val="1"/>
        </w:numPr>
        <w:bidi w:val="0"/>
      </w:pPr>
      <w:r>
        <w:rPr>
          <w:rFonts w:hint="eastAsia"/>
        </w:rPr>
        <w:t>环境保护要求</w:t>
      </w:r>
    </w:p>
    <w:p w14:paraId="24BD5224">
      <w:pPr>
        <w:ind w:firstLine="480"/>
      </w:pPr>
      <w:r>
        <w:t>严格执行上级单位及主管部门关于环境保护的规定，建立健全环水保管理体系，加强各项环境保护工程措施。</w:t>
      </w:r>
    </w:p>
    <w:p w14:paraId="2D56B40B">
      <w:pPr>
        <w:pStyle w:val="4"/>
        <w:numPr>
          <w:ilvl w:val="2"/>
          <w:numId w:val="1"/>
        </w:numPr>
        <w:bidi w:val="0"/>
      </w:pPr>
      <w:r>
        <w:rPr>
          <w:rFonts w:hint="eastAsia"/>
        </w:rPr>
        <w:t>节能减排要求</w:t>
      </w:r>
    </w:p>
    <w:p w14:paraId="691787C8">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739109B9">
      <w:pPr>
        <w:pStyle w:val="4"/>
        <w:numPr>
          <w:ilvl w:val="2"/>
          <w:numId w:val="1"/>
        </w:numPr>
        <w:bidi w:val="0"/>
      </w:pPr>
      <w:r>
        <w:rPr>
          <w:rFonts w:hint="eastAsia"/>
        </w:rPr>
        <w:t>安装场地</w:t>
      </w:r>
      <w:r>
        <w:t>要求</w:t>
      </w:r>
    </w:p>
    <w:p w14:paraId="142ECBC7">
      <w:pPr>
        <w:numPr>
          <w:ilvl w:val="0"/>
          <w:numId w:val="14"/>
        </w:numPr>
        <w:ind w:firstLineChars="0"/>
      </w:pPr>
      <w:r>
        <w:rPr>
          <w:rFonts w:hint="eastAsia"/>
        </w:rPr>
        <w:t>安装场地大小应满足设备各部件顺利装卸车、拼装拆解以及试验；</w:t>
      </w:r>
    </w:p>
    <w:p w14:paraId="66DAA6FB">
      <w:pPr>
        <w:numPr>
          <w:ilvl w:val="0"/>
          <w:numId w:val="14"/>
        </w:numPr>
        <w:ind w:firstLineChars="0"/>
      </w:pPr>
      <w:r>
        <w:rPr>
          <w:rFonts w:hint="eastAsia"/>
        </w:rPr>
        <w:t>安装场地承载力应大于极限起重吊装工况下起重设备对安装场地的压力。</w:t>
      </w:r>
    </w:p>
    <w:p w14:paraId="2310455C">
      <w:pPr>
        <w:pStyle w:val="4"/>
        <w:numPr>
          <w:ilvl w:val="2"/>
          <w:numId w:val="1"/>
        </w:numPr>
        <w:bidi w:val="0"/>
      </w:pPr>
      <w:r>
        <w:rPr>
          <w:rFonts w:hint="eastAsia"/>
        </w:rPr>
        <w:t>运输及进场</w:t>
      </w:r>
      <w:r>
        <w:t>要求</w:t>
      </w:r>
    </w:p>
    <w:p w14:paraId="6AD9149F">
      <w:pPr>
        <w:numPr>
          <w:ilvl w:val="0"/>
          <w:numId w:val="15"/>
        </w:numPr>
        <w:ind w:firstLineChars="0"/>
      </w:pPr>
      <w:r>
        <w:rPr>
          <w:rFonts w:hint="eastAsia"/>
        </w:rPr>
        <w:t>设备机械部件运输时应在运输车上做好支撑，并绑扎牢固，避免行驶过程中由于晃动等情况致使部件结构损坏；</w:t>
      </w:r>
    </w:p>
    <w:p w14:paraId="542BA888">
      <w:pPr>
        <w:numPr>
          <w:ilvl w:val="0"/>
          <w:numId w:val="15"/>
        </w:numPr>
        <w:ind w:firstLineChars="0"/>
      </w:pPr>
      <w:r>
        <w:rPr>
          <w:rFonts w:hint="eastAsia"/>
        </w:rPr>
        <w:t>设备各电气部件应在运输车上遮盖防雨布，保持电气设备干燥；</w:t>
      </w:r>
    </w:p>
    <w:p w14:paraId="78F64BCA">
      <w:pPr>
        <w:numPr>
          <w:ilvl w:val="0"/>
          <w:numId w:val="15"/>
        </w:numPr>
      </w:pPr>
      <w:r>
        <w:rPr>
          <w:rFonts w:hint="eastAsia"/>
        </w:rPr>
        <w:t>设备各部件进场时项目设备部应进行预验收，检查部件数量是否与运输清单一致，检查各部件结构的完整性。</w:t>
      </w:r>
    </w:p>
    <w:p w14:paraId="58C95E2E">
      <w:pPr>
        <w:pStyle w:val="3"/>
      </w:pPr>
      <w:bookmarkStart w:id="57" w:name="_Toc14055"/>
      <w:bookmarkStart w:id="58" w:name="_Toc93050660"/>
      <w:r>
        <w:rPr>
          <w:rFonts w:hint="eastAsia"/>
        </w:rPr>
        <w:t>技术保证条件</w:t>
      </w:r>
      <w:bookmarkEnd w:id="57"/>
      <w:bookmarkEnd w:id="58"/>
    </w:p>
    <w:p w14:paraId="76D8D2F9">
      <w:pPr>
        <w:numPr>
          <w:ilvl w:val="0"/>
          <w:numId w:val="16"/>
        </w:numPr>
        <w:ind w:firstLineChars="0"/>
      </w:pPr>
      <w:r>
        <w:rPr>
          <w:rFonts w:hint="eastAsia"/>
        </w:rPr>
        <w:t>对安装的起吊构件的重量、幅度进行详细的核算；</w:t>
      </w:r>
    </w:p>
    <w:p w14:paraId="5D5AE015">
      <w:pPr>
        <w:numPr>
          <w:ilvl w:val="0"/>
          <w:numId w:val="16"/>
        </w:numPr>
      </w:pPr>
      <w:r>
        <w:rPr>
          <w:rFonts w:hint="eastAsia"/>
        </w:rPr>
        <w:t>对进场设备进行进场检验，对基础进行验收，确保设备性能及施工条件可靠；</w:t>
      </w:r>
    </w:p>
    <w:p w14:paraId="47E0234C">
      <w:pPr>
        <w:numPr>
          <w:ilvl w:val="0"/>
          <w:numId w:val="16"/>
        </w:numPr>
      </w:pPr>
      <w:r>
        <w:rPr>
          <w:rFonts w:hint="eastAsia"/>
        </w:rPr>
        <w:t>方案模拟现场的实际作业情况，保证安装场地空间足够，避免吊装过程中的干涉；</w:t>
      </w:r>
    </w:p>
    <w:p w14:paraId="6ACE62C8">
      <w:pPr>
        <w:numPr>
          <w:ilvl w:val="0"/>
          <w:numId w:val="16"/>
        </w:numPr>
      </w:pPr>
      <w:r>
        <w:rPr>
          <w:rFonts w:hint="eastAsia"/>
        </w:rPr>
        <w:t>合理安排安拆工序，协调好场地堆放及构件倒运顺序；</w:t>
      </w:r>
    </w:p>
    <w:p w14:paraId="1C55C71F">
      <w:pPr>
        <w:numPr>
          <w:ilvl w:val="0"/>
          <w:numId w:val="16"/>
        </w:numPr>
      </w:pPr>
      <w:r>
        <w:rPr>
          <w:rFonts w:hint="eastAsia"/>
        </w:rPr>
        <w:t>加强技术交底，确保作业过程安全。</w:t>
      </w:r>
      <w:r>
        <w:rPr>
          <w:color w:val="000000" w:themeColor="text1"/>
          <w14:textFill>
            <w14:solidFill>
              <w14:schemeClr w14:val="tx1"/>
            </w14:solidFill>
          </w14:textFill>
        </w:rPr>
        <w:br w:type="page"/>
      </w:r>
    </w:p>
    <w:p w14:paraId="79BE0BFC">
      <w:pPr>
        <w:pStyle w:val="2"/>
        <w:ind w:left="3840" w:leftChars="0" w:firstLineChars="0"/>
        <w:jc w:val="both"/>
      </w:pPr>
      <w:bookmarkStart w:id="59" w:name="_Toc11681"/>
      <w:bookmarkStart w:id="60" w:name="_Toc21990"/>
      <w:r>
        <w:rPr>
          <w:rFonts w:hint="eastAsia"/>
        </w:rPr>
        <w:t>施工计划</w:t>
      </w:r>
      <w:bookmarkEnd w:id="36"/>
      <w:bookmarkEnd w:id="37"/>
      <w:bookmarkEnd w:id="59"/>
      <w:bookmarkEnd w:id="60"/>
    </w:p>
    <w:p w14:paraId="2293DB31">
      <w:pPr>
        <w:pStyle w:val="3"/>
      </w:pPr>
      <w:bookmarkStart w:id="61" w:name="_Toc10409781"/>
      <w:bookmarkStart w:id="62" w:name="_Toc27703"/>
      <w:bookmarkStart w:id="63" w:name="_Toc58527527"/>
      <w:r>
        <w:rPr>
          <w:rFonts w:hint="eastAsia"/>
        </w:rPr>
        <w:t>施工进度计划</w:t>
      </w:r>
      <w:bookmarkEnd w:id="61"/>
      <w:bookmarkEnd w:id="62"/>
      <w:bookmarkEnd w:id="63"/>
    </w:p>
    <w:p w14:paraId="435542D9">
      <w:pPr>
        <w:ind w:firstLine="480"/>
      </w:pP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t>安装</w:t>
      </w:r>
      <w:r>
        <w:rPr>
          <w:rFonts w:hint="eastAsia"/>
        </w:rPr>
        <w:t>施工进度计划见</w:t>
      </w:r>
      <w:r>
        <w:fldChar w:fldCharType="begin"/>
      </w:r>
      <w:r>
        <w:instrText xml:space="preserve"> </w:instrText>
      </w:r>
      <w:r>
        <w:rPr>
          <w:rFonts w:hint="eastAsia"/>
        </w:rPr>
        <w:instrText xml:space="preserve">REF _Ref124167010 \h</w:instrText>
      </w:r>
      <w:r>
        <w:instrText xml:space="preserve">  \* MERGEFORMAT </w:instrText>
      </w:r>
      <w:r>
        <w:fldChar w:fldCharType="separate"/>
      </w:r>
      <w:r>
        <w:rPr>
          <w:rFonts w:hint="eastAsia"/>
        </w:rPr>
        <w:t>表</w:t>
      </w:r>
      <w:r>
        <w:t>3.1</w:t>
      </w:r>
      <w:r>
        <w:rPr>
          <w:rFonts w:hint="eastAsia"/>
        </w:rPr>
        <w:t>-</w:t>
      </w:r>
      <w:r>
        <w:t>1</w:t>
      </w:r>
      <w:r>
        <w:fldChar w:fldCharType="end"/>
      </w:r>
      <w:r>
        <w:rPr>
          <w:rFonts w:hint="eastAsia"/>
        </w:rPr>
        <w:t>所示。</w:t>
      </w:r>
    </w:p>
    <w:p w14:paraId="759D3953">
      <w:pPr>
        <w:pStyle w:val="16"/>
        <w:rPr>
          <w:rFonts w:hint="eastAsia"/>
          <w:color w:val="auto"/>
        </w:rPr>
      </w:pPr>
      <w:bookmarkStart w:id="64" w:name="_Ref12416701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w:instrText>
      </w:r>
      <w:r>
        <w:rPr>
          <w:color w:val="auto"/>
        </w:rPr>
        <w:instrText xml:space="preserve">2</w:instrText>
      </w:r>
      <w:r>
        <w:rPr>
          <w:rFonts w:hint="eastAsia"/>
          <w:color w:val="auto"/>
        </w:rPr>
        <w:instrText xml:space="preserve"> \s</w:instrText>
      </w:r>
      <w:r>
        <w:rPr>
          <w:color w:val="auto"/>
        </w:rPr>
        <w:instrText xml:space="preserve"> </w:instrText>
      </w:r>
      <w:r>
        <w:rPr>
          <w:color w:val="auto"/>
        </w:rPr>
        <w:fldChar w:fldCharType="separate"/>
      </w:r>
      <w:r>
        <w:rPr>
          <w:color w:val="auto"/>
        </w:rPr>
        <w:t>3.1</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SEQ 表 \* ARABIC \s </w:instrText>
      </w:r>
      <w:r>
        <w:rPr>
          <w:color w:val="auto"/>
        </w:rPr>
        <w:instrText xml:space="preserve">2 </w:instrText>
      </w:r>
      <w:r>
        <w:rPr>
          <w:color w:val="auto"/>
        </w:rPr>
        <w:fldChar w:fldCharType="separate"/>
      </w:r>
      <w:r>
        <w:rPr>
          <w:color w:val="auto"/>
        </w:rPr>
        <w:t>1</w:t>
      </w:r>
      <w:r>
        <w:rPr>
          <w:color w:val="auto"/>
        </w:rPr>
        <w:fldChar w:fldCharType="end"/>
      </w:r>
      <w:bookmarkEnd w:id="64"/>
      <w:r>
        <w:rPr>
          <w:rFonts w:hint="eastAsia"/>
          <w:color w:val="auto"/>
        </w:rPr>
        <w:t xml:space="preserve"> </w:t>
      </w:r>
      <w:r>
        <w:rPr>
          <w:rFonts w:hint="eastAsia"/>
          <w:lang w:val="en-US" w:eastAsia="zh-CN"/>
        </w:rPr>
        <w:t>T7527-18</w:t>
      </w:r>
      <w:r>
        <w:rPr>
          <w:color w:val="auto"/>
        </w:rPr>
        <w:fldChar w:fldCharType="begin"/>
      </w:r>
      <w:r>
        <w:rPr>
          <w:color w:val="auto"/>
        </w:rPr>
        <w:instrText xml:space="preserve"> REF 设备类型 \h  \* MERGEFORMAT </w:instrText>
      </w:r>
      <w:r>
        <w:rPr>
          <w:color w:val="auto"/>
        </w:rPr>
        <w:fldChar w:fldCharType="separate"/>
      </w:r>
      <w:r>
        <w:rPr>
          <w:rFonts w:hint="eastAsia"/>
          <w:color w:val="auto"/>
        </w:rPr>
        <w:t>塔式起重机</w:t>
      </w:r>
      <w:r>
        <w:rPr>
          <w:color w:val="auto"/>
        </w:rPr>
        <w:fldChar w:fldCharType="end"/>
      </w:r>
      <w:r>
        <w:rPr>
          <w:color w:val="auto"/>
        </w:rPr>
        <w:t>安装</w:t>
      </w:r>
      <w:r>
        <w:rPr>
          <w:rFonts w:hint="eastAsia"/>
          <w:color w:val="auto"/>
          <w:lang w:val="en-US" w:eastAsia="zh-CN"/>
        </w:rPr>
        <w:t>拆卸</w:t>
      </w:r>
      <w:r>
        <w:rPr>
          <w:rFonts w:hint="eastAsia"/>
          <w:color w:val="auto"/>
        </w:rPr>
        <w:t>施工进度计划表</w:t>
      </w:r>
    </w:p>
    <w:p w14:paraId="24AFC7C7">
      <w:pPr>
        <w:pStyle w:val="17"/>
        <w:rPr>
          <w:rFonts w:hint="eastAsia"/>
          <w:color w:val="0000FF"/>
        </w:rPr>
      </w:pP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7"/>
        <w:gridCol w:w="1988"/>
        <w:gridCol w:w="1737"/>
        <w:gridCol w:w="1640"/>
        <w:gridCol w:w="2240"/>
      </w:tblGrid>
      <w:tr w14:paraId="3308C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38" w:type="pct"/>
            <w:vAlign w:val="center"/>
          </w:tcPr>
          <w:p w14:paraId="488F562A">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序号</w:t>
            </w:r>
          </w:p>
        </w:tc>
        <w:tc>
          <w:tcPr>
            <w:tcW w:w="1166" w:type="pct"/>
            <w:vAlign w:val="center"/>
          </w:tcPr>
          <w:p w14:paraId="52D41E53">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施工内容</w:t>
            </w:r>
          </w:p>
        </w:tc>
        <w:tc>
          <w:tcPr>
            <w:tcW w:w="1019" w:type="pct"/>
            <w:vAlign w:val="center"/>
          </w:tcPr>
          <w:p w14:paraId="1A2C4AF8">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主要工序</w:t>
            </w:r>
          </w:p>
        </w:tc>
        <w:tc>
          <w:tcPr>
            <w:tcW w:w="962" w:type="pct"/>
            <w:vAlign w:val="center"/>
          </w:tcPr>
          <w:p w14:paraId="66F636D4">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施工时间（d）</w:t>
            </w:r>
          </w:p>
        </w:tc>
        <w:tc>
          <w:tcPr>
            <w:tcW w:w="1314" w:type="pct"/>
            <w:vAlign w:val="center"/>
          </w:tcPr>
          <w:p w14:paraId="7AF22BC7">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备注</w:t>
            </w:r>
          </w:p>
        </w:tc>
      </w:tr>
      <w:tr w14:paraId="66112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089BEBCB">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14:paraId="19A4108B">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塔吊安装</w:t>
            </w:r>
          </w:p>
        </w:tc>
        <w:tc>
          <w:tcPr>
            <w:tcW w:w="1019" w:type="pct"/>
            <w:vAlign w:val="center"/>
          </w:tcPr>
          <w:p w14:paraId="30FA310D">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14:paraId="2D14DFA8">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restart"/>
            <w:vAlign w:val="center"/>
          </w:tcPr>
          <w:p w14:paraId="22566228">
            <w:pPr>
              <w:pStyle w:val="17"/>
              <w:rPr>
                <w:rFonts w:hint="eastAsia" w:ascii="Times New Roman" w:hAnsi="Times New Roman" w:eastAsia="宋体" w:cs="Times New Roman"/>
                <w:lang w:val="en-US" w:eastAsia="zh-CN"/>
              </w:rPr>
            </w:pPr>
          </w:p>
        </w:tc>
      </w:tr>
      <w:tr w14:paraId="5DD77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50EBB0F7">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14:paraId="42293230">
            <w:pPr>
              <w:pStyle w:val="17"/>
              <w:rPr>
                <w:rFonts w:hint="eastAsia" w:ascii="Times New Roman" w:hAnsi="Times New Roman" w:eastAsia="宋体" w:cs="Times New Roman"/>
                <w:lang w:val="en-US" w:eastAsia="zh-CN"/>
              </w:rPr>
            </w:pPr>
          </w:p>
        </w:tc>
        <w:tc>
          <w:tcPr>
            <w:tcW w:w="1019" w:type="pct"/>
            <w:vAlign w:val="center"/>
          </w:tcPr>
          <w:p w14:paraId="41B7AA34">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起重机部件拼装</w:t>
            </w:r>
          </w:p>
        </w:tc>
        <w:tc>
          <w:tcPr>
            <w:tcW w:w="962" w:type="pct"/>
            <w:vAlign w:val="center"/>
          </w:tcPr>
          <w:p w14:paraId="71AA740B">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10370FAC">
            <w:pPr>
              <w:pStyle w:val="17"/>
              <w:rPr>
                <w:rFonts w:hint="eastAsia" w:ascii="Times New Roman" w:hAnsi="Times New Roman" w:eastAsia="宋体" w:cs="Times New Roman"/>
                <w:lang w:val="en-US" w:eastAsia="zh-CN"/>
              </w:rPr>
            </w:pPr>
          </w:p>
        </w:tc>
      </w:tr>
      <w:tr w14:paraId="72B16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33271AC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14:paraId="4FF20E4B">
            <w:pPr>
              <w:pStyle w:val="17"/>
              <w:rPr>
                <w:rFonts w:hint="eastAsia" w:ascii="Times New Roman" w:hAnsi="Times New Roman" w:eastAsia="宋体" w:cs="Times New Roman"/>
                <w:lang w:val="en-US" w:eastAsia="zh-CN"/>
              </w:rPr>
            </w:pPr>
          </w:p>
        </w:tc>
        <w:tc>
          <w:tcPr>
            <w:tcW w:w="1019" w:type="pct"/>
            <w:vAlign w:val="center"/>
          </w:tcPr>
          <w:p w14:paraId="4DBD2CB5">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起重机部件吊装</w:t>
            </w:r>
          </w:p>
        </w:tc>
        <w:tc>
          <w:tcPr>
            <w:tcW w:w="962" w:type="pct"/>
            <w:vAlign w:val="center"/>
          </w:tcPr>
          <w:p w14:paraId="568B185E">
            <w:pPr>
              <w:pStyle w:val="17"/>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lang w:val="en-US" w:eastAsia="zh-CN"/>
              </w:rPr>
              <w:t>天</w:t>
            </w:r>
          </w:p>
        </w:tc>
        <w:tc>
          <w:tcPr>
            <w:tcW w:w="1314" w:type="pct"/>
            <w:vMerge w:val="continue"/>
            <w:vAlign w:val="center"/>
          </w:tcPr>
          <w:p w14:paraId="44752A9A">
            <w:pPr>
              <w:pStyle w:val="17"/>
              <w:rPr>
                <w:rFonts w:hint="eastAsia" w:ascii="Times New Roman" w:hAnsi="Times New Roman" w:eastAsia="宋体" w:cs="Times New Roman"/>
                <w:lang w:val="en-US" w:eastAsia="zh-CN"/>
              </w:rPr>
            </w:pPr>
          </w:p>
        </w:tc>
      </w:tr>
      <w:tr w14:paraId="4D529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4AF25F17">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14:paraId="6CDB9037">
            <w:pPr>
              <w:pStyle w:val="17"/>
              <w:rPr>
                <w:rFonts w:hint="eastAsia" w:ascii="Times New Roman" w:hAnsi="Times New Roman" w:eastAsia="宋体" w:cs="Times New Roman"/>
                <w:lang w:val="en-US" w:eastAsia="zh-CN"/>
              </w:rPr>
            </w:pPr>
          </w:p>
        </w:tc>
        <w:tc>
          <w:tcPr>
            <w:tcW w:w="1019" w:type="pct"/>
            <w:vAlign w:val="center"/>
          </w:tcPr>
          <w:p w14:paraId="6ABEE2A2">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安装电气系统</w:t>
            </w:r>
          </w:p>
        </w:tc>
        <w:tc>
          <w:tcPr>
            <w:tcW w:w="962" w:type="pct"/>
            <w:vAlign w:val="center"/>
          </w:tcPr>
          <w:p w14:paraId="6D68162A">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01CFA6EC">
            <w:pPr>
              <w:pStyle w:val="17"/>
              <w:rPr>
                <w:rFonts w:hint="eastAsia" w:ascii="Times New Roman" w:hAnsi="Times New Roman" w:eastAsia="宋体" w:cs="Times New Roman"/>
                <w:lang w:val="en-US" w:eastAsia="zh-CN"/>
              </w:rPr>
            </w:pPr>
          </w:p>
        </w:tc>
      </w:tr>
      <w:tr w14:paraId="3F56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39F3EB65">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14:paraId="2F35FC6F">
            <w:pPr>
              <w:pStyle w:val="17"/>
              <w:rPr>
                <w:rFonts w:hint="eastAsia" w:ascii="Times New Roman" w:hAnsi="Times New Roman" w:eastAsia="宋体" w:cs="Times New Roman"/>
                <w:lang w:val="en-US" w:eastAsia="zh-CN"/>
              </w:rPr>
            </w:pPr>
          </w:p>
        </w:tc>
        <w:tc>
          <w:tcPr>
            <w:tcW w:w="1019" w:type="pct"/>
            <w:vAlign w:val="center"/>
          </w:tcPr>
          <w:p w14:paraId="505BDF79">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试验及检验</w:t>
            </w:r>
          </w:p>
        </w:tc>
        <w:tc>
          <w:tcPr>
            <w:tcW w:w="962" w:type="pct"/>
            <w:vAlign w:val="center"/>
          </w:tcPr>
          <w:p w14:paraId="7E43E5AD">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7370ED24">
            <w:pPr>
              <w:pStyle w:val="17"/>
              <w:rPr>
                <w:rFonts w:hint="eastAsia" w:ascii="Times New Roman" w:hAnsi="Times New Roman" w:eastAsia="宋体" w:cs="Times New Roman"/>
                <w:lang w:val="en-US" w:eastAsia="zh-CN"/>
              </w:rPr>
            </w:pPr>
          </w:p>
        </w:tc>
      </w:tr>
      <w:tr w14:paraId="7769D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38FA5FD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14:paraId="48A503AE">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塔吊拆除</w:t>
            </w:r>
          </w:p>
        </w:tc>
        <w:tc>
          <w:tcPr>
            <w:tcW w:w="1019" w:type="pct"/>
            <w:vAlign w:val="center"/>
          </w:tcPr>
          <w:p w14:paraId="7BA67020">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14:paraId="048D3824">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restart"/>
            <w:vAlign w:val="center"/>
          </w:tcPr>
          <w:p w14:paraId="6990B242">
            <w:pPr>
              <w:pStyle w:val="17"/>
              <w:rPr>
                <w:rFonts w:hint="eastAsia" w:ascii="Times New Roman" w:hAnsi="Times New Roman" w:eastAsia="宋体" w:cs="Times New Roman"/>
                <w:lang w:val="en-US" w:eastAsia="zh-CN"/>
              </w:rPr>
            </w:pPr>
          </w:p>
        </w:tc>
      </w:tr>
      <w:tr w14:paraId="40279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0035A32B">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14:paraId="5E6119DD">
            <w:pPr>
              <w:pStyle w:val="17"/>
              <w:rPr>
                <w:rFonts w:hint="eastAsia" w:ascii="Times New Roman" w:hAnsi="Times New Roman" w:eastAsia="宋体" w:cs="Times New Roman"/>
                <w:lang w:val="en-US" w:eastAsia="zh-CN"/>
              </w:rPr>
            </w:pPr>
          </w:p>
        </w:tc>
        <w:tc>
          <w:tcPr>
            <w:tcW w:w="1019" w:type="pct"/>
            <w:vAlign w:val="center"/>
          </w:tcPr>
          <w:p w14:paraId="78400B7A">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塔机降节</w:t>
            </w:r>
          </w:p>
        </w:tc>
        <w:tc>
          <w:tcPr>
            <w:tcW w:w="962" w:type="pct"/>
            <w:vAlign w:val="center"/>
          </w:tcPr>
          <w:p w14:paraId="672B3813">
            <w:pPr>
              <w:pStyle w:val="17"/>
              <w:rPr>
                <w:rFonts w:hint="eastAsia" w:ascii="Times New Roman" w:hAnsi="Times New Roman" w:eastAsia="宋体" w:cs="Times New Roman"/>
                <w:lang w:val="en-US" w:eastAsia="zh-CN"/>
              </w:rPr>
            </w:pPr>
            <w:r>
              <w:rPr>
                <w:rFonts w:hint="eastAsia" w:cs="Times New Roman"/>
                <w:lang w:val="en-US" w:eastAsia="zh-CN"/>
              </w:rPr>
              <w:t>3</w:t>
            </w:r>
            <w:r>
              <w:rPr>
                <w:rFonts w:hint="eastAsia" w:ascii="Times New Roman" w:hAnsi="Times New Roman" w:eastAsia="宋体" w:cs="Times New Roman"/>
                <w:lang w:val="en-US" w:eastAsia="zh-CN"/>
              </w:rPr>
              <w:t>天</w:t>
            </w:r>
          </w:p>
        </w:tc>
        <w:tc>
          <w:tcPr>
            <w:tcW w:w="1314" w:type="pct"/>
            <w:vMerge w:val="continue"/>
            <w:vAlign w:val="center"/>
          </w:tcPr>
          <w:p w14:paraId="72099832">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p>
        </w:tc>
      </w:tr>
      <w:tr w14:paraId="29406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58172EB3">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14:paraId="04A53ECC">
            <w:pPr>
              <w:pStyle w:val="17"/>
              <w:rPr>
                <w:rFonts w:hint="eastAsia" w:ascii="Times New Roman" w:hAnsi="Times New Roman" w:eastAsia="宋体" w:cs="Times New Roman"/>
                <w:lang w:val="en-US" w:eastAsia="zh-CN"/>
              </w:rPr>
            </w:pPr>
          </w:p>
        </w:tc>
        <w:tc>
          <w:tcPr>
            <w:tcW w:w="1019" w:type="pct"/>
            <w:vAlign w:val="center"/>
          </w:tcPr>
          <w:p w14:paraId="2A1D3732">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拆除电气系统</w:t>
            </w:r>
          </w:p>
        </w:tc>
        <w:tc>
          <w:tcPr>
            <w:tcW w:w="962" w:type="pct"/>
            <w:vAlign w:val="center"/>
          </w:tcPr>
          <w:p w14:paraId="266A04E4">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14:paraId="347FDC7B">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14:paraId="66137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1C1CED10">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14:paraId="7D20E0B0">
            <w:pPr>
              <w:pStyle w:val="17"/>
              <w:rPr>
                <w:rFonts w:hint="eastAsia" w:ascii="Times New Roman" w:hAnsi="Times New Roman" w:eastAsia="宋体" w:cs="Times New Roman"/>
                <w:lang w:val="en-US" w:eastAsia="zh-CN"/>
              </w:rPr>
            </w:pPr>
          </w:p>
        </w:tc>
        <w:tc>
          <w:tcPr>
            <w:tcW w:w="1019" w:type="pct"/>
            <w:vAlign w:val="center"/>
          </w:tcPr>
          <w:p w14:paraId="4BDE9A14">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塔机部件拆卸</w:t>
            </w:r>
          </w:p>
        </w:tc>
        <w:tc>
          <w:tcPr>
            <w:tcW w:w="962" w:type="pct"/>
            <w:vAlign w:val="center"/>
          </w:tcPr>
          <w:p w14:paraId="5882B7F4">
            <w:pPr>
              <w:pStyle w:val="17"/>
              <w:rPr>
                <w:rFonts w:hint="default"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天</w:t>
            </w:r>
          </w:p>
        </w:tc>
        <w:tc>
          <w:tcPr>
            <w:tcW w:w="1314" w:type="pct"/>
            <w:vMerge w:val="continue"/>
            <w:vAlign w:val="center"/>
          </w:tcPr>
          <w:p w14:paraId="1B4833D1">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14:paraId="5E16F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14:paraId="4CAE8D2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14:paraId="4AE19EE7">
            <w:pPr>
              <w:pStyle w:val="17"/>
              <w:rPr>
                <w:rFonts w:hint="eastAsia" w:ascii="Times New Roman" w:hAnsi="Times New Roman" w:eastAsia="宋体" w:cs="Times New Roman"/>
                <w:lang w:val="en-US" w:eastAsia="zh-CN"/>
              </w:rPr>
            </w:pPr>
          </w:p>
        </w:tc>
        <w:tc>
          <w:tcPr>
            <w:tcW w:w="1019" w:type="pct"/>
            <w:vAlign w:val="center"/>
          </w:tcPr>
          <w:p w14:paraId="409BC208">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部件解体退场</w:t>
            </w:r>
          </w:p>
        </w:tc>
        <w:tc>
          <w:tcPr>
            <w:tcW w:w="962" w:type="pct"/>
            <w:vAlign w:val="center"/>
          </w:tcPr>
          <w:p w14:paraId="69398E1F">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14:paraId="79095134">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bl>
    <w:p w14:paraId="1104EFF2">
      <w:pPr>
        <w:rPr>
          <w:rFonts w:hint="eastAsia"/>
          <w:color w:val="0000FF"/>
        </w:rPr>
      </w:pPr>
    </w:p>
    <w:p w14:paraId="33A2F65B">
      <w:pPr>
        <w:pStyle w:val="3"/>
      </w:pPr>
      <w:bookmarkStart w:id="65" w:name="_Toc15893"/>
      <w:r>
        <w:rPr>
          <w:rFonts w:hint="eastAsia"/>
        </w:rPr>
        <w:t>材料计划</w:t>
      </w:r>
      <w:bookmarkEnd w:id="65"/>
    </w:p>
    <w:p w14:paraId="225382F9">
      <w:pPr>
        <w:pStyle w:val="4"/>
        <w:numPr>
          <w:ilvl w:val="2"/>
          <w:numId w:val="1"/>
        </w:numPr>
        <w:bidi w:val="0"/>
      </w:pPr>
      <w:r>
        <w:rPr>
          <w:rFonts w:hint="eastAsia"/>
        </w:rPr>
        <w:t>材料计划</w:t>
      </w:r>
    </w:p>
    <w:p w14:paraId="6476706F">
      <w:pPr>
        <w:ind w:firstLine="480"/>
      </w:pPr>
      <w:bookmarkStart w:id="66" w:name="_Ref117665357"/>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安拆实施所需施工材料计划详见</w:t>
      </w:r>
      <w:r>
        <w:fldChar w:fldCharType="begin"/>
      </w:r>
      <w:r>
        <w:instrText xml:space="preserve"> </w:instrText>
      </w:r>
      <w:r>
        <w:rPr>
          <w:rFonts w:hint="eastAsia"/>
        </w:rPr>
        <w:instrText xml:space="preserve">REF _Ref117665352 \h</w:instrText>
      </w:r>
      <w:r>
        <w:instrText xml:space="preserve">  \* MERGEFORMAT </w:instrText>
      </w:r>
      <w:r>
        <w:fldChar w:fldCharType="separate"/>
      </w:r>
      <w:r>
        <w:rPr>
          <w:rFonts w:hint="eastAsia"/>
        </w:rPr>
        <w:t>表</w:t>
      </w:r>
      <w:r>
        <w:t>3.2.1-1</w:t>
      </w:r>
      <w:r>
        <w:fldChar w:fldCharType="end"/>
      </w:r>
      <w:r>
        <w:rPr>
          <w:rFonts w:hint="eastAsia"/>
        </w:rPr>
        <w:t>所示。</w:t>
      </w:r>
    </w:p>
    <w:p w14:paraId="1E673BD0">
      <w:pPr>
        <w:pStyle w:val="16"/>
      </w:pPr>
      <w:bookmarkStart w:id="67" w:name="_Ref117665352"/>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7"/>
      <w:r>
        <w:t xml:space="preserve"> </w:t>
      </w: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lang w:val="en-US" w:eastAsia="zh-CN"/>
        </w:rPr>
        <w:t>单台</w:t>
      </w:r>
      <w:r>
        <w:rPr>
          <w:rFonts w:hint="eastAsia"/>
        </w:rPr>
        <w:t>施工材料计划</w:t>
      </w:r>
    </w:p>
    <w:tbl>
      <w:tblPr>
        <w:tblStyle w:val="40"/>
        <w:tblW w:w="8137" w:type="dxa"/>
        <w:tblInd w:w="80" w:type="dxa"/>
        <w:tblLayout w:type="fixed"/>
        <w:tblCellMar>
          <w:top w:w="0" w:type="dxa"/>
          <w:left w:w="10" w:type="dxa"/>
          <w:bottom w:w="0" w:type="dxa"/>
          <w:right w:w="10" w:type="dxa"/>
        </w:tblCellMar>
      </w:tblPr>
      <w:tblGrid>
        <w:gridCol w:w="777"/>
        <w:gridCol w:w="2217"/>
        <w:gridCol w:w="1680"/>
        <w:gridCol w:w="1338"/>
        <w:gridCol w:w="2125"/>
      </w:tblGrid>
      <w:tr w14:paraId="6014A9E2">
        <w:tblPrEx>
          <w:tblCellMar>
            <w:top w:w="0" w:type="dxa"/>
            <w:left w:w="10" w:type="dxa"/>
            <w:bottom w:w="0" w:type="dxa"/>
            <w:right w:w="10" w:type="dxa"/>
          </w:tblCellMar>
        </w:tblPrEx>
        <w:trPr>
          <w:trHeight w:val="23" w:hRule="atLeast"/>
        </w:trPr>
        <w:tc>
          <w:tcPr>
            <w:tcW w:w="777" w:type="dxa"/>
            <w:vMerge w:val="restart"/>
            <w:tcBorders>
              <w:top w:val="single" w:color="auto" w:sz="2" w:space="0"/>
              <w:left w:val="single" w:color="auto" w:sz="2" w:space="0"/>
              <w:right w:val="single" w:color="auto" w:sz="2" w:space="0"/>
            </w:tcBorders>
            <w:vAlign w:val="center"/>
          </w:tcPr>
          <w:p w14:paraId="6BE73A2A">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序号</w:t>
            </w:r>
          </w:p>
        </w:tc>
        <w:tc>
          <w:tcPr>
            <w:tcW w:w="7360" w:type="dxa"/>
            <w:gridSpan w:val="4"/>
            <w:tcBorders>
              <w:top w:val="single" w:color="auto" w:sz="2" w:space="0"/>
              <w:left w:val="single" w:color="auto" w:sz="2" w:space="0"/>
              <w:bottom w:val="single" w:color="auto" w:sz="2" w:space="0"/>
              <w:right w:val="single" w:color="auto" w:sz="2" w:space="0"/>
            </w:tcBorders>
            <w:vAlign w:val="center"/>
          </w:tcPr>
          <w:p w14:paraId="10EDE71F">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塔机部件参数</w:t>
            </w:r>
          </w:p>
        </w:tc>
      </w:tr>
      <w:tr w14:paraId="55ED6FDE">
        <w:tblPrEx>
          <w:tblCellMar>
            <w:top w:w="0" w:type="dxa"/>
            <w:left w:w="10" w:type="dxa"/>
            <w:bottom w:w="0" w:type="dxa"/>
            <w:right w:w="10" w:type="dxa"/>
          </w:tblCellMar>
        </w:tblPrEx>
        <w:trPr>
          <w:trHeight w:val="23" w:hRule="atLeast"/>
        </w:trPr>
        <w:tc>
          <w:tcPr>
            <w:tcW w:w="777" w:type="dxa"/>
            <w:vMerge w:val="continue"/>
            <w:tcBorders>
              <w:left w:val="single" w:color="auto" w:sz="2" w:space="0"/>
              <w:bottom w:val="single" w:color="auto" w:sz="2" w:space="0"/>
              <w:right w:val="single" w:color="auto" w:sz="2" w:space="0"/>
            </w:tcBorders>
            <w:vAlign w:val="center"/>
          </w:tcPr>
          <w:p w14:paraId="7262B67C">
            <w:pPr>
              <w:pStyle w:val="17"/>
              <w:rPr>
                <w:rFonts w:hint="eastAsia" w:ascii="Times New Roman" w:hAnsi="Times New Roman" w:eastAsia="宋体" w:cs="Times New Roman"/>
                <w:b/>
                <w:lang w:val="zh-CN" w:eastAsia="zh-CN"/>
              </w:rPr>
            </w:pPr>
          </w:p>
        </w:tc>
        <w:tc>
          <w:tcPr>
            <w:tcW w:w="2217" w:type="dxa"/>
            <w:tcBorders>
              <w:top w:val="single" w:color="auto" w:sz="2" w:space="0"/>
              <w:left w:val="single" w:color="auto" w:sz="2" w:space="0"/>
              <w:bottom w:val="single" w:color="auto" w:sz="2" w:space="0"/>
              <w:right w:val="single" w:color="auto" w:sz="2" w:space="0"/>
            </w:tcBorders>
            <w:vAlign w:val="center"/>
          </w:tcPr>
          <w:p w14:paraId="52919E61">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部件名称</w:t>
            </w:r>
          </w:p>
        </w:tc>
        <w:tc>
          <w:tcPr>
            <w:tcW w:w="1680" w:type="dxa"/>
            <w:tcBorders>
              <w:top w:val="single" w:color="auto" w:sz="2" w:space="0"/>
              <w:left w:val="single" w:color="auto" w:sz="2" w:space="0"/>
              <w:bottom w:val="single" w:color="auto" w:sz="2" w:space="0"/>
              <w:right w:val="single" w:color="auto" w:sz="2" w:space="0"/>
            </w:tcBorders>
            <w:vAlign w:val="center"/>
          </w:tcPr>
          <w:p w14:paraId="0BCFFAA2">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部件重量(t)</w:t>
            </w:r>
          </w:p>
        </w:tc>
        <w:tc>
          <w:tcPr>
            <w:tcW w:w="1338" w:type="dxa"/>
            <w:tcBorders>
              <w:top w:val="single" w:color="auto" w:sz="2" w:space="0"/>
              <w:left w:val="single" w:color="auto" w:sz="2" w:space="0"/>
              <w:bottom w:val="single" w:color="auto" w:sz="2" w:space="0"/>
              <w:right w:val="single" w:color="auto" w:sz="2" w:space="0"/>
            </w:tcBorders>
            <w:vAlign w:val="center"/>
          </w:tcPr>
          <w:p w14:paraId="720AFD78">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吊装半径(m)</w:t>
            </w:r>
          </w:p>
        </w:tc>
        <w:tc>
          <w:tcPr>
            <w:tcW w:w="2125" w:type="dxa"/>
            <w:tcBorders>
              <w:top w:val="single" w:color="auto" w:sz="2" w:space="0"/>
              <w:left w:val="single" w:color="auto" w:sz="2" w:space="0"/>
              <w:bottom w:val="single" w:color="auto" w:sz="2" w:space="0"/>
              <w:right w:val="single" w:color="auto" w:sz="2" w:space="0"/>
            </w:tcBorders>
            <w:vAlign w:val="center"/>
          </w:tcPr>
          <w:p w14:paraId="5C12A457">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吊装高度(m)</w:t>
            </w:r>
          </w:p>
        </w:tc>
      </w:tr>
      <w:tr w14:paraId="64F63C38">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4E88A9AC">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1</w:t>
            </w:r>
          </w:p>
        </w:tc>
        <w:tc>
          <w:tcPr>
            <w:tcW w:w="2217" w:type="dxa"/>
            <w:tcBorders>
              <w:top w:val="single" w:color="auto" w:sz="2" w:space="0"/>
              <w:left w:val="single" w:color="auto" w:sz="2" w:space="0"/>
              <w:bottom w:val="single" w:color="auto" w:sz="2" w:space="0"/>
              <w:right w:val="single" w:color="auto" w:sz="2" w:space="0"/>
            </w:tcBorders>
            <w:vAlign w:val="center"/>
          </w:tcPr>
          <w:p w14:paraId="1DC7E2ED">
            <w:pPr>
              <w:widowControl w:val="0"/>
              <w:spacing w:line="240" w:lineRule="auto"/>
              <w:ind w:firstLine="0" w:firstLineChars="0"/>
              <w:jc w:val="center"/>
              <w:textAlignment w:val="bottom"/>
              <w:rPr>
                <w:rFonts w:hint="eastAsia" w:ascii="Times New Roman" w:hAnsi="Times New Roman" w:eastAsia="宋体" w:cs="Times New Roman"/>
                <w:kern w:val="2"/>
                <w:sz w:val="24"/>
                <w:szCs w:val="21"/>
                <w:lang w:val="en-US" w:eastAsia="zh-CN" w:bidi="ar-SA"/>
              </w:rPr>
            </w:pPr>
            <w:r>
              <w:rPr>
                <w:rFonts w:hint="eastAsia" w:cs="Times New Roman"/>
                <w:lang w:val="en-US" w:eastAsia="zh-CN"/>
              </w:rPr>
              <w:t>过渡节</w:t>
            </w:r>
          </w:p>
        </w:tc>
        <w:tc>
          <w:tcPr>
            <w:tcW w:w="1680" w:type="dxa"/>
            <w:tcBorders>
              <w:top w:val="single" w:color="auto" w:sz="2" w:space="0"/>
              <w:left w:val="single" w:color="auto" w:sz="2" w:space="0"/>
              <w:bottom w:val="single" w:color="auto" w:sz="2" w:space="0"/>
              <w:right w:val="single" w:color="auto" w:sz="2" w:space="0"/>
            </w:tcBorders>
            <w:vAlign w:val="center"/>
          </w:tcPr>
          <w:p w14:paraId="711329EC">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4.49</w:t>
            </w:r>
          </w:p>
        </w:tc>
        <w:tc>
          <w:tcPr>
            <w:tcW w:w="1338" w:type="dxa"/>
            <w:tcBorders>
              <w:top w:val="single" w:color="auto" w:sz="2" w:space="0"/>
              <w:left w:val="single" w:color="auto" w:sz="2" w:space="0"/>
              <w:bottom w:val="single" w:color="auto" w:sz="2" w:space="0"/>
              <w:right w:val="single" w:color="auto" w:sz="2" w:space="0"/>
            </w:tcBorders>
            <w:vAlign w:val="center"/>
          </w:tcPr>
          <w:p w14:paraId="29AB11A8">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3FEABFE7">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03D55DFE">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2B9B574D">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2</w:t>
            </w:r>
          </w:p>
        </w:tc>
        <w:tc>
          <w:tcPr>
            <w:tcW w:w="2217" w:type="dxa"/>
            <w:tcBorders>
              <w:top w:val="single" w:color="auto" w:sz="2" w:space="0"/>
              <w:left w:val="single" w:color="auto" w:sz="2" w:space="0"/>
              <w:bottom w:val="single" w:color="auto" w:sz="2" w:space="0"/>
              <w:right w:val="single" w:color="auto" w:sz="2" w:space="0"/>
            </w:tcBorders>
            <w:vAlign w:val="center"/>
          </w:tcPr>
          <w:p w14:paraId="15B1A43C">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1"/>
                <w:szCs w:val="21"/>
                <w:lang w:val="en-US" w:eastAsia="zh-CN" w:bidi="ar-SA"/>
              </w:rPr>
              <w:t>爬升架总成</w:t>
            </w:r>
          </w:p>
        </w:tc>
        <w:tc>
          <w:tcPr>
            <w:tcW w:w="1680" w:type="dxa"/>
            <w:tcBorders>
              <w:top w:val="single" w:color="auto" w:sz="2" w:space="0"/>
              <w:left w:val="single" w:color="auto" w:sz="2" w:space="0"/>
              <w:bottom w:val="single" w:color="auto" w:sz="2" w:space="0"/>
              <w:right w:val="single" w:color="auto" w:sz="2" w:space="0"/>
            </w:tcBorders>
            <w:vAlign w:val="center"/>
          </w:tcPr>
          <w:p w14:paraId="52A1D266">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6.188</w:t>
            </w:r>
          </w:p>
        </w:tc>
        <w:tc>
          <w:tcPr>
            <w:tcW w:w="1338" w:type="dxa"/>
            <w:tcBorders>
              <w:top w:val="single" w:color="auto" w:sz="2" w:space="0"/>
              <w:left w:val="single" w:color="auto" w:sz="2" w:space="0"/>
              <w:bottom w:val="single" w:color="auto" w:sz="2" w:space="0"/>
              <w:right w:val="single" w:color="auto" w:sz="2" w:space="0"/>
            </w:tcBorders>
            <w:vAlign w:val="center"/>
          </w:tcPr>
          <w:p w14:paraId="5B8AE302">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79012B3D">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70142387">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66C41C7E">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zh-CN" w:eastAsia="zh-CN"/>
              </w:rPr>
              <w:t>3</w:t>
            </w:r>
          </w:p>
        </w:tc>
        <w:tc>
          <w:tcPr>
            <w:tcW w:w="2217" w:type="dxa"/>
            <w:tcBorders>
              <w:top w:val="single" w:color="auto" w:sz="2" w:space="0"/>
              <w:left w:val="single" w:color="auto" w:sz="2" w:space="0"/>
              <w:bottom w:val="single" w:color="auto" w:sz="2" w:space="0"/>
              <w:right w:val="single" w:color="auto" w:sz="2" w:space="0"/>
            </w:tcBorders>
            <w:vAlign w:val="center"/>
          </w:tcPr>
          <w:p w14:paraId="03190027">
            <w:pPr>
              <w:widowControl w:val="0"/>
              <w:spacing w:line="240" w:lineRule="auto"/>
              <w:ind w:firstLine="0" w:firstLineChars="0"/>
              <w:jc w:val="center"/>
              <w:textAlignment w:val="bottom"/>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1"/>
                <w:szCs w:val="21"/>
                <w:lang w:val="en-US" w:eastAsia="zh-CN" w:bidi="ar-SA"/>
              </w:rPr>
              <w:t>回转总成</w:t>
            </w:r>
          </w:p>
        </w:tc>
        <w:tc>
          <w:tcPr>
            <w:tcW w:w="1680" w:type="dxa"/>
            <w:tcBorders>
              <w:top w:val="single" w:color="auto" w:sz="2" w:space="0"/>
              <w:left w:val="single" w:color="auto" w:sz="2" w:space="0"/>
              <w:bottom w:val="single" w:color="auto" w:sz="2" w:space="0"/>
              <w:right w:val="single" w:color="auto" w:sz="2" w:space="0"/>
            </w:tcBorders>
            <w:vAlign w:val="center"/>
          </w:tcPr>
          <w:p w14:paraId="43A2090B">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9.350</w:t>
            </w:r>
          </w:p>
        </w:tc>
        <w:tc>
          <w:tcPr>
            <w:tcW w:w="1338" w:type="dxa"/>
            <w:tcBorders>
              <w:top w:val="single" w:color="auto" w:sz="2" w:space="0"/>
              <w:left w:val="single" w:color="auto" w:sz="2" w:space="0"/>
              <w:bottom w:val="single" w:color="auto" w:sz="2" w:space="0"/>
              <w:right w:val="single" w:color="auto" w:sz="2" w:space="0"/>
            </w:tcBorders>
            <w:vAlign w:val="center"/>
          </w:tcPr>
          <w:p w14:paraId="1A6E316C">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4A4AA80A">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7FB811DB">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5CC6FCD2">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2217" w:type="dxa"/>
            <w:tcBorders>
              <w:top w:val="single" w:color="auto" w:sz="2" w:space="0"/>
              <w:left w:val="single" w:color="auto" w:sz="2" w:space="0"/>
              <w:bottom w:val="single" w:color="auto" w:sz="2" w:space="0"/>
              <w:right w:val="single" w:color="auto" w:sz="2" w:space="0"/>
            </w:tcBorders>
            <w:vAlign w:val="center"/>
          </w:tcPr>
          <w:p w14:paraId="676C647F">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1"/>
                <w:szCs w:val="21"/>
                <w:lang w:val="en-US" w:eastAsia="zh-CN" w:bidi="ar-SA"/>
              </w:rPr>
              <w:t>回转</w:t>
            </w:r>
            <w:r>
              <w:rPr>
                <w:rFonts w:hint="eastAsia" w:cs="Times New Roman"/>
                <w:kern w:val="2"/>
                <w:sz w:val="21"/>
                <w:szCs w:val="21"/>
                <w:lang w:val="en-US" w:eastAsia="zh-CN" w:bidi="ar-SA"/>
              </w:rPr>
              <w:t>塔身</w:t>
            </w:r>
          </w:p>
        </w:tc>
        <w:tc>
          <w:tcPr>
            <w:tcW w:w="1680" w:type="dxa"/>
            <w:tcBorders>
              <w:top w:val="single" w:color="auto" w:sz="2" w:space="0"/>
              <w:left w:val="single" w:color="auto" w:sz="2" w:space="0"/>
              <w:bottom w:val="single" w:color="auto" w:sz="2" w:space="0"/>
              <w:right w:val="single" w:color="auto" w:sz="2" w:space="0"/>
            </w:tcBorders>
            <w:vAlign w:val="center"/>
          </w:tcPr>
          <w:p w14:paraId="27C8AE71">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4.22</w:t>
            </w:r>
          </w:p>
        </w:tc>
        <w:tc>
          <w:tcPr>
            <w:tcW w:w="1338" w:type="dxa"/>
            <w:tcBorders>
              <w:top w:val="single" w:color="auto" w:sz="2" w:space="0"/>
              <w:left w:val="single" w:color="auto" w:sz="2" w:space="0"/>
              <w:bottom w:val="single" w:color="auto" w:sz="2" w:space="0"/>
              <w:right w:val="single" w:color="auto" w:sz="2" w:space="0"/>
            </w:tcBorders>
            <w:vAlign w:val="center"/>
          </w:tcPr>
          <w:p w14:paraId="7DA7638B">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700E57BE">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2C2FEC7F">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577FB43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2217" w:type="dxa"/>
            <w:tcBorders>
              <w:top w:val="single" w:color="auto" w:sz="2" w:space="0"/>
              <w:left w:val="single" w:color="auto" w:sz="2" w:space="0"/>
              <w:bottom w:val="single" w:color="auto" w:sz="2" w:space="0"/>
              <w:right w:val="single" w:color="auto" w:sz="2" w:space="0"/>
            </w:tcBorders>
            <w:vAlign w:val="center"/>
          </w:tcPr>
          <w:p w14:paraId="78181688">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平衡臂节一</w:t>
            </w:r>
          </w:p>
        </w:tc>
        <w:tc>
          <w:tcPr>
            <w:tcW w:w="1680" w:type="dxa"/>
            <w:tcBorders>
              <w:top w:val="single" w:color="auto" w:sz="2" w:space="0"/>
              <w:left w:val="single" w:color="auto" w:sz="2" w:space="0"/>
              <w:bottom w:val="single" w:color="auto" w:sz="2" w:space="0"/>
              <w:right w:val="single" w:color="auto" w:sz="2" w:space="0"/>
            </w:tcBorders>
            <w:vAlign w:val="center"/>
          </w:tcPr>
          <w:p w14:paraId="3EE8D46B">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4.34</w:t>
            </w:r>
          </w:p>
        </w:tc>
        <w:tc>
          <w:tcPr>
            <w:tcW w:w="1338" w:type="dxa"/>
            <w:tcBorders>
              <w:top w:val="single" w:color="auto" w:sz="2" w:space="0"/>
              <w:left w:val="single" w:color="auto" w:sz="2" w:space="0"/>
              <w:bottom w:val="single" w:color="auto" w:sz="2" w:space="0"/>
              <w:right w:val="single" w:color="auto" w:sz="2" w:space="0"/>
            </w:tcBorders>
            <w:vAlign w:val="center"/>
          </w:tcPr>
          <w:p w14:paraId="5E37134D">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5279B383">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05066830">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0CEABDE5">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2217" w:type="dxa"/>
            <w:tcBorders>
              <w:top w:val="single" w:color="auto" w:sz="2" w:space="0"/>
              <w:left w:val="single" w:color="auto" w:sz="2" w:space="0"/>
              <w:bottom w:val="single" w:color="auto" w:sz="2" w:space="0"/>
              <w:right w:val="single" w:color="auto" w:sz="2" w:space="0"/>
            </w:tcBorders>
            <w:vAlign w:val="center"/>
          </w:tcPr>
          <w:p w14:paraId="614CA183">
            <w:pPr>
              <w:widowControl w:val="0"/>
              <w:spacing w:line="240" w:lineRule="auto"/>
              <w:ind w:firstLine="0" w:firstLineChars="0"/>
              <w:jc w:val="center"/>
              <w:textAlignment w:val="bottom"/>
              <w:rPr>
                <w:rFonts w:hint="eastAsia"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平衡臂节二</w:t>
            </w:r>
          </w:p>
        </w:tc>
        <w:tc>
          <w:tcPr>
            <w:tcW w:w="1680" w:type="dxa"/>
            <w:tcBorders>
              <w:top w:val="single" w:color="auto" w:sz="2" w:space="0"/>
              <w:left w:val="single" w:color="auto" w:sz="2" w:space="0"/>
              <w:bottom w:val="single" w:color="auto" w:sz="2" w:space="0"/>
              <w:right w:val="single" w:color="auto" w:sz="2" w:space="0"/>
            </w:tcBorders>
            <w:vAlign w:val="center"/>
          </w:tcPr>
          <w:p w14:paraId="251F7271">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10</w:t>
            </w:r>
          </w:p>
        </w:tc>
        <w:tc>
          <w:tcPr>
            <w:tcW w:w="1338" w:type="dxa"/>
            <w:tcBorders>
              <w:top w:val="single" w:color="auto" w:sz="2" w:space="0"/>
              <w:left w:val="single" w:color="auto" w:sz="2" w:space="0"/>
              <w:bottom w:val="single" w:color="auto" w:sz="2" w:space="0"/>
              <w:right w:val="single" w:color="auto" w:sz="2" w:space="0"/>
            </w:tcBorders>
            <w:vAlign w:val="center"/>
          </w:tcPr>
          <w:p w14:paraId="73917E72">
            <w:pPr>
              <w:widowControl w:val="0"/>
              <w:spacing w:line="240" w:lineRule="auto"/>
              <w:ind w:left="0" w:leftChars="0" w:firstLine="0" w:firstLineChars="0"/>
              <w:jc w:val="center"/>
              <w:textAlignment w:val="bottom"/>
              <w:rPr>
                <w:rFonts w:hint="eastAsia"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125AEF6B">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4C69A1DF">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27B00FD3">
            <w:pPr>
              <w:pStyle w:val="17"/>
              <w:rPr>
                <w:rFonts w:hint="default" w:ascii="Times New Roman" w:hAnsi="Times New Roman" w:eastAsia="宋体" w:cs="Times New Roman"/>
                <w:lang w:val="en-US" w:eastAsia="zh-CN"/>
              </w:rPr>
            </w:pPr>
            <w:r>
              <w:rPr>
                <w:rFonts w:hint="eastAsia" w:cs="Times New Roman"/>
                <w:lang w:val="en-US" w:eastAsia="zh-CN"/>
              </w:rPr>
              <w:t>7</w:t>
            </w:r>
          </w:p>
        </w:tc>
        <w:tc>
          <w:tcPr>
            <w:tcW w:w="2217" w:type="dxa"/>
            <w:tcBorders>
              <w:top w:val="single" w:color="auto" w:sz="2" w:space="0"/>
              <w:left w:val="single" w:color="auto" w:sz="2" w:space="0"/>
              <w:bottom w:val="single" w:color="auto" w:sz="2" w:space="0"/>
              <w:right w:val="single" w:color="auto" w:sz="2" w:space="0"/>
            </w:tcBorders>
            <w:vAlign w:val="center"/>
          </w:tcPr>
          <w:p w14:paraId="69BC5067">
            <w:pPr>
              <w:widowControl w:val="0"/>
              <w:spacing w:line="240" w:lineRule="auto"/>
              <w:ind w:firstLine="0" w:firstLineChars="0"/>
              <w:jc w:val="center"/>
              <w:textAlignment w:val="bottom"/>
              <w:rPr>
                <w:rFonts w:hint="default" w:cs="Times New Roman"/>
                <w:kern w:val="2"/>
                <w:sz w:val="21"/>
                <w:szCs w:val="21"/>
                <w:lang w:val="en-US" w:eastAsia="zh-CN" w:bidi="ar-SA"/>
              </w:rPr>
            </w:pPr>
            <w:r>
              <w:rPr>
                <w:rFonts w:hint="eastAsia" w:cs="Times New Roman"/>
                <w:kern w:val="2"/>
                <w:sz w:val="21"/>
                <w:szCs w:val="21"/>
                <w:lang w:val="en-US" w:eastAsia="zh-CN" w:bidi="ar-SA"/>
              </w:rPr>
              <w:t>起升机构</w:t>
            </w:r>
          </w:p>
        </w:tc>
        <w:tc>
          <w:tcPr>
            <w:tcW w:w="1680" w:type="dxa"/>
            <w:tcBorders>
              <w:top w:val="single" w:color="auto" w:sz="2" w:space="0"/>
              <w:left w:val="single" w:color="auto" w:sz="2" w:space="0"/>
              <w:bottom w:val="single" w:color="auto" w:sz="2" w:space="0"/>
              <w:right w:val="single" w:color="auto" w:sz="2" w:space="0"/>
            </w:tcBorders>
            <w:vAlign w:val="center"/>
          </w:tcPr>
          <w:p w14:paraId="58827F6F">
            <w:pPr>
              <w:widowControl w:val="0"/>
              <w:spacing w:line="240" w:lineRule="auto"/>
              <w:ind w:firstLine="0" w:firstLineChars="0"/>
              <w:jc w:val="center"/>
              <w:textAlignment w:val="bottom"/>
              <w:rPr>
                <w:rFonts w:hint="default" w:cs="Times New Roman"/>
                <w:kern w:val="2"/>
                <w:sz w:val="21"/>
                <w:szCs w:val="21"/>
                <w:lang w:val="en-US" w:eastAsia="zh-CN" w:bidi="ar-SA"/>
              </w:rPr>
            </w:pPr>
            <w:r>
              <w:rPr>
                <w:rFonts w:hint="eastAsia" w:cs="Times New Roman"/>
                <w:kern w:val="2"/>
                <w:sz w:val="21"/>
                <w:szCs w:val="21"/>
                <w:lang w:val="en-US" w:eastAsia="zh-CN" w:bidi="ar-SA"/>
              </w:rPr>
              <w:t>4.23</w:t>
            </w:r>
          </w:p>
        </w:tc>
        <w:tc>
          <w:tcPr>
            <w:tcW w:w="1338" w:type="dxa"/>
            <w:tcBorders>
              <w:top w:val="single" w:color="auto" w:sz="2" w:space="0"/>
              <w:left w:val="single" w:color="auto" w:sz="2" w:space="0"/>
              <w:bottom w:val="single" w:color="auto" w:sz="2" w:space="0"/>
              <w:right w:val="single" w:color="auto" w:sz="2" w:space="0"/>
            </w:tcBorders>
            <w:vAlign w:val="center"/>
          </w:tcPr>
          <w:p w14:paraId="29D85996">
            <w:pPr>
              <w:widowControl w:val="0"/>
              <w:spacing w:line="240" w:lineRule="auto"/>
              <w:ind w:left="0" w:leftChars="0" w:firstLine="0" w:firstLineChars="0"/>
              <w:jc w:val="center"/>
              <w:textAlignment w:val="bottom"/>
              <w:rPr>
                <w:rFonts w:hint="default" w:cs="Times New Roman"/>
                <w:kern w:val="2"/>
                <w:sz w:val="21"/>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53116010">
            <w:pPr>
              <w:widowControl w:val="0"/>
              <w:spacing w:line="240" w:lineRule="auto"/>
              <w:ind w:left="0" w:leftChars="0" w:firstLine="0" w:firstLineChars="0"/>
              <w:jc w:val="center"/>
              <w:textAlignment w:val="bottom"/>
              <w:rPr>
                <w:rFonts w:hint="default" w:cs="Times New Roman"/>
                <w:kern w:val="2"/>
                <w:sz w:val="21"/>
                <w:szCs w:val="21"/>
                <w:lang w:val="en-US" w:eastAsia="zh-CN" w:bidi="ar-SA"/>
              </w:rPr>
            </w:pPr>
            <w:r>
              <w:rPr>
                <w:rFonts w:hint="eastAsia" w:cs="Times New Roman"/>
                <w:kern w:val="2"/>
                <w:sz w:val="21"/>
                <w:szCs w:val="21"/>
                <w:lang w:val="en-US" w:eastAsia="zh-CN" w:bidi="ar-SA"/>
              </w:rPr>
              <w:t>26</w:t>
            </w:r>
          </w:p>
        </w:tc>
      </w:tr>
      <w:tr w14:paraId="3DCCF8EA">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19F29AF9">
            <w:pPr>
              <w:pStyle w:val="17"/>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217" w:type="dxa"/>
            <w:tcBorders>
              <w:top w:val="single" w:color="auto" w:sz="2" w:space="0"/>
              <w:left w:val="single" w:color="auto" w:sz="2" w:space="0"/>
              <w:bottom w:val="single" w:color="auto" w:sz="2" w:space="0"/>
              <w:right w:val="single" w:color="auto" w:sz="2" w:space="0"/>
            </w:tcBorders>
            <w:vAlign w:val="center"/>
          </w:tcPr>
          <w:p w14:paraId="3D861570">
            <w:pPr>
              <w:widowControl w:val="0"/>
              <w:spacing w:line="240" w:lineRule="auto"/>
              <w:ind w:firstLine="0" w:firstLineChars="0"/>
              <w:jc w:val="center"/>
              <w:textAlignment w:val="bottom"/>
              <w:rPr>
                <w:rFonts w:hint="eastAsia"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A</w:t>
            </w:r>
          </w:p>
        </w:tc>
        <w:tc>
          <w:tcPr>
            <w:tcW w:w="1680" w:type="dxa"/>
            <w:tcBorders>
              <w:top w:val="single" w:color="auto" w:sz="2" w:space="0"/>
              <w:left w:val="single" w:color="auto" w:sz="2" w:space="0"/>
              <w:bottom w:val="single" w:color="auto" w:sz="2" w:space="0"/>
              <w:right w:val="single" w:color="auto" w:sz="2" w:space="0"/>
            </w:tcBorders>
            <w:vAlign w:val="center"/>
          </w:tcPr>
          <w:p w14:paraId="4BB12DF1">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4</w:t>
            </w:r>
          </w:p>
        </w:tc>
        <w:tc>
          <w:tcPr>
            <w:tcW w:w="1338" w:type="dxa"/>
            <w:tcBorders>
              <w:top w:val="single" w:color="auto" w:sz="2" w:space="0"/>
              <w:left w:val="single" w:color="auto" w:sz="2" w:space="0"/>
              <w:bottom w:val="single" w:color="auto" w:sz="2" w:space="0"/>
              <w:right w:val="single" w:color="auto" w:sz="2" w:space="0"/>
            </w:tcBorders>
            <w:vAlign w:val="center"/>
          </w:tcPr>
          <w:p w14:paraId="44EABF7D">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240B2A34">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377ADE4C">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14:paraId="123D0462">
            <w:pPr>
              <w:pStyle w:val="17"/>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2217" w:type="dxa"/>
            <w:tcBorders>
              <w:top w:val="single" w:color="auto" w:sz="2" w:space="0"/>
              <w:left w:val="single" w:color="auto" w:sz="2" w:space="0"/>
              <w:bottom w:val="single" w:color="auto" w:sz="2" w:space="0"/>
              <w:right w:val="single" w:color="auto" w:sz="2" w:space="0"/>
            </w:tcBorders>
            <w:vAlign w:val="center"/>
          </w:tcPr>
          <w:p w14:paraId="15772D05">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B</w:t>
            </w:r>
          </w:p>
        </w:tc>
        <w:tc>
          <w:tcPr>
            <w:tcW w:w="1680" w:type="dxa"/>
            <w:tcBorders>
              <w:top w:val="single" w:color="auto" w:sz="2" w:space="0"/>
              <w:left w:val="single" w:color="auto" w:sz="2" w:space="0"/>
              <w:bottom w:val="single" w:color="auto" w:sz="2" w:space="0"/>
              <w:right w:val="single" w:color="auto" w:sz="2" w:space="0"/>
            </w:tcBorders>
            <w:vAlign w:val="center"/>
          </w:tcPr>
          <w:p w14:paraId="1620083E">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2.2</w:t>
            </w:r>
          </w:p>
        </w:tc>
        <w:tc>
          <w:tcPr>
            <w:tcW w:w="1338" w:type="dxa"/>
            <w:tcBorders>
              <w:top w:val="single" w:color="auto" w:sz="2" w:space="0"/>
              <w:left w:val="single" w:color="auto" w:sz="2" w:space="0"/>
              <w:bottom w:val="single" w:color="auto" w:sz="2" w:space="0"/>
              <w:right w:val="single" w:color="auto" w:sz="2" w:space="0"/>
            </w:tcBorders>
            <w:vAlign w:val="center"/>
          </w:tcPr>
          <w:p w14:paraId="1F1E61AF">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2" w:space="0"/>
              <w:right w:val="single" w:color="auto" w:sz="2" w:space="0"/>
            </w:tcBorders>
            <w:vAlign w:val="center"/>
          </w:tcPr>
          <w:p w14:paraId="09AC80B6">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6E8B94BA">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4" w:space="0"/>
              <w:right w:val="single" w:color="auto" w:sz="2" w:space="0"/>
            </w:tcBorders>
            <w:vAlign w:val="center"/>
          </w:tcPr>
          <w:p w14:paraId="3AD857A0">
            <w:pPr>
              <w:pStyle w:val="17"/>
              <w:ind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2217" w:type="dxa"/>
            <w:tcBorders>
              <w:top w:val="single" w:color="auto" w:sz="2" w:space="0"/>
              <w:left w:val="single" w:color="auto" w:sz="2" w:space="0"/>
              <w:bottom w:val="single" w:color="auto" w:sz="4" w:space="0"/>
              <w:right w:val="single" w:color="auto" w:sz="2" w:space="0"/>
            </w:tcBorders>
            <w:vAlign w:val="center"/>
          </w:tcPr>
          <w:p w14:paraId="57D3F2B7">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平衡</w:t>
            </w:r>
            <w:r>
              <w:rPr>
                <w:rFonts w:hint="eastAsia" w:ascii="Times New Roman" w:hAnsi="Times New Roman" w:eastAsia="宋体" w:cs="Times New Roman"/>
                <w:kern w:val="2"/>
                <w:sz w:val="21"/>
                <w:szCs w:val="21"/>
                <w:lang w:val="en-US" w:eastAsia="zh-CN" w:bidi="ar-SA"/>
              </w:rPr>
              <w:t>重</w:t>
            </w:r>
            <w:r>
              <w:rPr>
                <w:rFonts w:hint="eastAsia" w:cs="Times New Roman"/>
                <w:kern w:val="2"/>
                <w:sz w:val="21"/>
                <w:szCs w:val="21"/>
                <w:lang w:val="en-US" w:eastAsia="zh-CN" w:bidi="ar-SA"/>
              </w:rPr>
              <w:t>C</w:t>
            </w:r>
          </w:p>
        </w:tc>
        <w:tc>
          <w:tcPr>
            <w:tcW w:w="1680" w:type="dxa"/>
            <w:tcBorders>
              <w:top w:val="single" w:color="auto" w:sz="2" w:space="0"/>
              <w:left w:val="single" w:color="auto" w:sz="2" w:space="0"/>
              <w:bottom w:val="single" w:color="auto" w:sz="4" w:space="0"/>
              <w:right w:val="single" w:color="auto" w:sz="2" w:space="0"/>
            </w:tcBorders>
            <w:vAlign w:val="center"/>
          </w:tcPr>
          <w:p w14:paraId="7A55702C">
            <w:pPr>
              <w:widowControl w:val="0"/>
              <w:spacing w:line="240" w:lineRule="auto"/>
              <w:ind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1.5</w:t>
            </w:r>
          </w:p>
        </w:tc>
        <w:tc>
          <w:tcPr>
            <w:tcW w:w="1338" w:type="dxa"/>
            <w:tcBorders>
              <w:top w:val="single" w:color="auto" w:sz="2" w:space="0"/>
              <w:left w:val="single" w:color="auto" w:sz="2" w:space="0"/>
              <w:bottom w:val="single" w:color="auto" w:sz="4" w:space="0"/>
              <w:right w:val="single" w:color="auto" w:sz="2" w:space="0"/>
            </w:tcBorders>
            <w:vAlign w:val="center"/>
          </w:tcPr>
          <w:p w14:paraId="3E76866F">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34</w:t>
            </w:r>
          </w:p>
        </w:tc>
        <w:tc>
          <w:tcPr>
            <w:tcW w:w="2125" w:type="dxa"/>
            <w:tcBorders>
              <w:top w:val="single" w:color="auto" w:sz="2" w:space="0"/>
              <w:left w:val="single" w:color="auto" w:sz="2" w:space="0"/>
              <w:bottom w:val="single" w:color="auto" w:sz="4" w:space="0"/>
              <w:right w:val="single" w:color="auto" w:sz="2" w:space="0"/>
            </w:tcBorders>
            <w:vAlign w:val="center"/>
          </w:tcPr>
          <w:p w14:paraId="09830082">
            <w:pPr>
              <w:widowControl w:val="0"/>
              <w:spacing w:line="240" w:lineRule="auto"/>
              <w:ind w:left="0" w:leftChars="0" w:firstLine="0" w:firstLineChars="0"/>
              <w:jc w:val="center"/>
              <w:textAlignment w:val="bottom"/>
              <w:rPr>
                <w:rFonts w:hint="default" w:ascii="Times New Roman" w:hAnsi="Times New Roman" w:eastAsia="宋体" w:cs="Times New Roman"/>
                <w:kern w:val="2"/>
                <w:sz w:val="24"/>
                <w:szCs w:val="21"/>
                <w:lang w:val="en-US" w:eastAsia="zh-CN" w:bidi="ar-SA"/>
              </w:rPr>
            </w:pPr>
            <w:r>
              <w:rPr>
                <w:rFonts w:hint="eastAsia" w:cs="Times New Roman"/>
                <w:kern w:val="2"/>
                <w:sz w:val="21"/>
                <w:szCs w:val="21"/>
                <w:lang w:val="en-US" w:eastAsia="zh-CN" w:bidi="ar-SA"/>
              </w:rPr>
              <w:t>26</w:t>
            </w:r>
          </w:p>
        </w:tc>
      </w:tr>
      <w:tr w14:paraId="73F55576">
        <w:tblPrEx>
          <w:tblCellMar>
            <w:top w:w="0" w:type="dxa"/>
            <w:left w:w="10" w:type="dxa"/>
            <w:bottom w:w="0" w:type="dxa"/>
            <w:right w:w="10" w:type="dxa"/>
          </w:tblCellMar>
        </w:tblPrEx>
        <w:trPr>
          <w:trHeight w:val="567" w:hRule="atLeast"/>
        </w:trPr>
        <w:tc>
          <w:tcPr>
            <w:tcW w:w="777" w:type="dxa"/>
            <w:tcBorders>
              <w:top w:val="single" w:color="auto" w:sz="4" w:space="0"/>
              <w:left w:val="single" w:color="auto" w:sz="4" w:space="0"/>
              <w:bottom w:val="single" w:color="auto" w:sz="4" w:space="0"/>
              <w:right w:val="single" w:color="auto" w:sz="4" w:space="0"/>
            </w:tcBorders>
            <w:vAlign w:val="center"/>
          </w:tcPr>
          <w:p w14:paraId="2304FB51">
            <w:pPr>
              <w:pStyle w:val="17"/>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w:t>
            </w:r>
          </w:p>
        </w:tc>
        <w:tc>
          <w:tcPr>
            <w:tcW w:w="2217" w:type="dxa"/>
            <w:tcBorders>
              <w:top w:val="single" w:color="auto" w:sz="4" w:space="0"/>
              <w:left w:val="single" w:color="auto" w:sz="4" w:space="0"/>
              <w:bottom w:val="single" w:color="auto" w:sz="4" w:space="0"/>
              <w:right w:val="single" w:color="auto" w:sz="4" w:space="0"/>
            </w:tcBorders>
            <w:vAlign w:val="center"/>
          </w:tcPr>
          <w:p w14:paraId="4E3F1E55">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臂节①</w:t>
            </w:r>
          </w:p>
        </w:tc>
        <w:tc>
          <w:tcPr>
            <w:tcW w:w="1680" w:type="dxa"/>
            <w:tcBorders>
              <w:top w:val="single" w:color="auto" w:sz="4" w:space="0"/>
              <w:left w:val="single" w:color="auto" w:sz="4" w:space="0"/>
              <w:bottom w:val="single" w:color="auto" w:sz="4" w:space="0"/>
              <w:right w:val="single" w:color="auto" w:sz="4" w:space="0"/>
            </w:tcBorders>
            <w:vAlign w:val="center"/>
          </w:tcPr>
          <w:p w14:paraId="740A886D">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5.605</w:t>
            </w:r>
          </w:p>
        </w:tc>
        <w:tc>
          <w:tcPr>
            <w:tcW w:w="1338" w:type="dxa"/>
            <w:tcBorders>
              <w:top w:val="single" w:color="auto" w:sz="4" w:space="0"/>
              <w:left w:val="single" w:color="auto" w:sz="4" w:space="0"/>
              <w:bottom w:val="single" w:color="auto" w:sz="4" w:space="0"/>
              <w:right w:val="single" w:color="auto" w:sz="4" w:space="0"/>
            </w:tcBorders>
            <w:vAlign w:val="center"/>
          </w:tcPr>
          <w:p w14:paraId="51F12863">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34</w:t>
            </w:r>
          </w:p>
        </w:tc>
        <w:tc>
          <w:tcPr>
            <w:tcW w:w="2125" w:type="dxa"/>
            <w:tcBorders>
              <w:top w:val="single" w:color="auto" w:sz="4" w:space="0"/>
              <w:left w:val="single" w:color="auto" w:sz="4" w:space="0"/>
              <w:bottom w:val="single" w:color="auto" w:sz="4" w:space="0"/>
              <w:right w:val="single" w:color="auto" w:sz="4" w:space="0"/>
            </w:tcBorders>
            <w:vAlign w:val="center"/>
          </w:tcPr>
          <w:p w14:paraId="174DBD8B">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26</w:t>
            </w:r>
          </w:p>
        </w:tc>
      </w:tr>
      <w:tr w14:paraId="6A6FFE93">
        <w:tblPrEx>
          <w:tblCellMar>
            <w:top w:w="0" w:type="dxa"/>
            <w:left w:w="10" w:type="dxa"/>
            <w:bottom w:w="0" w:type="dxa"/>
            <w:right w:w="10" w:type="dxa"/>
          </w:tblCellMar>
        </w:tblPrEx>
        <w:trPr>
          <w:trHeight w:val="567" w:hRule="atLeast"/>
        </w:trPr>
        <w:tc>
          <w:tcPr>
            <w:tcW w:w="777" w:type="dxa"/>
            <w:tcBorders>
              <w:top w:val="single" w:color="auto" w:sz="4" w:space="0"/>
              <w:left w:val="single" w:color="auto" w:sz="4" w:space="0"/>
              <w:bottom w:val="single" w:color="auto" w:sz="4" w:space="0"/>
              <w:right w:val="single" w:color="auto" w:sz="4" w:space="0"/>
            </w:tcBorders>
            <w:vAlign w:val="center"/>
          </w:tcPr>
          <w:p w14:paraId="310D1112">
            <w:pPr>
              <w:pStyle w:val="17"/>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0" w:type="auto"/>
            <w:tcBorders>
              <w:top w:val="single" w:color="auto" w:sz="4" w:space="0"/>
              <w:left w:val="single" w:color="auto" w:sz="4" w:space="0"/>
              <w:bottom w:val="single" w:color="auto" w:sz="4" w:space="0"/>
              <w:right w:val="single" w:color="auto" w:sz="4" w:space="0"/>
            </w:tcBorders>
            <w:vAlign w:val="center"/>
          </w:tcPr>
          <w:p w14:paraId="0356BC7E">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臂节②</w:t>
            </w:r>
          </w:p>
        </w:tc>
        <w:tc>
          <w:tcPr>
            <w:tcW w:w="0" w:type="auto"/>
            <w:tcBorders>
              <w:top w:val="single" w:color="auto" w:sz="4" w:space="0"/>
              <w:left w:val="single" w:color="auto" w:sz="4" w:space="0"/>
              <w:bottom w:val="single" w:color="auto" w:sz="4" w:space="0"/>
              <w:right w:val="single" w:color="auto" w:sz="4" w:space="0"/>
            </w:tcBorders>
            <w:vAlign w:val="center"/>
          </w:tcPr>
          <w:p w14:paraId="2B1ACBEA">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3.12</w:t>
            </w:r>
          </w:p>
        </w:tc>
        <w:tc>
          <w:tcPr>
            <w:tcW w:w="0" w:type="auto"/>
            <w:tcBorders>
              <w:top w:val="single" w:color="auto" w:sz="4" w:space="0"/>
              <w:left w:val="single" w:color="auto" w:sz="4" w:space="0"/>
              <w:bottom w:val="single" w:color="auto" w:sz="4" w:space="0"/>
              <w:right w:val="single" w:color="auto" w:sz="4" w:space="0"/>
            </w:tcBorders>
            <w:vAlign w:val="center"/>
          </w:tcPr>
          <w:p w14:paraId="1E787B22">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34</w:t>
            </w:r>
          </w:p>
        </w:tc>
        <w:tc>
          <w:tcPr>
            <w:tcW w:w="0" w:type="auto"/>
            <w:tcBorders>
              <w:top w:val="single" w:color="auto" w:sz="4" w:space="0"/>
              <w:left w:val="single" w:color="auto" w:sz="4" w:space="0"/>
              <w:bottom w:val="single" w:color="auto" w:sz="4" w:space="0"/>
              <w:right w:val="single" w:color="auto" w:sz="4" w:space="0"/>
            </w:tcBorders>
            <w:vAlign w:val="center"/>
          </w:tcPr>
          <w:p w14:paraId="31148F4C">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26</w:t>
            </w:r>
          </w:p>
        </w:tc>
      </w:tr>
      <w:tr w14:paraId="556C61D7">
        <w:tblPrEx>
          <w:tblCellMar>
            <w:top w:w="0" w:type="dxa"/>
            <w:left w:w="10" w:type="dxa"/>
            <w:bottom w:w="0" w:type="dxa"/>
            <w:right w:w="10" w:type="dxa"/>
          </w:tblCellMar>
        </w:tblPrEx>
        <w:trPr>
          <w:trHeight w:val="567" w:hRule="atLeast"/>
        </w:trPr>
        <w:tc>
          <w:tcPr>
            <w:tcW w:w="777" w:type="dxa"/>
            <w:tcBorders>
              <w:top w:val="single" w:color="auto" w:sz="4" w:space="0"/>
              <w:left w:val="single" w:color="auto" w:sz="4" w:space="0"/>
              <w:bottom w:val="single" w:color="auto" w:sz="4" w:space="0"/>
              <w:right w:val="single" w:color="auto" w:sz="4" w:space="0"/>
            </w:tcBorders>
            <w:vAlign w:val="center"/>
          </w:tcPr>
          <w:p w14:paraId="44F38095">
            <w:pPr>
              <w:pStyle w:val="17"/>
              <w:ind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w:t>
            </w:r>
          </w:p>
        </w:tc>
        <w:tc>
          <w:tcPr>
            <w:tcW w:w="0" w:type="auto"/>
            <w:tcBorders>
              <w:top w:val="single" w:color="auto" w:sz="4" w:space="0"/>
              <w:left w:val="single" w:color="auto" w:sz="4" w:space="0"/>
              <w:bottom w:val="single" w:color="auto" w:sz="4" w:space="0"/>
              <w:right w:val="single" w:color="auto" w:sz="4" w:space="0"/>
            </w:tcBorders>
            <w:vAlign w:val="center"/>
          </w:tcPr>
          <w:p w14:paraId="670E6AFC">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臂节③</w:t>
            </w:r>
          </w:p>
        </w:tc>
        <w:tc>
          <w:tcPr>
            <w:tcW w:w="0" w:type="auto"/>
            <w:tcBorders>
              <w:top w:val="single" w:color="auto" w:sz="4" w:space="0"/>
              <w:left w:val="single" w:color="auto" w:sz="4" w:space="0"/>
              <w:bottom w:val="single" w:color="auto" w:sz="4" w:space="0"/>
              <w:right w:val="single" w:color="auto" w:sz="4" w:space="0"/>
            </w:tcBorders>
            <w:vAlign w:val="center"/>
          </w:tcPr>
          <w:p w14:paraId="2970DDCB">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w:t>
            </w:r>
          </w:p>
        </w:tc>
        <w:tc>
          <w:tcPr>
            <w:tcW w:w="0" w:type="auto"/>
            <w:tcBorders>
              <w:top w:val="single" w:color="auto" w:sz="4" w:space="0"/>
              <w:left w:val="single" w:color="auto" w:sz="4" w:space="0"/>
              <w:bottom w:val="single" w:color="auto" w:sz="4" w:space="0"/>
              <w:right w:val="single" w:color="auto" w:sz="4" w:space="0"/>
            </w:tcBorders>
            <w:vAlign w:val="center"/>
          </w:tcPr>
          <w:p w14:paraId="2FBFE345">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34</w:t>
            </w:r>
          </w:p>
        </w:tc>
        <w:tc>
          <w:tcPr>
            <w:tcW w:w="0" w:type="auto"/>
            <w:tcBorders>
              <w:top w:val="single" w:color="auto" w:sz="4" w:space="0"/>
              <w:left w:val="single" w:color="auto" w:sz="4" w:space="0"/>
              <w:bottom w:val="single" w:color="auto" w:sz="4" w:space="0"/>
              <w:right w:val="single" w:color="auto" w:sz="4" w:space="0"/>
            </w:tcBorders>
            <w:vAlign w:val="center"/>
          </w:tcPr>
          <w:p w14:paraId="769C8341">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26</w:t>
            </w:r>
          </w:p>
        </w:tc>
      </w:tr>
      <w:tr w14:paraId="6E8D7B52">
        <w:tblPrEx>
          <w:tblCellMar>
            <w:top w:w="0" w:type="dxa"/>
            <w:left w:w="10" w:type="dxa"/>
            <w:bottom w:w="0" w:type="dxa"/>
            <w:right w:w="10" w:type="dxa"/>
          </w:tblCellMar>
        </w:tblPrEx>
        <w:trPr>
          <w:trHeight w:val="567" w:hRule="atLeast"/>
        </w:trPr>
        <w:tc>
          <w:tcPr>
            <w:tcW w:w="777" w:type="dxa"/>
            <w:tcBorders>
              <w:top w:val="single" w:color="auto" w:sz="4" w:space="0"/>
              <w:left w:val="single" w:color="auto" w:sz="4" w:space="0"/>
              <w:bottom w:val="single" w:color="auto" w:sz="4" w:space="0"/>
              <w:right w:val="single" w:color="auto" w:sz="4" w:space="0"/>
            </w:tcBorders>
            <w:vAlign w:val="center"/>
          </w:tcPr>
          <w:p w14:paraId="3983B6AD">
            <w:pPr>
              <w:pStyle w:val="17"/>
              <w:ind w:firstLine="0" w:firstLineChars="0"/>
              <w:rPr>
                <w:rFonts w:hint="default" w:ascii="Times New Roman" w:hAnsi="Times New Roman" w:eastAsia="宋体" w:cs="Times New Roman"/>
                <w:lang w:val="en-US" w:eastAsia="zh-CN"/>
              </w:rPr>
            </w:pPr>
            <w:r>
              <w:rPr>
                <w:rFonts w:hint="eastAsia" w:cs="Times New Roman"/>
                <w:lang w:val="en-US" w:eastAsia="zh-CN"/>
              </w:rPr>
              <w:t>14</w:t>
            </w:r>
          </w:p>
        </w:tc>
        <w:tc>
          <w:tcPr>
            <w:tcW w:w="0" w:type="auto"/>
            <w:tcBorders>
              <w:top w:val="single" w:color="auto" w:sz="4" w:space="0"/>
              <w:left w:val="single" w:color="auto" w:sz="4" w:space="0"/>
              <w:bottom w:val="single" w:color="auto" w:sz="4" w:space="0"/>
              <w:right w:val="single" w:color="auto" w:sz="4" w:space="0"/>
            </w:tcBorders>
            <w:vAlign w:val="center"/>
          </w:tcPr>
          <w:p w14:paraId="169E56C0">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臂节④</w:t>
            </w:r>
          </w:p>
        </w:tc>
        <w:tc>
          <w:tcPr>
            <w:tcW w:w="0" w:type="auto"/>
            <w:tcBorders>
              <w:top w:val="single" w:color="auto" w:sz="4" w:space="0"/>
              <w:left w:val="single" w:color="auto" w:sz="4" w:space="0"/>
              <w:bottom w:val="single" w:color="auto" w:sz="4" w:space="0"/>
              <w:right w:val="single" w:color="auto" w:sz="4" w:space="0"/>
            </w:tcBorders>
            <w:vAlign w:val="center"/>
          </w:tcPr>
          <w:p w14:paraId="22D87C6F">
            <w:pPr>
              <w:pStyle w:val="17"/>
              <w:rPr>
                <w:rFonts w:hint="default" w:ascii="Times New Roman" w:hAnsi="Times New Roman" w:eastAsia="宋体" w:cs="Times New Roman"/>
                <w:lang w:val="en-US" w:eastAsia="zh-CN"/>
              </w:rPr>
            </w:pPr>
            <w:r>
              <w:rPr>
                <w:rFonts w:hint="eastAsia" w:cs="Times New Roman"/>
                <w:lang w:val="en-US" w:eastAsia="zh-CN"/>
              </w:rPr>
              <w:t>2.185</w:t>
            </w:r>
          </w:p>
        </w:tc>
        <w:tc>
          <w:tcPr>
            <w:tcW w:w="0" w:type="auto"/>
            <w:tcBorders>
              <w:top w:val="single" w:color="auto" w:sz="4" w:space="0"/>
              <w:left w:val="single" w:color="auto" w:sz="4" w:space="0"/>
              <w:bottom w:val="single" w:color="auto" w:sz="4" w:space="0"/>
              <w:right w:val="single" w:color="auto" w:sz="4" w:space="0"/>
            </w:tcBorders>
            <w:vAlign w:val="center"/>
          </w:tcPr>
          <w:p w14:paraId="1E057C55">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34</w:t>
            </w:r>
          </w:p>
        </w:tc>
        <w:tc>
          <w:tcPr>
            <w:tcW w:w="0" w:type="auto"/>
            <w:tcBorders>
              <w:top w:val="single" w:color="auto" w:sz="4" w:space="0"/>
              <w:left w:val="single" w:color="auto" w:sz="4" w:space="0"/>
              <w:bottom w:val="single" w:color="auto" w:sz="4" w:space="0"/>
              <w:right w:val="single" w:color="auto" w:sz="4" w:space="0"/>
            </w:tcBorders>
            <w:vAlign w:val="center"/>
          </w:tcPr>
          <w:p w14:paraId="044F3572">
            <w:pPr>
              <w:ind w:left="0" w:leftChars="0" w:firstLine="0" w:firstLineChars="0"/>
              <w:jc w:val="center"/>
              <w:rPr>
                <w:rFonts w:hint="default" w:ascii="Times New Roman" w:hAnsi="Times New Roman" w:eastAsia="宋体" w:cs="Times New Roman"/>
                <w:lang w:val="en-US" w:eastAsia="zh-CN"/>
              </w:rPr>
            </w:pPr>
            <w:r>
              <w:rPr>
                <w:rFonts w:hint="eastAsia" w:cs="Times New Roman"/>
                <w:kern w:val="2"/>
                <w:sz w:val="21"/>
                <w:szCs w:val="21"/>
                <w:lang w:val="en-US" w:eastAsia="zh-CN" w:bidi="ar-SA"/>
              </w:rPr>
              <w:t>26</w:t>
            </w:r>
          </w:p>
        </w:tc>
      </w:tr>
      <w:tr w14:paraId="22A9FAE8">
        <w:tblPrEx>
          <w:tblCellMar>
            <w:top w:w="0" w:type="dxa"/>
            <w:left w:w="10" w:type="dxa"/>
            <w:bottom w:w="0" w:type="dxa"/>
            <w:right w:w="10" w:type="dxa"/>
          </w:tblCellMar>
        </w:tblPrEx>
        <w:trPr>
          <w:trHeight w:val="567" w:hRule="atLeast"/>
        </w:trPr>
        <w:tc>
          <w:tcPr>
            <w:tcW w:w="777" w:type="dxa"/>
            <w:tcBorders>
              <w:top w:val="single" w:color="auto" w:sz="4" w:space="0"/>
              <w:left w:val="single" w:color="auto" w:sz="4" w:space="0"/>
              <w:bottom w:val="single" w:color="auto" w:sz="4" w:space="0"/>
              <w:right w:val="single" w:color="auto" w:sz="4" w:space="0"/>
            </w:tcBorders>
            <w:vAlign w:val="center"/>
          </w:tcPr>
          <w:p w14:paraId="11EA0B19">
            <w:pPr>
              <w:pStyle w:val="17"/>
              <w:ind w:firstLine="0" w:firstLineChars="0"/>
              <w:rPr>
                <w:rFonts w:hint="default" w:cs="Times New Roman"/>
                <w:lang w:val="en-US" w:eastAsia="zh-CN"/>
              </w:rPr>
            </w:pPr>
            <w:r>
              <w:rPr>
                <w:rFonts w:hint="eastAsia" w:cs="Times New Roman"/>
                <w:lang w:val="en-US" w:eastAsia="zh-CN"/>
              </w:rPr>
              <w:t>15</w:t>
            </w:r>
          </w:p>
        </w:tc>
        <w:tc>
          <w:tcPr>
            <w:tcW w:w="0" w:type="auto"/>
            <w:tcBorders>
              <w:top w:val="single" w:color="auto" w:sz="4" w:space="0"/>
              <w:left w:val="single" w:color="auto" w:sz="4" w:space="0"/>
              <w:bottom w:val="single" w:color="auto" w:sz="4" w:space="0"/>
              <w:right w:val="single" w:color="auto" w:sz="4" w:space="0"/>
            </w:tcBorders>
            <w:vAlign w:val="center"/>
          </w:tcPr>
          <w:p w14:paraId="7274C4D0">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臂节④及臂尖节</w:t>
            </w:r>
          </w:p>
        </w:tc>
        <w:tc>
          <w:tcPr>
            <w:tcW w:w="0" w:type="auto"/>
            <w:tcBorders>
              <w:top w:val="single" w:color="auto" w:sz="4" w:space="0"/>
              <w:left w:val="single" w:color="auto" w:sz="4" w:space="0"/>
              <w:bottom w:val="single" w:color="auto" w:sz="4" w:space="0"/>
              <w:right w:val="single" w:color="auto" w:sz="4" w:space="0"/>
            </w:tcBorders>
            <w:vAlign w:val="center"/>
          </w:tcPr>
          <w:p w14:paraId="7C6A8937">
            <w:pPr>
              <w:pStyle w:val="17"/>
              <w:rPr>
                <w:rFonts w:hint="default" w:cs="Times New Roman"/>
                <w:lang w:val="en-US" w:eastAsia="zh-CN"/>
              </w:rPr>
            </w:pPr>
            <w:r>
              <w:rPr>
                <w:rFonts w:hint="eastAsia" w:cs="Times New Roman"/>
                <w:lang w:val="en-US" w:eastAsia="zh-CN"/>
              </w:rPr>
              <w:t>2.02</w:t>
            </w:r>
          </w:p>
        </w:tc>
        <w:tc>
          <w:tcPr>
            <w:tcW w:w="0" w:type="auto"/>
            <w:tcBorders>
              <w:top w:val="single" w:color="auto" w:sz="4" w:space="0"/>
              <w:left w:val="single" w:color="auto" w:sz="4" w:space="0"/>
              <w:bottom w:val="single" w:color="auto" w:sz="4" w:space="0"/>
              <w:right w:val="single" w:color="auto" w:sz="4" w:space="0"/>
            </w:tcBorders>
            <w:vAlign w:val="center"/>
          </w:tcPr>
          <w:p w14:paraId="5E0D38AB">
            <w:pPr>
              <w:ind w:left="0" w:leftChars="0" w:firstLine="0" w:firstLineChars="0"/>
              <w:jc w:val="center"/>
              <w:rPr>
                <w:rFonts w:hint="eastAsia" w:cs="Times New Roman"/>
                <w:lang w:val="en-US" w:eastAsia="zh-CN"/>
              </w:rPr>
            </w:pPr>
            <w:r>
              <w:rPr>
                <w:rFonts w:hint="eastAsia" w:cs="Times New Roman"/>
                <w:kern w:val="2"/>
                <w:sz w:val="21"/>
                <w:szCs w:val="21"/>
                <w:lang w:val="en-US" w:eastAsia="zh-CN" w:bidi="ar-SA"/>
              </w:rPr>
              <w:t>34</w:t>
            </w:r>
          </w:p>
        </w:tc>
        <w:tc>
          <w:tcPr>
            <w:tcW w:w="0" w:type="auto"/>
            <w:tcBorders>
              <w:top w:val="single" w:color="auto" w:sz="4" w:space="0"/>
              <w:left w:val="single" w:color="auto" w:sz="4" w:space="0"/>
              <w:bottom w:val="single" w:color="auto" w:sz="4" w:space="0"/>
              <w:right w:val="single" w:color="auto" w:sz="4" w:space="0"/>
            </w:tcBorders>
            <w:vAlign w:val="center"/>
          </w:tcPr>
          <w:p w14:paraId="318E2367">
            <w:pPr>
              <w:pStyle w:val="17"/>
              <w:rPr>
                <w:rFonts w:hint="default" w:cs="Times New Roman"/>
                <w:lang w:val="en-US" w:eastAsia="zh-CN"/>
              </w:rPr>
            </w:pPr>
            <w:r>
              <w:rPr>
                <w:rFonts w:hint="eastAsia" w:cs="Times New Roman"/>
                <w:lang w:val="en-US" w:eastAsia="zh-CN"/>
              </w:rPr>
              <w:t>26</w:t>
            </w:r>
          </w:p>
        </w:tc>
      </w:tr>
    </w:tbl>
    <w:p w14:paraId="17800992">
      <w:pPr>
        <w:pStyle w:val="4"/>
        <w:numPr>
          <w:ilvl w:val="2"/>
          <w:numId w:val="1"/>
        </w:numPr>
        <w:bidi w:val="0"/>
      </w:pPr>
      <w:r>
        <w:rPr>
          <w:rFonts w:hint="eastAsia"/>
        </w:rPr>
        <w:t>施工措施材料计划</w:t>
      </w:r>
    </w:p>
    <w:p w14:paraId="1156B259">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安拆实施所需施工措施材料计划详见</w:t>
      </w:r>
      <w:r>
        <w:fldChar w:fldCharType="begin"/>
      </w:r>
      <w:r>
        <w:instrText xml:space="preserve"> </w:instrText>
      </w:r>
      <w:r>
        <w:rPr>
          <w:rFonts w:hint="eastAsia"/>
        </w:rPr>
        <w:instrText xml:space="preserve">REF _Ref124174824 \h</w:instrText>
      </w:r>
      <w:r>
        <w:instrText xml:space="preserve"> </w:instrText>
      </w:r>
      <w:r>
        <w:fldChar w:fldCharType="separate"/>
      </w:r>
      <w:r>
        <w:rPr>
          <w:rFonts w:hint="eastAsia"/>
        </w:rPr>
        <w:t>表</w:t>
      </w:r>
      <w:r>
        <w:t>3.2.2-1</w:t>
      </w:r>
      <w:r>
        <w:fldChar w:fldCharType="end"/>
      </w:r>
      <w:r>
        <w:rPr>
          <w:rFonts w:hint="eastAsia"/>
        </w:rPr>
        <w:t>所示。</w:t>
      </w:r>
    </w:p>
    <w:p w14:paraId="74D002C9">
      <w:pPr>
        <w:pStyle w:val="16"/>
      </w:pPr>
      <w:bookmarkStart w:id="68" w:name="_Ref124174824"/>
      <w:r>
        <w:rPr>
          <w:rFonts w:hint="eastAsia"/>
        </w:rPr>
        <w:t>表</w:t>
      </w:r>
      <w:r>
        <w:fldChar w:fldCharType="begin"/>
      </w:r>
      <w:r>
        <w:instrText xml:space="preserve"> STYLEREF 3 \s </w:instrText>
      </w:r>
      <w:r>
        <w:fldChar w:fldCharType="separate"/>
      </w:r>
      <w:r>
        <w:t>3.2.2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8"/>
      <w:r>
        <w:t xml:space="preserve"> </w:t>
      </w:r>
      <w:r>
        <w:rPr>
          <w:rFonts w:hint="eastAsia"/>
        </w:rPr>
        <w:t>施工措施材料计划</w:t>
      </w:r>
    </w:p>
    <w:tbl>
      <w:tblPr>
        <w:tblStyle w:val="1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47"/>
        <w:gridCol w:w="3283"/>
        <w:gridCol w:w="789"/>
        <w:gridCol w:w="789"/>
        <w:gridCol w:w="1825"/>
      </w:tblGrid>
      <w:tr w14:paraId="74F2B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63" w:type="pct"/>
            <w:shd w:val="clear" w:color="auto" w:fill="auto"/>
            <w:vAlign w:val="center"/>
          </w:tcPr>
          <w:p w14:paraId="724D8613">
            <w:pPr>
              <w:pStyle w:val="17"/>
              <w:rPr>
                <w:b/>
              </w:rPr>
            </w:pPr>
            <w:r>
              <w:rPr>
                <w:rFonts w:hint="eastAsia"/>
                <w:b/>
              </w:rPr>
              <w:t>序号</w:t>
            </w:r>
          </w:p>
        </w:tc>
        <w:tc>
          <w:tcPr>
            <w:tcW w:w="614" w:type="pct"/>
            <w:shd w:val="clear" w:color="auto" w:fill="auto"/>
            <w:vAlign w:val="center"/>
          </w:tcPr>
          <w:p w14:paraId="79A7864E">
            <w:pPr>
              <w:pStyle w:val="17"/>
              <w:rPr>
                <w:b/>
              </w:rPr>
            </w:pPr>
            <w:r>
              <w:rPr>
                <w:rFonts w:hint="eastAsia"/>
                <w:b/>
              </w:rPr>
              <w:t>名称</w:t>
            </w:r>
          </w:p>
        </w:tc>
        <w:tc>
          <w:tcPr>
            <w:tcW w:w="1926" w:type="pct"/>
            <w:shd w:val="clear" w:color="auto" w:fill="auto"/>
            <w:vAlign w:val="center"/>
          </w:tcPr>
          <w:p w14:paraId="0C6A8164">
            <w:pPr>
              <w:pStyle w:val="17"/>
              <w:rPr>
                <w:b/>
              </w:rPr>
            </w:pPr>
            <w:r>
              <w:rPr>
                <w:rFonts w:hint="eastAsia"/>
                <w:b/>
              </w:rPr>
              <w:t>规格型号</w:t>
            </w:r>
          </w:p>
        </w:tc>
        <w:tc>
          <w:tcPr>
            <w:tcW w:w="463" w:type="pct"/>
            <w:shd w:val="clear" w:color="auto" w:fill="auto"/>
            <w:vAlign w:val="center"/>
          </w:tcPr>
          <w:p w14:paraId="382F5D3A">
            <w:pPr>
              <w:pStyle w:val="17"/>
              <w:rPr>
                <w:b/>
              </w:rPr>
            </w:pPr>
            <w:r>
              <w:rPr>
                <w:rFonts w:hint="eastAsia"/>
                <w:b/>
              </w:rPr>
              <w:t>数量</w:t>
            </w:r>
          </w:p>
        </w:tc>
        <w:tc>
          <w:tcPr>
            <w:tcW w:w="463" w:type="pct"/>
            <w:shd w:val="clear" w:color="auto" w:fill="auto"/>
            <w:vAlign w:val="center"/>
          </w:tcPr>
          <w:p w14:paraId="61391853">
            <w:pPr>
              <w:pStyle w:val="17"/>
              <w:rPr>
                <w:b/>
              </w:rPr>
            </w:pPr>
            <w:r>
              <w:rPr>
                <w:rFonts w:hint="eastAsia"/>
                <w:b/>
              </w:rPr>
              <w:t>单位</w:t>
            </w:r>
          </w:p>
        </w:tc>
        <w:tc>
          <w:tcPr>
            <w:tcW w:w="1071" w:type="pct"/>
            <w:shd w:val="clear" w:color="auto" w:fill="auto"/>
            <w:vAlign w:val="center"/>
          </w:tcPr>
          <w:p w14:paraId="4A116DE5">
            <w:pPr>
              <w:pStyle w:val="17"/>
              <w:rPr>
                <w:b/>
              </w:rPr>
            </w:pPr>
            <w:r>
              <w:rPr>
                <w:rFonts w:hint="eastAsia"/>
                <w:b/>
              </w:rPr>
              <w:t>备注</w:t>
            </w:r>
          </w:p>
        </w:tc>
      </w:tr>
      <w:tr w14:paraId="20B91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top"/>
          </w:tcPr>
          <w:p w14:paraId="2B4E3119">
            <w:pPr>
              <w:pStyle w:val="17"/>
              <w:numPr>
                <w:ilvl w:val="0"/>
                <w:numId w:val="17"/>
              </w:numPr>
            </w:pPr>
          </w:p>
        </w:tc>
        <w:tc>
          <w:tcPr>
            <w:tcW w:w="614" w:type="pct"/>
            <w:shd w:val="clear" w:color="auto" w:fill="auto"/>
            <w:vAlign w:val="center"/>
          </w:tcPr>
          <w:p w14:paraId="1C7461D4">
            <w:pPr>
              <w:pStyle w:val="17"/>
            </w:pPr>
            <w:r>
              <w:rPr>
                <w:rFonts w:hint="eastAsia"/>
              </w:rPr>
              <w:t>支架</w:t>
            </w:r>
          </w:p>
        </w:tc>
        <w:tc>
          <w:tcPr>
            <w:tcW w:w="1926" w:type="pct"/>
            <w:shd w:val="clear" w:color="auto" w:fill="auto"/>
            <w:vAlign w:val="center"/>
          </w:tcPr>
          <w:p w14:paraId="0C140179">
            <w:pPr>
              <w:pStyle w:val="17"/>
            </w:pPr>
            <w:r>
              <w:rPr>
                <w:rFonts w:hint="eastAsia"/>
              </w:rPr>
              <w:t>1m高左右</w:t>
            </w:r>
          </w:p>
        </w:tc>
        <w:tc>
          <w:tcPr>
            <w:tcW w:w="463" w:type="pct"/>
            <w:shd w:val="clear" w:color="auto" w:fill="auto"/>
            <w:vAlign w:val="center"/>
          </w:tcPr>
          <w:p w14:paraId="0F9DA845">
            <w:pPr>
              <w:pStyle w:val="17"/>
            </w:pPr>
            <w:r>
              <w:rPr>
                <w:rFonts w:hint="eastAsia"/>
              </w:rPr>
              <w:t>5</w:t>
            </w:r>
          </w:p>
        </w:tc>
        <w:tc>
          <w:tcPr>
            <w:tcW w:w="463" w:type="pct"/>
            <w:shd w:val="clear" w:color="auto" w:fill="auto"/>
            <w:vAlign w:val="center"/>
          </w:tcPr>
          <w:p w14:paraId="0C3B95DD">
            <w:pPr>
              <w:pStyle w:val="17"/>
            </w:pPr>
            <w:r>
              <w:rPr>
                <w:rFonts w:hint="eastAsia"/>
              </w:rPr>
              <w:t>个</w:t>
            </w:r>
          </w:p>
        </w:tc>
        <w:tc>
          <w:tcPr>
            <w:tcW w:w="1071" w:type="pct"/>
            <w:shd w:val="clear" w:color="auto" w:fill="auto"/>
            <w:vAlign w:val="center"/>
          </w:tcPr>
          <w:p w14:paraId="0AE87083">
            <w:pPr>
              <w:pStyle w:val="17"/>
            </w:pPr>
            <w:r>
              <w:rPr>
                <w:rFonts w:hint="eastAsia"/>
              </w:rPr>
              <w:t>支承起重臂总成</w:t>
            </w:r>
          </w:p>
        </w:tc>
      </w:tr>
    </w:tbl>
    <w:p w14:paraId="228E278E">
      <w:pPr>
        <w:pStyle w:val="4"/>
        <w:numPr>
          <w:ilvl w:val="2"/>
          <w:numId w:val="1"/>
        </w:numPr>
        <w:bidi w:val="0"/>
      </w:pPr>
      <w:r>
        <w:rPr>
          <w:rFonts w:hint="eastAsia"/>
        </w:rPr>
        <w:t>安全防护措施材料计划</w:t>
      </w:r>
    </w:p>
    <w:bookmarkEnd w:id="66"/>
    <w:p w14:paraId="5BE9BBB0">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安全防护措施材料计划详见</w:t>
      </w:r>
      <w:r>
        <w:fldChar w:fldCharType="begin"/>
      </w:r>
      <w:r>
        <w:instrText xml:space="preserve"> </w:instrText>
      </w:r>
      <w:r>
        <w:rPr>
          <w:rFonts w:hint="eastAsia"/>
        </w:rPr>
        <w:instrText xml:space="preserve">REF _Ref124174613 \h</w:instrText>
      </w:r>
      <w:r>
        <w:instrText xml:space="preserve">  \* MERGEFORMAT </w:instrText>
      </w:r>
      <w:r>
        <w:fldChar w:fldCharType="separate"/>
      </w:r>
      <w:r>
        <w:rPr>
          <w:rFonts w:hint="eastAsia"/>
        </w:rPr>
        <w:t>表</w:t>
      </w:r>
      <w:r>
        <w:t>3.2.3-1</w:t>
      </w:r>
      <w:r>
        <w:fldChar w:fldCharType="end"/>
      </w:r>
      <w:r>
        <w:rPr>
          <w:rFonts w:hint="eastAsia"/>
        </w:rPr>
        <w:t>所示。</w:t>
      </w:r>
    </w:p>
    <w:p w14:paraId="12463AD0">
      <w:pPr>
        <w:pStyle w:val="16"/>
      </w:pPr>
      <w:bookmarkStart w:id="69" w:name="_Ref124174613"/>
      <w:r>
        <w:rPr>
          <w:rFonts w:hint="eastAsia"/>
        </w:rPr>
        <w:t>表</w:t>
      </w:r>
      <w:r>
        <w:fldChar w:fldCharType="begin"/>
      </w:r>
      <w:r>
        <w:instrText xml:space="preserve"> STYLEREF 3 \s </w:instrText>
      </w:r>
      <w:r>
        <w:fldChar w:fldCharType="separate"/>
      </w:r>
      <w:r>
        <w:t>3.2.3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9"/>
      <w:r>
        <w:t xml:space="preserve"> </w:t>
      </w:r>
      <w:r>
        <w:rPr>
          <w:rFonts w:hint="eastAsia"/>
        </w:rPr>
        <w:t>安全防护措施材料计划</w:t>
      </w:r>
    </w:p>
    <w:tbl>
      <w:tblPr>
        <w:tblStyle w:val="1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73"/>
        <w:gridCol w:w="1296"/>
        <w:gridCol w:w="779"/>
        <w:gridCol w:w="779"/>
        <w:gridCol w:w="2317"/>
      </w:tblGrid>
      <w:tr w14:paraId="65025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57" w:type="pct"/>
            <w:shd w:val="clear" w:color="auto" w:fill="auto"/>
            <w:vAlign w:val="center"/>
          </w:tcPr>
          <w:p w14:paraId="6CD082DC">
            <w:pPr>
              <w:pStyle w:val="17"/>
              <w:rPr>
                <w:b/>
              </w:rPr>
            </w:pPr>
            <w:r>
              <w:rPr>
                <w:rFonts w:hint="eastAsia"/>
                <w:b/>
              </w:rPr>
              <w:t>序号</w:t>
            </w:r>
          </w:p>
        </w:tc>
        <w:tc>
          <w:tcPr>
            <w:tcW w:w="1509" w:type="pct"/>
            <w:shd w:val="clear" w:color="auto" w:fill="auto"/>
            <w:vAlign w:val="center"/>
          </w:tcPr>
          <w:p w14:paraId="6E6636C2">
            <w:pPr>
              <w:pStyle w:val="17"/>
              <w:rPr>
                <w:b/>
              </w:rPr>
            </w:pPr>
            <w:r>
              <w:rPr>
                <w:rFonts w:hint="eastAsia"/>
                <w:b/>
              </w:rPr>
              <w:t>名称</w:t>
            </w:r>
          </w:p>
        </w:tc>
        <w:tc>
          <w:tcPr>
            <w:tcW w:w="760" w:type="pct"/>
            <w:shd w:val="clear" w:color="auto" w:fill="auto"/>
            <w:vAlign w:val="center"/>
          </w:tcPr>
          <w:p w14:paraId="77952A5C">
            <w:pPr>
              <w:pStyle w:val="17"/>
              <w:rPr>
                <w:b/>
              </w:rPr>
            </w:pPr>
            <w:r>
              <w:rPr>
                <w:rFonts w:hint="eastAsia"/>
                <w:b/>
              </w:rPr>
              <w:t>规格型号</w:t>
            </w:r>
          </w:p>
        </w:tc>
        <w:tc>
          <w:tcPr>
            <w:tcW w:w="457" w:type="pct"/>
            <w:shd w:val="clear" w:color="auto" w:fill="auto"/>
            <w:vAlign w:val="center"/>
          </w:tcPr>
          <w:p w14:paraId="594D4DC1">
            <w:pPr>
              <w:pStyle w:val="17"/>
              <w:rPr>
                <w:b/>
              </w:rPr>
            </w:pPr>
            <w:r>
              <w:rPr>
                <w:rFonts w:hint="eastAsia"/>
                <w:b/>
              </w:rPr>
              <w:t>数量</w:t>
            </w:r>
          </w:p>
        </w:tc>
        <w:tc>
          <w:tcPr>
            <w:tcW w:w="457" w:type="pct"/>
            <w:shd w:val="clear" w:color="auto" w:fill="auto"/>
            <w:vAlign w:val="center"/>
          </w:tcPr>
          <w:p w14:paraId="40960D2E">
            <w:pPr>
              <w:pStyle w:val="17"/>
              <w:rPr>
                <w:b/>
              </w:rPr>
            </w:pPr>
            <w:r>
              <w:rPr>
                <w:rFonts w:hint="eastAsia"/>
                <w:b/>
              </w:rPr>
              <w:t>单位</w:t>
            </w:r>
          </w:p>
        </w:tc>
        <w:tc>
          <w:tcPr>
            <w:tcW w:w="1359" w:type="pct"/>
            <w:shd w:val="clear" w:color="auto" w:fill="auto"/>
            <w:vAlign w:val="center"/>
          </w:tcPr>
          <w:p w14:paraId="1D3D2B06">
            <w:pPr>
              <w:pStyle w:val="17"/>
              <w:rPr>
                <w:b/>
              </w:rPr>
            </w:pPr>
            <w:r>
              <w:rPr>
                <w:rFonts w:hint="eastAsia"/>
                <w:b/>
              </w:rPr>
              <w:t>备注</w:t>
            </w:r>
          </w:p>
        </w:tc>
      </w:tr>
      <w:tr w14:paraId="280FB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05974F32">
            <w:pPr>
              <w:pStyle w:val="17"/>
              <w:numPr>
                <w:ilvl w:val="0"/>
                <w:numId w:val="18"/>
              </w:numPr>
            </w:pPr>
          </w:p>
        </w:tc>
        <w:tc>
          <w:tcPr>
            <w:tcW w:w="1509" w:type="pct"/>
            <w:shd w:val="clear" w:color="auto" w:fill="auto"/>
            <w:vAlign w:val="center"/>
          </w:tcPr>
          <w:p w14:paraId="3B4D6FC0">
            <w:pPr>
              <w:pStyle w:val="17"/>
            </w:pPr>
            <w:r>
              <w:rPr>
                <w:rFonts w:hint="eastAsia"/>
              </w:rPr>
              <w:t>通道</w:t>
            </w:r>
            <w:r>
              <w:t>防护网</w:t>
            </w:r>
            <w:r>
              <w:rPr>
                <w:rFonts w:hint="eastAsia"/>
              </w:rPr>
              <w:t>、防坠网</w:t>
            </w:r>
          </w:p>
        </w:tc>
        <w:tc>
          <w:tcPr>
            <w:tcW w:w="760" w:type="pct"/>
            <w:shd w:val="clear" w:color="auto" w:fill="auto"/>
            <w:vAlign w:val="center"/>
          </w:tcPr>
          <w:p w14:paraId="2B1A39DE">
            <w:pPr>
              <w:pStyle w:val="17"/>
            </w:pPr>
          </w:p>
        </w:tc>
        <w:tc>
          <w:tcPr>
            <w:tcW w:w="457" w:type="pct"/>
            <w:shd w:val="clear" w:color="auto" w:fill="auto"/>
            <w:vAlign w:val="center"/>
          </w:tcPr>
          <w:p w14:paraId="270D52A7">
            <w:pPr>
              <w:pStyle w:val="17"/>
            </w:pPr>
            <w:r>
              <w:rPr>
                <w:rFonts w:hint="eastAsia"/>
              </w:rPr>
              <w:t>1</w:t>
            </w:r>
            <w:r>
              <w:t>5</w:t>
            </w:r>
          </w:p>
        </w:tc>
        <w:tc>
          <w:tcPr>
            <w:tcW w:w="457" w:type="pct"/>
            <w:shd w:val="clear" w:color="auto" w:fill="auto"/>
            <w:vAlign w:val="center"/>
          </w:tcPr>
          <w:p w14:paraId="01E6957C">
            <w:pPr>
              <w:pStyle w:val="17"/>
            </w:pPr>
            <w:r>
              <w:rPr>
                <w:rFonts w:hint="eastAsia"/>
              </w:rPr>
              <w:t>套</w:t>
            </w:r>
          </w:p>
        </w:tc>
        <w:tc>
          <w:tcPr>
            <w:tcW w:w="1359" w:type="pct"/>
            <w:vMerge w:val="restart"/>
            <w:shd w:val="clear" w:color="auto" w:fill="auto"/>
            <w:vAlign w:val="center"/>
          </w:tcPr>
          <w:p w14:paraId="735D41B9">
            <w:pPr>
              <w:pStyle w:val="17"/>
            </w:pPr>
            <w:r>
              <w:rPr>
                <w:rFonts w:hint="eastAsia"/>
              </w:rPr>
              <w:t>安全防护措施</w:t>
            </w:r>
          </w:p>
        </w:tc>
      </w:tr>
      <w:tr w14:paraId="4FE8E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37143028">
            <w:pPr>
              <w:pStyle w:val="17"/>
              <w:numPr>
                <w:ilvl w:val="0"/>
                <w:numId w:val="18"/>
              </w:numPr>
            </w:pPr>
          </w:p>
        </w:tc>
        <w:tc>
          <w:tcPr>
            <w:tcW w:w="1509" w:type="pct"/>
            <w:shd w:val="clear" w:color="auto" w:fill="auto"/>
            <w:vAlign w:val="center"/>
          </w:tcPr>
          <w:p w14:paraId="099D4169">
            <w:pPr>
              <w:pStyle w:val="17"/>
            </w:pPr>
            <w:r>
              <w:rPr>
                <w:rFonts w:hint="eastAsia"/>
              </w:rPr>
              <w:t>防坠器</w:t>
            </w:r>
          </w:p>
        </w:tc>
        <w:tc>
          <w:tcPr>
            <w:tcW w:w="760" w:type="pct"/>
            <w:shd w:val="clear" w:color="auto" w:fill="auto"/>
            <w:vAlign w:val="center"/>
          </w:tcPr>
          <w:p w14:paraId="78A58CC9">
            <w:pPr>
              <w:pStyle w:val="17"/>
            </w:pPr>
          </w:p>
        </w:tc>
        <w:tc>
          <w:tcPr>
            <w:tcW w:w="457" w:type="pct"/>
            <w:shd w:val="clear" w:color="auto" w:fill="auto"/>
            <w:vAlign w:val="center"/>
          </w:tcPr>
          <w:p w14:paraId="0B3CFC33">
            <w:pPr>
              <w:pStyle w:val="17"/>
            </w:pPr>
            <w:r>
              <w:rPr>
                <w:rFonts w:hint="eastAsia"/>
              </w:rPr>
              <w:t>1</w:t>
            </w:r>
            <w:r>
              <w:t>0</w:t>
            </w:r>
          </w:p>
        </w:tc>
        <w:tc>
          <w:tcPr>
            <w:tcW w:w="457" w:type="pct"/>
            <w:shd w:val="clear" w:color="auto" w:fill="auto"/>
            <w:vAlign w:val="center"/>
          </w:tcPr>
          <w:p w14:paraId="1CD81D6E">
            <w:pPr>
              <w:pStyle w:val="17"/>
            </w:pPr>
            <w:r>
              <w:rPr>
                <w:rFonts w:hint="eastAsia"/>
              </w:rPr>
              <w:t>套</w:t>
            </w:r>
          </w:p>
        </w:tc>
        <w:tc>
          <w:tcPr>
            <w:tcW w:w="1359" w:type="pct"/>
            <w:vMerge w:val="continue"/>
            <w:shd w:val="clear" w:color="auto" w:fill="auto"/>
            <w:vAlign w:val="center"/>
          </w:tcPr>
          <w:p w14:paraId="74390A0C">
            <w:pPr>
              <w:pStyle w:val="17"/>
            </w:pPr>
          </w:p>
        </w:tc>
      </w:tr>
      <w:tr w14:paraId="4766D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558472EF">
            <w:pPr>
              <w:pStyle w:val="17"/>
              <w:numPr>
                <w:ilvl w:val="0"/>
                <w:numId w:val="18"/>
              </w:numPr>
            </w:pPr>
          </w:p>
        </w:tc>
        <w:tc>
          <w:tcPr>
            <w:tcW w:w="1509" w:type="pct"/>
            <w:shd w:val="clear" w:color="auto" w:fill="auto"/>
            <w:vAlign w:val="center"/>
          </w:tcPr>
          <w:p w14:paraId="71BA504D">
            <w:pPr>
              <w:pStyle w:val="17"/>
            </w:pPr>
            <w:r>
              <w:rPr>
                <w:rFonts w:hint="eastAsia"/>
              </w:rPr>
              <w:t>安全帽</w:t>
            </w:r>
          </w:p>
        </w:tc>
        <w:tc>
          <w:tcPr>
            <w:tcW w:w="760" w:type="pct"/>
            <w:shd w:val="clear" w:color="auto" w:fill="auto"/>
            <w:vAlign w:val="center"/>
          </w:tcPr>
          <w:p w14:paraId="240AEAA6">
            <w:pPr>
              <w:pStyle w:val="17"/>
            </w:pPr>
          </w:p>
        </w:tc>
        <w:tc>
          <w:tcPr>
            <w:tcW w:w="457" w:type="pct"/>
            <w:shd w:val="clear" w:color="auto" w:fill="auto"/>
            <w:vAlign w:val="center"/>
          </w:tcPr>
          <w:p w14:paraId="66160DA9">
            <w:pPr>
              <w:pStyle w:val="17"/>
            </w:pPr>
            <w:r>
              <w:t>10</w:t>
            </w:r>
          </w:p>
        </w:tc>
        <w:tc>
          <w:tcPr>
            <w:tcW w:w="457" w:type="pct"/>
            <w:shd w:val="clear" w:color="auto" w:fill="auto"/>
            <w:vAlign w:val="center"/>
          </w:tcPr>
          <w:p w14:paraId="6DC6E91C">
            <w:pPr>
              <w:pStyle w:val="17"/>
            </w:pPr>
            <w:r>
              <w:rPr>
                <w:rFonts w:hint="eastAsia"/>
              </w:rPr>
              <w:t>个</w:t>
            </w:r>
          </w:p>
        </w:tc>
        <w:tc>
          <w:tcPr>
            <w:tcW w:w="1359" w:type="pct"/>
            <w:vMerge w:val="restart"/>
            <w:shd w:val="clear" w:color="auto" w:fill="auto"/>
            <w:vAlign w:val="center"/>
          </w:tcPr>
          <w:p w14:paraId="3FF064CF">
            <w:pPr>
              <w:pStyle w:val="17"/>
            </w:pPr>
            <w:r>
              <w:rPr>
                <w:rFonts w:hint="eastAsia"/>
              </w:rPr>
              <w:t>劳保用品</w:t>
            </w:r>
          </w:p>
        </w:tc>
      </w:tr>
      <w:tr w14:paraId="4457E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278F007D">
            <w:pPr>
              <w:pStyle w:val="17"/>
              <w:numPr>
                <w:ilvl w:val="0"/>
                <w:numId w:val="18"/>
              </w:numPr>
            </w:pPr>
          </w:p>
        </w:tc>
        <w:tc>
          <w:tcPr>
            <w:tcW w:w="1509" w:type="pct"/>
            <w:shd w:val="clear" w:color="auto" w:fill="auto"/>
            <w:vAlign w:val="center"/>
          </w:tcPr>
          <w:p w14:paraId="4DA60CD3">
            <w:pPr>
              <w:pStyle w:val="17"/>
            </w:pPr>
            <w:r>
              <w:rPr>
                <w:rFonts w:hint="eastAsia"/>
              </w:rPr>
              <w:t>安全带</w:t>
            </w:r>
          </w:p>
        </w:tc>
        <w:tc>
          <w:tcPr>
            <w:tcW w:w="760" w:type="pct"/>
            <w:shd w:val="clear" w:color="auto" w:fill="auto"/>
            <w:vAlign w:val="center"/>
          </w:tcPr>
          <w:p w14:paraId="78D1EEA3">
            <w:pPr>
              <w:pStyle w:val="17"/>
            </w:pPr>
          </w:p>
        </w:tc>
        <w:tc>
          <w:tcPr>
            <w:tcW w:w="457" w:type="pct"/>
            <w:shd w:val="clear" w:color="auto" w:fill="auto"/>
            <w:vAlign w:val="center"/>
          </w:tcPr>
          <w:p w14:paraId="2C7F0F8B">
            <w:pPr>
              <w:pStyle w:val="17"/>
            </w:pPr>
            <w:r>
              <w:t>10</w:t>
            </w:r>
          </w:p>
        </w:tc>
        <w:tc>
          <w:tcPr>
            <w:tcW w:w="457" w:type="pct"/>
            <w:shd w:val="clear" w:color="auto" w:fill="auto"/>
            <w:vAlign w:val="center"/>
          </w:tcPr>
          <w:p w14:paraId="27CCEE66">
            <w:pPr>
              <w:pStyle w:val="17"/>
            </w:pPr>
            <w:r>
              <w:rPr>
                <w:rFonts w:hint="eastAsia"/>
              </w:rPr>
              <w:t>条</w:t>
            </w:r>
          </w:p>
        </w:tc>
        <w:tc>
          <w:tcPr>
            <w:tcW w:w="1359" w:type="pct"/>
            <w:vMerge w:val="continue"/>
            <w:shd w:val="clear" w:color="auto" w:fill="auto"/>
            <w:vAlign w:val="center"/>
          </w:tcPr>
          <w:p w14:paraId="26963A60">
            <w:pPr>
              <w:pStyle w:val="17"/>
            </w:pPr>
          </w:p>
        </w:tc>
      </w:tr>
      <w:tr w14:paraId="5D1A6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1401D020">
            <w:pPr>
              <w:pStyle w:val="17"/>
              <w:numPr>
                <w:ilvl w:val="0"/>
                <w:numId w:val="18"/>
              </w:numPr>
            </w:pPr>
          </w:p>
        </w:tc>
        <w:tc>
          <w:tcPr>
            <w:tcW w:w="1509" w:type="pct"/>
            <w:shd w:val="clear" w:color="auto" w:fill="auto"/>
            <w:vAlign w:val="center"/>
          </w:tcPr>
          <w:p w14:paraId="3B6BA555">
            <w:pPr>
              <w:pStyle w:val="17"/>
            </w:pPr>
            <w:r>
              <w:rPr>
                <w:rFonts w:hint="eastAsia"/>
              </w:rPr>
              <w:t>防滑鞋</w:t>
            </w:r>
          </w:p>
        </w:tc>
        <w:tc>
          <w:tcPr>
            <w:tcW w:w="760" w:type="pct"/>
            <w:shd w:val="clear" w:color="auto" w:fill="auto"/>
            <w:vAlign w:val="center"/>
          </w:tcPr>
          <w:p w14:paraId="0CED6CDA">
            <w:pPr>
              <w:pStyle w:val="17"/>
            </w:pPr>
          </w:p>
        </w:tc>
        <w:tc>
          <w:tcPr>
            <w:tcW w:w="457" w:type="pct"/>
            <w:shd w:val="clear" w:color="auto" w:fill="auto"/>
            <w:vAlign w:val="center"/>
          </w:tcPr>
          <w:p w14:paraId="66F6659C">
            <w:pPr>
              <w:pStyle w:val="17"/>
            </w:pPr>
            <w:r>
              <w:t>10</w:t>
            </w:r>
          </w:p>
        </w:tc>
        <w:tc>
          <w:tcPr>
            <w:tcW w:w="457" w:type="pct"/>
            <w:shd w:val="clear" w:color="auto" w:fill="auto"/>
            <w:vAlign w:val="center"/>
          </w:tcPr>
          <w:p w14:paraId="032B1A6C">
            <w:pPr>
              <w:pStyle w:val="17"/>
            </w:pPr>
            <w:r>
              <w:rPr>
                <w:rFonts w:hint="eastAsia"/>
              </w:rPr>
              <w:t>双</w:t>
            </w:r>
          </w:p>
        </w:tc>
        <w:tc>
          <w:tcPr>
            <w:tcW w:w="1359" w:type="pct"/>
            <w:vMerge w:val="continue"/>
            <w:shd w:val="clear" w:color="auto" w:fill="auto"/>
            <w:vAlign w:val="center"/>
          </w:tcPr>
          <w:p w14:paraId="7960E5B9">
            <w:pPr>
              <w:pStyle w:val="17"/>
            </w:pPr>
          </w:p>
        </w:tc>
      </w:tr>
      <w:tr w14:paraId="24D00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24858DFF">
            <w:pPr>
              <w:pStyle w:val="17"/>
              <w:numPr>
                <w:ilvl w:val="0"/>
                <w:numId w:val="18"/>
              </w:numPr>
            </w:pPr>
          </w:p>
        </w:tc>
        <w:tc>
          <w:tcPr>
            <w:tcW w:w="1509" w:type="pct"/>
            <w:shd w:val="clear" w:color="auto" w:fill="auto"/>
            <w:vAlign w:val="center"/>
          </w:tcPr>
          <w:p w14:paraId="01098A26">
            <w:pPr>
              <w:pStyle w:val="17"/>
            </w:pPr>
            <w:r>
              <w:rPr>
                <w:rFonts w:hint="eastAsia"/>
              </w:rPr>
              <w:t>防滑手套</w:t>
            </w:r>
          </w:p>
        </w:tc>
        <w:tc>
          <w:tcPr>
            <w:tcW w:w="760" w:type="pct"/>
            <w:shd w:val="clear" w:color="auto" w:fill="auto"/>
            <w:vAlign w:val="center"/>
          </w:tcPr>
          <w:p w14:paraId="5DE926D1">
            <w:pPr>
              <w:pStyle w:val="17"/>
            </w:pPr>
          </w:p>
        </w:tc>
        <w:tc>
          <w:tcPr>
            <w:tcW w:w="457" w:type="pct"/>
            <w:shd w:val="clear" w:color="auto" w:fill="auto"/>
            <w:vAlign w:val="center"/>
          </w:tcPr>
          <w:p w14:paraId="0B14FBB5">
            <w:pPr>
              <w:pStyle w:val="17"/>
            </w:pPr>
            <w:r>
              <w:t>10</w:t>
            </w:r>
          </w:p>
        </w:tc>
        <w:tc>
          <w:tcPr>
            <w:tcW w:w="457" w:type="pct"/>
            <w:shd w:val="clear" w:color="auto" w:fill="auto"/>
            <w:vAlign w:val="center"/>
          </w:tcPr>
          <w:p w14:paraId="06A7432A">
            <w:pPr>
              <w:pStyle w:val="17"/>
            </w:pPr>
            <w:r>
              <w:rPr>
                <w:rFonts w:hint="eastAsia"/>
              </w:rPr>
              <w:t>双</w:t>
            </w:r>
          </w:p>
        </w:tc>
        <w:tc>
          <w:tcPr>
            <w:tcW w:w="1359" w:type="pct"/>
            <w:vMerge w:val="continue"/>
            <w:shd w:val="clear" w:color="auto" w:fill="auto"/>
            <w:vAlign w:val="center"/>
          </w:tcPr>
          <w:p w14:paraId="1469F028">
            <w:pPr>
              <w:pStyle w:val="17"/>
            </w:pPr>
          </w:p>
        </w:tc>
      </w:tr>
      <w:tr w14:paraId="3401D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3D68120E">
            <w:pPr>
              <w:pStyle w:val="17"/>
              <w:numPr>
                <w:ilvl w:val="0"/>
                <w:numId w:val="18"/>
              </w:numPr>
            </w:pPr>
          </w:p>
        </w:tc>
        <w:tc>
          <w:tcPr>
            <w:tcW w:w="1509" w:type="pct"/>
            <w:shd w:val="clear" w:color="auto" w:fill="auto"/>
            <w:vAlign w:val="center"/>
          </w:tcPr>
          <w:p w14:paraId="3C6CE426">
            <w:pPr>
              <w:pStyle w:val="17"/>
            </w:pPr>
            <w:r>
              <w:rPr>
                <w:rFonts w:hint="eastAsia"/>
              </w:rPr>
              <w:t>安全警示牌</w:t>
            </w:r>
          </w:p>
        </w:tc>
        <w:tc>
          <w:tcPr>
            <w:tcW w:w="760" w:type="pct"/>
            <w:shd w:val="clear" w:color="auto" w:fill="auto"/>
            <w:vAlign w:val="center"/>
          </w:tcPr>
          <w:p w14:paraId="29DB57F4">
            <w:pPr>
              <w:pStyle w:val="17"/>
            </w:pPr>
          </w:p>
        </w:tc>
        <w:tc>
          <w:tcPr>
            <w:tcW w:w="457" w:type="pct"/>
            <w:shd w:val="clear" w:color="auto" w:fill="auto"/>
            <w:vAlign w:val="center"/>
          </w:tcPr>
          <w:p w14:paraId="4F5B5759">
            <w:pPr>
              <w:pStyle w:val="17"/>
            </w:pPr>
            <w:r>
              <w:rPr>
                <w:rFonts w:hint="eastAsia"/>
              </w:rPr>
              <w:t>4</w:t>
            </w:r>
          </w:p>
        </w:tc>
        <w:tc>
          <w:tcPr>
            <w:tcW w:w="457" w:type="pct"/>
            <w:shd w:val="clear" w:color="auto" w:fill="auto"/>
            <w:vAlign w:val="center"/>
          </w:tcPr>
          <w:p w14:paraId="010E09DE">
            <w:pPr>
              <w:pStyle w:val="17"/>
            </w:pPr>
            <w:r>
              <w:rPr>
                <w:rFonts w:hint="eastAsia"/>
              </w:rPr>
              <w:t>块</w:t>
            </w:r>
          </w:p>
        </w:tc>
        <w:tc>
          <w:tcPr>
            <w:tcW w:w="1359" w:type="pct"/>
            <w:vMerge w:val="restart"/>
            <w:shd w:val="clear" w:color="auto" w:fill="auto"/>
            <w:vAlign w:val="center"/>
          </w:tcPr>
          <w:p w14:paraId="5A7BC3B3">
            <w:pPr>
              <w:pStyle w:val="17"/>
            </w:pPr>
            <w:r>
              <w:rPr>
                <w:rFonts w:hint="eastAsia"/>
              </w:rPr>
              <w:t>安全警戒警示用品</w:t>
            </w:r>
          </w:p>
        </w:tc>
      </w:tr>
      <w:tr w14:paraId="3E1FA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39A28DD1">
            <w:pPr>
              <w:pStyle w:val="17"/>
              <w:numPr>
                <w:ilvl w:val="0"/>
                <w:numId w:val="18"/>
              </w:numPr>
            </w:pPr>
          </w:p>
        </w:tc>
        <w:tc>
          <w:tcPr>
            <w:tcW w:w="1509" w:type="pct"/>
            <w:shd w:val="clear" w:color="auto" w:fill="auto"/>
            <w:vAlign w:val="center"/>
          </w:tcPr>
          <w:p w14:paraId="12C1B3B1">
            <w:pPr>
              <w:pStyle w:val="17"/>
            </w:pPr>
            <w:r>
              <w:rPr>
                <w:rFonts w:hint="eastAsia"/>
              </w:rPr>
              <w:t>锥桶</w:t>
            </w:r>
          </w:p>
        </w:tc>
        <w:tc>
          <w:tcPr>
            <w:tcW w:w="760" w:type="pct"/>
            <w:shd w:val="clear" w:color="auto" w:fill="auto"/>
            <w:vAlign w:val="center"/>
          </w:tcPr>
          <w:p w14:paraId="24607D59">
            <w:pPr>
              <w:pStyle w:val="17"/>
            </w:pPr>
          </w:p>
        </w:tc>
        <w:tc>
          <w:tcPr>
            <w:tcW w:w="457" w:type="pct"/>
            <w:shd w:val="clear" w:color="auto" w:fill="auto"/>
            <w:vAlign w:val="center"/>
          </w:tcPr>
          <w:p w14:paraId="78557C60">
            <w:pPr>
              <w:pStyle w:val="17"/>
            </w:pPr>
            <w:r>
              <w:rPr>
                <w:rFonts w:hint="eastAsia"/>
              </w:rPr>
              <w:t>若干</w:t>
            </w:r>
          </w:p>
        </w:tc>
        <w:tc>
          <w:tcPr>
            <w:tcW w:w="457" w:type="pct"/>
            <w:shd w:val="clear" w:color="auto" w:fill="auto"/>
            <w:vAlign w:val="center"/>
          </w:tcPr>
          <w:p w14:paraId="1C2CD1D0">
            <w:pPr>
              <w:pStyle w:val="17"/>
            </w:pPr>
            <w:r>
              <w:rPr>
                <w:rFonts w:hint="eastAsia"/>
              </w:rPr>
              <w:t>个</w:t>
            </w:r>
          </w:p>
        </w:tc>
        <w:tc>
          <w:tcPr>
            <w:tcW w:w="1359" w:type="pct"/>
            <w:vMerge w:val="continue"/>
            <w:shd w:val="clear" w:color="auto" w:fill="auto"/>
            <w:vAlign w:val="center"/>
          </w:tcPr>
          <w:p w14:paraId="2141F04E">
            <w:pPr>
              <w:pStyle w:val="17"/>
            </w:pPr>
          </w:p>
        </w:tc>
      </w:tr>
      <w:tr w14:paraId="03EFC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21790BF2">
            <w:pPr>
              <w:pStyle w:val="17"/>
              <w:numPr>
                <w:ilvl w:val="0"/>
                <w:numId w:val="18"/>
              </w:numPr>
            </w:pPr>
          </w:p>
        </w:tc>
        <w:tc>
          <w:tcPr>
            <w:tcW w:w="1509" w:type="pct"/>
            <w:shd w:val="clear" w:color="auto" w:fill="auto"/>
            <w:vAlign w:val="center"/>
          </w:tcPr>
          <w:p w14:paraId="6E6C9490">
            <w:pPr>
              <w:pStyle w:val="17"/>
            </w:pPr>
            <w:r>
              <w:rPr>
                <w:rFonts w:hint="eastAsia"/>
              </w:rPr>
              <w:t>水马围挡</w:t>
            </w:r>
          </w:p>
        </w:tc>
        <w:tc>
          <w:tcPr>
            <w:tcW w:w="760" w:type="pct"/>
            <w:shd w:val="clear" w:color="auto" w:fill="auto"/>
            <w:vAlign w:val="center"/>
          </w:tcPr>
          <w:p w14:paraId="53454877">
            <w:pPr>
              <w:pStyle w:val="17"/>
            </w:pPr>
          </w:p>
        </w:tc>
        <w:tc>
          <w:tcPr>
            <w:tcW w:w="457" w:type="pct"/>
            <w:shd w:val="clear" w:color="auto" w:fill="auto"/>
            <w:vAlign w:val="center"/>
          </w:tcPr>
          <w:p w14:paraId="40B049BE">
            <w:pPr>
              <w:pStyle w:val="17"/>
            </w:pPr>
            <w:r>
              <w:rPr>
                <w:rFonts w:hint="eastAsia"/>
              </w:rPr>
              <w:t>若干</w:t>
            </w:r>
          </w:p>
        </w:tc>
        <w:tc>
          <w:tcPr>
            <w:tcW w:w="457" w:type="pct"/>
            <w:shd w:val="clear" w:color="auto" w:fill="auto"/>
            <w:vAlign w:val="center"/>
          </w:tcPr>
          <w:p w14:paraId="0A8FED12">
            <w:pPr>
              <w:pStyle w:val="17"/>
            </w:pPr>
            <w:r>
              <w:rPr>
                <w:rFonts w:hint="eastAsia"/>
              </w:rPr>
              <w:t>个</w:t>
            </w:r>
          </w:p>
        </w:tc>
        <w:tc>
          <w:tcPr>
            <w:tcW w:w="1359" w:type="pct"/>
            <w:vMerge w:val="continue"/>
            <w:shd w:val="clear" w:color="auto" w:fill="auto"/>
            <w:vAlign w:val="center"/>
          </w:tcPr>
          <w:p w14:paraId="73AD8B92">
            <w:pPr>
              <w:pStyle w:val="17"/>
            </w:pPr>
          </w:p>
        </w:tc>
      </w:tr>
      <w:tr w14:paraId="5A307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0176D1BE">
            <w:pPr>
              <w:pStyle w:val="17"/>
              <w:numPr>
                <w:ilvl w:val="0"/>
                <w:numId w:val="18"/>
              </w:numPr>
            </w:pPr>
          </w:p>
        </w:tc>
        <w:tc>
          <w:tcPr>
            <w:tcW w:w="1509" w:type="pct"/>
            <w:shd w:val="clear" w:color="auto" w:fill="auto"/>
            <w:vAlign w:val="center"/>
          </w:tcPr>
          <w:p w14:paraId="6ACB680F">
            <w:pPr>
              <w:pStyle w:val="17"/>
            </w:pPr>
            <w:r>
              <w:rPr>
                <w:rFonts w:hint="eastAsia"/>
              </w:rPr>
              <w:t>安全警戒线</w:t>
            </w:r>
          </w:p>
        </w:tc>
        <w:tc>
          <w:tcPr>
            <w:tcW w:w="760" w:type="pct"/>
            <w:shd w:val="clear" w:color="auto" w:fill="auto"/>
            <w:vAlign w:val="center"/>
          </w:tcPr>
          <w:p w14:paraId="5F55509C">
            <w:pPr>
              <w:pStyle w:val="17"/>
            </w:pPr>
            <w:r>
              <w:t>150m</w:t>
            </w:r>
          </w:p>
        </w:tc>
        <w:tc>
          <w:tcPr>
            <w:tcW w:w="457" w:type="pct"/>
            <w:shd w:val="clear" w:color="auto" w:fill="auto"/>
            <w:vAlign w:val="center"/>
          </w:tcPr>
          <w:p w14:paraId="186EA13C">
            <w:pPr>
              <w:pStyle w:val="17"/>
            </w:pPr>
            <w:r>
              <w:rPr>
                <w:rFonts w:hint="eastAsia"/>
              </w:rPr>
              <w:t>若干</w:t>
            </w:r>
          </w:p>
        </w:tc>
        <w:tc>
          <w:tcPr>
            <w:tcW w:w="457" w:type="pct"/>
            <w:shd w:val="clear" w:color="auto" w:fill="auto"/>
            <w:vAlign w:val="center"/>
          </w:tcPr>
          <w:p w14:paraId="4C10A969">
            <w:pPr>
              <w:pStyle w:val="17"/>
            </w:pPr>
            <w:r>
              <w:rPr>
                <w:rFonts w:hint="eastAsia"/>
              </w:rPr>
              <w:t>盘</w:t>
            </w:r>
          </w:p>
        </w:tc>
        <w:tc>
          <w:tcPr>
            <w:tcW w:w="1359" w:type="pct"/>
            <w:vMerge w:val="continue"/>
            <w:shd w:val="clear" w:color="auto" w:fill="auto"/>
            <w:vAlign w:val="center"/>
          </w:tcPr>
          <w:p w14:paraId="307A3A34">
            <w:pPr>
              <w:pStyle w:val="17"/>
            </w:pPr>
          </w:p>
        </w:tc>
      </w:tr>
    </w:tbl>
    <w:p w14:paraId="20B2A9F1">
      <w:pPr>
        <w:pStyle w:val="4"/>
        <w:numPr>
          <w:ilvl w:val="2"/>
          <w:numId w:val="1"/>
        </w:numPr>
        <w:bidi w:val="0"/>
      </w:pPr>
      <w:r>
        <w:t>安全</w:t>
      </w:r>
      <w:r>
        <w:rPr>
          <w:rFonts w:hint="eastAsia"/>
        </w:rPr>
        <w:t>临时设施计划</w:t>
      </w:r>
    </w:p>
    <w:p w14:paraId="12EAC3BD">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施工安全临时设施</w:t>
      </w:r>
      <w:r>
        <w:rPr>
          <w:rFonts w:hint="eastAsia"/>
        </w:rPr>
        <w:t>计划详见</w:t>
      </w:r>
      <w:r>
        <w:fldChar w:fldCharType="begin"/>
      </w:r>
      <w:r>
        <w:instrText xml:space="preserve"> </w:instrText>
      </w:r>
      <w:r>
        <w:rPr>
          <w:rFonts w:hint="eastAsia"/>
        </w:rPr>
        <w:instrText xml:space="preserve">REF _Ref124174654 \h</w:instrText>
      </w:r>
      <w:r>
        <w:instrText xml:space="preserve">  \* MERGEFORMAT </w:instrText>
      </w:r>
      <w:r>
        <w:fldChar w:fldCharType="separate"/>
      </w:r>
      <w:r>
        <w:rPr>
          <w:rFonts w:hint="eastAsia"/>
        </w:rPr>
        <w:t>表</w:t>
      </w:r>
      <w:r>
        <w:t>3.2.4-1</w:t>
      </w:r>
      <w:r>
        <w:fldChar w:fldCharType="end"/>
      </w:r>
      <w:r>
        <w:rPr>
          <w:rFonts w:hint="eastAsia"/>
        </w:rPr>
        <w:t>所示。</w:t>
      </w:r>
    </w:p>
    <w:p w14:paraId="3601F1D1">
      <w:pPr>
        <w:keepNext/>
        <w:ind w:firstLine="0" w:firstLineChars="0"/>
        <w:jc w:val="center"/>
        <w:rPr>
          <w:b/>
          <w:color w:val="auto"/>
          <w:sz w:val="21"/>
        </w:rPr>
      </w:pPr>
      <w:bookmarkStart w:id="70" w:name="_Ref124174654"/>
      <w:r>
        <w:rPr>
          <w:rFonts w:hint="eastAsia"/>
          <w:b/>
          <w:color w:val="auto"/>
          <w:sz w:val="21"/>
        </w:rPr>
        <w:t>表</w:t>
      </w:r>
      <w:r>
        <w:rPr>
          <w:b/>
          <w:color w:val="auto"/>
          <w:sz w:val="21"/>
        </w:rPr>
        <w:fldChar w:fldCharType="begin"/>
      </w:r>
      <w:r>
        <w:rPr>
          <w:b/>
          <w:color w:val="auto"/>
          <w:sz w:val="21"/>
        </w:rPr>
        <w:instrText xml:space="preserve"> STYLEREF 3 \s </w:instrText>
      </w:r>
      <w:r>
        <w:rPr>
          <w:b/>
          <w:color w:val="auto"/>
          <w:sz w:val="21"/>
        </w:rPr>
        <w:fldChar w:fldCharType="separate"/>
      </w:r>
      <w:r>
        <w:rPr>
          <w:b/>
          <w:color w:val="auto"/>
          <w:sz w:val="21"/>
        </w:rPr>
        <w:t>3.2.4</w:t>
      </w:r>
      <w:r>
        <w:rPr>
          <w:b/>
          <w:color w:val="auto"/>
          <w:sz w:val="21"/>
        </w:rPr>
        <w:fldChar w:fldCharType="end"/>
      </w:r>
      <w:r>
        <w:rPr>
          <w:b/>
          <w:color w:val="auto"/>
          <w:sz w:val="21"/>
        </w:rPr>
        <w:t>-</w:t>
      </w:r>
      <w:r>
        <w:rPr>
          <w:b/>
          <w:color w:val="auto"/>
          <w:sz w:val="21"/>
        </w:rPr>
        <w:fldChar w:fldCharType="begin"/>
      </w:r>
      <w:r>
        <w:rPr>
          <w:b/>
          <w:color w:val="auto"/>
          <w:sz w:val="21"/>
        </w:rPr>
        <w:instrText xml:space="preserve"> SEQ </w:instrText>
      </w:r>
      <w:r>
        <w:rPr>
          <w:rFonts w:hint="eastAsia"/>
          <w:b/>
          <w:color w:val="auto"/>
          <w:sz w:val="21"/>
        </w:rPr>
        <w:instrText xml:space="preserve">表</w:instrText>
      </w:r>
      <w:r>
        <w:rPr>
          <w:b/>
          <w:color w:val="auto"/>
          <w:sz w:val="21"/>
        </w:rPr>
        <w:instrText xml:space="preserve"> \* ARABIC \s 3 </w:instrText>
      </w:r>
      <w:r>
        <w:rPr>
          <w:b/>
          <w:color w:val="auto"/>
          <w:sz w:val="21"/>
        </w:rPr>
        <w:fldChar w:fldCharType="separate"/>
      </w:r>
      <w:r>
        <w:rPr>
          <w:b/>
          <w:color w:val="auto"/>
          <w:sz w:val="21"/>
        </w:rPr>
        <w:t>1</w:t>
      </w:r>
      <w:r>
        <w:rPr>
          <w:b/>
          <w:color w:val="auto"/>
          <w:sz w:val="21"/>
        </w:rPr>
        <w:fldChar w:fldCharType="end"/>
      </w:r>
      <w:bookmarkEnd w:id="70"/>
      <w:r>
        <w:rPr>
          <w:b/>
          <w:color w:val="auto"/>
          <w:sz w:val="21"/>
        </w:rPr>
        <w:t xml:space="preserve"> 安全</w:t>
      </w:r>
      <w:r>
        <w:rPr>
          <w:rFonts w:hint="eastAsia"/>
          <w:b/>
          <w:color w:val="auto"/>
          <w:sz w:val="21"/>
        </w:rPr>
        <w:t>临时设施计划</w:t>
      </w:r>
    </w:p>
    <w:tbl>
      <w:tblPr>
        <w:tblStyle w:val="1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390"/>
        <w:gridCol w:w="1860"/>
        <w:gridCol w:w="804"/>
        <w:gridCol w:w="804"/>
        <w:gridCol w:w="1860"/>
      </w:tblGrid>
      <w:tr w14:paraId="40A8C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76296419">
            <w:pPr>
              <w:spacing w:line="240" w:lineRule="auto"/>
              <w:ind w:firstLine="0" w:firstLineChars="0"/>
              <w:jc w:val="center"/>
              <w:rPr>
                <w:b/>
                <w:color w:val="auto"/>
                <w:sz w:val="21"/>
              </w:rPr>
            </w:pPr>
            <w:r>
              <w:rPr>
                <w:rFonts w:hint="eastAsia"/>
                <w:b/>
                <w:color w:val="auto"/>
                <w:sz w:val="21"/>
              </w:rPr>
              <w:t>序号</w:t>
            </w:r>
          </w:p>
        </w:tc>
        <w:tc>
          <w:tcPr>
            <w:tcW w:w="1402" w:type="pct"/>
            <w:shd w:val="clear" w:color="auto" w:fill="auto"/>
            <w:vAlign w:val="center"/>
          </w:tcPr>
          <w:p w14:paraId="2260D714">
            <w:pPr>
              <w:spacing w:line="240" w:lineRule="auto"/>
              <w:ind w:firstLine="0" w:firstLineChars="0"/>
              <w:jc w:val="center"/>
              <w:rPr>
                <w:b/>
                <w:color w:val="auto"/>
                <w:sz w:val="21"/>
              </w:rPr>
            </w:pPr>
            <w:r>
              <w:rPr>
                <w:rFonts w:hint="eastAsia"/>
                <w:b/>
                <w:color w:val="auto"/>
                <w:sz w:val="21"/>
              </w:rPr>
              <w:t>名称</w:t>
            </w:r>
          </w:p>
        </w:tc>
        <w:tc>
          <w:tcPr>
            <w:tcW w:w="1091" w:type="pct"/>
            <w:shd w:val="clear" w:color="auto" w:fill="auto"/>
            <w:vAlign w:val="center"/>
          </w:tcPr>
          <w:p w14:paraId="482F45F8">
            <w:pPr>
              <w:spacing w:line="240" w:lineRule="auto"/>
              <w:ind w:firstLine="0" w:firstLineChars="0"/>
              <w:jc w:val="center"/>
              <w:rPr>
                <w:b/>
                <w:color w:val="auto"/>
                <w:sz w:val="21"/>
              </w:rPr>
            </w:pPr>
            <w:r>
              <w:rPr>
                <w:rFonts w:hint="eastAsia"/>
                <w:b/>
                <w:color w:val="auto"/>
                <w:sz w:val="21"/>
              </w:rPr>
              <w:t>使用部位</w:t>
            </w:r>
          </w:p>
        </w:tc>
        <w:tc>
          <w:tcPr>
            <w:tcW w:w="472" w:type="pct"/>
            <w:shd w:val="clear" w:color="auto" w:fill="auto"/>
            <w:vAlign w:val="center"/>
          </w:tcPr>
          <w:p w14:paraId="6020AA11">
            <w:pPr>
              <w:spacing w:line="240" w:lineRule="auto"/>
              <w:ind w:firstLine="0" w:firstLineChars="0"/>
              <w:jc w:val="center"/>
              <w:rPr>
                <w:b/>
                <w:color w:val="auto"/>
                <w:sz w:val="21"/>
              </w:rPr>
            </w:pPr>
            <w:r>
              <w:rPr>
                <w:rFonts w:hint="eastAsia"/>
                <w:b/>
                <w:color w:val="auto"/>
                <w:sz w:val="21"/>
              </w:rPr>
              <w:t>数量</w:t>
            </w:r>
          </w:p>
        </w:tc>
        <w:tc>
          <w:tcPr>
            <w:tcW w:w="472" w:type="pct"/>
            <w:shd w:val="clear" w:color="auto" w:fill="auto"/>
            <w:vAlign w:val="center"/>
          </w:tcPr>
          <w:p w14:paraId="3744788E">
            <w:pPr>
              <w:spacing w:line="240" w:lineRule="auto"/>
              <w:ind w:firstLine="0" w:firstLineChars="0"/>
              <w:jc w:val="center"/>
              <w:rPr>
                <w:b/>
                <w:color w:val="auto"/>
                <w:sz w:val="21"/>
              </w:rPr>
            </w:pPr>
            <w:r>
              <w:rPr>
                <w:rFonts w:hint="eastAsia"/>
                <w:b/>
                <w:color w:val="auto"/>
                <w:sz w:val="21"/>
              </w:rPr>
              <w:t>单位</w:t>
            </w:r>
          </w:p>
        </w:tc>
        <w:tc>
          <w:tcPr>
            <w:tcW w:w="1091" w:type="pct"/>
            <w:shd w:val="clear" w:color="auto" w:fill="auto"/>
            <w:vAlign w:val="center"/>
          </w:tcPr>
          <w:p w14:paraId="337A6984">
            <w:pPr>
              <w:spacing w:line="240" w:lineRule="auto"/>
              <w:ind w:firstLine="0" w:firstLineChars="0"/>
              <w:jc w:val="center"/>
              <w:rPr>
                <w:b/>
                <w:color w:val="auto"/>
                <w:sz w:val="21"/>
              </w:rPr>
            </w:pPr>
            <w:r>
              <w:rPr>
                <w:rFonts w:hint="eastAsia"/>
                <w:b/>
                <w:color w:val="auto"/>
                <w:sz w:val="21"/>
              </w:rPr>
              <w:t>备注</w:t>
            </w:r>
          </w:p>
        </w:tc>
      </w:tr>
      <w:tr w14:paraId="36833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58975813">
            <w:pPr>
              <w:pStyle w:val="78"/>
              <w:numPr>
                <w:ilvl w:val="0"/>
                <w:numId w:val="19"/>
              </w:numPr>
              <w:spacing w:line="240" w:lineRule="auto"/>
              <w:ind w:firstLineChars="0"/>
              <w:jc w:val="center"/>
              <w:rPr>
                <w:color w:val="auto"/>
                <w:sz w:val="21"/>
              </w:rPr>
            </w:pPr>
          </w:p>
        </w:tc>
        <w:tc>
          <w:tcPr>
            <w:tcW w:w="1402" w:type="pct"/>
            <w:shd w:val="clear" w:color="auto" w:fill="auto"/>
            <w:vAlign w:val="center"/>
          </w:tcPr>
          <w:p w14:paraId="57BEC608">
            <w:pPr>
              <w:spacing w:line="240" w:lineRule="auto"/>
              <w:ind w:firstLine="0" w:firstLineChars="0"/>
              <w:jc w:val="center"/>
              <w:rPr>
                <w:color w:val="auto"/>
                <w:sz w:val="21"/>
              </w:rPr>
            </w:pPr>
            <w:r>
              <w:rPr>
                <w:rFonts w:hint="eastAsia"/>
                <w:color w:val="auto"/>
                <w:sz w:val="21"/>
              </w:rPr>
              <w:t>附着框安装操作平台</w:t>
            </w:r>
          </w:p>
        </w:tc>
        <w:tc>
          <w:tcPr>
            <w:tcW w:w="1091" w:type="pct"/>
            <w:shd w:val="clear" w:color="auto" w:fill="auto"/>
            <w:vAlign w:val="center"/>
          </w:tcPr>
          <w:p w14:paraId="32FFE33B">
            <w:pPr>
              <w:spacing w:line="240" w:lineRule="auto"/>
              <w:ind w:firstLine="0" w:firstLineChars="0"/>
              <w:jc w:val="center"/>
              <w:rPr>
                <w:color w:val="auto"/>
                <w:sz w:val="21"/>
              </w:rPr>
            </w:pPr>
            <w:r>
              <w:rPr>
                <w:rFonts w:hint="eastAsia"/>
                <w:color w:val="auto"/>
                <w:sz w:val="21"/>
              </w:rPr>
              <w:t>塔吊塔身</w:t>
            </w:r>
          </w:p>
        </w:tc>
        <w:tc>
          <w:tcPr>
            <w:tcW w:w="472" w:type="pct"/>
            <w:shd w:val="clear" w:color="auto" w:fill="auto"/>
            <w:vAlign w:val="center"/>
          </w:tcPr>
          <w:p w14:paraId="17B0F4D1">
            <w:pPr>
              <w:spacing w:line="240" w:lineRule="auto"/>
              <w:ind w:firstLine="0" w:firstLineChars="0"/>
              <w:jc w:val="center"/>
              <w:rPr>
                <w:rFonts w:hint="eastAsia" w:eastAsia="宋体"/>
                <w:color w:val="auto"/>
                <w:sz w:val="21"/>
                <w:lang w:eastAsia="zh-CN"/>
              </w:rPr>
            </w:pPr>
            <w:r>
              <w:rPr>
                <w:rFonts w:hint="eastAsia"/>
                <w:color w:val="auto"/>
                <w:sz w:val="21"/>
                <w:lang w:val="en-US" w:eastAsia="zh-CN"/>
              </w:rPr>
              <w:t>1</w:t>
            </w:r>
          </w:p>
        </w:tc>
        <w:tc>
          <w:tcPr>
            <w:tcW w:w="472" w:type="pct"/>
            <w:shd w:val="clear" w:color="auto" w:fill="auto"/>
            <w:vAlign w:val="center"/>
          </w:tcPr>
          <w:p w14:paraId="732FE41D">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14:paraId="0EAA0174">
            <w:pPr>
              <w:spacing w:line="240" w:lineRule="auto"/>
              <w:ind w:firstLine="0" w:firstLineChars="0"/>
              <w:jc w:val="center"/>
              <w:rPr>
                <w:color w:val="auto"/>
                <w:sz w:val="21"/>
              </w:rPr>
            </w:pPr>
            <w:r>
              <w:rPr>
                <w:rFonts w:hint="eastAsia"/>
                <w:color w:val="auto"/>
                <w:sz w:val="21"/>
              </w:rPr>
              <w:t>本单位提供</w:t>
            </w:r>
          </w:p>
        </w:tc>
      </w:tr>
      <w:tr w14:paraId="65239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14:paraId="2FF21FF0">
            <w:pPr>
              <w:pStyle w:val="78"/>
              <w:numPr>
                <w:ilvl w:val="0"/>
                <w:numId w:val="19"/>
              </w:numPr>
              <w:spacing w:line="240" w:lineRule="auto"/>
              <w:ind w:firstLineChars="0"/>
              <w:jc w:val="center"/>
              <w:rPr>
                <w:color w:val="auto"/>
                <w:sz w:val="21"/>
              </w:rPr>
            </w:pPr>
          </w:p>
        </w:tc>
        <w:tc>
          <w:tcPr>
            <w:tcW w:w="1402" w:type="pct"/>
            <w:shd w:val="clear" w:color="auto" w:fill="auto"/>
            <w:vAlign w:val="center"/>
          </w:tcPr>
          <w:p w14:paraId="1BF3F632">
            <w:pPr>
              <w:spacing w:line="240" w:lineRule="auto"/>
              <w:ind w:firstLine="0" w:firstLineChars="0"/>
              <w:jc w:val="center"/>
              <w:rPr>
                <w:color w:val="auto"/>
                <w:sz w:val="21"/>
              </w:rPr>
            </w:pPr>
            <w:r>
              <w:rPr>
                <w:rFonts w:hint="eastAsia"/>
                <w:color w:val="auto"/>
                <w:sz w:val="21"/>
              </w:rPr>
              <w:t>附着撑杆安装操作平台</w:t>
            </w:r>
          </w:p>
        </w:tc>
        <w:tc>
          <w:tcPr>
            <w:tcW w:w="1091" w:type="pct"/>
            <w:shd w:val="clear" w:color="auto" w:fill="auto"/>
            <w:vAlign w:val="center"/>
          </w:tcPr>
          <w:p w14:paraId="02D19961">
            <w:pPr>
              <w:spacing w:line="240" w:lineRule="auto"/>
              <w:ind w:firstLine="0" w:firstLineChars="0"/>
              <w:jc w:val="center"/>
              <w:rPr>
                <w:color w:val="auto"/>
                <w:sz w:val="21"/>
              </w:rPr>
            </w:pPr>
            <w:r>
              <w:rPr>
                <w:rFonts w:hint="eastAsia"/>
                <w:color w:val="auto"/>
                <w:sz w:val="21"/>
                <w:lang w:val="en-US" w:eastAsia="zh-CN"/>
              </w:rPr>
              <w:t>桥墩</w:t>
            </w:r>
            <w:r>
              <w:rPr>
                <w:rFonts w:hint="eastAsia"/>
                <w:color w:val="auto"/>
                <w:sz w:val="21"/>
              </w:rPr>
              <w:t>塔身</w:t>
            </w:r>
          </w:p>
        </w:tc>
        <w:tc>
          <w:tcPr>
            <w:tcW w:w="472" w:type="pct"/>
            <w:shd w:val="clear" w:color="auto" w:fill="auto"/>
            <w:vAlign w:val="center"/>
          </w:tcPr>
          <w:p w14:paraId="14B55B38">
            <w:pPr>
              <w:spacing w:line="240" w:lineRule="auto"/>
              <w:ind w:firstLine="0" w:firstLineChars="0"/>
              <w:jc w:val="center"/>
              <w:rPr>
                <w:rFonts w:hint="default" w:eastAsia="宋体"/>
                <w:color w:val="auto"/>
                <w:sz w:val="21"/>
                <w:lang w:val="en-US" w:eastAsia="zh-CN"/>
              </w:rPr>
            </w:pPr>
            <w:r>
              <w:rPr>
                <w:rFonts w:hint="eastAsia"/>
                <w:color w:val="auto"/>
                <w:sz w:val="21"/>
                <w:lang w:val="en-US" w:eastAsia="zh-CN"/>
              </w:rPr>
              <w:t>4</w:t>
            </w:r>
          </w:p>
        </w:tc>
        <w:tc>
          <w:tcPr>
            <w:tcW w:w="472" w:type="pct"/>
            <w:shd w:val="clear" w:color="auto" w:fill="auto"/>
            <w:vAlign w:val="center"/>
          </w:tcPr>
          <w:p w14:paraId="3397E469">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14:paraId="04B1AAE9">
            <w:pPr>
              <w:spacing w:line="240" w:lineRule="auto"/>
              <w:ind w:firstLine="0" w:firstLineChars="0"/>
              <w:jc w:val="center"/>
              <w:rPr>
                <w:color w:val="auto"/>
                <w:sz w:val="21"/>
              </w:rPr>
            </w:pPr>
            <w:r>
              <w:rPr>
                <w:rFonts w:hint="eastAsia"/>
                <w:color w:val="auto"/>
                <w:sz w:val="21"/>
              </w:rPr>
              <w:t>项目部自制</w:t>
            </w:r>
          </w:p>
        </w:tc>
      </w:tr>
    </w:tbl>
    <w:p w14:paraId="501BFE30">
      <w:pPr>
        <w:pStyle w:val="3"/>
      </w:pPr>
      <w:bookmarkStart w:id="71" w:name="_Toc32197"/>
      <w:r>
        <w:rPr>
          <w:rFonts w:hint="eastAsia"/>
        </w:rPr>
        <w:t>设备及工具计划</w:t>
      </w:r>
      <w:bookmarkEnd w:id="71"/>
    </w:p>
    <w:p w14:paraId="3DCB5493">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设备及工具计划详见详见</w:t>
      </w:r>
      <w:r>
        <w:fldChar w:fldCharType="begin"/>
      </w:r>
      <w:r>
        <w:instrText xml:space="preserve"> </w:instrText>
      </w:r>
      <w:r>
        <w:rPr>
          <w:rFonts w:hint="eastAsia"/>
        </w:rPr>
        <w:instrText xml:space="preserve">REF _Ref127281856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p>
    <w:p w14:paraId="4D80F966">
      <w:pPr>
        <w:pStyle w:val="16"/>
      </w:pPr>
      <w:bookmarkStart w:id="72" w:name="_Ref12728185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72"/>
      <w:r>
        <w:t xml:space="preserve"> </w:t>
      </w:r>
      <w:r>
        <w:rPr>
          <w:rFonts w:hint="eastAsia"/>
        </w:rPr>
        <w:t>设备及工具计划表</w:t>
      </w:r>
    </w:p>
    <w:tbl>
      <w:tblPr>
        <w:tblStyle w:val="1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666"/>
        <w:gridCol w:w="2727"/>
        <w:gridCol w:w="723"/>
        <w:gridCol w:w="724"/>
        <w:gridCol w:w="959"/>
      </w:tblGrid>
      <w:tr w14:paraId="67CD5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4" w:type="pct"/>
            <w:shd w:val="clear" w:color="auto" w:fill="auto"/>
            <w:vAlign w:val="center"/>
          </w:tcPr>
          <w:p w14:paraId="631A4BB9">
            <w:pPr>
              <w:pStyle w:val="17"/>
              <w:rPr>
                <w:b/>
              </w:rPr>
            </w:pPr>
            <w:r>
              <w:rPr>
                <w:rFonts w:hint="eastAsia"/>
                <w:b/>
              </w:rPr>
              <w:t>序号</w:t>
            </w:r>
          </w:p>
        </w:tc>
        <w:tc>
          <w:tcPr>
            <w:tcW w:w="1573" w:type="pct"/>
            <w:shd w:val="clear" w:color="auto" w:fill="auto"/>
            <w:vAlign w:val="center"/>
          </w:tcPr>
          <w:p w14:paraId="5E43EC9B">
            <w:pPr>
              <w:pStyle w:val="17"/>
              <w:rPr>
                <w:b/>
              </w:rPr>
            </w:pPr>
            <w:r>
              <w:rPr>
                <w:rFonts w:hint="eastAsia"/>
                <w:b/>
              </w:rPr>
              <w:t>名称</w:t>
            </w:r>
          </w:p>
        </w:tc>
        <w:tc>
          <w:tcPr>
            <w:tcW w:w="1550" w:type="pct"/>
            <w:shd w:val="clear" w:color="auto" w:fill="auto"/>
            <w:vAlign w:val="center"/>
          </w:tcPr>
          <w:p w14:paraId="4564E7E6">
            <w:pPr>
              <w:pStyle w:val="17"/>
              <w:rPr>
                <w:b/>
              </w:rPr>
            </w:pPr>
            <w:r>
              <w:rPr>
                <w:rFonts w:hint="eastAsia"/>
                <w:b/>
              </w:rPr>
              <w:t>规格型号</w:t>
            </w:r>
          </w:p>
        </w:tc>
        <w:tc>
          <w:tcPr>
            <w:tcW w:w="434" w:type="pct"/>
            <w:shd w:val="clear" w:color="auto" w:fill="auto"/>
            <w:vAlign w:val="center"/>
          </w:tcPr>
          <w:p w14:paraId="3727DBA9">
            <w:pPr>
              <w:pStyle w:val="17"/>
              <w:rPr>
                <w:b/>
              </w:rPr>
            </w:pPr>
            <w:r>
              <w:rPr>
                <w:rFonts w:hint="eastAsia"/>
                <w:b/>
              </w:rPr>
              <w:t>数量</w:t>
            </w:r>
          </w:p>
        </w:tc>
        <w:tc>
          <w:tcPr>
            <w:tcW w:w="434" w:type="pct"/>
            <w:shd w:val="clear" w:color="auto" w:fill="auto"/>
            <w:vAlign w:val="center"/>
          </w:tcPr>
          <w:p w14:paraId="4F5B43F7">
            <w:pPr>
              <w:pStyle w:val="17"/>
              <w:rPr>
                <w:b/>
              </w:rPr>
            </w:pPr>
            <w:r>
              <w:rPr>
                <w:rFonts w:hint="eastAsia"/>
                <w:b/>
              </w:rPr>
              <w:t>单位</w:t>
            </w:r>
          </w:p>
        </w:tc>
        <w:tc>
          <w:tcPr>
            <w:tcW w:w="572" w:type="pct"/>
            <w:shd w:val="clear" w:color="auto" w:fill="auto"/>
            <w:vAlign w:val="center"/>
          </w:tcPr>
          <w:p w14:paraId="09F078DE">
            <w:pPr>
              <w:pStyle w:val="17"/>
              <w:rPr>
                <w:b/>
              </w:rPr>
            </w:pPr>
            <w:r>
              <w:rPr>
                <w:rFonts w:hint="eastAsia"/>
                <w:b/>
              </w:rPr>
              <w:t>备注</w:t>
            </w:r>
          </w:p>
        </w:tc>
      </w:tr>
      <w:tr w14:paraId="5A56E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051BFCD">
            <w:pPr>
              <w:pStyle w:val="17"/>
              <w:numPr>
                <w:ilvl w:val="0"/>
                <w:numId w:val="20"/>
              </w:numPr>
            </w:pPr>
          </w:p>
        </w:tc>
        <w:tc>
          <w:tcPr>
            <w:tcW w:w="1573" w:type="pct"/>
            <w:shd w:val="clear" w:color="auto" w:fill="auto"/>
            <w:vAlign w:val="center"/>
          </w:tcPr>
          <w:p w14:paraId="1B120DBA">
            <w:pPr>
              <w:pStyle w:val="17"/>
            </w:pPr>
            <w:r>
              <w:fldChar w:fldCharType="begin"/>
            </w:r>
            <w:r>
              <w:instrText xml:space="preserve"> </w:instrText>
            </w:r>
            <w:r>
              <w:rPr>
                <w:rFonts w:hint="eastAsia"/>
              </w:rPr>
              <w:instrText xml:space="preserve">REF 起重设备1类型 \h</w:instrText>
            </w:r>
            <w:r>
              <w:instrText xml:space="preserve">  \* MERGEFORMAT </w:instrText>
            </w:r>
            <w:r>
              <w:fldChar w:fldCharType="separate"/>
            </w:r>
            <w:r>
              <w:rPr>
                <w:rFonts w:hint="eastAsia"/>
              </w:rPr>
              <w:t>汽车式起重机</w:t>
            </w:r>
            <w:r>
              <w:fldChar w:fldCharType="end"/>
            </w:r>
          </w:p>
        </w:tc>
        <w:tc>
          <w:tcPr>
            <w:tcW w:w="1550" w:type="pct"/>
            <w:shd w:val="clear" w:color="auto" w:fill="auto"/>
            <w:vAlign w:val="center"/>
          </w:tcPr>
          <w:p w14:paraId="4D4F10C4">
            <w:pPr>
              <w:pStyle w:val="17"/>
            </w:pPr>
            <w:r>
              <w:fldChar w:fldCharType="begin"/>
            </w:r>
            <w:r>
              <w:instrText xml:space="preserve"> </w:instrText>
            </w:r>
            <w:r>
              <w:rPr>
                <w:rFonts w:hint="eastAsia"/>
              </w:rPr>
              <w:instrText xml:space="preserve">REF 起重设备1型号 \h</w:instrText>
            </w:r>
            <w:r>
              <w:instrText xml:space="preserve">  \* MERGEFORMAT </w:instrText>
            </w:r>
            <w:r>
              <w:fldChar w:fldCharType="separate"/>
            </w:r>
            <w:r>
              <w:rPr>
                <w:rFonts w:hint="eastAsia"/>
                <w:lang w:val="en-US" w:eastAsia="zh-CN"/>
              </w:rPr>
              <w:t>80</w:t>
            </w:r>
            <w:r>
              <w:rPr>
                <w:rFonts w:hint="eastAsia"/>
              </w:rPr>
              <w:t>t</w:t>
            </w:r>
            <w:r>
              <w:fldChar w:fldCharType="end"/>
            </w:r>
          </w:p>
        </w:tc>
        <w:tc>
          <w:tcPr>
            <w:tcW w:w="434" w:type="pct"/>
            <w:shd w:val="clear" w:color="auto" w:fill="auto"/>
            <w:vAlign w:val="center"/>
          </w:tcPr>
          <w:p w14:paraId="4ED040D0">
            <w:pPr>
              <w:pStyle w:val="17"/>
            </w:pPr>
            <w:r>
              <w:t>1</w:t>
            </w:r>
          </w:p>
        </w:tc>
        <w:tc>
          <w:tcPr>
            <w:tcW w:w="434" w:type="pct"/>
            <w:shd w:val="clear" w:color="auto" w:fill="auto"/>
            <w:vAlign w:val="center"/>
          </w:tcPr>
          <w:p w14:paraId="693D3F7C">
            <w:pPr>
              <w:pStyle w:val="17"/>
            </w:pPr>
            <w:r>
              <w:rPr>
                <w:rFonts w:hint="eastAsia"/>
              </w:rPr>
              <w:t>辆</w:t>
            </w:r>
          </w:p>
        </w:tc>
        <w:tc>
          <w:tcPr>
            <w:tcW w:w="572" w:type="pct"/>
            <w:vMerge w:val="restart"/>
            <w:shd w:val="clear" w:color="auto" w:fill="auto"/>
            <w:vAlign w:val="center"/>
          </w:tcPr>
          <w:p w14:paraId="7219DD94">
            <w:pPr>
              <w:pStyle w:val="17"/>
            </w:pPr>
            <w:r>
              <w:rPr>
                <w:rFonts w:hint="eastAsia"/>
              </w:rPr>
              <w:t>设备</w:t>
            </w:r>
          </w:p>
        </w:tc>
      </w:tr>
      <w:tr w14:paraId="00B70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9623CD4">
            <w:pPr>
              <w:pStyle w:val="17"/>
              <w:numPr>
                <w:ilvl w:val="0"/>
                <w:numId w:val="20"/>
              </w:numPr>
            </w:pPr>
          </w:p>
        </w:tc>
        <w:tc>
          <w:tcPr>
            <w:tcW w:w="1573" w:type="pct"/>
            <w:shd w:val="clear" w:color="auto" w:fill="auto"/>
            <w:vAlign w:val="center"/>
          </w:tcPr>
          <w:p w14:paraId="31F8BB78">
            <w:pPr>
              <w:pStyle w:val="17"/>
            </w:pPr>
            <w:r>
              <w:rPr>
                <w:rFonts w:hint="eastAsia"/>
              </w:rPr>
              <w:t>电焊机</w:t>
            </w:r>
          </w:p>
        </w:tc>
        <w:tc>
          <w:tcPr>
            <w:tcW w:w="1550" w:type="pct"/>
            <w:shd w:val="clear" w:color="auto" w:fill="auto"/>
            <w:vAlign w:val="center"/>
          </w:tcPr>
          <w:p w14:paraId="4F958F5C">
            <w:pPr>
              <w:pStyle w:val="17"/>
            </w:pPr>
            <w:r>
              <w:rPr>
                <w:rFonts w:hint="eastAsia"/>
              </w:rPr>
              <w:t>BX3-500</w:t>
            </w:r>
          </w:p>
        </w:tc>
        <w:tc>
          <w:tcPr>
            <w:tcW w:w="434" w:type="pct"/>
            <w:shd w:val="clear" w:color="auto" w:fill="auto"/>
            <w:vAlign w:val="center"/>
          </w:tcPr>
          <w:p w14:paraId="6FB7FBCB">
            <w:pPr>
              <w:pStyle w:val="17"/>
            </w:pPr>
            <w:r>
              <w:rPr>
                <w:rFonts w:hint="eastAsia"/>
              </w:rPr>
              <w:t>2</w:t>
            </w:r>
          </w:p>
        </w:tc>
        <w:tc>
          <w:tcPr>
            <w:tcW w:w="434" w:type="pct"/>
            <w:shd w:val="clear" w:color="auto" w:fill="auto"/>
            <w:vAlign w:val="center"/>
          </w:tcPr>
          <w:p w14:paraId="2155B706">
            <w:pPr>
              <w:pStyle w:val="17"/>
            </w:pPr>
            <w:r>
              <w:rPr>
                <w:rFonts w:hint="eastAsia"/>
              </w:rPr>
              <w:t>台</w:t>
            </w:r>
          </w:p>
        </w:tc>
        <w:tc>
          <w:tcPr>
            <w:tcW w:w="572" w:type="pct"/>
            <w:vMerge w:val="continue"/>
            <w:shd w:val="clear" w:color="auto" w:fill="auto"/>
            <w:vAlign w:val="center"/>
          </w:tcPr>
          <w:p w14:paraId="69BB65C3">
            <w:pPr>
              <w:pStyle w:val="17"/>
            </w:pPr>
          </w:p>
        </w:tc>
      </w:tr>
      <w:tr w14:paraId="27622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4E19D65">
            <w:pPr>
              <w:pStyle w:val="17"/>
              <w:numPr>
                <w:ilvl w:val="0"/>
                <w:numId w:val="20"/>
              </w:numPr>
            </w:pPr>
          </w:p>
        </w:tc>
        <w:tc>
          <w:tcPr>
            <w:tcW w:w="1573" w:type="pct"/>
            <w:shd w:val="clear" w:color="auto" w:fill="auto"/>
            <w:vAlign w:val="center"/>
          </w:tcPr>
          <w:p w14:paraId="3EEB14B2">
            <w:pPr>
              <w:pStyle w:val="17"/>
            </w:pPr>
            <w:r>
              <w:rPr>
                <w:rFonts w:hint="eastAsia"/>
              </w:rPr>
              <w:t>手拉葫芦</w:t>
            </w:r>
          </w:p>
        </w:tc>
        <w:tc>
          <w:tcPr>
            <w:tcW w:w="1550" w:type="pct"/>
            <w:shd w:val="clear" w:color="auto" w:fill="auto"/>
            <w:vAlign w:val="center"/>
          </w:tcPr>
          <w:p w14:paraId="5BBDD2B9">
            <w:pPr>
              <w:pStyle w:val="17"/>
            </w:pPr>
            <w:r>
              <w:t>2</w:t>
            </w:r>
            <w:r>
              <w:rPr>
                <w:rFonts w:hint="eastAsia"/>
              </w:rPr>
              <w:t>t</w:t>
            </w:r>
          </w:p>
        </w:tc>
        <w:tc>
          <w:tcPr>
            <w:tcW w:w="434" w:type="pct"/>
            <w:shd w:val="clear" w:color="auto" w:fill="auto"/>
            <w:vAlign w:val="center"/>
          </w:tcPr>
          <w:p w14:paraId="2CD047DF">
            <w:pPr>
              <w:pStyle w:val="17"/>
            </w:pPr>
            <w:r>
              <w:t>10</w:t>
            </w:r>
          </w:p>
        </w:tc>
        <w:tc>
          <w:tcPr>
            <w:tcW w:w="434" w:type="pct"/>
            <w:shd w:val="clear" w:color="auto" w:fill="auto"/>
            <w:vAlign w:val="center"/>
          </w:tcPr>
          <w:p w14:paraId="4EB15BBB">
            <w:pPr>
              <w:pStyle w:val="17"/>
            </w:pPr>
            <w:r>
              <w:rPr>
                <w:rFonts w:hint="eastAsia"/>
              </w:rPr>
              <w:t>个</w:t>
            </w:r>
          </w:p>
        </w:tc>
        <w:tc>
          <w:tcPr>
            <w:tcW w:w="572" w:type="pct"/>
            <w:vMerge w:val="continue"/>
            <w:shd w:val="clear" w:color="auto" w:fill="auto"/>
            <w:vAlign w:val="center"/>
          </w:tcPr>
          <w:p w14:paraId="1C582C0D">
            <w:pPr>
              <w:pStyle w:val="17"/>
            </w:pPr>
          </w:p>
        </w:tc>
      </w:tr>
      <w:tr w14:paraId="626AD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E2731BF">
            <w:pPr>
              <w:pStyle w:val="17"/>
              <w:numPr>
                <w:ilvl w:val="0"/>
                <w:numId w:val="20"/>
              </w:numPr>
            </w:pPr>
          </w:p>
        </w:tc>
        <w:tc>
          <w:tcPr>
            <w:tcW w:w="1573" w:type="pct"/>
            <w:shd w:val="clear" w:color="auto" w:fill="auto"/>
            <w:vAlign w:val="center"/>
          </w:tcPr>
          <w:p w14:paraId="003538AC">
            <w:pPr>
              <w:pStyle w:val="17"/>
            </w:pPr>
            <w:r>
              <w:rPr>
                <w:rFonts w:hint="eastAsia"/>
              </w:rPr>
              <w:t>氧气瓶</w:t>
            </w:r>
          </w:p>
        </w:tc>
        <w:tc>
          <w:tcPr>
            <w:tcW w:w="1550" w:type="pct"/>
            <w:shd w:val="clear" w:color="auto" w:fill="auto"/>
            <w:vAlign w:val="center"/>
          </w:tcPr>
          <w:p w14:paraId="76B1322E">
            <w:pPr>
              <w:pStyle w:val="17"/>
            </w:pPr>
          </w:p>
        </w:tc>
        <w:tc>
          <w:tcPr>
            <w:tcW w:w="434" w:type="pct"/>
            <w:shd w:val="clear" w:color="auto" w:fill="auto"/>
            <w:vAlign w:val="center"/>
          </w:tcPr>
          <w:p w14:paraId="77E9AE46">
            <w:pPr>
              <w:pStyle w:val="17"/>
            </w:pPr>
            <w:r>
              <w:rPr>
                <w:rFonts w:hint="eastAsia"/>
              </w:rPr>
              <w:t>若干</w:t>
            </w:r>
          </w:p>
        </w:tc>
        <w:tc>
          <w:tcPr>
            <w:tcW w:w="434" w:type="pct"/>
            <w:shd w:val="clear" w:color="auto" w:fill="auto"/>
            <w:vAlign w:val="center"/>
          </w:tcPr>
          <w:p w14:paraId="093F6C99">
            <w:pPr>
              <w:pStyle w:val="17"/>
            </w:pPr>
            <w:r>
              <w:rPr>
                <w:rFonts w:hint="eastAsia"/>
              </w:rPr>
              <w:t>瓶</w:t>
            </w:r>
          </w:p>
        </w:tc>
        <w:tc>
          <w:tcPr>
            <w:tcW w:w="572" w:type="pct"/>
            <w:vMerge w:val="continue"/>
            <w:shd w:val="clear" w:color="auto" w:fill="auto"/>
            <w:vAlign w:val="center"/>
          </w:tcPr>
          <w:p w14:paraId="0AB7E0DA">
            <w:pPr>
              <w:pStyle w:val="17"/>
            </w:pPr>
          </w:p>
        </w:tc>
      </w:tr>
      <w:tr w14:paraId="1AB8B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45BFC562">
            <w:pPr>
              <w:pStyle w:val="17"/>
              <w:numPr>
                <w:ilvl w:val="0"/>
                <w:numId w:val="20"/>
              </w:numPr>
            </w:pPr>
          </w:p>
        </w:tc>
        <w:tc>
          <w:tcPr>
            <w:tcW w:w="1573" w:type="pct"/>
            <w:shd w:val="clear" w:color="auto" w:fill="auto"/>
            <w:vAlign w:val="center"/>
          </w:tcPr>
          <w:p w14:paraId="647DB4F1">
            <w:pPr>
              <w:pStyle w:val="17"/>
            </w:pPr>
            <w:r>
              <w:rPr>
                <w:rFonts w:hint="eastAsia"/>
              </w:rPr>
              <w:t>乙炔气瓶</w:t>
            </w:r>
          </w:p>
        </w:tc>
        <w:tc>
          <w:tcPr>
            <w:tcW w:w="1550" w:type="pct"/>
            <w:shd w:val="clear" w:color="auto" w:fill="auto"/>
            <w:vAlign w:val="center"/>
          </w:tcPr>
          <w:p w14:paraId="362A74FF">
            <w:pPr>
              <w:pStyle w:val="17"/>
            </w:pPr>
          </w:p>
        </w:tc>
        <w:tc>
          <w:tcPr>
            <w:tcW w:w="434" w:type="pct"/>
            <w:shd w:val="clear" w:color="auto" w:fill="auto"/>
            <w:vAlign w:val="center"/>
          </w:tcPr>
          <w:p w14:paraId="0471182B">
            <w:pPr>
              <w:pStyle w:val="17"/>
            </w:pPr>
            <w:r>
              <w:rPr>
                <w:rFonts w:hint="eastAsia"/>
              </w:rPr>
              <w:t>若干</w:t>
            </w:r>
          </w:p>
        </w:tc>
        <w:tc>
          <w:tcPr>
            <w:tcW w:w="434" w:type="pct"/>
            <w:shd w:val="clear" w:color="auto" w:fill="auto"/>
            <w:vAlign w:val="center"/>
          </w:tcPr>
          <w:p w14:paraId="09A510AE">
            <w:pPr>
              <w:pStyle w:val="17"/>
            </w:pPr>
            <w:r>
              <w:rPr>
                <w:rFonts w:hint="eastAsia"/>
              </w:rPr>
              <w:t>瓶</w:t>
            </w:r>
          </w:p>
        </w:tc>
        <w:tc>
          <w:tcPr>
            <w:tcW w:w="572" w:type="pct"/>
            <w:vMerge w:val="continue"/>
            <w:shd w:val="clear" w:color="auto" w:fill="auto"/>
            <w:vAlign w:val="center"/>
          </w:tcPr>
          <w:p w14:paraId="581953BB">
            <w:pPr>
              <w:pStyle w:val="17"/>
            </w:pPr>
          </w:p>
        </w:tc>
      </w:tr>
      <w:tr w14:paraId="41E61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01EFDDA8">
            <w:pPr>
              <w:pStyle w:val="17"/>
              <w:numPr>
                <w:ilvl w:val="0"/>
                <w:numId w:val="20"/>
              </w:numPr>
            </w:pPr>
          </w:p>
        </w:tc>
        <w:tc>
          <w:tcPr>
            <w:tcW w:w="1573" w:type="pct"/>
            <w:shd w:val="clear" w:color="auto" w:fill="auto"/>
            <w:vAlign w:val="center"/>
          </w:tcPr>
          <w:p w14:paraId="68808E0A">
            <w:pPr>
              <w:pStyle w:val="17"/>
            </w:pPr>
            <w:r>
              <w:rPr>
                <w:rFonts w:hint="eastAsia"/>
              </w:rPr>
              <w:t>钢丝绳</w:t>
            </w:r>
          </w:p>
        </w:tc>
        <w:tc>
          <w:tcPr>
            <w:tcW w:w="1550" w:type="pct"/>
            <w:shd w:val="clear" w:color="auto" w:fill="auto"/>
            <w:vAlign w:val="center"/>
          </w:tcPr>
          <w:p w14:paraId="2BDFC344">
            <w:pPr>
              <w:pStyle w:val="17"/>
            </w:pPr>
            <w:r>
              <w:rPr>
                <w:rFonts w:hint="eastAsia" w:cs="Times New Roman"/>
                <w:b w:val="0"/>
                <w:bCs w:val="0"/>
                <w:lang w:val="en-US" w:eastAsia="zh-CN"/>
              </w:rPr>
              <w:t>24mm6×19W+FC-1770Mpa</w:t>
            </w:r>
          </w:p>
        </w:tc>
        <w:tc>
          <w:tcPr>
            <w:tcW w:w="434" w:type="pct"/>
            <w:shd w:val="clear" w:color="auto" w:fill="auto"/>
            <w:vAlign w:val="center"/>
          </w:tcPr>
          <w:p w14:paraId="29B4C217">
            <w:pPr>
              <w:pStyle w:val="17"/>
            </w:pPr>
            <w:r>
              <w:rPr>
                <w:rFonts w:hint="eastAsia"/>
              </w:rPr>
              <w:t>4</w:t>
            </w:r>
          </w:p>
        </w:tc>
        <w:tc>
          <w:tcPr>
            <w:tcW w:w="434" w:type="pct"/>
            <w:shd w:val="clear" w:color="auto" w:fill="auto"/>
            <w:vAlign w:val="center"/>
          </w:tcPr>
          <w:p w14:paraId="74BB90D5">
            <w:pPr>
              <w:pStyle w:val="17"/>
            </w:pPr>
            <w:r>
              <w:rPr>
                <w:rFonts w:hint="eastAsia"/>
              </w:rPr>
              <w:t>根</w:t>
            </w:r>
          </w:p>
        </w:tc>
        <w:tc>
          <w:tcPr>
            <w:tcW w:w="572" w:type="pct"/>
            <w:vMerge w:val="restart"/>
            <w:shd w:val="clear" w:color="auto" w:fill="auto"/>
            <w:vAlign w:val="center"/>
          </w:tcPr>
          <w:p w14:paraId="747EFACC">
            <w:pPr>
              <w:pStyle w:val="17"/>
            </w:pPr>
            <w:r>
              <w:rPr>
                <w:rFonts w:hint="eastAsia"/>
              </w:rPr>
              <w:t>吊索具</w:t>
            </w:r>
          </w:p>
        </w:tc>
      </w:tr>
      <w:tr w14:paraId="6C45E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3610C700">
            <w:pPr>
              <w:pStyle w:val="17"/>
              <w:numPr>
                <w:ilvl w:val="0"/>
                <w:numId w:val="20"/>
              </w:numPr>
            </w:pPr>
          </w:p>
        </w:tc>
        <w:tc>
          <w:tcPr>
            <w:tcW w:w="1573" w:type="pct"/>
            <w:shd w:val="clear" w:color="auto" w:fill="auto"/>
            <w:vAlign w:val="center"/>
          </w:tcPr>
          <w:p w14:paraId="50A1C069">
            <w:pPr>
              <w:pStyle w:val="17"/>
              <w:ind w:firstLine="0" w:firstLineChars="0"/>
              <w:rPr>
                <w:rFonts w:hint="eastAsia" w:ascii="Times New Roman" w:hAnsi="Times New Roman" w:eastAsia="宋体" w:cs="Times New Roman"/>
                <w:kern w:val="2"/>
                <w:sz w:val="21"/>
                <w:szCs w:val="21"/>
                <w:lang w:val="en-US" w:eastAsia="zh-CN" w:bidi="ar-SA"/>
              </w:rPr>
            </w:pPr>
            <w:r>
              <w:rPr>
                <w:rFonts w:hint="eastAsia"/>
              </w:rPr>
              <w:t>钢丝绳</w:t>
            </w:r>
          </w:p>
        </w:tc>
        <w:tc>
          <w:tcPr>
            <w:tcW w:w="1550" w:type="pct"/>
            <w:shd w:val="clear" w:color="auto" w:fill="auto"/>
            <w:vAlign w:val="center"/>
          </w:tcPr>
          <w:p w14:paraId="1815F371">
            <w:pPr>
              <w:pStyle w:val="17"/>
              <w:ind w:firstLine="0" w:firstLineChars="0"/>
              <w:rPr>
                <w:rFonts w:ascii="Times New Roman" w:hAnsi="Times New Roman" w:eastAsia="宋体" w:cs="Times New Roman"/>
                <w:kern w:val="2"/>
                <w:sz w:val="21"/>
                <w:szCs w:val="21"/>
                <w:lang w:val="en-US" w:eastAsia="zh-CN" w:bidi="ar-SA"/>
              </w:rPr>
            </w:pPr>
            <w:r>
              <w:rPr>
                <w:rFonts w:hint="eastAsia" w:cs="Times New Roman"/>
                <w:b w:val="0"/>
                <w:bCs w:val="0"/>
                <w:lang w:val="en-US" w:eastAsia="zh-CN"/>
              </w:rPr>
              <w:t>18</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+FC</w:t>
            </w:r>
            <w:r>
              <w:rPr>
                <w:rFonts w:hint="eastAsia" w:eastAsia="仿宋" w:cs="Times New Roman"/>
                <w:b w:val="0"/>
                <w:bCs w:val="0"/>
                <w:lang w:val="en-US" w:eastAsia="zh-CN"/>
              </w:rPr>
              <w:t>-</w:t>
            </w:r>
            <w:r>
              <w:rPr>
                <w:rFonts w:eastAsia="仿宋" w:cs="Times New Roman"/>
                <w:b w:val="0"/>
                <w:bCs w:val="0"/>
              </w:rPr>
              <w:t>1</w:t>
            </w:r>
            <w:r>
              <w:rPr>
                <w:rFonts w:hint="eastAsia" w:eastAsia="仿宋" w:cs="Times New Roman"/>
                <w:b w:val="0"/>
                <w:bCs w:val="0"/>
                <w:lang w:val="en-US" w:eastAsia="zh-CN"/>
              </w:rPr>
              <w:t>77</w:t>
            </w:r>
            <w:r>
              <w:rPr>
                <w:rFonts w:eastAsia="仿宋" w:cs="Times New Roman"/>
                <w:b w:val="0"/>
                <w:bCs w:val="0"/>
              </w:rPr>
              <w:t>0</w:t>
            </w:r>
            <w:r>
              <w:rPr>
                <w:rFonts w:cs="Times New Roman"/>
                <w:b w:val="0"/>
                <w:bCs w:val="0"/>
              </w:rPr>
              <w:t>Mpa</w:t>
            </w:r>
          </w:p>
        </w:tc>
        <w:tc>
          <w:tcPr>
            <w:tcW w:w="434" w:type="pct"/>
            <w:shd w:val="clear" w:color="auto" w:fill="auto"/>
            <w:vAlign w:val="center"/>
          </w:tcPr>
          <w:p w14:paraId="0A5840D1">
            <w:pPr>
              <w:pStyle w:val="17"/>
              <w:ind w:firstLine="0" w:firstLineChars="0"/>
              <w:rPr>
                <w:rFonts w:hint="eastAsia" w:ascii="Times New Roman" w:hAnsi="Times New Roman" w:eastAsia="宋体" w:cs="Times New Roman"/>
                <w:kern w:val="2"/>
                <w:sz w:val="21"/>
                <w:szCs w:val="21"/>
                <w:lang w:val="en-US" w:eastAsia="zh-CN" w:bidi="ar-SA"/>
              </w:rPr>
            </w:pPr>
            <w:r>
              <w:rPr>
                <w:rFonts w:hint="eastAsia"/>
                <w:lang w:val="en-US" w:eastAsia="zh-CN"/>
              </w:rPr>
              <w:t>2</w:t>
            </w:r>
          </w:p>
        </w:tc>
        <w:tc>
          <w:tcPr>
            <w:tcW w:w="434" w:type="pct"/>
            <w:shd w:val="clear" w:color="auto" w:fill="auto"/>
            <w:vAlign w:val="center"/>
          </w:tcPr>
          <w:p w14:paraId="758E1C69">
            <w:pPr>
              <w:pStyle w:val="17"/>
              <w:ind w:firstLine="0" w:firstLineChars="0"/>
              <w:rPr>
                <w:rFonts w:hint="eastAsia" w:ascii="Times New Roman" w:hAnsi="Times New Roman" w:eastAsia="宋体" w:cs="Times New Roman"/>
                <w:kern w:val="2"/>
                <w:sz w:val="21"/>
                <w:szCs w:val="21"/>
                <w:lang w:val="en-US" w:eastAsia="zh-CN" w:bidi="ar-SA"/>
              </w:rPr>
            </w:pPr>
            <w:r>
              <w:rPr>
                <w:rFonts w:hint="eastAsia"/>
              </w:rPr>
              <w:t>根</w:t>
            </w:r>
          </w:p>
        </w:tc>
        <w:tc>
          <w:tcPr>
            <w:tcW w:w="572" w:type="pct"/>
            <w:vMerge w:val="continue"/>
            <w:shd w:val="clear" w:color="auto" w:fill="auto"/>
            <w:vAlign w:val="center"/>
          </w:tcPr>
          <w:p w14:paraId="2F340DBB">
            <w:pPr>
              <w:pStyle w:val="17"/>
            </w:pPr>
          </w:p>
        </w:tc>
      </w:tr>
      <w:tr w14:paraId="54FE4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712B2D14">
            <w:pPr>
              <w:pStyle w:val="17"/>
              <w:numPr>
                <w:ilvl w:val="0"/>
                <w:numId w:val="20"/>
              </w:numPr>
            </w:pPr>
          </w:p>
        </w:tc>
        <w:tc>
          <w:tcPr>
            <w:tcW w:w="1573" w:type="pct"/>
            <w:shd w:val="clear" w:color="auto" w:fill="auto"/>
            <w:vAlign w:val="center"/>
          </w:tcPr>
          <w:p w14:paraId="0416E66F">
            <w:pPr>
              <w:pStyle w:val="17"/>
              <w:ind w:firstLine="0" w:firstLineChars="0"/>
              <w:rPr>
                <w:rFonts w:hint="eastAsia" w:ascii="Times New Roman" w:hAnsi="Times New Roman" w:eastAsia="宋体" w:cs="Times New Roman"/>
                <w:kern w:val="2"/>
                <w:sz w:val="21"/>
                <w:szCs w:val="21"/>
                <w:lang w:val="en-US" w:eastAsia="zh-CN" w:bidi="ar-SA"/>
              </w:rPr>
            </w:pPr>
            <w:r>
              <w:rPr>
                <w:rFonts w:hint="eastAsia"/>
              </w:rPr>
              <w:t>卸扣</w:t>
            </w:r>
          </w:p>
        </w:tc>
        <w:tc>
          <w:tcPr>
            <w:tcW w:w="1550" w:type="pct"/>
            <w:shd w:val="clear" w:color="auto" w:fill="auto"/>
            <w:vAlign w:val="center"/>
          </w:tcPr>
          <w:p w14:paraId="0B7CBF44">
            <w:pPr>
              <w:pStyle w:val="17"/>
              <w:ind w:firstLine="0" w:firstLineChars="0"/>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rPr>
              <w:t>GB/T25854-6-DW</w:t>
            </w:r>
            <w:r>
              <w:rPr>
                <w:rFonts w:hint="eastAsia" w:ascii="Times New Roman" w:hAnsi="Times New Roman" w:eastAsia="宋体" w:cs="Times New Roman"/>
                <w:lang w:val="en-US" w:eastAsia="zh-CN"/>
              </w:rPr>
              <w:t>5</w:t>
            </w:r>
          </w:p>
        </w:tc>
        <w:tc>
          <w:tcPr>
            <w:tcW w:w="434" w:type="pct"/>
            <w:shd w:val="clear" w:color="auto" w:fill="auto"/>
            <w:vAlign w:val="center"/>
          </w:tcPr>
          <w:p w14:paraId="5A7874C8">
            <w:pPr>
              <w:pStyle w:val="17"/>
              <w:ind w:firstLine="0" w:firstLineChars="0"/>
              <w:rPr>
                <w:rFonts w:hint="eastAsia" w:ascii="Times New Roman" w:hAnsi="Times New Roman" w:eastAsia="宋体" w:cs="Times New Roman"/>
                <w:kern w:val="2"/>
                <w:sz w:val="21"/>
                <w:szCs w:val="21"/>
                <w:lang w:val="en-US" w:eastAsia="zh-CN" w:bidi="ar-SA"/>
              </w:rPr>
            </w:pPr>
            <w:r>
              <w:rPr>
                <w:rFonts w:hint="eastAsia"/>
              </w:rPr>
              <w:t>4</w:t>
            </w:r>
          </w:p>
        </w:tc>
        <w:tc>
          <w:tcPr>
            <w:tcW w:w="434" w:type="pct"/>
            <w:shd w:val="clear" w:color="auto" w:fill="auto"/>
            <w:vAlign w:val="center"/>
          </w:tcPr>
          <w:p w14:paraId="377D3F02">
            <w:pPr>
              <w:pStyle w:val="17"/>
              <w:ind w:firstLine="0" w:firstLineChars="0"/>
              <w:rPr>
                <w:rFonts w:hint="eastAsia" w:ascii="Times New Roman" w:hAnsi="Times New Roman" w:eastAsia="宋体" w:cs="Times New Roman"/>
                <w:kern w:val="2"/>
                <w:sz w:val="21"/>
                <w:szCs w:val="21"/>
                <w:lang w:val="en-US" w:eastAsia="zh-CN" w:bidi="ar-SA"/>
              </w:rPr>
            </w:pPr>
            <w:r>
              <w:rPr>
                <w:rFonts w:hint="eastAsia"/>
              </w:rPr>
              <w:t>个</w:t>
            </w:r>
          </w:p>
        </w:tc>
        <w:tc>
          <w:tcPr>
            <w:tcW w:w="572" w:type="pct"/>
            <w:vMerge w:val="continue"/>
            <w:shd w:val="clear" w:color="auto" w:fill="auto"/>
            <w:vAlign w:val="center"/>
          </w:tcPr>
          <w:p w14:paraId="1E8C547A">
            <w:pPr>
              <w:pStyle w:val="17"/>
            </w:pPr>
          </w:p>
        </w:tc>
      </w:tr>
      <w:tr w14:paraId="15EB1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42E5050C">
            <w:pPr>
              <w:pStyle w:val="17"/>
              <w:numPr>
                <w:ilvl w:val="0"/>
                <w:numId w:val="20"/>
              </w:numPr>
            </w:pPr>
          </w:p>
        </w:tc>
        <w:tc>
          <w:tcPr>
            <w:tcW w:w="1573" w:type="pct"/>
            <w:shd w:val="clear" w:color="auto" w:fill="auto"/>
            <w:vAlign w:val="center"/>
          </w:tcPr>
          <w:p w14:paraId="2EFD9E26">
            <w:pPr>
              <w:pStyle w:val="17"/>
            </w:pPr>
            <w:r>
              <w:rPr>
                <w:rFonts w:hint="eastAsia"/>
              </w:rPr>
              <w:t>卸扣</w:t>
            </w:r>
          </w:p>
        </w:tc>
        <w:tc>
          <w:tcPr>
            <w:tcW w:w="1550" w:type="pct"/>
            <w:shd w:val="clear" w:color="auto" w:fill="auto"/>
            <w:vAlign w:val="center"/>
          </w:tcPr>
          <w:p w14:paraId="609F5C87">
            <w:pPr>
              <w:pStyle w:val="17"/>
            </w:pPr>
            <w:r>
              <w:rPr>
                <w:rFonts w:hint="eastAsia" w:ascii="Times New Roman" w:hAnsi="Times New Roman" w:eastAsia="宋体" w:cs="Times New Roman"/>
              </w:rPr>
              <w:t>GB/T25854-6-DW</w:t>
            </w:r>
            <w:r>
              <w:rPr>
                <w:rFonts w:hint="eastAsia" w:cs="Times New Roman"/>
                <w:lang w:val="en-US" w:eastAsia="zh-CN"/>
              </w:rPr>
              <w:t>8</w:t>
            </w:r>
          </w:p>
        </w:tc>
        <w:tc>
          <w:tcPr>
            <w:tcW w:w="434" w:type="pct"/>
            <w:shd w:val="clear" w:color="auto" w:fill="auto"/>
            <w:vAlign w:val="center"/>
          </w:tcPr>
          <w:p w14:paraId="52B489EC">
            <w:pPr>
              <w:pStyle w:val="17"/>
            </w:pPr>
            <w:r>
              <w:rPr>
                <w:rFonts w:hint="eastAsia"/>
              </w:rPr>
              <w:t>4</w:t>
            </w:r>
          </w:p>
        </w:tc>
        <w:tc>
          <w:tcPr>
            <w:tcW w:w="434" w:type="pct"/>
            <w:shd w:val="clear" w:color="auto" w:fill="auto"/>
            <w:vAlign w:val="center"/>
          </w:tcPr>
          <w:p w14:paraId="5ACEF5B6">
            <w:pPr>
              <w:pStyle w:val="17"/>
            </w:pPr>
            <w:r>
              <w:rPr>
                <w:rFonts w:hint="eastAsia"/>
              </w:rPr>
              <w:t>个</w:t>
            </w:r>
          </w:p>
        </w:tc>
        <w:tc>
          <w:tcPr>
            <w:tcW w:w="572" w:type="pct"/>
            <w:vMerge w:val="continue"/>
            <w:shd w:val="clear" w:color="auto" w:fill="auto"/>
            <w:vAlign w:val="center"/>
          </w:tcPr>
          <w:p w14:paraId="3F4F9043">
            <w:pPr>
              <w:pStyle w:val="17"/>
            </w:pPr>
          </w:p>
        </w:tc>
      </w:tr>
      <w:tr w14:paraId="55426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649F71F">
            <w:pPr>
              <w:pStyle w:val="17"/>
              <w:numPr>
                <w:ilvl w:val="0"/>
                <w:numId w:val="20"/>
              </w:numPr>
            </w:pPr>
          </w:p>
        </w:tc>
        <w:tc>
          <w:tcPr>
            <w:tcW w:w="1573" w:type="pct"/>
            <w:shd w:val="clear" w:color="auto" w:fill="auto"/>
            <w:vAlign w:val="center"/>
          </w:tcPr>
          <w:p w14:paraId="7A96BDCF">
            <w:pPr>
              <w:pStyle w:val="17"/>
            </w:pPr>
            <w:r>
              <w:rPr>
                <w:rFonts w:hint="eastAsia"/>
              </w:rPr>
              <w:t>钳工、电工工具</w:t>
            </w:r>
          </w:p>
        </w:tc>
        <w:tc>
          <w:tcPr>
            <w:tcW w:w="1550" w:type="pct"/>
            <w:shd w:val="clear" w:color="auto" w:fill="auto"/>
            <w:vAlign w:val="center"/>
          </w:tcPr>
          <w:p w14:paraId="66F35CC6">
            <w:pPr>
              <w:pStyle w:val="17"/>
            </w:pPr>
          </w:p>
        </w:tc>
        <w:tc>
          <w:tcPr>
            <w:tcW w:w="434" w:type="pct"/>
            <w:shd w:val="clear" w:color="auto" w:fill="auto"/>
            <w:vAlign w:val="center"/>
          </w:tcPr>
          <w:p w14:paraId="09887F0A">
            <w:pPr>
              <w:pStyle w:val="17"/>
            </w:pPr>
            <w:r>
              <w:rPr>
                <w:rFonts w:hint="eastAsia"/>
              </w:rPr>
              <w:t>3</w:t>
            </w:r>
          </w:p>
        </w:tc>
        <w:tc>
          <w:tcPr>
            <w:tcW w:w="434" w:type="pct"/>
            <w:shd w:val="clear" w:color="auto" w:fill="auto"/>
            <w:vAlign w:val="center"/>
          </w:tcPr>
          <w:p w14:paraId="64D0F0A7">
            <w:pPr>
              <w:pStyle w:val="17"/>
            </w:pPr>
            <w:r>
              <w:rPr>
                <w:rFonts w:hint="eastAsia"/>
              </w:rPr>
              <w:t>套</w:t>
            </w:r>
          </w:p>
        </w:tc>
        <w:tc>
          <w:tcPr>
            <w:tcW w:w="572" w:type="pct"/>
            <w:vMerge w:val="restart"/>
            <w:shd w:val="clear" w:color="auto" w:fill="auto"/>
            <w:vAlign w:val="center"/>
          </w:tcPr>
          <w:p w14:paraId="65A65E49">
            <w:pPr>
              <w:pStyle w:val="17"/>
            </w:pPr>
            <w:r>
              <w:rPr>
                <w:rFonts w:hint="eastAsia"/>
              </w:rPr>
              <w:t>工具</w:t>
            </w:r>
          </w:p>
        </w:tc>
      </w:tr>
      <w:tr w14:paraId="10C9D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58BA6BC3">
            <w:pPr>
              <w:pStyle w:val="17"/>
              <w:numPr>
                <w:ilvl w:val="0"/>
                <w:numId w:val="20"/>
              </w:numPr>
            </w:pPr>
          </w:p>
        </w:tc>
        <w:tc>
          <w:tcPr>
            <w:tcW w:w="1573" w:type="pct"/>
            <w:shd w:val="clear" w:color="auto" w:fill="auto"/>
            <w:vAlign w:val="center"/>
          </w:tcPr>
          <w:p w14:paraId="0438CE73">
            <w:pPr>
              <w:pStyle w:val="17"/>
            </w:pPr>
            <w:r>
              <w:rPr>
                <w:rFonts w:hint="eastAsia"/>
              </w:rPr>
              <w:t>电流表</w:t>
            </w:r>
          </w:p>
        </w:tc>
        <w:tc>
          <w:tcPr>
            <w:tcW w:w="1550" w:type="pct"/>
            <w:shd w:val="clear" w:color="auto" w:fill="auto"/>
            <w:vAlign w:val="center"/>
          </w:tcPr>
          <w:p w14:paraId="1F12886B">
            <w:pPr>
              <w:pStyle w:val="17"/>
            </w:pPr>
            <w:r>
              <w:rPr>
                <w:rFonts w:hint="eastAsia"/>
              </w:rPr>
              <w:t>DM6015F</w:t>
            </w:r>
          </w:p>
        </w:tc>
        <w:tc>
          <w:tcPr>
            <w:tcW w:w="434" w:type="pct"/>
            <w:shd w:val="clear" w:color="auto" w:fill="auto"/>
            <w:vAlign w:val="center"/>
          </w:tcPr>
          <w:p w14:paraId="7F4C2D36">
            <w:pPr>
              <w:pStyle w:val="17"/>
            </w:pPr>
            <w:r>
              <w:rPr>
                <w:rFonts w:hint="eastAsia"/>
              </w:rPr>
              <w:t>1</w:t>
            </w:r>
          </w:p>
        </w:tc>
        <w:tc>
          <w:tcPr>
            <w:tcW w:w="434" w:type="pct"/>
            <w:shd w:val="clear" w:color="auto" w:fill="auto"/>
            <w:vAlign w:val="center"/>
          </w:tcPr>
          <w:p w14:paraId="09E84C72">
            <w:pPr>
              <w:pStyle w:val="17"/>
            </w:pPr>
            <w:r>
              <w:rPr>
                <w:rFonts w:hint="eastAsia"/>
              </w:rPr>
              <w:t>套</w:t>
            </w:r>
          </w:p>
        </w:tc>
        <w:tc>
          <w:tcPr>
            <w:tcW w:w="572" w:type="pct"/>
            <w:vMerge w:val="continue"/>
            <w:shd w:val="clear" w:color="auto" w:fill="auto"/>
            <w:vAlign w:val="center"/>
          </w:tcPr>
          <w:p w14:paraId="136974B4">
            <w:pPr>
              <w:pStyle w:val="17"/>
            </w:pPr>
          </w:p>
        </w:tc>
      </w:tr>
      <w:tr w14:paraId="7B5A9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186B438A">
            <w:pPr>
              <w:pStyle w:val="17"/>
              <w:numPr>
                <w:ilvl w:val="0"/>
                <w:numId w:val="20"/>
              </w:numPr>
            </w:pPr>
          </w:p>
        </w:tc>
        <w:tc>
          <w:tcPr>
            <w:tcW w:w="1573" w:type="pct"/>
            <w:shd w:val="clear" w:color="auto" w:fill="auto"/>
            <w:vAlign w:val="center"/>
          </w:tcPr>
          <w:p w14:paraId="278389F1">
            <w:pPr>
              <w:pStyle w:val="17"/>
            </w:pPr>
            <w:r>
              <w:rPr>
                <w:rFonts w:hint="eastAsia"/>
              </w:rPr>
              <w:t>兆欧表</w:t>
            </w:r>
          </w:p>
        </w:tc>
        <w:tc>
          <w:tcPr>
            <w:tcW w:w="1550" w:type="pct"/>
            <w:shd w:val="clear" w:color="auto" w:fill="auto"/>
            <w:vAlign w:val="center"/>
          </w:tcPr>
          <w:p w14:paraId="6B1A6B15">
            <w:pPr>
              <w:pStyle w:val="17"/>
            </w:pPr>
            <w:r>
              <w:rPr>
                <w:rFonts w:hint="eastAsia"/>
              </w:rPr>
              <w:t>ZC25-3</w:t>
            </w:r>
          </w:p>
        </w:tc>
        <w:tc>
          <w:tcPr>
            <w:tcW w:w="434" w:type="pct"/>
            <w:shd w:val="clear" w:color="auto" w:fill="auto"/>
            <w:vAlign w:val="center"/>
          </w:tcPr>
          <w:p w14:paraId="11E5C344">
            <w:pPr>
              <w:pStyle w:val="17"/>
            </w:pPr>
            <w:r>
              <w:rPr>
                <w:rFonts w:hint="eastAsia"/>
              </w:rPr>
              <w:t>1</w:t>
            </w:r>
          </w:p>
        </w:tc>
        <w:tc>
          <w:tcPr>
            <w:tcW w:w="434" w:type="pct"/>
            <w:shd w:val="clear" w:color="auto" w:fill="auto"/>
            <w:vAlign w:val="center"/>
          </w:tcPr>
          <w:p w14:paraId="59909FBD">
            <w:pPr>
              <w:pStyle w:val="17"/>
            </w:pPr>
            <w:r>
              <w:rPr>
                <w:rFonts w:hint="eastAsia"/>
              </w:rPr>
              <w:t>套</w:t>
            </w:r>
          </w:p>
        </w:tc>
        <w:tc>
          <w:tcPr>
            <w:tcW w:w="572" w:type="pct"/>
            <w:vMerge w:val="continue"/>
            <w:shd w:val="clear" w:color="auto" w:fill="auto"/>
            <w:vAlign w:val="center"/>
          </w:tcPr>
          <w:p w14:paraId="5B30990F">
            <w:pPr>
              <w:pStyle w:val="17"/>
            </w:pPr>
          </w:p>
        </w:tc>
      </w:tr>
      <w:tr w14:paraId="5328F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537849E8">
            <w:pPr>
              <w:pStyle w:val="17"/>
              <w:numPr>
                <w:ilvl w:val="0"/>
                <w:numId w:val="20"/>
              </w:numPr>
            </w:pPr>
          </w:p>
        </w:tc>
        <w:tc>
          <w:tcPr>
            <w:tcW w:w="1573" w:type="pct"/>
            <w:shd w:val="clear" w:color="auto" w:fill="auto"/>
            <w:vAlign w:val="center"/>
          </w:tcPr>
          <w:p w14:paraId="03EBB98A">
            <w:pPr>
              <w:pStyle w:val="17"/>
            </w:pPr>
            <w:r>
              <w:rPr>
                <w:rFonts w:hint="eastAsia"/>
              </w:rPr>
              <w:t>大锤、手锤</w:t>
            </w:r>
          </w:p>
        </w:tc>
        <w:tc>
          <w:tcPr>
            <w:tcW w:w="1550" w:type="pct"/>
            <w:shd w:val="clear" w:color="auto" w:fill="auto"/>
            <w:vAlign w:val="center"/>
          </w:tcPr>
          <w:p w14:paraId="268CDD87">
            <w:pPr>
              <w:pStyle w:val="17"/>
            </w:pPr>
          </w:p>
        </w:tc>
        <w:tc>
          <w:tcPr>
            <w:tcW w:w="434" w:type="pct"/>
            <w:shd w:val="clear" w:color="auto" w:fill="auto"/>
            <w:vAlign w:val="center"/>
          </w:tcPr>
          <w:p w14:paraId="451B5373">
            <w:pPr>
              <w:pStyle w:val="17"/>
            </w:pPr>
            <w:r>
              <w:rPr>
                <w:rFonts w:hint="eastAsia"/>
              </w:rPr>
              <w:t>若干</w:t>
            </w:r>
          </w:p>
        </w:tc>
        <w:tc>
          <w:tcPr>
            <w:tcW w:w="434" w:type="pct"/>
            <w:shd w:val="clear" w:color="auto" w:fill="auto"/>
            <w:vAlign w:val="center"/>
          </w:tcPr>
          <w:p w14:paraId="185A7CD7">
            <w:pPr>
              <w:pStyle w:val="17"/>
            </w:pPr>
            <w:r>
              <w:rPr>
                <w:rFonts w:hint="eastAsia"/>
              </w:rPr>
              <w:t>把</w:t>
            </w:r>
          </w:p>
        </w:tc>
        <w:tc>
          <w:tcPr>
            <w:tcW w:w="572" w:type="pct"/>
            <w:vMerge w:val="continue"/>
            <w:shd w:val="clear" w:color="auto" w:fill="auto"/>
            <w:vAlign w:val="center"/>
          </w:tcPr>
          <w:p w14:paraId="2B1F8AAC">
            <w:pPr>
              <w:pStyle w:val="17"/>
            </w:pPr>
          </w:p>
        </w:tc>
      </w:tr>
      <w:tr w14:paraId="2DE01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B70B743">
            <w:pPr>
              <w:pStyle w:val="17"/>
              <w:numPr>
                <w:ilvl w:val="0"/>
                <w:numId w:val="20"/>
              </w:numPr>
            </w:pPr>
          </w:p>
        </w:tc>
        <w:tc>
          <w:tcPr>
            <w:tcW w:w="1573" w:type="pct"/>
            <w:shd w:val="clear" w:color="auto" w:fill="auto"/>
            <w:vAlign w:val="center"/>
          </w:tcPr>
          <w:p w14:paraId="69264498">
            <w:pPr>
              <w:pStyle w:val="17"/>
            </w:pPr>
            <w:r>
              <w:rPr>
                <w:rFonts w:hint="eastAsia"/>
              </w:rPr>
              <w:t>线锤</w:t>
            </w:r>
          </w:p>
        </w:tc>
        <w:tc>
          <w:tcPr>
            <w:tcW w:w="1550" w:type="pct"/>
            <w:shd w:val="clear" w:color="auto" w:fill="auto"/>
            <w:vAlign w:val="center"/>
          </w:tcPr>
          <w:p w14:paraId="421512F6">
            <w:pPr>
              <w:pStyle w:val="17"/>
            </w:pPr>
          </w:p>
        </w:tc>
        <w:tc>
          <w:tcPr>
            <w:tcW w:w="434" w:type="pct"/>
            <w:shd w:val="clear" w:color="auto" w:fill="auto"/>
            <w:vAlign w:val="center"/>
          </w:tcPr>
          <w:p w14:paraId="027586B4">
            <w:pPr>
              <w:pStyle w:val="17"/>
            </w:pPr>
            <w:r>
              <w:rPr>
                <w:rFonts w:hint="eastAsia"/>
              </w:rPr>
              <w:t>1</w:t>
            </w:r>
          </w:p>
        </w:tc>
        <w:tc>
          <w:tcPr>
            <w:tcW w:w="434" w:type="pct"/>
            <w:shd w:val="clear" w:color="auto" w:fill="auto"/>
            <w:vAlign w:val="center"/>
          </w:tcPr>
          <w:p w14:paraId="6D0288C5">
            <w:pPr>
              <w:pStyle w:val="17"/>
            </w:pPr>
            <w:r>
              <w:rPr>
                <w:rFonts w:hint="eastAsia"/>
              </w:rPr>
              <w:t>套</w:t>
            </w:r>
          </w:p>
        </w:tc>
        <w:tc>
          <w:tcPr>
            <w:tcW w:w="572" w:type="pct"/>
            <w:vMerge w:val="continue"/>
            <w:shd w:val="clear" w:color="auto" w:fill="auto"/>
            <w:vAlign w:val="center"/>
          </w:tcPr>
          <w:p w14:paraId="20875CDB">
            <w:pPr>
              <w:pStyle w:val="17"/>
            </w:pPr>
          </w:p>
        </w:tc>
      </w:tr>
      <w:tr w14:paraId="762E1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A5F05DC">
            <w:pPr>
              <w:pStyle w:val="17"/>
              <w:numPr>
                <w:ilvl w:val="0"/>
                <w:numId w:val="20"/>
              </w:numPr>
            </w:pPr>
          </w:p>
        </w:tc>
        <w:tc>
          <w:tcPr>
            <w:tcW w:w="1573" w:type="pct"/>
            <w:shd w:val="clear" w:color="auto" w:fill="auto"/>
            <w:vAlign w:val="center"/>
          </w:tcPr>
          <w:p w14:paraId="558F43F2">
            <w:pPr>
              <w:pStyle w:val="17"/>
            </w:pPr>
            <w:r>
              <w:rPr>
                <w:rFonts w:hint="eastAsia"/>
              </w:rPr>
              <w:t>水准仪</w:t>
            </w:r>
          </w:p>
        </w:tc>
        <w:tc>
          <w:tcPr>
            <w:tcW w:w="1550" w:type="pct"/>
            <w:shd w:val="clear" w:color="auto" w:fill="auto"/>
            <w:vAlign w:val="center"/>
          </w:tcPr>
          <w:p w14:paraId="7809CE5B">
            <w:pPr>
              <w:pStyle w:val="17"/>
            </w:pPr>
            <w:r>
              <w:rPr>
                <w:rFonts w:hint="eastAsia"/>
              </w:rPr>
              <w:t>NAL232</w:t>
            </w:r>
          </w:p>
        </w:tc>
        <w:tc>
          <w:tcPr>
            <w:tcW w:w="434" w:type="pct"/>
            <w:shd w:val="clear" w:color="auto" w:fill="auto"/>
            <w:vAlign w:val="center"/>
          </w:tcPr>
          <w:p w14:paraId="484B1DDB">
            <w:pPr>
              <w:pStyle w:val="17"/>
            </w:pPr>
            <w:r>
              <w:rPr>
                <w:rFonts w:hint="eastAsia"/>
              </w:rPr>
              <w:t>1</w:t>
            </w:r>
          </w:p>
        </w:tc>
        <w:tc>
          <w:tcPr>
            <w:tcW w:w="434" w:type="pct"/>
            <w:shd w:val="clear" w:color="auto" w:fill="auto"/>
            <w:vAlign w:val="center"/>
          </w:tcPr>
          <w:p w14:paraId="5CE8EADA">
            <w:pPr>
              <w:pStyle w:val="17"/>
            </w:pPr>
            <w:r>
              <w:rPr>
                <w:rFonts w:hint="eastAsia"/>
              </w:rPr>
              <w:t>套</w:t>
            </w:r>
          </w:p>
        </w:tc>
        <w:tc>
          <w:tcPr>
            <w:tcW w:w="572" w:type="pct"/>
            <w:vMerge w:val="continue"/>
            <w:shd w:val="clear" w:color="auto" w:fill="auto"/>
            <w:vAlign w:val="center"/>
          </w:tcPr>
          <w:p w14:paraId="329143CD">
            <w:pPr>
              <w:pStyle w:val="17"/>
            </w:pPr>
          </w:p>
        </w:tc>
      </w:tr>
      <w:tr w14:paraId="0110D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634E6890">
            <w:pPr>
              <w:pStyle w:val="17"/>
              <w:numPr>
                <w:ilvl w:val="0"/>
                <w:numId w:val="20"/>
              </w:numPr>
            </w:pPr>
          </w:p>
        </w:tc>
        <w:tc>
          <w:tcPr>
            <w:tcW w:w="1573" w:type="pct"/>
            <w:shd w:val="clear" w:color="auto" w:fill="auto"/>
            <w:vAlign w:val="center"/>
          </w:tcPr>
          <w:p w14:paraId="32F4C67C">
            <w:pPr>
              <w:pStyle w:val="17"/>
            </w:pPr>
            <w:r>
              <w:rPr>
                <w:rFonts w:hint="eastAsia"/>
              </w:rPr>
              <w:t>钢卷尺</w:t>
            </w:r>
          </w:p>
        </w:tc>
        <w:tc>
          <w:tcPr>
            <w:tcW w:w="1550" w:type="pct"/>
            <w:shd w:val="clear" w:color="auto" w:fill="auto"/>
            <w:vAlign w:val="center"/>
          </w:tcPr>
          <w:p w14:paraId="1EE153B2">
            <w:pPr>
              <w:pStyle w:val="17"/>
            </w:pPr>
            <w:r>
              <w:rPr>
                <w:rFonts w:hint="eastAsia"/>
              </w:rPr>
              <w:t>30m、50m</w:t>
            </w:r>
          </w:p>
        </w:tc>
        <w:tc>
          <w:tcPr>
            <w:tcW w:w="434" w:type="pct"/>
            <w:shd w:val="clear" w:color="auto" w:fill="auto"/>
            <w:vAlign w:val="center"/>
          </w:tcPr>
          <w:p w14:paraId="1D33C589">
            <w:pPr>
              <w:pStyle w:val="17"/>
            </w:pPr>
            <w:r>
              <w:rPr>
                <w:rFonts w:hint="eastAsia"/>
              </w:rPr>
              <w:t>各1</w:t>
            </w:r>
          </w:p>
        </w:tc>
        <w:tc>
          <w:tcPr>
            <w:tcW w:w="434" w:type="pct"/>
            <w:shd w:val="clear" w:color="auto" w:fill="auto"/>
            <w:vAlign w:val="center"/>
          </w:tcPr>
          <w:p w14:paraId="47330D44">
            <w:pPr>
              <w:pStyle w:val="17"/>
            </w:pPr>
            <w:r>
              <w:rPr>
                <w:rFonts w:hint="eastAsia"/>
              </w:rPr>
              <w:t>个</w:t>
            </w:r>
          </w:p>
        </w:tc>
        <w:tc>
          <w:tcPr>
            <w:tcW w:w="572" w:type="pct"/>
            <w:vMerge w:val="continue"/>
            <w:shd w:val="clear" w:color="auto" w:fill="auto"/>
            <w:vAlign w:val="center"/>
          </w:tcPr>
          <w:p w14:paraId="04BD00BF">
            <w:pPr>
              <w:pStyle w:val="17"/>
            </w:pPr>
          </w:p>
        </w:tc>
      </w:tr>
      <w:tr w14:paraId="5BB05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08302B06">
            <w:pPr>
              <w:pStyle w:val="17"/>
              <w:numPr>
                <w:ilvl w:val="0"/>
                <w:numId w:val="20"/>
              </w:numPr>
            </w:pPr>
          </w:p>
        </w:tc>
        <w:tc>
          <w:tcPr>
            <w:tcW w:w="1573" w:type="pct"/>
            <w:shd w:val="clear" w:color="auto" w:fill="auto"/>
            <w:vAlign w:val="center"/>
          </w:tcPr>
          <w:p w14:paraId="4911AFDF">
            <w:pPr>
              <w:pStyle w:val="17"/>
            </w:pPr>
            <w:r>
              <w:rPr>
                <w:rFonts w:hint="eastAsia"/>
              </w:rPr>
              <w:t>钢卷短尺</w:t>
            </w:r>
          </w:p>
        </w:tc>
        <w:tc>
          <w:tcPr>
            <w:tcW w:w="1550" w:type="pct"/>
            <w:shd w:val="clear" w:color="auto" w:fill="auto"/>
            <w:vAlign w:val="center"/>
          </w:tcPr>
          <w:p w14:paraId="2B4BCFD2">
            <w:pPr>
              <w:pStyle w:val="17"/>
            </w:pPr>
            <w:r>
              <w:rPr>
                <w:rFonts w:hint="eastAsia"/>
              </w:rPr>
              <w:t>3～7.5m</w:t>
            </w:r>
          </w:p>
        </w:tc>
        <w:tc>
          <w:tcPr>
            <w:tcW w:w="434" w:type="pct"/>
            <w:shd w:val="clear" w:color="auto" w:fill="auto"/>
            <w:vAlign w:val="center"/>
          </w:tcPr>
          <w:p w14:paraId="663B3A99">
            <w:pPr>
              <w:pStyle w:val="17"/>
            </w:pPr>
            <w:r>
              <w:rPr>
                <w:rFonts w:hint="eastAsia"/>
              </w:rPr>
              <w:t>若干</w:t>
            </w:r>
          </w:p>
        </w:tc>
        <w:tc>
          <w:tcPr>
            <w:tcW w:w="434" w:type="pct"/>
            <w:shd w:val="clear" w:color="auto" w:fill="auto"/>
            <w:vAlign w:val="center"/>
          </w:tcPr>
          <w:p w14:paraId="18352775">
            <w:pPr>
              <w:pStyle w:val="17"/>
            </w:pPr>
            <w:r>
              <w:rPr>
                <w:rFonts w:hint="eastAsia"/>
              </w:rPr>
              <w:t>个</w:t>
            </w:r>
          </w:p>
        </w:tc>
        <w:tc>
          <w:tcPr>
            <w:tcW w:w="572" w:type="pct"/>
            <w:vMerge w:val="continue"/>
            <w:shd w:val="clear" w:color="auto" w:fill="auto"/>
            <w:vAlign w:val="center"/>
          </w:tcPr>
          <w:p w14:paraId="225BAE54">
            <w:pPr>
              <w:pStyle w:val="17"/>
            </w:pPr>
          </w:p>
        </w:tc>
      </w:tr>
    </w:tbl>
    <w:p w14:paraId="147099CF">
      <w:pPr>
        <w:ind w:firstLine="0" w:firstLineChars="0"/>
      </w:pPr>
      <w:bookmarkStart w:id="73" w:name="_Toc40778436"/>
      <w:r>
        <w:rPr>
          <w:rFonts w:hint="eastAsia"/>
          <w:color w:val="000000" w:themeColor="text1"/>
          <w14:textFill>
            <w14:solidFill>
              <w14:schemeClr w14:val="tx1"/>
            </w14:solidFill>
          </w14:textFill>
        </w:rPr>
        <w:br w:type="page"/>
      </w:r>
    </w:p>
    <w:p w14:paraId="0DC26F87">
      <w:pPr>
        <w:pStyle w:val="2"/>
        <w:ind w:left="3840" w:leftChars="0" w:firstLineChars="0"/>
        <w:jc w:val="both"/>
      </w:pPr>
      <w:bookmarkStart w:id="74" w:name="_Toc6760"/>
      <w:bookmarkStart w:id="75" w:name="_Toc31407"/>
      <w:bookmarkStart w:id="76" w:name="_Toc17478"/>
      <w:r>
        <w:rPr>
          <w:rFonts w:hint="eastAsia"/>
        </w:rPr>
        <w:t>施工工艺</w:t>
      </w:r>
      <w:bookmarkEnd w:id="73"/>
      <w:bookmarkEnd w:id="74"/>
      <w:bookmarkEnd w:id="75"/>
      <w:bookmarkEnd w:id="76"/>
    </w:p>
    <w:p w14:paraId="687DD819">
      <w:pPr>
        <w:pStyle w:val="3"/>
      </w:pPr>
      <w:bookmarkStart w:id="77" w:name="_Toc12228"/>
      <w:r>
        <w:rPr>
          <w:rFonts w:hint="eastAsia"/>
        </w:rPr>
        <w:t>施工方案概述</w:t>
      </w:r>
      <w:bookmarkEnd w:id="77"/>
    </w:p>
    <w:p w14:paraId="04795C24">
      <w:pPr>
        <w:numPr>
          <w:ilvl w:val="0"/>
          <w:numId w:val="21"/>
        </w:numPr>
        <w:ind w:firstLineChars="0"/>
      </w:pPr>
      <w:r>
        <w:rPr>
          <w:rFonts w:hint="eastAsia"/>
        </w:rPr>
        <w:t>设备安装</w:t>
      </w:r>
    </w:p>
    <w:p w14:paraId="440B4642">
      <w:pPr>
        <w:ind w:firstLine="480"/>
        <w:rPr>
          <w:rFonts w:hint="eastAsia"/>
        </w:rPr>
      </w:pP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260t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进行安装。依次在塔吊基础上安装基础节、加强节、标准节、爬升架、回转总成、臂根节、剩余平衡臂、初始平衡重、剩余起重臂、剩余配重、安装钢丝绳及附属机构；</w:t>
      </w:r>
    </w:p>
    <w:p w14:paraId="731B98BD">
      <w:pPr>
        <w:ind w:firstLine="480"/>
      </w:pPr>
      <w:r>
        <w:rPr>
          <w:rFonts w:hint="eastAsia"/>
        </w:rPr>
        <w:t>安装完成后，检查运行机构电气连接，检查行程限位器和载荷限位器等安全设施。进行空载试验、负荷试验、超载25%静态试验（四倍率）及超载10%动态试验（四倍率）。</w:t>
      </w:r>
    </w:p>
    <w:p w14:paraId="38ADD8EA">
      <w:pPr>
        <w:numPr>
          <w:ilvl w:val="0"/>
          <w:numId w:val="21"/>
        </w:numPr>
        <w:ind w:firstLineChars="0"/>
      </w:pPr>
      <w:r>
        <w:rPr>
          <w:rFonts w:hint="eastAsia"/>
        </w:rPr>
        <w:t>设备拆除</w:t>
      </w:r>
    </w:p>
    <w:p w14:paraId="6EA4D3D5">
      <w:pPr>
        <w:ind w:firstLine="480"/>
      </w:pP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260t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拆除。</w:t>
      </w:r>
    </w:p>
    <w:p w14:paraId="5810F4AE">
      <w:pPr>
        <w:pStyle w:val="3"/>
      </w:pPr>
      <w:bookmarkStart w:id="78" w:name="_Toc315"/>
      <w:bookmarkStart w:id="79" w:name="_Toc26392"/>
      <w:bookmarkStart w:id="80" w:name="_Toc29597"/>
      <w:bookmarkStart w:id="81" w:name="_Toc40778437"/>
      <w:bookmarkStart w:id="82" w:name="_Toc12005"/>
      <w:bookmarkStart w:id="83" w:name="_Toc1607"/>
      <w:bookmarkStart w:id="84" w:name="_Toc2911"/>
      <w:bookmarkStart w:id="85" w:name="_Toc11075"/>
      <w:r>
        <w:rPr>
          <w:rFonts w:hint="eastAsia"/>
        </w:rPr>
        <w:t>主要设备选型</w:t>
      </w:r>
      <w:bookmarkEnd w:id="78"/>
    </w:p>
    <w:p w14:paraId="28457CF4">
      <w:pPr>
        <w:pStyle w:val="4"/>
        <w:numPr>
          <w:ilvl w:val="2"/>
          <w:numId w:val="1"/>
        </w:numPr>
        <w:bidi w:val="0"/>
      </w:pPr>
      <w:r>
        <w:t>起重设备选型</w:t>
      </w:r>
    </w:p>
    <w:p w14:paraId="78A039FD">
      <w:pPr>
        <w:pStyle w:val="5"/>
      </w:pPr>
      <w:r>
        <w:rPr>
          <w:rFonts w:hint="eastAsia"/>
        </w:rPr>
        <w:t>起重设备参数</w:t>
      </w:r>
    </w:p>
    <w:p w14:paraId="303F5FD7">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14:paraId="4BA21DC6">
      <w:pPr>
        <w:pStyle w:val="16"/>
      </w:pPr>
      <w:bookmarkStart w:id="86" w:name="_Ref117774280"/>
      <w:r>
        <w:rPr>
          <w:rFonts w:hint="eastAsia"/>
        </w:rPr>
        <w:t>表</w:t>
      </w:r>
      <w:r>
        <w:fldChar w:fldCharType="begin"/>
      </w:r>
      <w:r>
        <w:instrText xml:space="preserve"> STYLEREF 3 \s </w:instrText>
      </w:r>
      <w:r>
        <w:fldChar w:fldCharType="separate"/>
      </w:r>
      <w:r>
        <w:t>4.2.1</w:t>
      </w:r>
      <w:r>
        <w:fldChar w:fldCharType="end"/>
      </w:r>
      <w:r>
        <w:rPr>
          <w:rFonts w:hint="eastAsia"/>
          <w:lang w:val="en-US" w:eastAsia="zh-CN"/>
        </w:rPr>
        <w:t>.1</w:t>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86"/>
      <w:r>
        <w:t xml:space="preserve"> </w:t>
      </w: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施工起重设备选型</w:t>
      </w:r>
    </w:p>
    <w:tbl>
      <w:tblPr>
        <w:tblStyle w:val="1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54"/>
        <w:gridCol w:w="1465"/>
        <w:gridCol w:w="681"/>
        <w:gridCol w:w="679"/>
        <w:gridCol w:w="2728"/>
        <w:gridCol w:w="751"/>
      </w:tblGrid>
      <w:tr w14:paraId="5406D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0" w:type="pct"/>
            <w:shd w:val="clear" w:color="auto" w:fill="auto"/>
            <w:vAlign w:val="center"/>
          </w:tcPr>
          <w:p w14:paraId="4C5B5A33">
            <w:pPr>
              <w:pStyle w:val="17"/>
              <w:rPr>
                <w:b/>
              </w:rPr>
            </w:pPr>
            <w:r>
              <w:rPr>
                <w:rFonts w:hint="eastAsia"/>
                <w:b/>
              </w:rPr>
              <w:t>序号</w:t>
            </w:r>
          </w:p>
        </w:tc>
        <w:tc>
          <w:tcPr>
            <w:tcW w:w="911" w:type="pct"/>
            <w:shd w:val="clear" w:color="auto" w:fill="auto"/>
            <w:vAlign w:val="center"/>
          </w:tcPr>
          <w:p w14:paraId="224E45D2">
            <w:pPr>
              <w:pStyle w:val="17"/>
              <w:rPr>
                <w:b/>
              </w:rPr>
            </w:pPr>
            <w:r>
              <w:rPr>
                <w:rFonts w:hint="eastAsia"/>
                <w:b/>
              </w:rPr>
              <w:t>设备名称</w:t>
            </w:r>
          </w:p>
        </w:tc>
        <w:tc>
          <w:tcPr>
            <w:tcW w:w="859" w:type="pct"/>
            <w:shd w:val="clear" w:color="auto" w:fill="auto"/>
            <w:vAlign w:val="center"/>
          </w:tcPr>
          <w:p w14:paraId="2ECF04D8">
            <w:pPr>
              <w:pStyle w:val="17"/>
              <w:rPr>
                <w:b/>
              </w:rPr>
            </w:pPr>
            <w:r>
              <w:rPr>
                <w:rFonts w:hint="eastAsia"/>
                <w:b/>
              </w:rPr>
              <w:t>规格型号</w:t>
            </w:r>
          </w:p>
        </w:tc>
        <w:tc>
          <w:tcPr>
            <w:tcW w:w="399" w:type="pct"/>
            <w:shd w:val="clear" w:color="auto" w:fill="auto"/>
            <w:vAlign w:val="center"/>
          </w:tcPr>
          <w:p w14:paraId="2C7C86A8">
            <w:pPr>
              <w:pStyle w:val="17"/>
              <w:rPr>
                <w:b/>
              </w:rPr>
            </w:pPr>
            <w:r>
              <w:rPr>
                <w:rFonts w:hint="eastAsia"/>
                <w:b/>
              </w:rPr>
              <w:t>单位</w:t>
            </w:r>
          </w:p>
        </w:tc>
        <w:tc>
          <w:tcPr>
            <w:tcW w:w="398" w:type="pct"/>
            <w:shd w:val="clear" w:color="auto" w:fill="auto"/>
            <w:vAlign w:val="center"/>
          </w:tcPr>
          <w:p w14:paraId="78D3E021">
            <w:pPr>
              <w:pStyle w:val="17"/>
              <w:rPr>
                <w:b/>
              </w:rPr>
            </w:pPr>
            <w:r>
              <w:rPr>
                <w:rFonts w:hint="eastAsia"/>
                <w:b/>
              </w:rPr>
              <w:t>数量</w:t>
            </w:r>
          </w:p>
        </w:tc>
        <w:tc>
          <w:tcPr>
            <w:tcW w:w="1599" w:type="pct"/>
            <w:shd w:val="clear" w:color="auto" w:fill="auto"/>
            <w:vAlign w:val="center"/>
          </w:tcPr>
          <w:p w14:paraId="036CE4F0">
            <w:pPr>
              <w:pStyle w:val="17"/>
              <w:rPr>
                <w:b/>
              </w:rPr>
            </w:pPr>
            <w:r>
              <w:rPr>
                <w:rFonts w:hint="eastAsia"/>
                <w:b/>
              </w:rPr>
              <w:t>工作内容</w:t>
            </w:r>
          </w:p>
        </w:tc>
        <w:tc>
          <w:tcPr>
            <w:tcW w:w="440" w:type="pct"/>
            <w:shd w:val="clear" w:color="auto" w:fill="auto"/>
            <w:vAlign w:val="center"/>
          </w:tcPr>
          <w:p w14:paraId="4437B5CD">
            <w:pPr>
              <w:pStyle w:val="17"/>
              <w:rPr>
                <w:b/>
              </w:rPr>
            </w:pPr>
            <w:r>
              <w:rPr>
                <w:rFonts w:hint="eastAsia"/>
                <w:b/>
              </w:rPr>
              <w:t>备注</w:t>
            </w:r>
          </w:p>
        </w:tc>
      </w:tr>
      <w:tr w14:paraId="5BDFE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shd w:val="clear" w:color="auto" w:fill="auto"/>
            <w:vAlign w:val="center"/>
          </w:tcPr>
          <w:p w14:paraId="19DF9399">
            <w:pPr>
              <w:pStyle w:val="17"/>
              <w:numPr>
                <w:ilvl w:val="0"/>
                <w:numId w:val="22"/>
              </w:numPr>
            </w:pPr>
          </w:p>
        </w:tc>
        <w:tc>
          <w:tcPr>
            <w:tcW w:w="911" w:type="pct"/>
            <w:shd w:val="clear" w:color="auto" w:fill="auto"/>
            <w:vAlign w:val="center"/>
          </w:tcPr>
          <w:p w14:paraId="4C102288">
            <w:pPr>
              <w:pStyle w:val="17"/>
            </w:pPr>
            <w:bookmarkStart w:id="87" w:name="起重设备1类型"/>
            <w:r>
              <w:rPr>
                <w:rFonts w:hint="eastAsia"/>
              </w:rPr>
              <w:t>汽车式起重机</w:t>
            </w:r>
            <w:bookmarkEnd w:id="87"/>
          </w:p>
        </w:tc>
        <w:tc>
          <w:tcPr>
            <w:tcW w:w="859" w:type="pct"/>
            <w:shd w:val="clear" w:color="auto" w:fill="auto"/>
            <w:vAlign w:val="center"/>
          </w:tcPr>
          <w:p w14:paraId="1D4A8899">
            <w:pPr>
              <w:pStyle w:val="17"/>
              <w:rPr>
                <w:rFonts w:hint="eastAsia" w:eastAsia="宋体"/>
                <w:lang w:eastAsia="zh-CN"/>
              </w:rPr>
            </w:pPr>
            <w:r>
              <w:rPr>
                <w:rFonts w:hint="eastAsia"/>
                <w:lang w:val="en-US" w:eastAsia="zh-CN"/>
              </w:rPr>
              <w:t>260</w:t>
            </w:r>
            <w:r>
              <w:rPr>
                <w:rFonts w:hint="eastAsia"/>
                <w:lang w:eastAsia="zh-CN"/>
              </w:rPr>
              <w:t>t</w:t>
            </w:r>
          </w:p>
        </w:tc>
        <w:tc>
          <w:tcPr>
            <w:tcW w:w="399" w:type="pct"/>
            <w:shd w:val="clear" w:color="auto" w:fill="auto"/>
            <w:vAlign w:val="center"/>
          </w:tcPr>
          <w:p w14:paraId="7FBA9128">
            <w:pPr>
              <w:pStyle w:val="17"/>
            </w:pPr>
            <w:r>
              <w:rPr>
                <w:rFonts w:hint="eastAsia"/>
              </w:rPr>
              <w:t>台</w:t>
            </w:r>
          </w:p>
        </w:tc>
        <w:tc>
          <w:tcPr>
            <w:tcW w:w="398" w:type="pct"/>
            <w:shd w:val="clear" w:color="auto" w:fill="auto"/>
            <w:vAlign w:val="center"/>
          </w:tcPr>
          <w:p w14:paraId="7FB74858">
            <w:pPr>
              <w:pStyle w:val="17"/>
            </w:pPr>
            <w:r>
              <w:t>1</w:t>
            </w:r>
          </w:p>
        </w:tc>
        <w:tc>
          <w:tcPr>
            <w:tcW w:w="1599" w:type="pct"/>
            <w:shd w:val="clear" w:color="auto" w:fill="auto"/>
            <w:vAlign w:val="center"/>
          </w:tcPr>
          <w:p w14:paraId="2AE30413">
            <w:pPr>
              <w:pStyle w:val="17"/>
            </w:pPr>
            <w:r>
              <w:rPr>
                <w:rFonts w:hint="eastAsia"/>
              </w:rPr>
              <w:t>安装、拆除</w:t>
            </w: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p>
        </w:tc>
        <w:tc>
          <w:tcPr>
            <w:tcW w:w="440" w:type="pct"/>
            <w:shd w:val="clear" w:color="auto" w:fill="auto"/>
            <w:vAlign w:val="center"/>
          </w:tcPr>
          <w:p w14:paraId="26C107CE">
            <w:pPr>
              <w:pStyle w:val="17"/>
            </w:pPr>
          </w:p>
        </w:tc>
      </w:tr>
    </w:tbl>
    <w:p w14:paraId="4781F6AC">
      <w:pPr>
        <w:ind w:firstLine="480"/>
      </w:pPr>
      <w:bookmarkStart w:id="88" w:name="_Ref77088541"/>
      <w:r>
        <w:rPr>
          <w:rFonts w:hint="eastAsia" w:ascii="Calibri"/>
          <w:lang w:val="en-US" w:eastAsia="zh-CN"/>
        </w:rPr>
        <w:t>260</w:t>
      </w:r>
      <w:r>
        <w:rPr>
          <w:rFonts w:hint="eastAsia" w:ascii="Calibri" w:eastAsia="宋体"/>
          <w:lang w:val="en-US" w:eastAsia="zh-CN"/>
        </w:rPr>
        <w:t>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整机尺寸、主臂性能和起升高度曲线如</w:t>
      </w:r>
      <w:r>
        <w:fldChar w:fldCharType="begin"/>
      </w:r>
      <w:r>
        <w:instrText xml:space="preserve"> </w:instrText>
      </w:r>
      <w:r>
        <w:rPr>
          <w:rFonts w:hint="eastAsia"/>
        </w:rPr>
        <w:instrText xml:space="preserve">REF _Ref117774180 \h</w:instrText>
      </w:r>
      <w:r>
        <w:instrText xml:space="preserve">  \* MERGEFORMAT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_Ref117774181 \h</w:instrText>
      </w:r>
      <w:r>
        <w:instrText xml:space="preserve">  \* MERGEFORMAT </w:instrText>
      </w:r>
      <w:r>
        <w:fldChar w:fldCharType="separate"/>
      </w:r>
      <w:r>
        <w:rPr>
          <w:rFonts w:hint="eastAsia"/>
        </w:rPr>
        <w:t>图</w:t>
      </w:r>
      <w:r>
        <w:t>4.2.1</w:t>
      </w:r>
      <w:r>
        <w:rPr>
          <w:rFonts w:hint="eastAsia"/>
        </w:rPr>
        <w:t>-</w:t>
      </w:r>
      <w:r>
        <w:t>2</w:t>
      </w:r>
      <w:r>
        <w:fldChar w:fldCharType="end"/>
      </w:r>
      <w:r>
        <w:rPr>
          <w:rFonts w:hint="eastAsia"/>
        </w:rPr>
        <w:t>和</w:t>
      </w:r>
      <w:r>
        <w:fldChar w:fldCharType="begin"/>
      </w:r>
      <w:r>
        <w:instrText xml:space="preserve"> </w:instrText>
      </w:r>
      <w:r>
        <w:rPr>
          <w:rFonts w:hint="eastAsia"/>
        </w:rPr>
        <w:instrText xml:space="preserve">REF _Ref117774182 \h</w:instrText>
      </w:r>
      <w:r>
        <w:instrText xml:space="preserve">  \* MERGEFORMAT </w:instrText>
      </w:r>
      <w:r>
        <w:fldChar w:fldCharType="separate"/>
      </w:r>
      <w:r>
        <w:rPr>
          <w:rFonts w:hint="eastAsia"/>
        </w:rPr>
        <w:t>图</w:t>
      </w:r>
      <w:r>
        <w:t>4.2.1</w:t>
      </w:r>
      <w:r>
        <w:rPr>
          <w:rFonts w:hint="eastAsia"/>
        </w:rPr>
        <w:t>-</w:t>
      </w:r>
      <w:r>
        <w:t>3</w:t>
      </w:r>
      <w:r>
        <w:fldChar w:fldCharType="end"/>
      </w:r>
      <w:r>
        <w:rPr>
          <w:rFonts w:hint="eastAsia"/>
        </w:rPr>
        <w:t>所示。</w:t>
      </w:r>
    </w:p>
    <w:p w14:paraId="53670699">
      <w:pPr>
        <w:pStyle w:val="117"/>
      </w:pPr>
      <w:r>
        <w:drawing>
          <wp:inline distT="0" distB="0" distL="114300" distR="114300">
            <wp:extent cx="5265420" cy="3039745"/>
            <wp:effectExtent l="0" t="0" r="11430" b="825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265420" cy="3039745"/>
                    </a:xfrm>
                    <a:prstGeom prst="rect">
                      <a:avLst/>
                    </a:prstGeom>
                    <a:noFill/>
                    <a:ln>
                      <a:noFill/>
                    </a:ln>
                  </pic:spPr>
                </pic:pic>
              </a:graphicData>
            </a:graphic>
          </wp:inline>
        </w:drawing>
      </w:r>
    </w:p>
    <w:p w14:paraId="432C7194">
      <w:pPr>
        <w:pStyle w:val="116"/>
      </w:pPr>
      <w:bookmarkStart w:id="89" w:name="_Ref117774180"/>
      <w:r>
        <w:rPr>
          <w:rFonts w:hint="eastAsia"/>
        </w:rPr>
        <w:t>图</w:t>
      </w:r>
      <w:r>
        <w:fldChar w:fldCharType="begin"/>
      </w:r>
      <w:r>
        <w:instrText xml:space="preserve"> STYLEREF 3 \s </w:instrText>
      </w:r>
      <w:r>
        <w:fldChar w:fldCharType="separate"/>
      </w:r>
      <w:r>
        <w:t>4.2.1</w:t>
      </w:r>
      <w:r>
        <w:fldChar w:fldCharType="end"/>
      </w:r>
      <w:r>
        <w:rPr>
          <w:rFonts w:hint="eastAsia"/>
          <w:lang w:val="en-US" w:eastAsia="zh-CN"/>
        </w:rPr>
        <w:t>.1</w:t>
      </w:r>
      <w:r>
        <w:t>-</w:t>
      </w:r>
      <w:r>
        <w:rPr>
          <w:rFonts w:hint="eastAsia"/>
          <w:lang w:val="en-US" w:eastAsia="zh-CN"/>
        </w:rPr>
        <w:t>2</w:t>
      </w:r>
      <w:bookmarkEnd w:id="89"/>
      <w:r>
        <w:t xml:space="preserve"> </w:t>
      </w:r>
      <w:r>
        <w:rPr>
          <w:rFonts w:hint="eastAsia" w:ascii="Calibri"/>
          <w:lang w:val="en-US" w:eastAsia="zh-CN"/>
        </w:rPr>
        <w:t>80</w:t>
      </w:r>
      <w:r>
        <w:rPr>
          <w:rFonts w:hint="eastAsia" w:ascii="Calibri" w:eastAsia="宋体"/>
          <w:lang w:val="en-US" w:eastAsia="zh-CN"/>
        </w:rPr>
        <w:t>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w:t>
      </w:r>
    </w:p>
    <w:p w14:paraId="1A859876">
      <w:pPr>
        <w:widowControl w:val="0"/>
        <w:tabs>
          <w:tab w:val="left" w:pos="630"/>
        </w:tabs>
        <w:spacing w:before="163" w:beforeLines="50" w:after="163" w:afterLines="50" w:line="240" w:lineRule="auto"/>
        <w:ind w:firstLine="0" w:firstLineChars="0"/>
        <w:jc w:val="center"/>
        <w:textAlignment w:val="auto"/>
        <w:rPr>
          <w:rFonts w:hint="eastAsia" w:ascii="黑体" w:hAnsi="黑体" w:eastAsia="黑体" w:cs="Times New Roman"/>
          <w:kern w:val="0"/>
          <w:sz w:val="21"/>
          <w:szCs w:val="21"/>
          <w:lang w:val="en-US" w:eastAsia="zh-CN" w:bidi="ar-SA"/>
        </w:rPr>
      </w:pPr>
      <w:r>
        <w:rPr>
          <w:rFonts w:hint="eastAsia" w:ascii="黑体" w:hAnsi="黑体" w:eastAsia="黑体" w:cs="Times New Roman"/>
          <w:kern w:val="0"/>
          <w:sz w:val="21"/>
          <w:szCs w:val="21"/>
          <w:lang w:val="en-US" w:eastAsia="zh-CN" w:bidi="ar-SA"/>
        </w:rPr>
        <w:drawing>
          <wp:inline distT="0" distB="0" distL="114300" distR="114300">
            <wp:extent cx="5269230" cy="4961255"/>
            <wp:effectExtent l="0" t="0" r="7620" b="10795"/>
            <wp:docPr id="16" name="图片 16" descr="1f1c63d0d1ee818f13e03b5a118b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f1c63d0d1ee818f13e03b5a118b2fe"/>
                    <pic:cNvPicPr>
                      <a:picLocks noChangeAspect="1"/>
                    </pic:cNvPicPr>
                  </pic:nvPicPr>
                  <pic:blipFill>
                    <a:blip r:embed="rId25"/>
                    <a:stretch>
                      <a:fillRect/>
                    </a:stretch>
                  </pic:blipFill>
                  <pic:spPr>
                    <a:xfrm>
                      <a:off x="0" y="0"/>
                      <a:ext cx="5269230" cy="4961255"/>
                    </a:xfrm>
                    <a:prstGeom prst="rect">
                      <a:avLst/>
                    </a:prstGeom>
                  </pic:spPr>
                </pic:pic>
              </a:graphicData>
            </a:graphic>
          </wp:inline>
        </w:drawing>
      </w:r>
    </w:p>
    <w:p w14:paraId="103803E5">
      <w:pPr>
        <w:pStyle w:val="116"/>
        <w:rPr>
          <w:rFonts w:hint="eastAsia"/>
        </w:rPr>
      </w:pPr>
      <w:bookmarkStart w:id="90" w:name="_Ref117774181"/>
      <w:r>
        <w:rPr>
          <w:rFonts w:hint="eastAsia"/>
        </w:rPr>
        <w:t>图</w:t>
      </w:r>
      <w:r>
        <w:fldChar w:fldCharType="begin"/>
      </w:r>
      <w:r>
        <w:instrText xml:space="preserve"> STYLEREF 3 \s </w:instrText>
      </w:r>
      <w:r>
        <w:fldChar w:fldCharType="separate"/>
      </w:r>
      <w:r>
        <w:t>4.2.1</w:t>
      </w:r>
      <w:r>
        <w:fldChar w:fldCharType="end"/>
      </w:r>
      <w:r>
        <w:rPr>
          <w:rFonts w:hint="eastAsia"/>
          <w:lang w:val="en-US" w:eastAsia="zh-CN"/>
        </w:rPr>
        <w:t>.1-</w:t>
      </w:r>
      <w:bookmarkEnd w:id="90"/>
      <w:r>
        <w:rPr>
          <w:rFonts w:hint="eastAsia"/>
          <w:lang w:val="en-US" w:eastAsia="zh-CN"/>
        </w:rPr>
        <w:t>3</w:t>
      </w:r>
      <w:r>
        <w:t xml:space="preserve"> </w:t>
      </w:r>
      <w:r>
        <w:rPr>
          <w:rFonts w:hint="eastAsia" w:ascii="Calibri"/>
          <w:lang w:val="en-US" w:eastAsia="zh-CN"/>
        </w:rPr>
        <w:t>80</w:t>
      </w:r>
      <w:r>
        <w:rPr>
          <w:rFonts w:hint="eastAsia" w:ascii="Calibri" w:eastAsia="宋体"/>
          <w:lang w:val="en-US" w:eastAsia="zh-CN"/>
        </w:rPr>
        <w:t>t</w:t>
      </w:r>
      <w:r>
        <w:fldChar w:fldCharType="begin"/>
      </w:r>
      <w:r>
        <w:instrText xml:space="preserve"> REF 起重设备1类型 \h </w:instrText>
      </w:r>
      <w:r>
        <w:fldChar w:fldCharType="separate"/>
      </w:r>
      <w:r>
        <w:rPr>
          <w:rFonts w:hint="eastAsia"/>
        </w:rPr>
        <w:t>汽车式起重机</w:t>
      </w:r>
      <w:r>
        <w:fldChar w:fldCharType="end"/>
      </w:r>
      <w:r>
        <w:rPr>
          <w:rFonts w:hint="eastAsia"/>
        </w:rPr>
        <w:t>主臂性能</w:t>
      </w:r>
    </w:p>
    <w:p w14:paraId="69AB579E">
      <w:pPr>
        <w:rPr>
          <w:rFonts w:hint="eastAsia" w:ascii="Times New Roman" w:hAnsi="Times New Roman" w:eastAsia="宋体" w:cs="Times New Roman"/>
        </w:rPr>
      </w:pPr>
      <w:r>
        <w:drawing>
          <wp:inline distT="0" distB="0" distL="114300" distR="114300">
            <wp:extent cx="5269865" cy="4284980"/>
            <wp:effectExtent l="0" t="0" r="6985" b="12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6"/>
                    <a:stretch>
                      <a:fillRect/>
                    </a:stretch>
                  </pic:blipFill>
                  <pic:spPr>
                    <a:xfrm>
                      <a:off x="0" y="0"/>
                      <a:ext cx="5269865" cy="4284980"/>
                    </a:xfrm>
                    <a:prstGeom prst="rect">
                      <a:avLst/>
                    </a:prstGeom>
                    <a:noFill/>
                    <a:ln>
                      <a:noFill/>
                    </a:ln>
                  </pic:spPr>
                </pic:pic>
              </a:graphicData>
            </a:graphic>
          </wp:inline>
        </w:drawing>
      </w:r>
    </w:p>
    <w:p w14:paraId="37A1C624">
      <w:pPr>
        <w:pStyle w:val="116"/>
        <w:rPr>
          <w:rFonts w:hint="eastAsia"/>
        </w:rPr>
      </w:pPr>
      <w:bookmarkStart w:id="91" w:name="_Ref117774182"/>
      <w:r>
        <w:rPr>
          <w:rFonts w:hint="eastAsia"/>
        </w:rPr>
        <w:t>图</w:t>
      </w:r>
      <w:bookmarkEnd w:id="91"/>
      <w:r>
        <w:fldChar w:fldCharType="begin"/>
      </w:r>
      <w:r>
        <w:instrText xml:space="preserve"> STYLEREF 3 \s </w:instrText>
      </w:r>
      <w:r>
        <w:fldChar w:fldCharType="separate"/>
      </w:r>
      <w:r>
        <w:t>4.2.1</w:t>
      </w:r>
      <w:r>
        <w:fldChar w:fldCharType="end"/>
      </w:r>
      <w:r>
        <w:rPr>
          <w:rFonts w:hint="eastAsia"/>
          <w:lang w:val="en-US" w:eastAsia="zh-CN"/>
        </w:rPr>
        <w:t>.1</w:t>
      </w:r>
      <w:r>
        <w:t>-</w:t>
      </w:r>
      <w:r>
        <w:rPr>
          <w:rFonts w:hint="eastAsia"/>
          <w:lang w:val="en-US" w:eastAsia="zh-CN"/>
        </w:rPr>
        <w:t>4</w:t>
      </w:r>
      <w:r>
        <w:rPr>
          <w:rFonts w:hint="eastAsia" w:ascii="Calibri"/>
          <w:lang w:val="en-US" w:eastAsia="zh-CN"/>
        </w:rPr>
        <w:t>80</w:t>
      </w:r>
      <w:r>
        <w:rPr>
          <w:rFonts w:hint="eastAsia" w:ascii="Calibri" w:eastAsia="宋体"/>
          <w:lang w:val="en-US" w:eastAsia="zh-CN"/>
        </w:rPr>
        <w:t>t</w:t>
      </w:r>
      <w:r>
        <w:fldChar w:fldCharType="begin"/>
      </w:r>
      <w:r>
        <w:instrText xml:space="preserve"> REF 起重设备1类型 \h </w:instrText>
      </w:r>
      <w:r>
        <w:fldChar w:fldCharType="separate"/>
      </w:r>
      <w:r>
        <w:rPr>
          <w:rFonts w:hint="eastAsia"/>
        </w:rPr>
        <w:t>汽车式起重机</w:t>
      </w:r>
      <w:r>
        <w:fldChar w:fldCharType="end"/>
      </w:r>
      <w:r>
        <w:rPr>
          <w:rFonts w:hint="eastAsia"/>
        </w:rPr>
        <w:t>起升高度曲线</w:t>
      </w:r>
    </w:p>
    <w:p w14:paraId="53F0F62D">
      <w:pPr>
        <w:pStyle w:val="5"/>
      </w:pPr>
      <w:r>
        <w:rPr>
          <w:rFonts w:hint="eastAsia"/>
        </w:rPr>
        <w:t>全部吊装工况</w:t>
      </w:r>
    </w:p>
    <w:p w14:paraId="60FBBFDC">
      <w:pPr>
        <w:ind w:firstLine="480"/>
      </w:pP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w:t>
      </w:r>
      <w:r>
        <w:rPr>
          <w:rFonts w:hint="eastAsia"/>
          <w:lang w:val="en-US" w:eastAsia="zh-CN"/>
        </w:rPr>
        <w:t>1</w:t>
      </w:r>
      <w:r>
        <w:fldChar w:fldCharType="end"/>
      </w:r>
      <w:r>
        <w:rPr>
          <w:rFonts w:hint="eastAsia"/>
        </w:rPr>
        <w:t>所示。</w:t>
      </w:r>
    </w:p>
    <w:p w14:paraId="31A3E40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92" w:name="_Ref12124992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4.2.1</w:t>
      </w:r>
      <w:r>
        <w:rPr>
          <w:rFonts w:ascii="Times New Roman" w:hAnsi="Times New Roman" w:eastAsia="宋体" w:cs="Times New Roman"/>
          <w:b/>
          <w:kern w:val="2"/>
          <w:sz w:val="21"/>
          <w:szCs w:val="21"/>
          <w:lang w:val="en-US" w:eastAsia="zh-CN" w:bidi="ar-SA"/>
        </w:rPr>
        <w:fldChar w:fldCharType="end"/>
      </w:r>
      <w:r>
        <w:rPr>
          <w:rFonts w:hint="eastAsia"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t>-</w:t>
      </w:r>
      <w:bookmarkEnd w:id="92"/>
      <w:r>
        <w:rPr>
          <w:rFonts w:hint="eastAsia"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REF 设备型号1 \h</w:instrText>
      </w:r>
      <w:r>
        <w:rPr>
          <w:rFonts w:ascii="Times New Roman" w:hAnsi="Times New Roman" w:eastAsia="宋体" w:cs="Times New Roman"/>
          <w:b/>
          <w:kern w:val="2"/>
          <w:sz w:val="21"/>
          <w:szCs w:val="21"/>
          <w:lang w:val="en-US" w:eastAsia="zh-CN" w:bidi="ar-SA"/>
        </w:rPr>
        <w:instrText xml:space="preserve">  \* MERGEFORMAT </w:instrText>
      </w:r>
      <w:r>
        <w:rPr>
          <w:rFonts w:ascii="Times New Roman" w:hAnsi="Times New Roman" w:eastAsia="宋体" w:cs="Times New Roman"/>
          <w:b/>
          <w:kern w:val="2"/>
          <w:sz w:val="21"/>
          <w:szCs w:val="21"/>
          <w:lang w:val="en-US" w:eastAsia="zh-CN" w:bidi="ar-SA"/>
        </w:rPr>
        <w:fldChar w:fldCharType="separate"/>
      </w:r>
      <w:r>
        <w:rPr>
          <w:rFonts w:hint="eastAsia" w:cs="Times New Roman"/>
          <w:b/>
          <w:kern w:val="2"/>
          <w:sz w:val="21"/>
          <w:szCs w:val="21"/>
          <w:lang w:val="en-US" w:eastAsia="zh-CN" w:bidi="ar-SA"/>
        </w:rPr>
        <w:t>T7527-18</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REF 设备类型 \h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塔式起重机</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安装</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工况吊装参数</w:t>
      </w:r>
    </w:p>
    <w:bookmarkEnd w:id="88"/>
    <w:tbl>
      <w:tblPr>
        <w:tblStyle w:val="40"/>
        <w:tblW w:w="4998" w:type="pct"/>
        <w:tblInd w:w="0" w:type="dxa"/>
        <w:tblLayout w:type="autofit"/>
        <w:tblCellMar>
          <w:top w:w="0" w:type="dxa"/>
          <w:left w:w="10" w:type="dxa"/>
          <w:bottom w:w="0" w:type="dxa"/>
          <w:right w:w="10" w:type="dxa"/>
        </w:tblCellMar>
      </w:tblPr>
      <w:tblGrid>
        <w:gridCol w:w="638"/>
        <w:gridCol w:w="928"/>
        <w:gridCol w:w="973"/>
        <w:gridCol w:w="710"/>
        <w:gridCol w:w="710"/>
        <w:gridCol w:w="710"/>
        <w:gridCol w:w="868"/>
        <w:gridCol w:w="739"/>
        <w:gridCol w:w="1148"/>
        <w:gridCol w:w="899"/>
      </w:tblGrid>
      <w:tr w14:paraId="23D8D65B">
        <w:trPr>
          <w:trHeight w:val="824" w:hRule="atLeast"/>
        </w:trPr>
        <w:tc>
          <w:tcPr>
            <w:tcW w:w="428" w:type="pct"/>
            <w:vMerge w:val="restart"/>
            <w:tcBorders>
              <w:top w:val="single" w:color="auto" w:sz="2" w:space="0"/>
              <w:left w:val="single" w:color="auto" w:sz="2" w:space="0"/>
              <w:right w:val="single" w:color="auto" w:sz="2" w:space="0"/>
            </w:tcBorders>
            <w:vAlign w:val="center"/>
          </w:tcPr>
          <w:p w14:paraId="28D3DFBC">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序号</w:t>
            </w:r>
          </w:p>
        </w:tc>
        <w:tc>
          <w:tcPr>
            <w:tcW w:w="1871" w:type="pct"/>
            <w:gridSpan w:val="4"/>
            <w:tcBorders>
              <w:top w:val="single" w:color="auto" w:sz="2" w:space="0"/>
              <w:left w:val="single" w:color="auto" w:sz="2" w:space="0"/>
              <w:bottom w:val="single" w:color="auto" w:sz="2" w:space="0"/>
              <w:right w:val="single" w:color="auto" w:sz="2" w:space="0"/>
            </w:tcBorders>
            <w:vAlign w:val="center"/>
          </w:tcPr>
          <w:p w14:paraId="060B1A8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塔机部件参数</w:t>
            </w:r>
          </w:p>
        </w:tc>
        <w:tc>
          <w:tcPr>
            <w:tcW w:w="1488" w:type="pct"/>
            <w:gridSpan w:val="3"/>
            <w:tcBorders>
              <w:top w:val="single" w:color="auto" w:sz="2" w:space="0"/>
              <w:left w:val="single" w:color="auto" w:sz="2" w:space="0"/>
              <w:bottom w:val="single" w:color="auto" w:sz="2" w:space="0"/>
              <w:right w:val="single" w:color="auto" w:sz="2" w:space="0"/>
            </w:tcBorders>
            <w:vAlign w:val="center"/>
          </w:tcPr>
          <w:p w14:paraId="2292CF3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汽车吊吊装参数</w:t>
            </w:r>
          </w:p>
        </w:tc>
        <w:tc>
          <w:tcPr>
            <w:tcW w:w="625" w:type="pct"/>
            <w:vMerge w:val="restart"/>
            <w:tcBorders>
              <w:top w:val="single" w:color="auto" w:sz="2" w:space="0"/>
              <w:left w:val="single" w:color="auto" w:sz="2" w:space="0"/>
              <w:right w:val="single" w:color="auto" w:sz="2" w:space="0"/>
            </w:tcBorders>
            <w:vAlign w:val="center"/>
          </w:tcPr>
          <w:p w14:paraId="446A9112">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构件重量/吊重能力</w:t>
            </w:r>
          </w:p>
        </w:tc>
        <w:tc>
          <w:tcPr>
            <w:tcW w:w="585" w:type="pct"/>
            <w:vMerge w:val="restart"/>
            <w:tcBorders>
              <w:top w:val="single" w:color="auto" w:sz="2" w:space="0"/>
              <w:left w:val="single" w:color="auto" w:sz="2" w:space="0"/>
              <w:right w:val="single" w:color="auto" w:sz="2" w:space="0"/>
            </w:tcBorders>
            <w:vAlign w:val="center"/>
          </w:tcPr>
          <w:p w14:paraId="73D32395">
            <w:pPr>
              <w:widowControl w:val="0"/>
              <w:spacing w:line="24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zh-CN" w:eastAsia="zh-CN" w:bidi="ar-SA"/>
              </w:rPr>
              <w:t>分析</w:t>
            </w:r>
            <w:r>
              <w:rPr>
                <w:rFonts w:hint="eastAsia" w:ascii="Times New Roman" w:hAnsi="Times New Roman" w:eastAsia="宋体" w:cs="Times New Roman"/>
                <w:b/>
                <w:kern w:val="2"/>
                <w:sz w:val="21"/>
                <w:szCs w:val="21"/>
                <w:lang w:val="en-US" w:eastAsia="zh-CN" w:bidi="ar-SA"/>
              </w:rPr>
              <w:t>结果</w:t>
            </w:r>
          </w:p>
        </w:tc>
      </w:tr>
      <w:tr w14:paraId="0A676EF3">
        <w:tblPrEx>
          <w:tblCellMar>
            <w:top w:w="0" w:type="dxa"/>
            <w:left w:w="10" w:type="dxa"/>
            <w:bottom w:w="0" w:type="dxa"/>
            <w:right w:w="10" w:type="dxa"/>
          </w:tblCellMar>
        </w:tblPrEx>
        <w:trPr>
          <w:trHeight w:val="1006" w:hRule="atLeast"/>
        </w:trPr>
        <w:tc>
          <w:tcPr>
            <w:tcW w:w="428" w:type="pct"/>
            <w:vMerge w:val="continue"/>
            <w:tcBorders>
              <w:left w:val="single" w:color="auto" w:sz="2" w:space="0"/>
              <w:bottom w:val="single" w:color="auto" w:sz="2" w:space="0"/>
              <w:right w:val="single" w:color="auto" w:sz="2" w:space="0"/>
            </w:tcBorders>
            <w:vAlign w:val="center"/>
          </w:tcPr>
          <w:p w14:paraId="53DC64FB">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602" w:type="pct"/>
            <w:tcBorders>
              <w:top w:val="single" w:color="auto" w:sz="2" w:space="0"/>
              <w:left w:val="single" w:color="auto" w:sz="2" w:space="0"/>
              <w:bottom w:val="single" w:color="auto" w:sz="2" w:space="0"/>
              <w:right w:val="single" w:color="auto" w:sz="2" w:space="0"/>
            </w:tcBorders>
            <w:vAlign w:val="center"/>
          </w:tcPr>
          <w:p w14:paraId="55B83267">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部件名称</w:t>
            </w:r>
          </w:p>
        </w:tc>
        <w:tc>
          <w:tcPr>
            <w:tcW w:w="362" w:type="pct"/>
            <w:tcBorders>
              <w:top w:val="single" w:color="auto" w:sz="2" w:space="0"/>
              <w:left w:val="single" w:color="auto" w:sz="2" w:space="0"/>
              <w:bottom w:val="single" w:color="auto" w:sz="2" w:space="0"/>
              <w:right w:val="single" w:color="auto" w:sz="2" w:space="0"/>
            </w:tcBorders>
            <w:vAlign w:val="center"/>
          </w:tcPr>
          <w:p w14:paraId="39FDD884">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部件重量(t)</w:t>
            </w:r>
          </w:p>
        </w:tc>
        <w:tc>
          <w:tcPr>
            <w:tcW w:w="447" w:type="pct"/>
            <w:tcBorders>
              <w:top w:val="single" w:color="auto" w:sz="2" w:space="0"/>
              <w:left w:val="single" w:color="auto" w:sz="2" w:space="0"/>
              <w:bottom w:val="single" w:color="auto" w:sz="2" w:space="0"/>
              <w:right w:val="single" w:color="auto" w:sz="2" w:space="0"/>
            </w:tcBorders>
            <w:vAlign w:val="center"/>
          </w:tcPr>
          <w:p w14:paraId="2D4477D0">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吊装半径(m)</w:t>
            </w:r>
          </w:p>
        </w:tc>
        <w:tc>
          <w:tcPr>
            <w:tcW w:w="458" w:type="pct"/>
            <w:tcBorders>
              <w:top w:val="single" w:color="auto" w:sz="2" w:space="0"/>
              <w:left w:val="single" w:color="auto" w:sz="2" w:space="0"/>
              <w:bottom w:val="single" w:color="auto" w:sz="2" w:space="0"/>
              <w:right w:val="single" w:color="auto" w:sz="2" w:space="0"/>
            </w:tcBorders>
            <w:vAlign w:val="center"/>
          </w:tcPr>
          <w:p w14:paraId="46B3B936">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吊装高度(m)</w:t>
            </w:r>
          </w:p>
        </w:tc>
        <w:tc>
          <w:tcPr>
            <w:tcW w:w="492" w:type="pct"/>
            <w:tcBorders>
              <w:top w:val="single" w:color="auto" w:sz="2" w:space="0"/>
              <w:left w:val="single" w:color="auto" w:sz="2" w:space="0"/>
              <w:bottom w:val="single" w:color="auto" w:sz="2" w:space="0"/>
              <w:right w:val="single" w:color="auto" w:sz="2" w:space="0"/>
            </w:tcBorders>
            <w:vAlign w:val="center"/>
          </w:tcPr>
          <w:p w14:paraId="49ACF2BF">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主臂半径(m)</w:t>
            </w:r>
          </w:p>
        </w:tc>
        <w:tc>
          <w:tcPr>
            <w:tcW w:w="492" w:type="pct"/>
            <w:tcBorders>
              <w:top w:val="single" w:color="auto" w:sz="2" w:space="0"/>
              <w:left w:val="single" w:color="auto" w:sz="2" w:space="0"/>
              <w:bottom w:val="single" w:color="auto" w:sz="2" w:space="0"/>
              <w:right w:val="single" w:color="auto" w:sz="2" w:space="0"/>
            </w:tcBorders>
            <w:vAlign w:val="center"/>
          </w:tcPr>
          <w:p w14:paraId="656A5CAD">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吊装能力(t)</w:t>
            </w:r>
          </w:p>
        </w:tc>
        <w:tc>
          <w:tcPr>
            <w:tcW w:w="503" w:type="pct"/>
            <w:tcBorders>
              <w:top w:val="single" w:color="auto" w:sz="2" w:space="0"/>
              <w:left w:val="single" w:color="auto" w:sz="2" w:space="0"/>
              <w:bottom w:val="single" w:color="auto" w:sz="2" w:space="0"/>
              <w:right w:val="single" w:color="auto" w:sz="2" w:space="0"/>
            </w:tcBorders>
            <w:vAlign w:val="center"/>
          </w:tcPr>
          <w:p w14:paraId="68354258">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钩头允许最大高度（m）</w:t>
            </w:r>
          </w:p>
        </w:tc>
        <w:tc>
          <w:tcPr>
            <w:tcW w:w="625" w:type="pct"/>
            <w:vMerge w:val="continue"/>
            <w:tcBorders>
              <w:left w:val="single" w:color="auto" w:sz="2" w:space="0"/>
              <w:bottom w:val="single" w:color="auto" w:sz="2" w:space="0"/>
              <w:right w:val="single" w:color="auto" w:sz="2" w:space="0"/>
            </w:tcBorders>
            <w:vAlign w:val="center"/>
          </w:tcPr>
          <w:p w14:paraId="5AD8D2F8">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585" w:type="pct"/>
            <w:vMerge w:val="continue"/>
            <w:tcBorders>
              <w:left w:val="single" w:color="auto" w:sz="2" w:space="0"/>
              <w:bottom w:val="single" w:color="auto" w:sz="2" w:space="0"/>
              <w:right w:val="single" w:color="auto" w:sz="2" w:space="0"/>
            </w:tcBorders>
            <w:vAlign w:val="center"/>
          </w:tcPr>
          <w:p w14:paraId="3E385B50">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r>
      <w:tr w14:paraId="15057969">
        <w:tblPrEx>
          <w:tblCellMar>
            <w:top w:w="0" w:type="dxa"/>
            <w:left w:w="10" w:type="dxa"/>
            <w:bottom w:w="0" w:type="dxa"/>
            <w:right w:w="10" w:type="dxa"/>
          </w:tblCellMar>
        </w:tblPrEx>
        <w:trPr>
          <w:trHeight w:val="842" w:hRule="atLeast"/>
        </w:trPr>
        <w:tc>
          <w:tcPr>
            <w:tcW w:w="428" w:type="pct"/>
            <w:tcBorders>
              <w:top w:val="single" w:color="auto" w:sz="2" w:space="0"/>
              <w:left w:val="single" w:color="auto" w:sz="2" w:space="0"/>
              <w:bottom w:val="single" w:color="auto" w:sz="2" w:space="0"/>
              <w:right w:val="single" w:color="auto" w:sz="2" w:space="0"/>
            </w:tcBorders>
            <w:vAlign w:val="center"/>
          </w:tcPr>
          <w:p w14:paraId="5E73C361">
            <w:pPr>
              <w:pStyle w:val="17"/>
              <w:ind w:firstLine="0" w:firstLineChars="0"/>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lang w:val="zh-CN" w:eastAsia="zh-CN"/>
              </w:rPr>
              <w:t>1</w:t>
            </w:r>
          </w:p>
        </w:tc>
        <w:tc>
          <w:tcPr>
            <w:tcW w:w="1003" w:type="dxa"/>
            <w:tcBorders>
              <w:top w:val="single" w:color="auto" w:sz="2" w:space="0"/>
              <w:left w:val="single" w:color="auto" w:sz="2" w:space="0"/>
              <w:bottom w:val="single" w:color="auto" w:sz="2" w:space="0"/>
              <w:right w:val="single" w:color="auto" w:sz="2" w:space="0"/>
            </w:tcBorders>
            <w:vAlign w:val="bottom"/>
          </w:tcPr>
          <w:p w14:paraId="025429DF">
            <w:pPr>
              <w:keepNext w:val="0"/>
              <w:keepLines w:val="0"/>
              <w:widowControl/>
              <w:suppressLineNumbers w:val="0"/>
              <w:ind w:firstLine="480" w:firstLineChars="200"/>
              <w:jc w:val="center"/>
              <w:textAlignment w:val="bottom"/>
              <w:rPr>
                <w:rFonts w:hint="eastAsia"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4"/>
                <w:szCs w:val="24"/>
                <w:u w:val="none"/>
                <w:lang w:val="en-US" w:eastAsia="zh-CN" w:bidi="ar"/>
              </w:rPr>
              <w:t>过渡节</w:t>
            </w:r>
          </w:p>
        </w:tc>
        <w:tc>
          <w:tcPr>
            <w:tcW w:w="603" w:type="dxa"/>
            <w:tcBorders>
              <w:top w:val="single" w:color="auto" w:sz="2" w:space="0"/>
              <w:left w:val="single" w:color="auto" w:sz="2" w:space="0"/>
              <w:bottom w:val="single" w:color="auto" w:sz="2" w:space="0"/>
              <w:right w:val="single" w:color="auto" w:sz="2" w:space="0"/>
            </w:tcBorders>
            <w:vAlign w:val="bottom"/>
          </w:tcPr>
          <w:p w14:paraId="305FE5B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745" w:type="dxa"/>
            <w:tcBorders>
              <w:top w:val="single" w:color="auto" w:sz="2" w:space="0"/>
              <w:left w:val="single" w:color="auto" w:sz="2" w:space="0"/>
              <w:bottom w:val="single" w:color="auto" w:sz="2" w:space="0"/>
              <w:right w:val="single" w:color="auto" w:sz="2" w:space="0"/>
            </w:tcBorders>
            <w:vAlign w:val="bottom"/>
          </w:tcPr>
          <w:p w14:paraId="453C929E">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0DE4D27C">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3E47989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4F4FDCBC">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2860787E">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1408B430">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27.89%</w:t>
            </w:r>
          </w:p>
        </w:tc>
        <w:tc>
          <w:tcPr>
            <w:tcW w:w="975" w:type="dxa"/>
            <w:tcBorders>
              <w:top w:val="single" w:color="auto" w:sz="2" w:space="0"/>
              <w:left w:val="single" w:color="auto" w:sz="2" w:space="0"/>
              <w:bottom w:val="single" w:color="auto" w:sz="2" w:space="0"/>
              <w:right w:val="single" w:color="auto" w:sz="2" w:space="0"/>
            </w:tcBorders>
            <w:vAlign w:val="bottom"/>
          </w:tcPr>
          <w:p w14:paraId="411FFADA">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1A144AE0">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5FF55D32">
            <w:pPr>
              <w:pStyle w:val="17"/>
              <w:ind w:firstLine="0" w:firstLineChars="0"/>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lang w:val="zh-CN" w:eastAsia="zh-CN"/>
              </w:rPr>
              <w:t>2</w:t>
            </w:r>
          </w:p>
        </w:tc>
        <w:tc>
          <w:tcPr>
            <w:tcW w:w="1003" w:type="dxa"/>
            <w:tcBorders>
              <w:top w:val="single" w:color="auto" w:sz="2" w:space="0"/>
              <w:left w:val="single" w:color="auto" w:sz="2" w:space="0"/>
              <w:bottom w:val="single" w:color="auto" w:sz="2" w:space="0"/>
              <w:right w:val="single" w:color="auto" w:sz="2" w:space="0"/>
            </w:tcBorders>
            <w:vAlign w:val="bottom"/>
          </w:tcPr>
          <w:p w14:paraId="0ED45EA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爬升架总成</w:t>
            </w:r>
          </w:p>
        </w:tc>
        <w:tc>
          <w:tcPr>
            <w:tcW w:w="603" w:type="dxa"/>
            <w:tcBorders>
              <w:top w:val="single" w:color="auto" w:sz="2" w:space="0"/>
              <w:left w:val="single" w:color="auto" w:sz="2" w:space="0"/>
              <w:bottom w:val="single" w:color="auto" w:sz="2" w:space="0"/>
              <w:right w:val="single" w:color="auto" w:sz="2" w:space="0"/>
            </w:tcBorders>
            <w:vAlign w:val="bottom"/>
          </w:tcPr>
          <w:p w14:paraId="0CD44E2B">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6.188</w:t>
            </w:r>
          </w:p>
        </w:tc>
        <w:tc>
          <w:tcPr>
            <w:tcW w:w="745" w:type="dxa"/>
            <w:tcBorders>
              <w:top w:val="single" w:color="auto" w:sz="2" w:space="0"/>
              <w:left w:val="single" w:color="auto" w:sz="2" w:space="0"/>
              <w:bottom w:val="single" w:color="auto" w:sz="2" w:space="0"/>
              <w:right w:val="single" w:color="auto" w:sz="2" w:space="0"/>
            </w:tcBorders>
            <w:vAlign w:val="bottom"/>
          </w:tcPr>
          <w:p w14:paraId="60288CD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064816D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7A48E77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42231175">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0E1F71D7">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237B2631">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38.43%</w:t>
            </w:r>
          </w:p>
        </w:tc>
        <w:tc>
          <w:tcPr>
            <w:tcW w:w="975" w:type="dxa"/>
            <w:tcBorders>
              <w:top w:val="single" w:color="auto" w:sz="2" w:space="0"/>
              <w:left w:val="single" w:color="auto" w:sz="2" w:space="0"/>
              <w:bottom w:val="single" w:color="auto" w:sz="2" w:space="0"/>
              <w:right w:val="single" w:color="auto" w:sz="2" w:space="0"/>
            </w:tcBorders>
            <w:vAlign w:val="bottom"/>
          </w:tcPr>
          <w:p w14:paraId="3F848366">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0C398C73">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17961FAC">
            <w:pPr>
              <w:pStyle w:val="17"/>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zh-CN" w:eastAsia="zh-CN"/>
              </w:rPr>
              <w:t>3</w:t>
            </w:r>
          </w:p>
        </w:tc>
        <w:tc>
          <w:tcPr>
            <w:tcW w:w="1003" w:type="dxa"/>
            <w:tcBorders>
              <w:top w:val="single" w:color="auto" w:sz="2" w:space="0"/>
              <w:left w:val="single" w:color="auto" w:sz="2" w:space="0"/>
              <w:bottom w:val="single" w:color="auto" w:sz="2" w:space="0"/>
              <w:right w:val="single" w:color="auto" w:sz="2" w:space="0"/>
            </w:tcBorders>
            <w:vAlign w:val="bottom"/>
          </w:tcPr>
          <w:p w14:paraId="356B45A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回转总成</w:t>
            </w:r>
          </w:p>
        </w:tc>
        <w:tc>
          <w:tcPr>
            <w:tcW w:w="603" w:type="dxa"/>
            <w:tcBorders>
              <w:top w:val="single" w:color="auto" w:sz="2" w:space="0"/>
              <w:left w:val="single" w:color="auto" w:sz="2" w:space="0"/>
              <w:bottom w:val="single" w:color="auto" w:sz="2" w:space="0"/>
              <w:right w:val="single" w:color="auto" w:sz="2" w:space="0"/>
            </w:tcBorders>
            <w:vAlign w:val="bottom"/>
          </w:tcPr>
          <w:p w14:paraId="516D265F">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9.35</w:t>
            </w:r>
          </w:p>
        </w:tc>
        <w:tc>
          <w:tcPr>
            <w:tcW w:w="745" w:type="dxa"/>
            <w:tcBorders>
              <w:top w:val="single" w:color="auto" w:sz="2" w:space="0"/>
              <w:left w:val="single" w:color="auto" w:sz="2" w:space="0"/>
              <w:bottom w:val="single" w:color="auto" w:sz="2" w:space="0"/>
              <w:right w:val="single" w:color="auto" w:sz="2" w:space="0"/>
            </w:tcBorders>
            <w:vAlign w:val="bottom"/>
          </w:tcPr>
          <w:p w14:paraId="4C5FB85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2DC6597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7F94982F">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26AA934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618C6B55">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5DC6231E">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58.07%</w:t>
            </w:r>
          </w:p>
        </w:tc>
        <w:tc>
          <w:tcPr>
            <w:tcW w:w="975" w:type="dxa"/>
            <w:tcBorders>
              <w:top w:val="single" w:color="auto" w:sz="2" w:space="0"/>
              <w:left w:val="single" w:color="auto" w:sz="2" w:space="0"/>
              <w:bottom w:val="single" w:color="auto" w:sz="2" w:space="0"/>
              <w:right w:val="single" w:color="auto" w:sz="2" w:space="0"/>
            </w:tcBorders>
            <w:vAlign w:val="bottom"/>
          </w:tcPr>
          <w:p w14:paraId="67F61FE3">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65A257DE">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706D0223">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4</w:t>
            </w:r>
          </w:p>
        </w:tc>
        <w:tc>
          <w:tcPr>
            <w:tcW w:w="1003" w:type="dxa"/>
            <w:tcBorders>
              <w:top w:val="single" w:color="auto" w:sz="2" w:space="0"/>
              <w:left w:val="single" w:color="auto" w:sz="2" w:space="0"/>
              <w:bottom w:val="single" w:color="auto" w:sz="2" w:space="0"/>
              <w:right w:val="single" w:color="auto" w:sz="2" w:space="0"/>
            </w:tcBorders>
            <w:vAlign w:val="bottom"/>
          </w:tcPr>
          <w:p w14:paraId="16F34AC7">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回转塔身</w:t>
            </w:r>
          </w:p>
        </w:tc>
        <w:tc>
          <w:tcPr>
            <w:tcW w:w="603" w:type="dxa"/>
            <w:tcBorders>
              <w:top w:val="single" w:color="auto" w:sz="2" w:space="0"/>
              <w:left w:val="single" w:color="auto" w:sz="2" w:space="0"/>
              <w:bottom w:val="single" w:color="auto" w:sz="2" w:space="0"/>
              <w:right w:val="single" w:color="auto" w:sz="2" w:space="0"/>
            </w:tcBorders>
            <w:vAlign w:val="bottom"/>
          </w:tcPr>
          <w:p w14:paraId="321C26CB">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4.22</w:t>
            </w:r>
          </w:p>
        </w:tc>
        <w:tc>
          <w:tcPr>
            <w:tcW w:w="745" w:type="dxa"/>
            <w:tcBorders>
              <w:top w:val="single" w:color="auto" w:sz="2" w:space="0"/>
              <w:left w:val="single" w:color="auto" w:sz="2" w:space="0"/>
              <w:bottom w:val="single" w:color="auto" w:sz="2" w:space="0"/>
              <w:right w:val="single" w:color="auto" w:sz="2" w:space="0"/>
            </w:tcBorders>
            <w:vAlign w:val="bottom"/>
          </w:tcPr>
          <w:p w14:paraId="79FA6E8C">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0E681E4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3692FDAD">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4E06C9D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7DD2C86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54F530CF">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26.21%</w:t>
            </w:r>
          </w:p>
        </w:tc>
        <w:tc>
          <w:tcPr>
            <w:tcW w:w="975" w:type="dxa"/>
            <w:tcBorders>
              <w:top w:val="single" w:color="auto" w:sz="2" w:space="0"/>
              <w:left w:val="single" w:color="auto" w:sz="2" w:space="0"/>
              <w:bottom w:val="single" w:color="auto" w:sz="2" w:space="0"/>
              <w:right w:val="single" w:color="auto" w:sz="2" w:space="0"/>
            </w:tcBorders>
            <w:vAlign w:val="bottom"/>
          </w:tcPr>
          <w:p w14:paraId="50366C09">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0F7D17E0">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4AA08ACE">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5</w:t>
            </w:r>
          </w:p>
        </w:tc>
        <w:tc>
          <w:tcPr>
            <w:tcW w:w="1003" w:type="dxa"/>
            <w:tcBorders>
              <w:top w:val="single" w:color="auto" w:sz="2" w:space="0"/>
              <w:left w:val="single" w:color="auto" w:sz="2" w:space="0"/>
              <w:bottom w:val="single" w:color="auto" w:sz="2" w:space="0"/>
              <w:right w:val="single" w:color="auto" w:sz="2" w:space="0"/>
            </w:tcBorders>
            <w:vAlign w:val="bottom"/>
          </w:tcPr>
          <w:p w14:paraId="665D3F5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平衡臂节一</w:t>
            </w:r>
          </w:p>
        </w:tc>
        <w:tc>
          <w:tcPr>
            <w:tcW w:w="603" w:type="dxa"/>
            <w:tcBorders>
              <w:top w:val="single" w:color="auto" w:sz="2" w:space="0"/>
              <w:left w:val="single" w:color="auto" w:sz="2" w:space="0"/>
              <w:bottom w:val="single" w:color="auto" w:sz="2" w:space="0"/>
              <w:right w:val="single" w:color="auto" w:sz="2" w:space="0"/>
            </w:tcBorders>
            <w:vAlign w:val="bottom"/>
          </w:tcPr>
          <w:p w14:paraId="1AF76611">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4.34</w:t>
            </w:r>
          </w:p>
        </w:tc>
        <w:tc>
          <w:tcPr>
            <w:tcW w:w="745" w:type="dxa"/>
            <w:tcBorders>
              <w:top w:val="single" w:color="auto" w:sz="2" w:space="0"/>
              <w:left w:val="single" w:color="auto" w:sz="2" w:space="0"/>
              <w:bottom w:val="single" w:color="auto" w:sz="2" w:space="0"/>
              <w:right w:val="single" w:color="auto" w:sz="2" w:space="0"/>
            </w:tcBorders>
            <w:vAlign w:val="bottom"/>
          </w:tcPr>
          <w:p w14:paraId="1E828D6D">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4752853E">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4BF1D22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4090DA00">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3E43481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616CC69C">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26.96%</w:t>
            </w:r>
          </w:p>
        </w:tc>
        <w:tc>
          <w:tcPr>
            <w:tcW w:w="975" w:type="dxa"/>
            <w:tcBorders>
              <w:top w:val="single" w:color="auto" w:sz="2" w:space="0"/>
              <w:left w:val="single" w:color="auto" w:sz="2" w:space="0"/>
              <w:bottom w:val="single" w:color="auto" w:sz="2" w:space="0"/>
              <w:right w:val="single" w:color="auto" w:sz="2" w:space="0"/>
            </w:tcBorders>
            <w:vAlign w:val="bottom"/>
          </w:tcPr>
          <w:p w14:paraId="172CF763">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1A57F5D8">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6D0328B9">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6</w:t>
            </w:r>
          </w:p>
        </w:tc>
        <w:tc>
          <w:tcPr>
            <w:tcW w:w="1003" w:type="dxa"/>
            <w:tcBorders>
              <w:top w:val="single" w:color="auto" w:sz="2" w:space="0"/>
              <w:left w:val="single" w:color="auto" w:sz="2" w:space="0"/>
              <w:bottom w:val="single" w:color="auto" w:sz="2" w:space="0"/>
              <w:right w:val="single" w:color="auto" w:sz="2" w:space="0"/>
            </w:tcBorders>
            <w:vAlign w:val="bottom"/>
          </w:tcPr>
          <w:p w14:paraId="75F78076">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平衡臂节二</w:t>
            </w:r>
          </w:p>
        </w:tc>
        <w:tc>
          <w:tcPr>
            <w:tcW w:w="603" w:type="dxa"/>
            <w:tcBorders>
              <w:top w:val="single" w:color="auto" w:sz="2" w:space="0"/>
              <w:left w:val="single" w:color="auto" w:sz="2" w:space="0"/>
              <w:bottom w:val="single" w:color="auto" w:sz="2" w:space="0"/>
              <w:right w:val="single" w:color="auto" w:sz="2" w:space="0"/>
            </w:tcBorders>
            <w:vAlign w:val="bottom"/>
          </w:tcPr>
          <w:p w14:paraId="1FB333DD">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45" w:type="dxa"/>
            <w:tcBorders>
              <w:top w:val="single" w:color="auto" w:sz="2" w:space="0"/>
              <w:left w:val="single" w:color="auto" w:sz="2" w:space="0"/>
              <w:bottom w:val="single" w:color="auto" w:sz="2" w:space="0"/>
              <w:right w:val="single" w:color="auto" w:sz="2" w:space="0"/>
            </w:tcBorders>
            <w:vAlign w:val="bottom"/>
          </w:tcPr>
          <w:p w14:paraId="7DAC8998">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0ECC62B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70792B98">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651C674F">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12B7CFED">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1A650CC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62.11%</w:t>
            </w:r>
          </w:p>
        </w:tc>
        <w:tc>
          <w:tcPr>
            <w:tcW w:w="975" w:type="dxa"/>
            <w:tcBorders>
              <w:top w:val="single" w:color="auto" w:sz="2" w:space="0"/>
              <w:left w:val="single" w:color="auto" w:sz="2" w:space="0"/>
              <w:bottom w:val="single" w:color="auto" w:sz="2" w:space="0"/>
              <w:right w:val="single" w:color="auto" w:sz="2" w:space="0"/>
            </w:tcBorders>
            <w:vAlign w:val="bottom"/>
          </w:tcPr>
          <w:p w14:paraId="562295C8">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53110D84">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1C9878EB">
            <w:pPr>
              <w:pStyle w:val="17"/>
              <w:ind w:firstLine="0" w:firstLineChars="0"/>
              <w:rPr>
                <w:rFonts w:hint="eastAsia" w:ascii="Times New Roman" w:hAnsi="Times New Roman" w:eastAsia="宋体" w:cs="Times New Roman"/>
                <w:kern w:val="2"/>
                <w:sz w:val="21"/>
                <w:szCs w:val="21"/>
                <w:lang w:val="en-US" w:eastAsia="zh-CN" w:bidi="ar-SA"/>
              </w:rPr>
            </w:pPr>
            <w:r>
              <w:rPr>
                <w:rFonts w:hint="eastAsia" w:cs="Times New Roman"/>
                <w:lang w:val="en-US" w:eastAsia="zh-CN"/>
              </w:rPr>
              <w:t>7</w:t>
            </w:r>
          </w:p>
        </w:tc>
        <w:tc>
          <w:tcPr>
            <w:tcW w:w="1003" w:type="dxa"/>
            <w:tcBorders>
              <w:top w:val="single" w:color="auto" w:sz="2" w:space="0"/>
              <w:left w:val="single" w:color="auto" w:sz="2" w:space="0"/>
              <w:bottom w:val="single" w:color="auto" w:sz="2" w:space="0"/>
              <w:right w:val="single" w:color="auto" w:sz="2" w:space="0"/>
            </w:tcBorders>
            <w:vAlign w:val="bottom"/>
          </w:tcPr>
          <w:p w14:paraId="119469C3">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起升机构</w:t>
            </w:r>
          </w:p>
        </w:tc>
        <w:tc>
          <w:tcPr>
            <w:tcW w:w="603" w:type="dxa"/>
            <w:tcBorders>
              <w:top w:val="single" w:color="auto" w:sz="2" w:space="0"/>
              <w:left w:val="single" w:color="auto" w:sz="2" w:space="0"/>
              <w:bottom w:val="single" w:color="auto" w:sz="2" w:space="0"/>
              <w:right w:val="single" w:color="auto" w:sz="2" w:space="0"/>
            </w:tcBorders>
            <w:vAlign w:val="bottom"/>
          </w:tcPr>
          <w:p w14:paraId="28FAF5B5">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745" w:type="dxa"/>
            <w:tcBorders>
              <w:top w:val="single" w:color="auto" w:sz="2" w:space="0"/>
              <w:left w:val="single" w:color="auto" w:sz="2" w:space="0"/>
              <w:bottom w:val="single" w:color="auto" w:sz="2" w:space="0"/>
              <w:right w:val="single" w:color="auto" w:sz="2" w:space="0"/>
            </w:tcBorders>
            <w:vAlign w:val="bottom"/>
          </w:tcPr>
          <w:p w14:paraId="5D18BF50">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6D8F1D29">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77526B71">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56904533">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49D297A6">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5AD51CF7">
            <w:pPr>
              <w:keepNext w:val="0"/>
              <w:keepLines w:val="0"/>
              <w:widowControl/>
              <w:suppressLineNumbers w:val="0"/>
              <w:ind w:firstLine="420" w:firstLineChars="20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26.27%</w:t>
            </w:r>
          </w:p>
        </w:tc>
        <w:tc>
          <w:tcPr>
            <w:tcW w:w="975" w:type="dxa"/>
            <w:tcBorders>
              <w:top w:val="single" w:color="auto" w:sz="2" w:space="0"/>
              <w:left w:val="single" w:color="auto" w:sz="2" w:space="0"/>
              <w:bottom w:val="single" w:color="auto" w:sz="2" w:space="0"/>
              <w:right w:val="single" w:color="auto" w:sz="2" w:space="0"/>
            </w:tcBorders>
            <w:vAlign w:val="bottom"/>
          </w:tcPr>
          <w:p w14:paraId="3D05DFC3">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5AA1EFBF">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0D0ACCF9">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8</w:t>
            </w:r>
          </w:p>
        </w:tc>
        <w:tc>
          <w:tcPr>
            <w:tcW w:w="1003" w:type="dxa"/>
            <w:tcBorders>
              <w:top w:val="single" w:color="auto" w:sz="2" w:space="0"/>
              <w:left w:val="single" w:color="auto" w:sz="2" w:space="0"/>
              <w:bottom w:val="single" w:color="auto" w:sz="2" w:space="0"/>
              <w:right w:val="single" w:color="auto" w:sz="2" w:space="0"/>
            </w:tcBorders>
            <w:vAlign w:val="bottom"/>
          </w:tcPr>
          <w:p w14:paraId="1989F905">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平衡重</w:t>
            </w:r>
            <w:r>
              <w:rPr>
                <w:rStyle w:val="273"/>
                <w:rFonts w:eastAsia="宋体"/>
                <w:lang w:val="en-US" w:eastAsia="zh-CN" w:bidi="ar"/>
              </w:rPr>
              <w:t>A</w:t>
            </w:r>
          </w:p>
        </w:tc>
        <w:tc>
          <w:tcPr>
            <w:tcW w:w="603" w:type="dxa"/>
            <w:tcBorders>
              <w:top w:val="single" w:color="auto" w:sz="2" w:space="0"/>
              <w:left w:val="single" w:color="auto" w:sz="2" w:space="0"/>
              <w:bottom w:val="single" w:color="auto" w:sz="2" w:space="0"/>
              <w:right w:val="single" w:color="auto" w:sz="2" w:space="0"/>
            </w:tcBorders>
            <w:vAlign w:val="bottom"/>
          </w:tcPr>
          <w:p w14:paraId="25213397">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45" w:type="dxa"/>
            <w:tcBorders>
              <w:top w:val="single" w:color="auto" w:sz="2" w:space="0"/>
              <w:left w:val="single" w:color="auto" w:sz="2" w:space="0"/>
              <w:bottom w:val="single" w:color="auto" w:sz="2" w:space="0"/>
              <w:right w:val="single" w:color="auto" w:sz="2" w:space="0"/>
            </w:tcBorders>
            <w:vAlign w:val="bottom"/>
          </w:tcPr>
          <w:p w14:paraId="42639821">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2F374167">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02A18E2B">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03D26EF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3A9880F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12934568">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24.84%</w:t>
            </w:r>
          </w:p>
        </w:tc>
        <w:tc>
          <w:tcPr>
            <w:tcW w:w="975" w:type="dxa"/>
            <w:tcBorders>
              <w:top w:val="single" w:color="auto" w:sz="2" w:space="0"/>
              <w:left w:val="single" w:color="auto" w:sz="2" w:space="0"/>
              <w:bottom w:val="single" w:color="auto" w:sz="2" w:space="0"/>
              <w:right w:val="single" w:color="auto" w:sz="2" w:space="0"/>
            </w:tcBorders>
            <w:vAlign w:val="bottom"/>
          </w:tcPr>
          <w:p w14:paraId="3491446F">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46A68BF9">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2" w:space="0"/>
              <w:right w:val="single" w:color="auto" w:sz="2" w:space="0"/>
            </w:tcBorders>
            <w:vAlign w:val="center"/>
          </w:tcPr>
          <w:p w14:paraId="4A51469E">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9</w:t>
            </w:r>
          </w:p>
        </w:tc>
        <w:tc>
          <w:tcPr>
            <w:tcW w:w="1003" w:type="dxa"/>
            <w:tcBorders>
              <w:top w:val="single" w:color="auto" w:sz="2" w:space="0"/>
              <w:left w:val="single" w:color="auto" w:sz="2" w:space="0"/>
              <w:bottom w:val="single" w:color="auto" w:sz="2" w:space="0"/>
              <w:right w:val="single" w:color="auto" w:sz="2" w:space="0"/>
            </w:tcBorders>
            <w:vAlign w:val="bottom"/>
          </w:tcPr>
          <w:p w14:paraId="24E9111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平衡重</w:t>
            </w:r>
            <w:r>
              <w:rPr>
                <w:rStyle w:val="273"/>
                <w:rFonts w:eastAsia="宋体"/>
                <w:lang w:val="en-US" w:eastAsia="zh-CN" w:bidi="ar"/>
              </w:rPr>
              <w:t>B</w:t>
            </w:r>
          </w:p>
        </w:tc>
        <w:tc>
          <w:tcPr>
            <w:tcW w:w="603" w:type="dxa"/>
            <w:tcBorders>
              <w:top w:val="single" w:color="auto" w:sz="2" w:space="0"/>
              <w:left w:val="single" w:color="auto" w:sz="2" w:space="0"/>
              <w:bottom w:val="single" w:color="auto" w:sz="2" w:space="0"/>
              <w:right w:val="single" w:color="auto" w:sz="2" w:space="0"/>
            </w:tcBorders>
            <w:vAlign w:val="bottom"/>
          </w:tcPr>
          <w:p w14:paraId="267930BD">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45" w:type="dxa"/>
            <w:tcBorders>
              <w:top w:val="single" w:color="auto" w:sz="2" w:space="0"/>
              <w:left w:val="single" w:color="auto" w:sz="2" w:space="0"/>
              <w:bottom w:val="single" w:color="auto" w:sz="2" w:space="0"/>
              <w:right w:val="single" w:color="auto" w:sz="2" w:space="0"/>
            </w:tcBorders>
            <w:vAlign w:val="bottom"/>
          </w:tcPr>
          <w:p w14:paraId="05863F7C">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2" w:space="0"/>
              <w:right w:val="single" w:color="auto" w:sz="2" w:space="0"/>
            </w:tcBorders>
            <w:vAlign w:val="bottom"/>
          </w:tcPr>
          <w:p w14:paraId="2426D1A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2" w:space="0"/>
              <w:right w:val="single" w:color="auto" w:sz="2" w:space="0"/>
            </w:tcBorders>
            <w:vAlign w:val="bottom"/>
          </w:tcPr>
          <w:p w14:paraId="26DD8068">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2" w:space="0"/>
              <w:right w:val="single" w:color="auto" w:sz="2" w:space="0"/>
            </w:tcBorders>
            <w:vAlign w:val="bottom"/>
          </w:tcPr>
          <w:p w14:paraId="5A0686AB">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2" w:space="0"/>
              <w:right w:val="single" w:color="auto" w:sz="2" w:space="0"/>
            </w:tcBorders>
            <w:vAlign w:val="bottom"/>
          </w:tcPr>
          <w:p w14:paraId="40164201">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2" w:space="0"/>
              <w:right w:val="single" w:color="auto" w:sz="2" w:space="0"/>
            </w:tcBorders>
            <w:vAlign w:val="bottom"/>
          </w:tcPr>
          <w:p w14:paraId="07A5CDDA">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13.66%</w:t>
            </w:r>
          </w:p>
        </w:tc>
        <w:tc>
          <w:tcPr>
            <w:tcW w:w="975" w:type="dxa"/>
            <w:tcBorders>
              <w:top w:val="single" w:color="auto" w:sz="2" w:space="0"/>
              <w:left w:val="single" w:color="auto" w:sz="2" w:space="0"/>
              <w:bottom w:val="single" w:color="auto" w:sz="2" w:space="0"/>
              <w:right w:val="single" w:color="auto" w:sz="2" w:space="0"/>
            </w:tcBorders>
            <w:vAlign w:val="bottom"/>
          </w:tcPr>
          <w:p w14:paraId="7BEB0B8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76EC7AD5">
        <w:tblPrEx>
          <w:tblCellMar>
            <w:top w:w="0" w:type="dxa"/>
            <w:left w:w="10" w:type="dxa"/>
            <w:bottom w:w="0" w:type="dxa"/>
            <w:right w:w="10" w:type="dxa"/>
          </w:tblCellMar>
        </w:tblPrEx>
        <w:trPr>
          <w:trHeight w:val="824" w:hRule="atLeast"/>
        </w:trPr>
        <w:tc>
          <w:tcPr>
            <w:tcW w:w="428" w:type="pct"/>
            <w:tcBorders>
              <w:top w:val="single" w:color="auto" w:sz="2" w:space="0"/>
              <w:left w:val="single" w:color="auto" w:sz="2" w:space="0"/>
              <w:bottom w:val="single" w:color="auto" w:sz="4" w:space="0"/>
              <w:right w:val="single" w:color="auto" w:sz="2" w:space="0"/>
            </w:tcBorders>
            <w:vAlign w:val="center"/>
          </w:tcPr>
          <w:p w14:paraId="1F5BC2F1">
            <w:pPr>
              <w:pStyle w:val="17"/>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10</w:t>
            </w:r>
          </w:p>
        </w:tc>
        <w:tc>
          <w:tcPr>
            <w:tcW w:w="1003" w:type="dxa"/>
            <w:tcBorders>
              <w:top w:val="single" w:color="auto" w:sz="2" w:space="0"/>
              <w:left w:val="single" w:color="auto" w:sz="2" w:space="0"/>
              <w:bottom w:val="single" w:color="auto" w:sz="4" w:space="0"/>
              <w:right w:val="single" w:color="auto" w:sz="2" w:space="0"/>
            </w:tcBorders>
            <w:vAlign w:val="bottom"/>
          </w:tcPr>
          <w:p w14:paraId="7A199E80">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平衡重</w:t>
            </w:r>
            <w:r>
              <w:rPr>
                <w:rStyle w:val="273"/>
                <w:rFonts w:eastAsia="宋体"/>
                <w:lang w:val="en-US" w:eastAsia="zh-CN" w:bidi="ar"/>
              </w:rPr>
              <w:t>C</w:t>
            </w:r>
          </w:p>
        </w:tc>
        <w:tc>
          <w:tcPr>
            <w:tcW w:w="603" w:type="dxa"/>
            <w:tcBorders>
              <w:top w:val="single" w:color="auto" w:sz="2" w:space="0"/>
              <w:left w:val="single" w:color="auto" w:sz="2" w:space="0"/>
              <w:bottom w:val="single" w:color="auto" w:sz="4" w:space="0"/>
              <w:right w:val="single" w:color="auto" w:sz="2" w:space="0"/>
            </w:tcBorders>
            <w:vAlign w:val="bottom"/>
          </w:tcPr>
          <w:p w14:paraId="08813EB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45" w:type="dxa"/>
            <w:tcBorders>
              <w:top w:val="single" w:color="auto" w:sz="2" w:space="0"/>
              <w:left w:val="single" w:color="auto" w:sz="2" w:space="0"/>
              <w:bottom w:val="single" w:color="auto" w:sz="4" w:space="0"/>
              <w:right w:val="single" w:color="auto" w:sz="2" w:space="0"/>
            </w:tcBorders>
            <w:vAlign w:val="bottom"/>
          </w:tcPr>
          <w:p w14:paraId="3C44FA1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2" w:space="0"/>
              <w:left w:val="single" w:color="auto" w:sz="2" w:space="0"/>
              <w:bottom w:val="single" w:color="auto" w:sz="4" w:space="0"/>
              <w:right w:val="single" w:color="auto" w:sz="2" w:space="0"/>
            </w:tcBorders>
            <w:vAlign w:val="bottom"/>
          </w:tcPr>
          <w:p w14:paraId="6EEAC49D">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2" w:space="0"/>
              <w:left w:val="single" w:color="auto" w:sz="2" w:space="0"/>
              <w:bottom w:val="single" w:color="auto" w:sz="4" w:space="0"/>
              <w:right w:val="single" w:color="auto" w:sz="2" w:space="0"/>
            </w:tcBorders>
            <w:vAlign w:val="bottom"/>
          </w:tcPr>
          <w:p w14:paraId="7F6A141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2" w:space="0"/>
              <w:left w:val="single" w:color="auto" w:sz="2" w:space="0"/>
              <w:bottom w:val="single" w:color="auto" w:sz="4" w:space="0"/>
              <w:right w:val="single" w:color="auto" w:sz="2" w:space="0"/>
            </w:tcBorders>
            <w:vAlign w:val="bottom"/>
          </w:tcPr>
          <w:p w14:paraId="49EF81E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2" w:space="0"/>
              <w:left w:val="single" w:color="auto" w:sz="2" w:space="0"/>
              <w:bottom w:val="single" w:color="auto" w:sz="4" w:space="0"/>
              <w:right w:val="single" w:color="auto" w:sz="2" w:space="0"/>
            </w:tcBorders>
            <w:vAlign w:val="bottom"/>
          </w:tcPr>
          <w:p w14:paraId="0AC2DF1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2" w:space="0"/>
              <w:left w:val="single" w:color="auto" w:sz="2" w:space="0"/>
              <w:bottom w:val="single" w:color="auto" w:sz="4" w:space="0"/>
              <w:right w:val="single" w:color="auto" w:sz="2" w:space="0"/>
            </w:tcBorders>
            <w:vAlign w:val="bottom"/>
          </w:tcPr>
          <w:p w14:paraId="0655CCF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9.32%</w:t>
            </w:r>
          </w:p>
        </w:tc>
        <w:tc>
          <w:tcPr>
            <w:tcW w:w="975" w:type="dxa"/>
            <w:tcBorders>
              <w:top w:val="single" w:color="auto" w:sz="2" w:space="0"/>
              <w:left w:val="single" w:color="auto" w:sz="2" w:space="0"/>
              <w:bottom w:val="single" w:color="auto" w:sz="4" w:space="0"/>
              <w:right w:val="single" w:color="auto" w:sz="2" w:space="0"/>
            </w:tcBorders>
            <w:vAlign w:val="bottom"/>
          </w:tcPr>
          <w:p w14:paraId="68C6859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241FD8A1">
        <w:tblPrEx>
          <w:tblCellMar>
            <w:top w:w="0" w:type="dxa"/>
            <w:left w:w="10" w:type="dxa"/>
            <w:bottom w:w="0" w:type="dxa"/>
            <w:right w:w="10" w:type="dxa"/>
          </w:tblCellMar>
        </w:tblPrEx>
        <w:trPr>
          <w:trHeight w:val="838" w:hRule="atLeast"/>
        </w:trPr>
        <w:tc>
          <w:tcPr>
            <w:tcW w:w="428" w:type="pct"/>
            <w:tcBorders>
              <w:top w:val="single" w:color="auto" w:sz="4" w:space="0"/>
              <w:left w:val="single" w:color="auto" w:sz="4" w:space="0"/>
              <w:bottom w:val="single" w:color="auto" w:sz="4" w:space="0"/>
              <w:right w:val="single" w:color="auto" w:sz="4" w:space="0"/>
            </w:tcBorders>
            <w:vAlign w:val="center"/>
          </w:tcPr>
          <w:p w14:paraId="241A7A4F">
            <w:pPr>
              <w:pStyle w:val="17"/>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11</w:t>
            </w:r>
          </w:p>
        </w:tc>
        <w:tc>
          <w:tcPr>
            <w:tcW w:w="1003" w:type="dxa"/>
            <w:tcBorders>
              <w:top w:val="single" w:color="auto" w:sz="4" w:space="0"/>
              <w:left w:val="single" w:color="auto" w:sz="4" w:space="0"/>
              <w:bottom w:val="single" w:color="auto" w:sz="4" w:space="0"/>
              <w:right w:val="single" w:color="auto" w:sz="4" w:space="0"/>
            </w:tcBorders>
            <w:vAlign w:val="center"/>
          </w:tcPr>
          <w:p w14:paraId="30C49059">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臂节①</w:t>
            </w:r>
          </w:p>
        </w:tc>
        <w:tc>
          <w:tcPr>
            <w:tcW w:w="603" w:type="dxa"/>
            <w:tcBorders>
              <w:top w:val="single" w:color="auto" w:sz="4" w:space="0"/>
              <w:left w:val="single" w:color="auto" w:sz="4" w:space="0"/>
              <w:bottom w:val="single" w:color="auto" w:sz="4" w:space="0"/>
              <w:right w:val="single" w:color="auto" w:sz="4" w:space="0"/>
            </w:tcBorders>
            <w:vAlign w:val="center"/>
          </w:tcPr>
          <w:p w14:paraId="3C6AED82">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5.605</w:t>
            </w:r>
          </w:p>
        </w:tc>
        <w:tc>
          <w:tcPr>
            <w:tcW w:w="745" w:type="dxa"/>
            <w:tcBorders>
              <w:top w:val="single" w:color="auto" w:sz="4" w:space="0"/>
              <w:left w:val="single" w:color="auto" w:sz="4" w:space="0"/>
              <w:bottom w:val="single" w:color="auto" w:sz="4" w:space="0"/>
              <w:right w:val="single" w:color="auto" w:sz="4" w:space="0"/>
            </w:tcBorders>
            <w:vAlign w:val="center"/>
          </w:tcPr>
          <w:p w14:paraId="609EDB79">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4" w:space="0"/>
              <w:left w:val="single" w:color="auto" w:sz="4" w:space="0"/>
              <w:bottom w:val="single" w:color="auto" w:sz="4" w:space="0"/>
              <w:right w:val="single" w:color="auto" w:sz="4" w:space="0"/>
            </w:tcBorders>
            <w:vAlign w:val="center"/>
          </w:tcPr>
          <w:p w14:paraId="1F382B08">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4" w:space="0"/>
              <w:left w:val="single" w:color="auto" w:sz="4" w:space="0"/>
              <w:bottom w:val="single" w:color="auto" w:sz="4" w:space="0"/>
              <w:right w:val="single" w:color="auto" w:sz="4" w:space="0"/>
            </w:tcBorders>
            <w:vAlign w:val="bottom"/>
          </w:tcPr>
          <w:p w14:paraId="77E244C3">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4" w:space="0"/>
              <w:left w:val="single" w:color="auto" w:sz="4" w:space="0"/>
              <w:bottom w:val="single" w:color="auto" w:sz="4" w:space="0"/>
              <w:right w:val="single" w:color="auto" w:sz="4" w:space="0"/>
            </w:tcBorders>
            <w:vAlign w:val="bottom"/>
          </w:tcPr>
          <w:p w14:paraId="78267925">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4" w:space="0"/>
              <w:left w:val="single" w:color="auto" w:sz="4" w:space="0"/>
              <w:bottom w:val="single" w:color="auto" w:sz="4" w:space="0"/>
              <w:right w:val="single" w:color="auto" w:sz="4" w:space="0"/>
            </w:tcBorders>
            <w:vAlign w:val="bottom"/>
          </w:tcPr>
          <w:p w14:paraId="073604E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4" w:space="0"/>
              <w:left w:val="single" w:color="auto" w:sz="4" w:space="0"/>
              <w:bottom w:val="single" w:color="auto" w:sz="4" w:space="0"/>
              <w:right w:val="single" w:color="auto" w:sz="4" w:space="0"/>
            </w:tcBorders>
            <w:vAlign w:val="bottom"/>
          </w:tcPr>
          <w:p w14:paraId="31597F77">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34.81%</w:t>
            </w:r>
          </w:p>
        </w:tc>
        <w:tc>
          <w:tcPr>
            <w:tcW w:w="975" w:type="dxa"/>
            <w:tcBorders>
              <w:top w:val="single" w:color="auto" w:sz="4" w:space="0"/>
              <w:left w:val="single" w:color="auto" w:sz="4" w:space="0"/>
              <w:bottom w:val="single" w:color="auto" w:sz="4" w:space="0"/>
              <w:right w:val="single" w:color="auto" w:sz="4" w:space="0"/>
            </w:tcBorders>
            <w:vAlign w:val="bottom"/>
          </w:tcPr>
          <w:p w14:paraId="7DD35C51">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785B1311">
        <w:tblPrEx>
          <w:tblCellMar>
            <w:top w:w="0" w:type="dxa"/>
            <w:left w:w="10" w:type="dxa"/>
            <w:bottom w:w="0" w:type="dxa"/>
            <w:right w:w="10" w:type="dxa"/>
          </w:tblCellMar>
        </w:tblPrEx>
        <w:trPr>
          <w:trHeight w:val="839" w:hRule="atLeast"/>
        </w:trPr>
        <w:tc>
          <w:tcPr>
            <w:tcW w:w="428" w:type="pct"/>
            <w:tcBorders>
              <w:top w:val="single" w:color="auto" w:sz="4" w:space="0"/>
              <w:left w:val="single" w:color="auto" w:sz="4" w:space="0"/>
              <w:bottom w:val="single" w:color="auto" w:sz="4" w:space="0"/>
              <w:right w:val="single" w:color="auto" w:sz="4" w:space="0"/>
            </w:tcBorders>
            <w:vAlign w:val="center"/>
          </w:tcPr>
          <w:p w14:paraId="25253DB9">
            <w:pPr>
              <w:pStyle w:val="17"/>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12</w:t>
            </w:r>
          </w:p>
        </w:tc>
        <w:tc>
          <w:tcPr>
            <w:tcW w:w="1003" w:type="dxa"/>
            <w:tcBorders>
              <w:top w:val="single" w:color="auto" w:sz="4" w:space="0"/>
              <w:left w:val="single" w:color="auto" w:sz="4" w:space="0"/>
              <w:bottom w:val="single" w:color="auto" w:sz="4" w:space="0"/>
              <w:right w:val="single" w:color="auto" w:sz="4" w:space="0"/>
            </w:tcBorders>
            <w:vAlign w:val="center"/>
          </w:tcPr>
          <w:p w14:paraId="5D6D3382">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臂节②</w:t>
            </w:r>
          </w:p>
        </w:tc>
        <w:tc>
          <w:tcPr>
            <w:tcW w:w="603" w:type="dxa"/>
            <w:tcBorders>
              <w:top w:val="single" w:color="auto" w:sz="4" w:space="0"/>
              <w:left w:val="single" w:color="auto" w:sz="4" w:space="0"/>
              <w:bottom w:val="single" w:color="auto" w:sz="4" w:space="0"/>
              <w:right w:val="single" w:color="auto" w:sz="4" w:space="0"/>
            </w:tcBorders>
            <w:vAlign w:val="center"/>
          </w:tcPr>
          <w:p w14:paraId="262D37CE">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745" w:type="dxa"/>
            <w:tcBorders>
              <w:top w:val="single" w:color="auto" w:sz="4" w:space="0"/>
              <w:left w:val="single" w:color="auto" w:sz="4" w:space="0"/>
              <w:bottom w:val="single" w:color="auto" w:sz="4" w:space="0"/>
              <w:right w:val="single" w:color="auto" w:sz="4" w:space="0"/>
            </w:tcBorders>
            <w:vAlign w:val="center"/>
          </w:tcPr>
          <w:p w14:paraId="63793B7B">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4" w:space="0"/>
              <w:left w:val="single" w:color="auto" w:sz="4" w:space="0"/>
              <w:bottom w:val="single" w:color="auto" w:sz="4" w:space="0"/>
              <w:right w:val="single" w:color="auto" w:sz="4" w:space="0"/>
            </w:tcBorders>
            <w:vAlign w:val="center"/>
          </w:tcPr>
          <w:p w14:paraId="10E4926F">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4" w:space="0"/>
              <w:left w:val="single" w:color="auto" w:sz="4" w:space="0"/>
              <w:bottom w:val="single" w:color="auto" w:sz="4" w:space="0"/>
              <w:right w:val="single" w:color="auto" w:sz="4" w:space="0"/>
            </w:tcBorders>
            <w:vAlign w:val="bottom"/>
          </w:tcPr>
          <w:p w14:paraId="488FF3DC">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4" w:space="0"/>
              <w:left w:val="single" w:color="auto" w:sz="4" w:space="0"/>
              <w:bottom w:val="single" w:color="auto" w:sz="4" w:space="0"/>
              <w:right w:val="single" w:color="auto" w:sz="4" w:space="0"/>
            </w:tcBorders>
            <w:vAlign w:val="bottom"/>
          </w:tcPr>
          <w:p w14:paraId="29B39B9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4" w:space="0"/>
              <w:left w:val="single" w:color="auto" w:sz="4" w:space="0"/>
              <w:bottom w:val="single" w:color="auto" w:sz="4" w:space="0"/>
              <w:right w:val="single" w:color="auto" w:sz="4" w:space="0"/>
            </w:tcBorders>
            <w:vAlign w:val="bottom"/>
          </w:tcPr>
          <w:p w14:paraId="78C26860">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4" w:space="0"/>
              <w:left w:val="single" w:color="auto" w:sz="4" w:space="0"/>
              <w:bottom w:val="single" w:color="auto" w:sz="4" w:space="0"/>
              <w:right w:val="single" w:color="auto" w:sz="4" w:space="0"/>
            </w:tcBorders>
            <w:vAlign w:val="bottom"/>
          </w:tcPr>
          <w:p w14:paraId="7861290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19.38%</w:t>
            </w:r>
          </w:p>
        </w:tc>
        <w:tc>
          <w:tcPr>
            <w:tcW w:w="975" w:type="dxa"/>
            <w:tcBorders>
              <w:top w:val="single" w:color="auto" w:sz="4" w:space="0"/>
              <w:left w:val="single" w:color="auto" w:sz="4" w:space="0"/>
              <w:bottom w:val="single" w:color="auto" w:sz="4" w:space="0"/>
              <w:right w:val="single" w:color="auto" w:sz="4" w:space="0"/>
            </w:tcBorders>
            <w:vAlign w:val="bottom"/>
          </w:tcPr>
          <w:p w14:paraId="796937E4">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32C97AF2">
        <w:tblPrEx>
          <w:tblCellMar>
            <w:top w:w="0" w:type="dxa"/>
            <w:left w:w="10" w:type="dxa"/>
            <w:bottom w:w="0" w:type="dxa"/>
            <w:right w:w="10" w:type="dxa"/>
          </w:tblCellMar>
        </w:tblPrEx>
        <w:trPr>
          <w:trHeight w:val="839" w:hRule="atLeast"/>
        </w:trPr>
        <w:tc>
          <w:tcPr>
            <w:tcW w:w="428" w:type="pct"/>
            <w:tcBorders>
              <w:top w:val="single" w:color="auto" w:sz="4" w:space="0"/>
              <w:left w:val="single" w:color="auto" w:sz="4" w:space="0"/>
              <w:bottom w:val="single" w:color="auto" w:sz="4" w:space="0"/>
              <w:right w:val="single" w:color="auto" w:sz="4" w:space="0"/>
            </w:tcBorders>
            <w:vAlign w:val="center"/>
          </w:tcPr>
          <w:p w14:paraId="6515472D">
            <w:pPr>
              <w:pStyle w:val="17"/>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13</w:t>
            </w:r>
          </w:p>
        </w:tc>
        <w:tc>
          <w:tcPr>
            <w:tcW w:w="1003" w:type="dxa"/>
            <w:tcBorders>
              <w:top w:val="single" w:color="auto" w:sz="4" w:space="0"/>
              <w:left w:val="single" w:color="auto" w:sz="4" w:space="0"/>
              <w:bottom w:val="single" w:color="auto" w:sz="4" w:space="0"/>
              <w:right w:val="single" w:color="auto" w:sz="4" w:space="0"/>
            </w:tcBorders>
            <w:vAlign w:val="center"/>
          </w:tcPr>
          <w:p w14:paraId="69A307E8">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臂节③</w:t>
            </w:r>
          </w:p>
        </w:tc>
        <w:tc>
          <w:tcPr>
            <w:tcW w:w="603" w:type="dxa"/>
            <w:tcBorders>
              <w:top w:val="single" w:color="auto" w:sz="4" w:space="0"/>
              <w:left w:val="single" w:color="auto" w:sz="4" w:space="0"/>
              <w:bottom w:val="single" w:color="auto" w:sz="4" w:space="0"/>
              <w:right w:val="single" w:color="auto" w:sz="4" w:space="0"/>
            </w:tcBorders>
            <w:vAlign w:val="center"/>
          </w:tcPr>
          <w:p w14:paraId="537DE575">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745" w:type="dxa"/>
            <w:tcBorders>
              <w:top w:val="single" w:color="auto" w:sz="4" w:space="0"/>
              <w:left w:val="single" w:color="auto" w:sz="4" w:space="0"/>
              <w:bottom w:val="single" w:color="auto" w:sz="4" w:space="0"/>
              <w:right w:val="single" w:color="auto" w:sz="4" w:space="0"/>
            </w:tcBorders>
            <w:vAlign w:val="center"/>
          </w:tcPr>
          <w:p w14:paraId="49BB98E7">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4" w:space="0"/>
              <w:left w:val="single" w:color="auto" w:sz="4" w:space="0"/>
              <w:bottom w:val="single" w:color="auto" w:sz="4" w:space="0"/>
              <w:right w:val="single" w:color="auto" w:sz="4" w:space="0"/>
            </w:tcBorders>
            <w:vAlign w:val="center"/>
          </w:tcPr>
          <w:p w14:paraId="33591C44">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4" w:space="0"/>
              <w:left w:val="single" w:color="auto" w:sz="4" w:space="0"/>
              <w:bottom w:val="single" w:color="auto" w:sz="4" w:space="0"/>
              <w:right w:val="single" w:color="auto" w:sz="4" w:space="0"/>
            </w:tcBorders>
            <w:vAlign w:val="bottom"/>
          </w:tcPr>
          <w:p w14:paraId="45DD74C4">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4" w:space="0"/>
              <w:left w:val="single" w:color="auto" w:sz="4" w:space="0"/>
              <w:bottom w:val="single" w:color="auto" w:sz="4" w:space="0"/>
              <w:right w:val="single" w:color="auto" w:sz="4" w:space="0"/>
            </w:tcBorders>
            <w:vAlign w:val="bottom"/>
          </w:tcPr>
          <w:p w14:paraId="71DC9129">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4" w:space="0"/>
              <w:left w:val="single" w:color="auto" w:sz="4" w:space="0"/>
              <w:bottom w:val="single" w:color="auto" w:sz="4" w:space="0"/>
              <w:right w:val="single" w:color="auto" w:sz="4" w:space="0"/>
            </w:tcBorders>
            <w:vAlign w:val="bottom"/>
          </w:tcPr>
          <w:p w14:paraId="05C78A6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4" w:space="0"/>
              <w:left w:val="single" w:color="auto" w:sz="4" w:space="0"/>
              <w:bottom w:val="single" w:color="auto" w:sz="4" w:space="0"/>
              <w:right w:val="single" w:color="auto" w:sz="4" w:space="0"/>
            </w:tcBorders>
            <w:vAlign w:val="bottom"/>
          </w:tcPr>
          <w:p w14:paraId="68445E86">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16.77%</w:t>
            </w:r>
          </w:p>
        </w:tc>
        <w:tc>
          <w:tcPr>
            <w:tcW w:w="975" w:type="dxa"/>
            <w:tcBorders>
              <w:top w:val="single" w:color="auto" w:sz="4" w:space="0"/>
              <w:left w:val="single" w:color="auto" w:sz="4" w:space="0"/>
              <w:bottom w:val="single" w:color="auto" w:sz="4" w:space="0"/>
              <w:right w:val="single" w:color="auto" w:sz="4" w:space="0"/>
            </w:tcBorders>
            <w:vAlign w:val="bottom"/>
          </w:tcPr>
          <w:p w14:paraId="7EE0DEAB">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3F2AAE95">
        <w:tblPrEx>
          <w:tblCellMar>
            <w:top w:w="0" w:type="dxa"/>
            <w:left w:w="10" w:type="dxa"/>
            <w:bottom w:w="0" w:type="dxa"/>
            <w:right w:w="10" w:type="dxa"/>
          </w:tblCellMar>
        </w:tblPrEx>
        <w:trPr>
          <w:trHeight w:val="839" w:hRule="atLeast"/>
        </w:trPr>
        <w:tc>
          <w:tcPr>
            <w:tcW w:w="428" w:type="pct"/>
            <w:tcBorders>
              <w:top w:val="single" w:color="auto" w:sz="4" w:space="0"/>
              <w:left w:val="single" w:color="auto" w:sz="4" w:space="0"/>
              <w:bottom w:val="single" w:color="auto" w:sz="4" w:space="0"/>
              <w:right w:val="single" w:color="auto" w:sz="4" w:space="0"/>
            </w:tcBorders>
            <w:vAlign w:val="center"/>
          </w:tcPr>
          <w:p w14:paraId="22555C9A">
            <w:pPr>
              <w:pStyle w:val="17"/>
              <w:ind w:firstLine="0" w:firstLineChars="0"/>
              <w:rPr>
                <w:rFonts w:hint="default" w:ascii="Times New Roman" w:hAnsi="Times New Roman" w:eastAsia="宋体" w:cs="Times New Roman"/>
                <w:kern w:val="2"/>
                <w:sz w:val="21"/>
                <w:szCs w:val="21"/>
                <w:lang w:val="en-US" w:eastAsia="zh-CN" w:bidi="ar-SA"/>
              </w:rPr>
            </w:pPr>
            <w:r>
              <w:rPr>
                <w:rFonts w:hint="eastAsia" w:cs="Times New Roman"/>
                <w:lang w:val="en-US" w:eastAsia="zh-CN"/>
              </w:rPr>
              <w:t>14</w:t>
            </w:r>
          </w:p>
        </w:tc>
        <w:tc>
          <w:tcPr>
            <w:tcW w:w="1003" w:type="dxa"/>
            <w:tcBorders>
              <w:top w:val="single" w:color="auto" w:sz="4" w:space="0"/>
              <w:left w:val="single" w:color="auto" w:sz="4" w:space="0"/>
              <w:bottom w:val="single" w:color="auto" w:sz="4" w:space="0"/>
              <w:right w:val="single" w:color="auto" w:sz="4" w:space="0"/>
            </w:tcBorders>
            <w:vAlign w:val="center"/>
          </w:tcPr>
          <w:p w14:paraId="215750E0">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eastAsia" w:ascii="宋体" w:hAnsi="宋体" w:eastAsia="宋体" w:cs="宋体"/>
                <w:i w:val="0"/>
                <w:iCs w:val="0"/>
                <w:color w:val="000000"/>
                <w:kern w:val="0"/>
                <w:sz w:val="21"/>
                <w:szCs w:val="21"/>
                <w:u w:val="none"/>
                <w:lang w:val="en-US" w:eastAsia="zh-CN" w:bidi="ar"/>
              </w:rPr>
              <w:t>臂节④</w:t>
            </w:r>
          </w:p>
        </w:tc>
        <w:tc>
          <w:tcPr>
            <w:tcW w:w="603" w:type="dxa"/>
            <w:tcBorders>
              <w:top w:val="single" w:color="auto" w:sz="4" w:space="0"/>
              <w:left w:val="single" w:color="auto" w:sz="4" w:space="0"/>
              <w:bottom w:val="single" w:color="auto" w:sz="4" w:space="0"/>
              <w:right w:val="single" w:color="auto" w:sz="4" w:space="0"/>
            </w:tcBorders>
            <w:vAlign w:val="center"/>
          </w:tcPr>
          <w:p w14:paraId="7944F53E">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2.185</w:t>
            </w:r>
          </w:p>
        </w:tc>
        <w:tc>
          <w:tcPr>
            <w:tcW w:w="745" w:type="dxa"/>
            <w:tcBorders>
              <w:top w:val="single" w:color="auto" w:sz="4" w:space="0"/>
              <w:left w:val="single" w:color="auto" w:sz="4" w:space="0"/>
              <w:bottom w:val="single" w:color="auto" w:sz="4" w:space="0"/>
              <w:right w:val="single" w:color="auto" w:sz="4" w:space="0"/>
            </w:tcBorders>
            <w:vAlign w:val="center"/>
          </w:tcPr>
          <w:p w14:paraId="164BF8B5">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4" w:space="0"/>
              <w:left w:val="single" w:color="auto" w:sz="4" w:space="0"/>
              <w:bottom w:val="single" w:color="auto" w:sz="4" w:space="0"/>
              <w:right w:val="single" w:color="auto" w:sz="4" w:space="0"/>
            </w:tcBorders>
            <w:vAlign w:val="center"/>
          </w:tcPr>
          <w:p w14:paraId="596417C9">
            <w:pPr>
              <w:keepNext w:val="0"/>
              <w:keepLines w:val="0"/>
              <w:widowControl/>
              <w:suppressLineNumbers w:val="0"/>
              <w:ind w:firstLine="420" w:firstLineChars="20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4" w:space="0"/>
              <w:left w:val="single" w:color="auto" w:sz="4" w:space="0"/>
              <w:bottom w:val="single" w:color="auto" w:sz="4" w:space="0"/>
              <w:right w:val="single" w:color="auto" w:sz="4" w:space="0"/>
            </w:tcBorders>
            <w:vAlign w:val="bottom"/>
          </w:tcPr>
          <w:p w14:paraId="48C26E3F">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4" w:space="0"/>
              <w:left w:val="single" w:color="auto" w:sz="4" w:space="0"/>
              <w:bottom w:val="single" w:color="auto" w:sz="4" w:space="0"/>
              <w:right w:val="single" w:color="auto" w:sz="4" w:space="0"/>
            </w:tcBorders>
            <w:vAlign w:val="bottom"/>
          </w:tcPr>
          <w:p w14:paraId="59796A8A">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4" w:space="0"/>
              <w:left w:val="single" w:color="auto" w:sz="4" w:space="0"/>
              <w:bottom w:val="single" w:color="auto" w:sz="4" w:space="0"/>
              <w:right w:val="single" w:color="auto" w:sz="4" w:space="0"/>
            </w:tcBorders>
            <w:vAlign w:val="bottom"/>
          </w:tcPr>
          <w:p w14:paraId="45AC6422">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4" w:space="0"/>
              <w:left w:val="single" w:color="auto" w:sz="4" w:space="0"/>
              <w:bottom w:val="single" w:color="auto" w:sz="4" w:space="0"/>
              <w:right w:val="single" w:color="auto" w:sz="4" w:space="0"/>
            </w:tcBorders>
            <w:vAlign w:val="bottom"/>
          </w:tcPr>
          <w:p w14:paraId="384C5505">
            <w:pPr>
              <w:keepNext w:val="0"/>
              <w:keepLines w:val="0"/>
              <w:widowControl/>
              <w:suppressLineNumbers w:val="0"/>
              <w:ind w:firstLine="420" w:firstLineChars="20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13.57%</w:t>
            </w:r>
          </w:p>
        </w:tc>
        <w:tc>
          <w:tcPr>
            <w:tcW w:w="975" w:type="dxa"/>
            <w:tcBorders>
              <w:top w:val="single" w:color="auto" w:sz="4" w:space="0"/>
              <w:left w:val="single" w:color="auto" w:sz="4" w:space="0"/>
              <w:bottom w:val="single" w:color="auto" w:sz="4" w:space="0"/>
              <w:right w:val="single" w:color="auto" w:sz="4" w:space="0"/>
            </w:tcBorders>
            <w:vAlign w:val="bottom"/>
          </w:tcPr>
          <w:p w14:paraId="25E99FD2">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r w14:paraId="7683C8EC">
        <w:tblPrEx>
          <w:tblCellMar>
            <w:top w:w="0" w:type="dxa"/>
            <w:left w:w="10" w:type="dxa"/>
            <w:bottom w:w="0" w:type="dxa"/>
            <w:right w:w="10" w:type="dxa"/>
          </w:tblCellMar>
        </w:tblPrEx>
        <w:trPr>
          <w:trHeight w:val="839" w:hRule="atLeast"/>
        </w:trPr>
        <w:tc>
          <w:tcPr>
            <w:tcW w:w="428" w:type="pct"/>
            <w:tcBorders>
              <w:top w:val="single" w:color="auto" w:sz="4" w:space="0"/>
              <w:left w:val="single" w:color="auto" w:sz="4" w:space="0"/>
              <w:bottom w:val="single" w:color="auto" w:sz="4" w:space="0"/>
              <w:right w:val="single" w:color="auto" w:sz="4" w:space="0"/>
            </w:tcBorders>
            <w:vAlign w:val="center"/>
          </w:tcPr>
          <w:p w14:paraId="28250D99">
            <w:pPr>
              <w:pStyle w:val="17"/>
              <w:ind w:firstLine="0" w:firstLineChars="0"/>
              <w:rPr>
                <w:rFonts w:hint="default" w:cs="Times New Roman"/>
                <w:lang w:val="en-US" w:eastAsia="zh-CN"/>
              </w:rPr>
            </w:pPr>
            <w:r>
              <w:rPr>
                <w:rFonts w:hint="eastAsia" w:cs="Times New Roman"/>
                <w:lang w:val="en-US" w:eastAsia="zh-CN"/>
              </w:rPr>
              <w:t>15</w:t>
            </w:r>
          </w:p>
        </w:tc>
        <w:tc>
          <w:tcPr>
            <w:tcW w:w="1003" w:type="dxa"/>
            <w:tcBorders>
              <w:top w:val="single" w:color="auto" w:sz="4" w:space="0"/>
              <w:left w:val="single" w:color="auto" w:sz="4" w:space="0"/>
              <w:bottom w:val="single" w:color="auto" w:sz="4" w:space="0"/>
              <w:right w:val="single" w:color="auto" w:sz="4" w:space="0"/>
            </w:tcBorders>
            <w:vAlign w:val="center"/>
          </w:tcPr>
          <w:p w14:paraId="07E0C787">
            <w:pPr>
              <w:keepNext w:val="0"/>
              <w:keepLines w:val="0"/>
              <w:widowControl/>
              <w:suppressLineNumbers w:val="0"/>
              <w:ind w:firstLine="420" w:firstLineChars="200"/>
              <w:jc w:val="center"/>
              <w:textAlignment w:val="center"/>
              <w:rPr>
                <w:rFonts w:hint="eastAsia" w:ascii="Times New Roman" w:hAnsi="Times New Roman" w:eastAsia="宋体" w:cs="Times New Roman"/>
                <w:lang w:val="en-US" w:eastAsia="zh-CN"/>
              </w:rPr>
            </w:pPr>
            <w:r>
              <w:rPr>
                <w:rFonts w:hint="eastAsia" w:ascii="宋体" w:hAnsi="宋体" w:eastAsia="宋体" w:cs="宋体"/>
                <w:i w:val="0"/>
                <w:iCs w:val="0"/>
                <w:color w:val="000000"/>
                <w:kern w:val="0"/>
                <w:sz w:val="21"/>
                <w:szCs w:val="21"/>
                <w:u w:val="none"/>
                <w:lang w:val="en-US" w:eastAsia="zh-CN" w:bidi="ar"/>
              </w:rPr>
              <w:t>臂节⑤及臂尖节</w:t>
            </w:r>
          </w:p>
        </w:tc>
        <w:tc>
          <w:tcPr>
            <w:tcW w:w="603" w:type="dxa"/>
            <w:tcBorders>
              <w:top w:val="single" w:color="auto" w:sz="4" w:space="0"/>
              <w:left w:val="single" w:color="auto" w:sz="4" w:space="0"/>
              <w:bottom w:val="single" w:color="auto" w:sz="4" w:space="0"/>
              <w:right w:val="single" w:color="auto" w:sz="4" w:space="0"/>
            </w:tcBorders>
            <w:vAlign w:val="center"/>
          </w:tcPr>
          <w:p w14:paraId="3DB2944D">
            <w:pPr>
              <w:keepNext w:val="0"/>
              <w:keepLines w:val="0"/>
              <w:widowControl/>
              <w:suppressLineNumbers w:val="0"/>
              <w:ind w:firstLine="420" w:firstLineChars="200"/>
              <w:jc w:val="center"/>
              <w:textAlignment w:val="center"/>
              <w:rPr>
                <w:rFonts w:hint="default"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745" w:type="dxa"/>
            <w:tcBorders>
              <w:top w:val="single" w:color="auto" w:sz="4" w:space="0"/>
              <w:left w:val="single" w:color="auto" w:sz="4" w:space="0"/>
              <w:bottom w:val="single" w:color="auto" w:sz="4" w:space="0"/>
              <w:right w:val="single" w:color="auto" w:sz="4" w:space="0"/>
            </w:tcBorders>
            <w:vAlign w:val="center"/>
          </w:tcPr>
          <w:p w14:paraId="1063CC59">
            <w:pPr>
              <w:keepNext w:val="0"/>
              <w:keepLines w:val="0"/>
              <w:widowControl/>
              <w:suppressLineNumbers w:val="0"/>
              <w:ind w:firstLine="420" w:firstLineChars="200"/>
              <w:jc w:val="center"/>
              <w:textAlignment w:val="center"/>
              <w:rPr>
                <w:rFonts w:hint="eastAsia"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66" w:type="dxa"/>
            <w:tcBorders>
              <w:top w:val="single" w:color="auto" w:sz="4" w:space="0"/>
              <w:left w:val="single" w:color="auto" w:sz="4" w:space="0"/>
              <w:bottom w:val="single" w:color="auto" w:sz="4" w:space="0"/>
              <w:right w:val="single" w:color="auto" w:sz="4" w:space="0"/>
            </w:tcBorders>
            <w:vAlign w:val="center"/>
          </w:tcPr>
          <w:p w14:paraId="7E7DF7A1">
            <w:pPr>
              <w:keepNext w:val="0"/>
              <w:keepLines w:val="0"/>
              <w:widowControl/>
              <w:suppressLineNumbers w:val="0"/>
              <w:ind w:firstLine="420" w:firstLineChars="200"/>
              <w:jc w:val="center"/>
              <w:textAlignment w:val="center"/>
              <w:rPr>
                <w:rFonts w:hint="eastAsia"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19" w:type="dxa"/>
            <w:tcBorders>
              <w:top w:val="single" w:color="auto" w:sz="4" w:space="0"/>
              <w:left w:val="single" w:color="auto" w:sz="4" w:space="0"/>
              <w:bottom w:val="single" w:color="auto" w:sz="4" w:space="0"/>
              <w:right w:val="single" w:color="auto" w:sz="4" w:space="0"/>
            </w:tcBorders>
            <w:vAlign w:val="bottom"/>
          </w:tcPr>
          <w:p w14:paraId="448A95B9">
            <w:pPr>
              <w:keepNext w:val="0"/>
              <w:keepLines w:val="0"/>
              <w:widowControl/>
              <w:suppressLineNumbers w:val="0"/>
              <w:ind w:firstLine="420" w:firstLineChars="200"/>
              <w:jc w:val="center"/>
              <w:textAlignment w:val="bottom"/>
              <w:rPr>
                <w:rFonts w:hint="eastAsia" w:cs="Times New Roman"/>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19" w:type="dxa"/>
            <w:tcBorders>
              <w:top w:val="single" w:color="auto" w:sz="4" w:space="0"/>
              <w:left w:val="single" w:color="auto" w:sz="4" w:space="0"/>
              <w:bottom w:val="single" w:color="auto" w:sz="4" w:space="0"/>
              <w:right w:val="single" w:color="auto" w:sz="4" w:space="0"/>
            </w:tcBorders>
            <w:vAlign w:val="bottom"/>
          </w:tcPr>
          <w:p w14:paraId="3527C335">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839" w:type="dxa"/>
            <w:tcBorders>
              <w:top w:val="single" w:color="auto" w:sz="4" w:space="0"/>
              <w:left w:val="single" w:color="auto" w:sz="4" w:space="0"/>
              <w:bottom w:val="single" w:color="auto" w:sz="4" w:space="0"/>
              <w:right w:val="single" w:color="auto" w:sz="4" w:space="0"/>
            </w:tcBorders>
            <w:vAlign w:val="bottom"/>
          </w:tcPr>
          <w:p w14:paraId="7932EB85">
            <w:pPr>
              <w:keepNext w:val="0"/>
              <w:keepLines w:val="0"/>
              <w:widowControl/>
              <w:suppressLineNumbers w:val="0"/>
              <w:ind w:firstLine="420" w:firstLineChars="200"/>
              <w:jc w:val="center"/>
              <w:textAlignment w:val="bottom"/>
              <w:rPr>
                <w:rFonts w:hint="eastAsia"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041" w:type="dxa"/>
            <w:tcBorders>
              <w:top w:val="single" w:color="auto" w:sz="4" w:space="0"/>
              <w:left w:val="single" w:color="auto" w:sz="4" w:space="0"/>
              <w:bottom w:val="single" w:color="auto" w:sz="4" w:space="0"/>
              <w:right w:val="single" w:color="auto" w:sz="4" w:space="0"/>
            </w:tcBorders>
            <w:vAlign w:val="bottom"/>
          </w:tcPr>
          <w:p w14:paraId="40572CB6">
            <w:pPr>
              <w:keepNext w:val="0"/>
              <w:keepLines w:val="0"/>
              <w:widowControl/>
              <w:suppressLineNumbers w:val="0"/>
              <w:ind w:firstLine="420" w:firstLineChars="20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12.55%</w:t>
            </w:r>
          </w:p>
        </w:tc>
        <w:tc>
          <w:tcPr>
            <w:tcW w:w="975" w:type="dxa"/>
            <w:tcBorders>
              <w:top w:val="single" w:color="auto" w:sz="4" w:space="0"/>
              <w:left w:val="single" w:color="auto" w:sz="4" w:space="0"/>
              <w:bottom w:val="single" w:color="auto" w:sz="4" w:space="0"/>
              <w:right w:val="single" w:color="auto" w:sz="4" w:space="0"/>
            </w:tcBorders>
            <w:vAlign w:val="bottom"/>
          </w:tcPr>
          <w:p w14:paraId="41DABC51">
            <w:pPr>
              <w:keepNext w:val="0"/>
              <w:keepLines w:val="0"/>
              <w:widowControl/>
              <w:suppressLineNumbers w:val="0"/>
              <w:ind w:firstLine="420" w:firstLineChars="200"/>
              <w:jc w:val="center"/>
              <w:textAlignment w:val="bottom"/>
              <w:rPr>
                <w:rFonts w:hint="eastAsia" w:ascii="Times New Roman" w:hAnsi="Times New Roman"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满足</w:t>
            </w:r>
          </w:p>
        </w:tc>
      </w:tr>
    </w:tbl>
    <w:p w14:paraId="2D9086B4">
      <w:pPr>
        <w:pStyle w:val="4"/>
        <w:numPr>
          <w:ilvl w:val="2"/>
          <w:numId w:val="1"/>
        </w:numPr>
        <w:bidi w:val="0"/>
      </w:pPr>
      <w:r>
        <w:t>吊</w:t>
      </w:r>
      <w:r>
        <w:rPr>
          <w:rFonts w:hint="eastAsia"/>
        </w:rPr>
        <w:t>索具</w:t>
      </w:r>
      <w:r>
        <w:t>选型</w:t>
      </w:r>
    </w:p>
    <w:p w14:paraId="52C5F522">
      <w:pPr>
        <w:ind w:firstLine="480"/>
      </w:pPr>
      <w:r>
        <w:rPr>
          <w:rFonts w:hint="eastAsia"/>
        </w:rPr>
        <w:t>吊索具选型详见第十章计算书相关章节。</w:t>
      </w:r>
    </w:p>
    <w:p w14:paraId="216AA93C">
      <w:pPr>
        <w:pStyle w:val="3"/>
      </w:pPr>
      <w:bookmarkStart w:id="93" w:name="_Toc7730"/>
      <w:r>
        <w:rPr>
          <w:rFonts w:hint="eastAsia"/>
        </w:rPr>
        <w:t>施工准备</w:t>
      </w:r>
      <w:bookmarkEnd w:id="79"/>
      <w:bookmarkEnd w:id="80"/>
      <w:bookmarkEnd w:id="81"/>
      <w:bookmarkEnd w:id="82"/>
      <w:bookmarkEnd w:id="83"/>
      <w:bookmarkEnd w:id="84"/>
      <w:bookmarkEnd w:id="85"/>
      <w:bookmarkEnd w:id="93"/>
    </w:p>
    <w:p w14:paraId="605FF9EC">
      <w:pPr>
        <w:pStyle w:val="4"/>
        <w:numPr>
          <w:ilvl w:val="2"/>
          <w:numId w:val="1"/>
        </w:numPr>
        <w:bidi w:val="0"/>
      </w:pPr>
      <w:r>
        <w:rPr>
          <w:rFonts w:hint="eastAsia"/>
        </w:rPr>
        <w:t>技术准备</w:t>
      </w:r>
    </w:p>
    <w:p w14:paraId="1F4E5B6D">
      <w:pPr>
        <w:numPr>
          <w:ilvl w:val="0"/>
          <w:numId w:val="23"/>
        </w:numPr>
        <w:ind w:firstLineChars="0"/>
      </w:pPr>
      <w:r>
        <w:rPr>
          <w:rFonts w:hint="eastAsia"/>
        </w:rPr>
        <w:t>测量准备</w:t>
      </w:r>
    </w:p>
    <w:p w14:paraId="2724348B">
      <w:pPr>
        <w:ind w:firstLine="480"/>
      </w:pPr>
      <w:r>
        <w:rPr>
          <w:rFonts w:hint="eastAsia"/>
        </w:rPr>
        <w:t>设备安装</w:t>
      </w:r>
      <w:r>
        <w:t>坐标已根据施工图进行复核</w:t>
      </w:r>
      <w:r>
        <w:rPr>
          <w:rFonts w:hint="eastAsia"/>
        </w:rPr>
        <w:t>，</w:t>
      </w:r>
      <w:r>
        <w:t>平面施工测量控制网已建立。</w:t>
      </w:r>
    </w:p>
    <w:p w14:paraId="4655C42B">
      <w:pPr>
        <w:numPr>
          <w:ilvl w:val="0"/>
          <w:numId w:val="23"/>
        </w:numPr>
        <w:ind w:firstLineChars="0"/>
      </w:pPr>
      <w:r>
        <w:rPr>
          <w:rFonts w:hint="eastAsia"/>
        </w:rPr>
        <w:t>审核报备</w:t>
      </w:r>
    </w:p>
    <w:p w14:paraId="2C00DB50">
      <w:pPr>
        <w:ind w:firstLine="480"/>
      </w:pPr>
      <w:r>
        <w:rPr>
          <w:rFonts w:hint="eastAsia"/>
        </w:rPr>
        <w:t>项目部审核设备技术资料，安拆方案已编制完成并通过审核与报备，特种作业人员持证上岗，施工所需设备、材料及工器具</w:t>
      </w:r>
    </w:p>
    <w:p w14:paraId="4752EE0F">
      <w:pPr>
        <w:numPr>
          <w:ilvl w:val="0"/>
          <w:numId w:val="23"/>
        </w:numPr>
        <w:ind w:firstLineChars="0"/>
      </w:pPr>
      <w:r>
        <w:rPr>
          <w:rFonts w:hint="eastAsia"/>
        </w:rPr>
        <w:t>技术交底</w:t>
      </w:r>
    </w:p>
    <w:p w14:paraId="416BAAFC">
      <w:pPr>
        <w:ind w:firstLine="480"/>
      </w:pPr>
      <w:r>
        <w:rPr>
          <w:rFonts w:hint="eastAsia"/>
        </w:rPr>
        <w:t>针对本工程相关管理人员和施工</w:t>
      </w:r>
      <w:r>
        <w:t>人员，</w:t>
      </w:r>
      <w:r>
        <w:rPr>
          <w:rFonts w:hint="eastAsia"/>
        </w:rPr>
        <w:t>项目部</w:t>
      </w:r>
      <w:r>
        <w:t>组织</w:t>
      </w:r>
      <w:r>
        <w:rPr>
          <w:rFonts w:hint="eastAsia"/>
        </w:rPr>
        <w:t>技术方案交底与</w:t>
      </w:r>
      <w:r>
        <w:t>安全</w:t>
      </w:r>
      <w:r>
        <w:rPr>
          <w:rFonts w:hint="eastAsia"/>
        </w:rPr>
        <w:t>教育</w:t>
      </w:r>
      <w:r>
        <w:t>培训。</w:t>
      </w:r>
    </w:p>
    <w:p w14:paraId="676D24C6">
      <w:pPr>
        <w:pStyle w:val="4"/>
        <w:numPr>
          <w:ilvl w:val="2"/>
          <w:numId w:val="1"/>
        </w:numPr>
        <w:bidi w:val="0"/>
      </w:pPr>
      <w:r>
        <w:rPr>
          <w:rFonts w:hint="eastAsia"/>
        </w:rPr>
        <w:t>现场准备</w:t>
      </w:r>
    </w:p>
    <w:p w14:paraId="0AC12CBD">
      <w:pPr>
        <w:numPr>
          <w:ilvl w:val="0"/>
          <w:numId w:val="24"/>
        </w:numPr>
        <w:ind w:firstLineChars="0"/>
      </w:pPr>
      <w:r>
        <w:rPr>
          <w:rFonts w:hint="eastAsia"/>
        </w:rPr>
        <w:t>场地准备</w:t>
      </w:r>
    </w:p>
    <w:p w14:paraId="25511978">
      <w:pPr>
        <w:ind w:firstLine="480"/>
      </w:pPr>
      <w:r>
        <w:rPr>
          <w:rFonts w:hint="eastAsia"/>
        </w:rPr>
        <w:t>项目部根据本施工方案的施工平面布置，清理现场场地，保证施工场所满足空间需求，设备基础施工通过验收。</w:t>
      </w:r>
    </w:p>
    <w:p w14:paraId="15A6137A">
      <w:pPr>
        <w:numPr>
          <w:ilvl w:val="0"/>
          <w:numId w:val="24"/>
        </w:numPr>
        <w:ind w:firstLineChars="0"/>
      </w:pPr>
      <w:r>
        <w:rPr>
          <w:rFonts w:hint="eastAsia"/>
        </w:rPr>
        <w:t>环境准备</w:t>
      </w:r>
    </w:p>
    <w:p w14:paraId="38850004">
      <w:pPr>
        <w:ind w:firstLine="480"/>
      </w:pPr>
      <w:r>
        <w:rPr>
          <w:rFonts w:hint="eastAsia"/>
        </w:rPr>
        <w:t>项目部持续关注气候以及水位情况，保证施工过程中不受恶劣天气（6级及以上大风、雨、雪等）以及高水位影响。</w:t>
      </w:r>
    </w:p>
    <w:p w14:paraId="36B6ADB5">
      <w:pPr>
        <w:numPr>
          <w:ilvl w:val="0"/>
          <w:numId w:val="24"/>
        </w:numPr>
        <w:ind w:firstLineChars="0"/>
      </w:pPr>
      <w:r>
        <w:rPr>
          <w:rFonts w:hint="eastAsia"/>
        </w:rPr>
        <w:t>物资准备</w:t>
      </w:r>
    </w:p>
    <w:p w14:paraId="3F87DA77">
      <w:pPr>
        <w:ind w:firstLine="480"/>
      </w:pPr>
      <w:r>
        <w:rPr>
          <w:rFonts w:hint="eastAsia"/>
        </w:rPr>
        <w:t>施工所需</w:t>
      </w:r>
      <w:r>
        <w:t>材料已经进场并</w:t>
      </w:r>
      <w:r>
        <w:rPr>
          <w:rFonts w:hint="eastAsia"/>
        </w:rPr>
        <w:t>通过物资部</w:t>
      </w:r>
      <w:r>
        <w:t>验收合格。在夜晚作业时，应准备足够的照明条件。</w:t>
      </w:r>
    </w:p>
    <w:p w14:paraId="66B12BED">
      <w:pPr>
        <w:numPr>
          <w:ilvl w:val="0"/>
          <w:numId w:val="24"/>
        </w:numPr>
        <w:ind w:firstLineChars="0"/>
      </w:pPr>
      <w:r>
        <w:rPr>
          <w:rFonts w:hint="eastAsia"/>
        </w:rPr>
        <w:t>设备准备</w:t>
      </w:r>
    </w:p>
    <w:p w14:paraId="1B9D5EFB">
      <w:pPr>
        <w:ind w:firstLine="480"/>
      </w:pPr>
      <w:r>
        <w:rPr>
          <w:rFonts w:hint="eastAsia"/>
        </w:rPr>
        <w:t>项目部组织落实机械设备、工具的进场，设备开机前先经检查、调试，检查机械设备的运行情况，保证设备的完好、设备的配套设施齐备。施工设备经过设备部验收合格后准许进场，配备性能好的机械设备，机械设备的检查、验证、维修、保养等记录齐全、正常合规。工索具性能良好，满足施工需求。</w:t>
      </w:r>
    </w:p>
    <w:p w14:paraId="1D6B68D2">
      <w:pPr>
        <w:numPr>
          <w:ilvl w:val="0"/>
          <w:numId w:val="24"/>
        </w:numPr>
        <w:ind w:firstLineChars="0"/>
      </w:pPr>
      <w:r>
        <w:rPr>
          <w:rFonts w:hint="eastAsia"/>
        </w:rPr>
        <w:t>临时用电</w:t>
      </w:r>
    </w:p>
    <w:p w14:paraId="4A1736DC">
      <w:pPr>
        <w:ind w:firstLine="480"/>
        <w:rPr>
          <w:highlight w:val="yellow"/>
        </w:rPr>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马鹿塘大桥</w:t>
      </w:r>
      <w:r>
        <w:fldChar w:fldCharType="end"/>
      </w:r>
      <w:r>
        <w:rPr>
          <w:rFonts w:hint="eastAsia"/>
        </w:rPr>
        <w:t>施工区域配1台</w:t>
      </w:r>
      <w:r>
        <w:t>10</w:t>
      </w:r>
      <w:r>
        <w:rPr>
          <w:rFonts w:hint="eastAsia"/>
        </w:rPr>
        <w:t>00kVA变压器和一台</w:t>
      </w:r>
      <w:r>
        <w:t>30</w:t>
      </w:r>
      <w:r>
        <w:rPr>
          <w:rFonts w:hint="eastAsia"/>
        </w:rPr>
        <w:t>0kW发电机，配备二级配电箱，用电终端配三级配电箱，供电线经PVC管保护地埋敷设。</w:t>
      </w:r>
    </w:p>
    <w:p w14:paraId="73AE8639">
      <w:pPr>
        <w:ind w:firstLine="480"/>
      </w:pPr>
      <w:r>
        <w:rPr>
          <w:rFonts w:hint="eastAsia"/>
        </w:rPr>
        <w:t>供电线路严格按照三相五线配电原则，三级配电箱为“一机一闸一箱一漏保”开关箱，布置在用电设备3m范围内，临时配电箱防护严格按标准图加工定制，二级配电箱均采用配电箱防护棚进行保护，严禁非专业人员私拉乱接电线。</w:t>
      </w:r>
    </w:p>
    <w:p w14:paraId="2762439D">
      <w:pPr>
        <w:numPr>
          <w:ilvl w:val="0"/>
          <w:numId w:val="24"/>
        </w:numPr>
        <w:ind w:firstLineChars="0"/>
      </w:pPr>
      <w:r>
        <w:rPr>
          <w:rFonts w:hint="eastAsia"/>
        </w:rPr>
        <w:t>人员准备</w:t>
      </w:r>
    </w:p>
    <w:p w14:paraId="1CDBC473">
      <w:pPr>
        <w:ind w:firstLine="480"/>
      </w:pPr>
      <w:r>
        <w:rPr>
          <w:rFonts w:hint="eastAsia"/>
        </w:rPr>
        <w:t>施工涉及的特种作业人员应持证上岗，施工前进行吊装演练。</w:t>
      </w:r>
    </w:p>
    <w:p w14:paraId="213F3BEB">
      <w:pPr>
        <w:pStyle w:val="3"/>
      </w:pPr>
      <w:bookmarkStart w:id="94" w:name="_Toc27561"/>
      <w:bookmarkStart w:id="95" w:name="_Toc13629"/>
      <w:r>
        <w:rPr>
          <w:rFonts w:hint="eastAsia"/>
        </w:rPr>
        <w:t>施工工艺流程图</w:t>
      </w:r>
      <w:bookmarkEnd w:id="94"/>
    </w:p>
    <w:p w14:paraId="751296A8">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14:paraId="3F80BC78">
      <w:pPr>
        <w:pStyle w:val="117"/>
        <w:rPr>
          <w:highlight w:val="yellow"/>
        </w:rPr>
      </w:pPr>
      <w:r>
        <w:drawing>
          <wp:inline distT="0" distB="0" distL="114300" distR="114300">
            <wp:extent cx="3695700" cy="4930140"/>
            <wp:effectExtent l="0" t="0" r="0" b="381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27"/>
                    <a:srcRect t="653"/>
                    <a:stretch>
                      <a:fillRect/>
                    </a:stretch>
                  </pic:blipFill>
                  <pic:spPr>
                    <a:xfrm>
                      <a:off x="0" y="0"/>
                      <a:ext cx="3695700" cy="4930140"/>
                    </a:xfrm>
                    <a:prstGeom prst="rect">
                      <a:avLst/>
                    </a:prstGeom>
                    <a:noFill/>
                    <a:ln>
                      <a:noFill/>
                    </a:ln>
                  </pic:spPr>
                </pic:pic>
              </a:graphicData>
            </a:graphic>
          </wp:inline>
        </w:drawing>
      </w:r>
    </w:p>
    <w:p w14:paraId="2E46457F">
      <w:pPr>
        <w:pStyle w:val="116"/>
      </w:pPr>
      <w:bookmarkStart w:id="96"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6"/>
      <w:r>
        <w:rPr>
          <w:rFonts w:hint="eastAsia"/>
        </w:rPr>
        <w:t xml:space="preserve"> </w:t>
      </w: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w:t>
      </w:r>
    </w:p>
    <w:p w14:paraId="5E347F31">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14:paraId="59631B3F">
      <w:pPr>
        <w:pStyle w:val="117"/>
      </w:pPr>
      <w:r>
        <w:drawing>
          <wp:inline distT="0" distB="0" distL="114300" distR="114300">
            <wp:extent cx="4276725" cy="4200525"/>
            <wp:effectExtent l="0" t="0" r="9525" b="9525"/>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
                    <pic:cNvPicPr>
                      <a:picLocks noChangeAspect="1"/>
                    </pic:cNvPicPr>
                  </pic:nvPicPr>
                  <pic:blipFill>
                    <a:blip r:embed="rId28"/>
                    <a:stretch>
                      <a:fillRect/>
                    </a:stretch>
                  </pic:blipFill>
                  <pic:spPr>
                    <a:xfrm>
                      <a:off x="0" y="0"/>
                      <a:ext cx="4276725" cy="4200525"/>
                    </a:xfrm>
                    <a:prstGeom prst="rect">
                      <a:avLst/>
                    </a:prstGeom>
                    <a:noFill/>
                    <a:ln>
                      <a:noFill/>
                    </a:ln>
                  </pic:spPr>
                </pic:pic>
              </a:graphicData>
            </a:graphic>
          </wp:inline>
        </w:drawing>
      </w:r>
    </w:p>
    <w:p w14:paraId="3BE58C95">
      <w:pPr>
        <w:pStyle w:val="116"/>
      </w:pPr>
      <w:bookmarkStart w:id="97"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97"/>
      <w:r>
        <w:rPr>
          <w:rFonts w:hint="eastAsia"/>
        </w:rPr>
        <w:t xml:space="preserve"> </w:t>
      </w:r>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拆除工艺流程图</w:t>
      </w:r>
    </w:p>
    <w:p w14:paraId="10B57162">
      <w:pPr>
        <w:pStyle w:val="3"/>
      </w:pPr>
      <w:bookmarkStart w:id="98" w:name="_Toc19675"/>
      <w:r>
        <w:rPr>
          <w:rFonts w:hint="eastAsia"/>
        </w:rPr>
        <w:t>施工方法</w:t>
      </w:r>
      <w:bookmarkEnd w:id="98"/>
    </w:p>
    <w:bookmarkEnd w:id="95"/>
    <w:p w14:paraId="59070C06">
      <w:pPr>
        <w:pStyle w:val="4"/>
        <w:numPr>
          <w:ilvl w:val="2"/>
          <w:numId w:val="1"/>
        </w:numPr>
        <w:bidi w:val="0"/>
      </w:pPr>
      <w:r>
        <w:rPr>
          <w:rFonts w:hint="eastAsia"/>
        </w:rPr>
        <w:t>设备安装方法</w:t>
      </w:r>
    </w:p>
    <w:p w14:paraId="1EDFDE7C">
      <w:pPr>
        <w:pStyle w:val="5"/>
        <w:bidi w:val="0"/>
        <w:rPr>
          <w:rFonts w:hint="eastAsia"/>
        </w:rPr>
      </w:pPr>
      <w:r>
        <w:rPr>
          <w:rFonts w:hint="eastAsia"/>
        </w:rPr>
        <w:t>基础</w:t>
      </w:r>
      <w:r>
        <w:rPr>
          <w:rFonts w:hint="eastAsia"/>
          <w:lang w:val="en-US" w:eastAsia="zh-CN"/>
        </w:rPr>
        <w:t>施工</w:t>
      </w:r>
    </w:p>
    <w:p w14:paraId="67172B17">
      <w:pPr>
        <w:spacing w:after="120" w:afterLines="50" w:line="300" w:lineRule="auto"/>
        <w:ind w:firstLine="480"/>
        <w:jc w:val="left"/>
        <w:rPr>
          <w:rFonts w:hint="eastAsia" w:ascii="宋体" w:hAnsi="宋体" w:eastAsia="宋体" w:cs="宋体"/>
          <w:bCs/>
          <w:color w:val="000000"/>
          <w:szCs w:val="24"/>
          <w:highlight w:val="lightGray"/>
        </w:rPr>
      </w:pPr>
      <w:r>
        <w:rPr>
          <w:rFonts w:hint="eastAsia" w:ascii="宋体" w:hAnsi="宋体" w:eastAsia="宋体" w:cs="宋体"/>
          <w:bCs/>
          <w:color w:val="000000"/>
          <w:szCs w:val="24"/>
          <w:highlight w:val="lightGray"/>
        </w:rPr>
        <w:t>因现场环境采用桩基础形式，</w:t>
      </w:r>
      <w:r>
        <w:rPr>
          <w:rFonts w:hint="eastAsia" w:ascii="宋体" w:hAnsi="宋体" w:eastAsia="宋体" w:cs="宋体"/>
          <w:bCs/>
          <w:color w:val="000000"/>
          <w:szCs w:val="24"/>
          <w:highlight w:val="lightGray"/>
          <w:lang w:val="en-US" w:eastAsia="zh-CN"/>
        </w:rPr>
        <w:t>桩长1</w:t>
      </w:r>
      <w:r>
        <w:rPr>
          <w:rFonts w:hint="eastAsia" w:ascii="宋体" w:hAnsi="宋体" w:cs="宋体"/>
          <w:bCs/>
          <w:color w:val="000000"/>
          <w:szCs w:val="24"/>
          <w:highlight w:val="lightGray"/>
          <w:lang w:val="en-US" w:eastAsia="zh-CN"/>
        </w:rPr>
        <w:t>6</w:t>
      </w:r>
      <w:r>
        <w:rPr>
          <w:rFonts w:hint="eastAsia" w:ascii="宋体" w:hAnsi="宋体" w:eastAsia="宋体" w:cs="宋体"/>
          <w:bCs/>
          <w:color w:val="000000"/>
          <w:szCs w:val="24"/>
          <w:highlight w:val="lightGray"/>
          <w:lang w:val="en-US" w:eastAsia="zh-CN"/>
        </w:rPr>
        <w:t>m，</w:t>
      </w:r>
      <w:r>
        <w:rPr>
          <w:rFonts w:hint="eastAsia" w:ascii="宋体" w:hAnsi="宋体" w:eastAsia="宋体" w:cs="宋体"/>
          <w:bCs/>
          <w:color w:val="000000"/>
          <w:szCs w:val="24"/>
          <w:highlight w:val="lightGray"/>
        </w:rPr>
        <w:t>桩直径为</w:t>
      </w:r>
      <w:r>
        <w:rPr>
          <w:rFonts w:hint="eastAsia" w:ascii="宋体" w:hAnsi="宋体" w:cs="宋体"/>
          <w:bCs/>
          <w:color w:val="000000"/>
          <w:szCs w:val="24"/>
          <w:highlight w:val="lightGray"/>
          <w:lang w:val="en-US" w:eastAsia="zh-CN"/>
        </w:rPr>
        <w:t>1</w:t>
      </w:r>
      <w:r>
        <w:rPr>
          <w:rFonts w:hint="eastAsia" w:ascii="宋体" w:hAnsi="宋体" w:eastAsia="宋体" w:cs="宋体"/>
          <w:bCs/>
          <w:color w:val="000000"/>
          <w:szCs w:val="24"/>
          <w:highlight w:val="lightGray"/>
        </w:rPr>
        <w:t>m。承台尺寸为</w:t>
      </w:r>
      <w:r>
        <w:rPr>
          <w:rFonts w:hint="eastAsia" w:ascii="宋体" w:hAnsi="宋体" w:cs="宋体"/>
          <w:bCs/>
          <w:color w:val="000000"/>
          <w:szCs w:val="24"/>
          <w:highlight w:val="lightGray"/>
          <w:lang w:val="en-US" w:eastAsia="zh-CN"/>
        </w:rPr>
        <w:t>5.6</w:t>
      </w:r>
      <w:r>
        <w:rPr>
          <w:rFonts w:hint="eastAsia" w:ascii="宋体" w:hAnsi="宋体" w:eastAsia="宋体" w:cs="宋体"/>
          <w:bCs/>
          <w:color w:val="000000"/>
          <w:szCs w:val="24"/>
          <w:highlight w:val="lightGray"/>
        </w:rPr>
        <w:t>m*</w:t>
      </w:r>
      <w:r>
        <w:rPr>
          <w:rFonts w:hint="eastAsia" w:ascii="宋体" w:hAnsi="宋体" w:cs="宋体"/>
          <w:bCs/>
          <w:color w:val="000000"/>
          <w:szCs w:val="24"/>
          <w:highlight w:val="lightGray"/>
          <w:lang w:val="en-US" w:eastAsia="zh-CN"/>
        </w:rPr>
        <w:t>5.6</w:t>
      </w:r>
      <w:r>
        <w:rPr>
          <w:rFonts w:hint="eastAsia" w:ascii="宋体" w:hAnsi="宋体" w:eastAsia="宋体" w:cs="宋体"/>
          <w:bCs/>
          <w:color w:val="000000"/>
          <w:szCs w:val="24"/>
          <w:highlight w:val="lightGray"/>
        </w:rPr>
        <w:t>m*</w:t>
      </w:r>
      <w:r>
        <w:rPr>
          <w:rFonts w:hint="eastAsia" w:ascii="宋体" w:hAnsi="宋体" w:cs="宋体"/>
          <w:bCs/>
          <w:color w:val="000000"/>
          <w:szCs w:val="24"/>
          <w:highlight w:val="lightGray"/>
          <w:lang w:val="en-US" w:eastAsia="zh-CN"/>
        </w:rPr>
        <w:t>1.5</w:t>
      </w:r>
      <w:r>
        <w:rPr>
          <w:rFonts w:hint="eastAsia" w:ascii="宋体" w:hAnsi="宋体" w:eastAsia="宋体" w:cs="宋体"/>
          <w:bCs/>
          <w:color w:val="000000"/>
          <w:szCs w:val="24"/>
          <w:highlight w:val="lightGray"/>
        </w:rPr>
        <w:t>m。</w:t>
      </w:r>
    </w:p>
    <w:p w14:paraId="6D3AEDC3">
      <w:pPr>
        <w:pStyle w:val="5"/>
        <w:bidi w:val="0"/>
        <w:rPr>
          <w:rFonts w:hint="eastAsia"/>
        </w:rPr>
      </w:pPr>
      <w:r>
        <w:rPr>
          <w:rFonts w:hint="eastAsia"/>
          <w:lang w:val="en-US" w:eastAsia="zh-CN"/>
        </w:rPr>
        <w:t>T7527-18</w:t>
      </w:r>
      <w:r>
        <w:rPr>
          <w:rFonts w:hint="eastAsia"/>
        </w:rPr>
        <w:t>安装</w:t>
      </w:r>
      <w:r>
        <w:rPr>
          <w:rFonts w:hint="eastAsia"/>
          <w:lang w:val="en-US" w:eastAsia="zh-CN"/>
        </w:rPr>
        <w:t>过渡</w:t>
      </w:r>
      <w:r>
        <w:rPr>
          <w:rFonts w:hint="eastAsia"/>
        </w:rPr>
        <w:t>节</w:t>
      </w:r>
    </w:p>
    <w:p w14:paraId="24952156">
      <w:pPr>
        <w:bidi w:val="0"/>
        <w:rPr>
          <w:rFonts w:hint="default"/>
          <w:lang w:val="zh-CN"/>
        </w:rPr>
      </w:pPr>
      <w:r>
        <w:rPr>
          <w:rFonts w:hint="default"/>
          <w:lang w:val="zh-CN"/>
        </w:rPr>
        <w:t>吊起过渡节安装至固定支脚或底架基础节上，每个脚用2件</w:t>
      </w:r>
      <w:r>
        <w:rPr>
          <w:rFonts w:hint="eastAsia"/>
        </w:rPr>
        <w:t>φ</w:t>
      </w:r>
      <w:r>
        <w:rPr>
          <w:rFonts w:hint="default"/>
          <w:lang w:val="zh-CN"/>
        </w:rPr>
        <w:t>65-190SP的销轴，2件</w:t>
      </w:r>
      <w:r>
        <w:rPr>
          <w:rFonts w:hint="eastAsia"/>
        </w:rPr>
        <w:t>φ</w:t>
      </w:r>
      <w:r>
        <w:rPr>
          <w:rFonts w:hint="default"/>
          <w:lang w:val="zh-CN"/>
        </w:rPr>
        <w:t>76</w:t>
      </w:r>
      <w:r>
        <w:rPr>
          <w:rFonts w:hint="eastAsia"/>
          <w:lang w:val="en-US" w:eastAsia="zh-CN"/>
        </w:rPr>
        <w:t>×</w:t>
      </w:r>
      <w:r>
        <w:rPr>
          <w:rFonts w:hint="default"/>
          <w:lang w:val="zh-CN"/>
        </w:rPr>
        <w:t>5-50的定位套及1件</w:t>
      </w:r>
      <w:r>
        <w:rPr>
          <w:rFonts w:hint="eastAsia"/>
        </w:rPr>
        <w:t>φ</w:t>
      </w:r>
      <w:r>
        <w:rPr>
          <w:rFonts w:hint="default"/>
          <w:lang w:val="zh-CN"/>
        </w:rPr>
        <w:t>20-183.5BP的纵销连接牢固，并用开口销锁定。连接方式见下图：</w:t>
      </w:r>
    </w:p>
    <w:p w14:paraId="6D160793">
      <w:pPr>
        <w:widowControl w:val="0"/>
        <w:spacing w:line="312" w:lineRule="auto"/>
        <w:ind w:firstLine="420"/>
        <w:jc w:val="center"/>
        <w:rPr>
          <w:rFonts w:hint="eastAsia" w:ascii="宋体" w:hAnsi="宋体" w:eastAsia="宋体" w:cs="宋体"/>
          <w:kern w:val="2"/>
          <w:sz w:val="28"/>
          <w:szCs w:val="24"/>
          <w:lang w:val="en-US" w:eastAsia="zh-CN" w:bidi="ar-SA"/>
        </w:rPr>
      </w:pPr>
      <w:r>
        <w:drawing>
          <wp:inline distT="0" distB="0" distL="114300" distR="114300">
            <wp:extent cx="2468880" cy="2540000"/>
            <wp:effectExtent l="0" t="0" r="7620" b="1270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29"/>
                    <a:stretch>
                      <a:fillRect/>
                    </a:stretch>
                  </pic:blipFill>
                  <pic:spPr>
                    <a:xfrm>
                      <a:off x="0" y="0"/>
                      <a:ext cx="2468880" cy="2540000"/>
                    </a:xfrm>
                    <a:prstGeom prst="rect">
                      <a:avLst/>
                    </a:prstGeom>
                    <a:noFill/>
                    <a:ln>
                      <a:noFill/>
                    </a:ln>
                  </pic:spPr>
                </pic:pic>
              </a:graphicData>
            </a:graphic>
          </wp:inline>
        </w:drawing>
      </w:r>
      <w:r>
        <w:drawing>
          <wp:inline distT="0" distB="0" distL="114300" distR="114300">
            <wp:extent cx="4743450" cy="554355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0"/>
                    <a:stretch>
                      <a:fillRect/>
                    </a:stretch>
                  </pic:blipFill>
                  <pic:spPr>
                    <a:xfrm>
                      <a:off x="0" y="0"/>
                      <a:ext cx="4743450" cy="5543550"/>
                    </a:xfrm>
                    <a:prstGeom prst="rect">
                      <a:avLst/>
                    </a:prstGeom>
                    <a:noFill/>
                    <a:ln>
                      <a:noFill/>
                    </a:ln>
                  </pic:spPr>
                </pic:pic>
              </a:graphicData>
            </a:graphic>
          </wp:inline>
        </w:drawing>
      </w:r>
      <w:r>
        <w:drawing>
          <wp:inline distT="0" distB="0" distL="114300" distR="114300">
            <wp:extent cx="5272405" cy="5300980"/>
            <wp:effectExtent l="0" t="0" r="4445" b="139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1"/>
                    <a:stretch>
                      <a:fillRect/>
                    </a:stretch>
                  </pic:blipFill>
                  <pic:spPr>
                    <a:xfrm>
                      <a:off x="0" y="0"/>
                      <a:ext cx="5272405" cy="5300980"/>
                    </a:xfrm>
                    <a:prstGeom prst="rect">
                      <a:avLst/>
                    </a:prstGeom>
                    <a:noFill/>
                    <a:ln>
                      <a:noFill/>
                    </a:ln>
                  </pic:spPr>
                </pic:pic>
              </a:graphicData>
            </a:graphic>
          </wp:inline>
        </w:drawing>
      </w:r>
    </w:p>
    <w:p w14:paraId="0A2554DA">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cs="Times New Roman"/>
          <w:lang w:val="en-US" w:eastAsia="zh-CN"/>
        </w:rPr>
        <w:t>.1.2</w:t>
      </w:r>
      <w:r>
        <w:rPr>
          <w:rFonts w:hint="eastAsia" w:ascii="Times New Roman" w:hAnsi="Times New Roman" w:eastAsia="宋体" w:cs="Times New Roman"/>
        </w:rPr>
        <w:t>-</w:t>
      </w:r>
      <w:r>
        <w:rPr>
          <w:rFonts w:hint="eastAsia" w:ascii="Times New Roman" w:hAnsi="Times New Roman" w:eastAsia="宋体" w:cs="Times New Roman"/>
          <w:lang w:val="en-US" w:eastAsia="zh-CN"/>
        </w:rPr>
        <w:t>1</w:t>
      </w:r>
      <w:r>
        <w:rPr>
          <w:rFonts w:hint="eastAsia" w:ascii="Times New Roman" w:hAnsi="Times New Roman" w:eastAsia="宋体" w:cs="Times New Roman"/>
        </w:rPr>
        <w:t xml:space="preserve"> 安装塔身节、套架、过渡节、回转总成等平面示意图</w:t>
      </w:r>
    </w:p>
    <w:p w14:paraId="3F462179">
      <w:pPr>
        <w:bidi w:val="0"/>
        <w:rPr>
          <w:rFonts w:hint="eastAsia"/>
          <w:lang w:val="en-US" w:eastAsia="zh-CN"/>
        </w:rPr>
      </w:pPr>
      <w:r>
        <w:rPr>
          <w:rFonts w:hint="eastAsia"/>
          <w:lang w:val="en-US" w:eastAsia="zh-CN"/>
        </w:rPr>
        <w:t>注意：安装时应考虑顶升时标准节在套架的进出方向，充分考虑到塔机使用完毕后能方便地拆除，一般情况下是顶升耳座所在的面垂直于建筑物，即垂直于顶升耳座面的方向具有较大的安装空间。</w:t>
      </w:r>
    </w:p>
    <w:p w14:paraId="05E5E25D">
      <w:pPr>
        <w:bidi w:val="0"/>
        <w:rPr>
          <w:rFonts w:hint="eastAsia"/>
          <w:lang w:val="en-US" w:eastAsia="zh-CN"/>
        </w:rPr>
      </w:pPr>
      <w:r>
        <w:rPr>
          <w:rFonts w:hint="eastAsia"/>
          <w:lang w:val="en-US" w:eastAsia="zh-CN"/>
        </w:rPr>
        <w:t>主要连接销轴：8件φ65-190SP、4件φ20-183.5BP</w:t>
      </w:r>
    </w:p>
    <w:p w14:paraId="0275A3BC">
      <w:pPr>
        <w:pStyle w:val="5"/>
        <w:bidi w:val="0"/>
        <w:rPr>
          <w:rFonts w:hint="eastAsia" w:ascii="宋体" w:hAnsi="宋体" w:eastAsia="宋体" w:cs="宋体"/>
          <w:bCs/>
          <w:color w:val="000000"/>
          <w:szCs w:val="24"/>
        </w:rPr>
      </w:pPr>
      <w:r>
        <w:rPr>
          <w:rFonts w:hint="eastAsia" w:ascii="宋体" w:hAnsi="宋体" w:eastAsia="宋体" w:cs="宋体"/>
          <w:szCs w:val="24"/>
        </w:rPr>
        <w:t>安装</w:t>
      </w:r>
      <w:r>
        <w:rPr>
          <w:rFonts w:hint="eastAsia" w:ascii="宋体" w:hAnsi="宋体" w:eastAsia="宋体" w:cs="宋体"/>
          <w:szCs w:val="24"/>
          <w:lang w:val="en-US" w:eastAsia="zh-CN"/>
        </w:rPr>
        <w:t>套架</w:t>
      </w:r>
    </w:p>
    <w:p w14:paraId="23FB5FB5">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将地面上组装好的顶升套架套到标准节外（注意：顶升套架上有顶升油缸的一面对应塔身上有踏步的一面）；用套架制动块将其支撑在底部过渡节的踏步上。起吊和安装方式见下图：</w:t>
      </w:r>
    </w:p>
    <w:p w14:paraId="5A1AAA0E">
      <w:pPr>
        <w:tabs>
          <w:tab w:val="left" w:pos="2006"/>
        </w:tabs>
        <w:spacing w:after="0" w:afterLines="0" w:line="240" w:lineRule="auto"/>
        <w:ind w:firstLine="0" w:firstLineChars="0"/>
        <w:jc w:val="center"/>
      </w:pPr>
      <w:r>
        <w:drawing>
          <wp:inline distT="0" distB="0" distL="114300" distR="114300">
            <wp:extent cx="2722245" cy="2549525"/>
            <wp:effectExtent l="0" t="0" r="1905" b="3175"/>
            <wp:docPr id="1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
                    <pic:cNvPicPr>
                      <a:picLocks noChangeAspect="1"/>
                    </pic:cNvPicPr>
                  </pic:nvPicPr>
                  <pic:blipFill>
                    <a:blip r:embed="rId32"/>
                    <a:stretch>
                      <a:fillRect/>
                    </a:stretch>
                  </pic:blipFill>
                  <pic:spPr>
                    <a:xfrm>
                      <a:off x="0" y="0"/>
                      <a:ext cx="2722245" cy="2549525"/>
                    </a:xfrm>
                    <a:prstGeom prst="rect">
                      <a:avLst/>
                    </a:prstGeom>
                    <a:noFill/>
                    <a:ln>
                      <a:noFill/>
                    </a:ln>
                  </pic:spPr>
                </pic:pic>
              </a:graphicData>
            </a:graphic>
          </wp:inline>
        </w:drawing>
      </w:r>
      <w:r>
        <w:drawing>
          <wp:inline distT="0" distB="0" distL="114300" distR="114300">
            <wp:extent cx="5010150" cy="5400675"/>
            <wp:effectExtent l="0" t="0" r="0"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3"/>
                    <a:stretch>
                      <a:fillRect/>
                    </a:stretch>
                  </pic:blipFill>
                  <pic:spPr>
                    <a:xfrm>
                      <a:off x="0" y="0"/>
                      <a:ext cx="5010150" cy="5400675"/>
                    </a:xfrm>
                    <a:prstGeom prst="rect">
                      <a:avLst/>
                    </a:prstGeom>
                    <a:noFill/>
                    <a:ln>
                      <a:noFill/>
                    </a:ln>
                  </pic:spPr>
                </pic:pic>
              </a:graphicData>
            </a:graphic>
          </wp:inline>
        </w:drawing>
      </w:r>
    </w:p>
    <w:p w14:paraId="3B31FE03">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cs="Times New Roman"/>
          <w:lang w:val="en-US" w:eastAsia="zh-CN"/>
        </w:rPr>
        <w:t>.1.3</w:t>
      </w:r>
      <w:r>
        <w:rPr>
          <w:rFonts w:hint="eastAsia" w:ascii="Times New Roman" w:hAnsi="Times New Roman" w:eastAsia="宋体" w:cs="Times New Roman"/>
        </w:rPr>
        <w:t>-</w:t>
      </w:r>
      <w:r>
        <w:rPr>
          <w:rFonts w:hint="eastAsia" w:cs="Times New Roman"/>
          <w:lang w:val="en-US" w:eastAsia="zh-CN"/>
        </w:rPr>
        <w:t>1</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安装爬升架立面示意图</w:t>
      </w:r>
    </w:p>
    <w:p w14:paraId="0620C096">
      <w:pPr>
        <w:rPr>
          <w:rFonts w:hint="eastAsia"/>
          <w:lang w:val="zh-CN"/>
        </w:rPr>
      </w:pPr>
      <w:r>
        <w:rPr>
          <w:rFonts w:hint="eastAsia"/>
          <w:lang w:val="zh-CN"/>
        </w:rPr>
        <w:t>注意：安装时应考虑顶升时标准节在套架的进出方向，充分考虑到塔机使用完半后能方便地拆除，一般情况下是顶升耳座所在的面垂直于建筑物，即垂直于顶升耳座面的方向具有较大的安装空间。</w:t>
      </w:r>
    </w:p>
    <w:p w14:paraId="0E658C17">
      <w:pPr>
        <w:pStyle w:val="5"/>
        <w:bidi w:val="0"/>
        <w:rPr>
          <w:rFonts w:hint="eastAsia"/>
        </w:rPr>
      </w:pPr>
      <w:r>
        <w:rPr>
          <w:rFonts w:hint="eastAsia"/>
        </w:rPr>
        <w:t>安装</w:t>
      </w:r>
      <w:r>
        <w:rPr>
          <w:rFonts w:hint="eastAsia"/>
          <w:lang w:val="en-US" w:eastAsia="zh-CN"/>
        </w:rPr>
        <w:t>回转总成</w:t>
      </w:r>
    </w:p>
    <w:p w14:paraId="27D48AA5">
      <w:pPr>
        <w:bidi w:val="0"/>
        <w:rPr>
          <w:rFonts w:hint="default"/>
          <w:lang w:val="zh-CN"/>
        </w:rPr>
      </w:pPr>
      <w:r>
        <w:rPr>
          <w:rFonts w:hint="default"/>
          <w:lang w:val="zh-CN"/>
        </w:rPr>
        <w:t>在地面上用吊索吊挂回转总成，找好平衡后将其吊至过渡节上，每个脚用2件</w:t>
      </w:r>
      <w:r>
        <w:rPr>
          <w:rFonts w:hint="eastAsia"/>
        </w:rPr>
        <w:t>φ</w:t>
      </w:r>
      <w:r>
        <w:rPr>
          <w:rFonts w:hint="default"/>
          <w:lang w:val="zh-CN"/>
        </w:rPr>
        <w:t>65-164TP的销轴和1件</w:t>
      </w:r>
      <w:r>
        <w:rPr>
          <w:rFonts w:hint="eastAsia"/>
        </w:rPr>
        <w:t>φ</w:t>
      </w:r>
      <w:r>
        <w:rPr>
          <w:rFonts w:hint="default"/>
          <w:lang w:val="zh-CN"/>
        </w:rPr>
        <w:t>20-183.5BP的纵销连接，并用开口销锁牢，见下图：</w:t>
      </w:r>
    </w:p>
    <w:p w14:paraId="61E6878C">
      <w:pPr>
        <w:bidi w:val="0"/>
        <w:rPr>
          <w:rFonts w:hint="default"/>
          <w:lang w:val="zh-CN"/>
        </w:rPr>
      </w:pPr>
      <w:r>
        <w:rPr>
          <w:rFonts w:hint="default"/>
          <w:lang w:val="zh-CN"/>
        </w:rPr>
        <w:t>注意：与塔身连接时注意回转下支座的移动门和标准节爬梯的方向，使移动门的位置和标准节上爬梯的位置一致，以方便工作人员上下。</w:t>
      </w:r>
    </w:p>
    <w:p w14:paraId="4F589BA2">
      <w:pPr>
        <w:bidi w:val="0"/>
        <w:rPr>
          <w:rFonts w:hint="default"/>
          <w:lang w:val="en-US" w:eastAsia="zh-CN"/>
        </w:rPr>
      </w:pPr>
      <w:r>
        <w:rPr>
          <w:rFonts w:hint="default"/>
          <w:lang w:val="zh-CN"/>
        </w:rPr>
        <w:t>将司机室吊装到回转上支座的司机室平台上，通过3件</w:t>
      </w:r>
      <w:r>
        <w:rPr>
          <w:rFonts w:hint="eastAsia"/>
        </w:rPr>
        <w:t>φ</w:t>
      </w:r>
      <w:r>
        <w:rPr>
          <w:rFonts w:hint="default"/>
          <w:lang w:val="zh-CN"/>
        </w:rPr>
        <w:t>16-45TP销轴</w:t>
      </w:r>
      <w:r>
        <w:rPr>
          <w:rFonts w:hint="eastAsia"/>
          <w:lang w:val="en-US" w:eastAsia="zh-CN"/>
        </w:rPr>
        <w:t>与平台连接牢固。</w:t>
      </w:r>
    </w:p>
    <w:p w14:paraId="7BA635BE">
      <w:pPr>
        <w:bidi w:val="0"/>
        <w:rPr>
          <w:rFonts w:hint="default"/>
          <w:lang w:val="zh-CN"/>
        </w:rPr>
      </w:pPr>
      <w:r>
        <w:rPr>
          <w:rFonts w:hint="default"/>
          <w:lang w:val="zh-CN"/>
        </w:rPr>
        <w:t>根据本说明书中操作维护指南部分电气连接的相关内容连接好回转机构的电气设备，使回转机构能够正常运行，以方便后面的安装。</w:t>
      </w:r>
    </w:p>
    <w:p w14:paraId="5CA30FBD">
      <w:pPr>
        <w:tabs>
          <w:tab w:val="left" w:pos="2006"/>
        </w:tabs>
        <w:spacing w:after="0" w:afterLines="0" w:line="240" w:lineRule="auto"/>
        <w:ind w:firstLine="0" w:firstLineChars="0"/>
        <w:jc w:val="center"/>
      </w:pPr>
      <w:r>
        <w:drawing>
          <wp:inline distT="0" distB="0" distL="114300" distR="114300">
            <wp:extent cx="2543810" cy="2379980"/>
            <wp:effectExtent l="0" t="0" r="8890" b="1270"/>
            <wp:docPr id="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pic:cNvPicPr>
                      <a:picLocks noChangeAspect="1"/>
                    </pic:cNvPicPr>
                  </pic:nvPicPr>
                  <pic:blipFill>
                    <a:blip r:embed="rId34"/>
                    <a:stretch>
                      <a:fillRect/>
                    </a:stretch>
                  </pic:blipFill>
                  <pic:spPr>
                    <a:xfrm>
                      <a:off x="0" y="0"/>
                      <a:ext cx="2543810" cy="2379980"/>
                    </a:xfrm>
                    <a:prstGeom prst="rect">
                      <a:avLst/>
                    </a:prstGeom>
                    <a:noFill/>
                    <a:ln>
                      <a:noFill/>
                    </a:ln>
                  </pic:spPr>
                </pic:pic>
              </a:graphicData>
            </a:graphic>
          </wp:inline>
        </w:drawing>
      </w:r>
      <w:r>
        <w:drawing>
          <wp:inline distT="0" distB="0" distL="114300" distR="114300">
            <wp:extent cx="3667125" cy="3971925"/>
            <wp:effectExtent l="0" t="0" r="9525" b="952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5"/>
                    <a:stretch>
                      <a:fillRect/>
                    </a:stretch>
                  </pic:blipFill>
                  <pic:spPr>
                    <a:xfrm>
                      <a:off x="0" y="0"/>
                      <a:ext cx="3667125" cy="3971925"/>
                    </a:xfrm>
                    <a:prstGeom prst="rect">
                      <a:avLst/>
                    </a:prstGeom>
                    <a:noFill/>
                    <a:ln>
                      <a:noFill/>
                    </a:ln>
                  </pic:spPr>
                </pic:pic>
              </a:graphicData>
            </a:graphic>
          </wp:inline>
        </w:drawing>
      </w:r>
    </w:p>
    <w:p w14:paraId="3784F5B2">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cs="Times New Roman"/>
          <w:lang w:val="en-US" w:eastAsia="zh-CN"/>
        </w:rPr>
        <w:t>.1.4</w:t>
      </w:r>
      <w:r>
        <w:rPr>
          <w:rFonts w:hint="eastAsia" w:ascii="Times New Roman" w:hAnsi="Times New Roman" w:eastAsia="宋体" w:cs="Times New Roman"/>
        </w:rPr>
        <w:t>-</w:t>
      </w:r>
      <w:r>
        <w:rPr>
          <w:rFonts w:hint="eastAsia" w:cs="Times New Roman"/>
          <w:lang w:val="en-US" w:eastAsia="zh-CN"/>
        </w:rPr>
        <w:t>1</w:t>
      </w:r>
      <w:r>
        <w:rPr>
          <w:rFonts w:hint="eastAsia" w:ascii="Times New Roman" w:hAnsi="Times New Roman" w:eastAsia="宋体" w:cs="Times New Roman"/>
        </w:rPr>
        <w:t xml:space="preserve"> 安装</w:t>
      </w:r>
      <w:r>
        <w:rPr>
          <w:rFonts w:hint="eastAsia" w:ascii="Times New Roman" w:hAnsi="Times New Roman" w:eastAsia="宋体" w:cs="Times New Roman"/>
          <w:lang w:val="en-US" w:eastAsia="zh-CN"/>
        </w:rPr>
        <w:t>回转总成</w:t>
      </w:r>
      <w:r>
        <w:rPr>
          <w:rFonts w:hint="eastAsia" w:ascii="Times New Roman" w:hAnsi="Times New Roman" w:eastAsia="宋体" w:cs="Times New Roman"/>
        </w:rPr>
        <w:t>立面图</w:t>
      </w:r>
    </w:p>
    <w:p w14:paraId="1B0715CB">
      <w:pPr>
        <w:pStyle w:val="5"/>
        <w:bidi w:val="0"/>
        <w:rPr>
          <w:rFonts w:hint="eastAsia"/>
        </w:rPr>
      </w:pPr>
      <w:r>
        <w:rPr>
          <w:rFonts w:hint="eastAsia"/>
        </w:rPr>
        <w:t>安装回转</w:t>
      </w:r>
      <w:r>
        <w:rPr>
          <w:rFonts w:hint="eastAsia"/>
          <w:lang w:val="en-US" w:eastAsia="zh-CN"/>
        </w:rPr>
        <w:t>塔身</w:t>
      </w:r>
    </w:p>
    <w:p w14:paraId="70069165">
      <w:pPr>
        <w:bidi w:val="0"/>
        <w:rPr>
          <w:rFonts w:hint="default"/>
          <w:lang w:val="zh-CN"/>
        </w:rPr>
      </w:pPr>
      <w:r>
        <w:rPr>
          <w:rFonts w:hint="default"/>
          <w:lang w:val="zh-CN"/>
        </w:rPr>
        <w:t>在地面将回转塔身爬梯通过4套M16X55，8.8级螺栓装到回转塔身上；</w:t>
      </w:r>
    </w:p>
    <w:p w14:paraId="56221D2F">
      <w:pPr>
        <w:bidi w:val="0"/>
        <w:rPr>
          <w:rFonts w:hint="default"/>
          <w:lang w:val="zh-CN"/>
        </w:rPr>
      </w:pPr>
      <w:r>
        <w:rPr>
          <w:rFonts w:hint="default"/>
          <w:lang w:val="zh-CN"/>
        </w:rPr>
        <w:t>吊起回转塔身垂直放入上支座的耳座中，通过4件</w:t>
      </w:r>
      <w:r>
        <w:rPr>
          <w:rFonts w:hint="eastAsia"/>
        </w:rPr>
        <w:t>φ</w:t>
      </w:r>
      <w:r>
        <w:rPr>
          <w:rFonts w:hint="default"/>
          <w:lang w:val="zh-CN"/>
        </w:rPr>
        <w:t>80-320SP的销轴及4件</w:t>
      </w:r>
      <w:r>
        <w:rPr>
          <w:rFonts w:hint="eastAsia"/>
        </w:rPr>
        <w:t>φ</w:t>
      </w:r>
      <w:r>
        <w:rPr>
          <w:rFonts w:hint="default"/>
          <w:lang w:val="zh-CN"/>
        </w:rPr>
        <w:t>20-183.5BP的纵销将回转塔身与上支座连接起来，见下图：</w:t>
      </w:r>
    </w:p>
    <w:p w14:paraId="2BF4946C">
      <w:pPr>
        <w:bidi w:val="0"/>
        <w:rPr>
          <w:rFonts w:hint="default"/>
          <w:lang w:val="zh-CN"/>
        </w:rPr>
      </w:pPr>
      <w:r>
        <w:rPr>
          <w:rFonts w:hint="default"/>
          <w:lang w:val="zh-CN"/>
        </w:rPr>
        <w:t>主要连接销轴：4件</w:t>
      </w:r>
      <w:r>
        <w:rPr>
          <w:rFonts w:hint="eastAsia"/>
        </w:rPr>
        <w:t>φ</w:t>
      </w:r>
      <w:r>
        <w:rPr>
          <w:rFonts w:hint="default"/>
          <w:lang w:val="zh-CN"/>
        </w:rPr>
        <w:t>80-320SP、4件</w:t>
      </w:r>
      <w:r>
        <w:rPr>
          <w:rFonts w:hint="eastAsia"/>
        </w:rPr>
        <w:t>φ</w:t>
      </w:r>
      <w:r>
        <w:rPr>
          <w:rFonts w:hint="default"/>
          <w:lang w:val="zh-CN"/>
        </w:rPr>
        <w:t>20-183.5BP</w:t>
      </w:r>
    </w:p>
    <w:p w14:paraId="5BC4CAB4">
      <w:pPr>
        <w:bidi w:val="0"/>
        <w:rPr>
          <w:rFonts w:hint="default"/>
          <w:lang w:val="zh-CN"/>
        </w:rPr>
      </w:pPr>
      <w:r>
        <w:rPr>
          <w:rFonts w:hint="default"/>
          <w:lang w:val="zh-CN"/>
        </w:rPr>
        <w:t>主要连接螺栓：6套M16X55，8.8级</w:t>
      </w:r>
    </w:p>
    <w:p w14:paraId="15F3C9DD">
      <w:pPr>
        <w:spacing w:after="120" w:afterLines="50" w:line="300" w:lineRule="auto"/>
        <w:ind w:firstLine="480"/>
        <w:jc w:val="center"/>
        <w:rPr>
          <w:rFonts w:hint="eastAsia" w:ascii="宋体" w:hAnsi="宋体" w:eastAsia="宋体" w:cs="宋体"/>
          <w:b w:val="0"/>
          <w:bCs/>
          <w:color w:val="000000"/>
          <w:szCs w:val="24"/>
        </w:rPr>
      </w:pPr>
      <w:r>
        <w:drawing>
          <wp:inline distT="0" distB="0" distL="114300" distR="114300">
            <wp:extent cx="2442845" cy="2769235"/>
            <wp:effectExtent l="0" t="0" r="14605" b="12065"/>
            <wp:docPr id="1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
                    <pic:cNvPicPr>
                      <a:picLocks noChangeAspect="1"/>
                    </pic:cNvPicPr>
                  </pic:nvPicPr>
                  <pic:blipFill>
                    <a:blip r:embed="rId36"/>
                    <a:stretch>
                      <a:fillRect/>
                    </a:stretch>
                  </pic:blipFill>
                  <pic:spPr>
                    <a:xfrm>
                      <a:off x="0" y="0"/>
                      <a:ext cx="2442845" cy="2769235"/>
                    </a:xfrm>
                    <a:prstGeom prst="rect">
                      <a:avLst/>
                    </a:prstGeom>
                    <a:noFill/>
                    <a:ln>
                      <a:noFill/>
                    </a:ln>
                  </pic:spPr>
                </pic:pic>
              </a:graphicData>
            </a:graphic>
          </wp:inline>
        </w:drawing>
      </w:r>
      <w:r>
        <w:drawing>
          <wp:inline distT="0" distB="0" distL="114300" distR="114300">
            <wp:extent cx="3324225" cy="3667125"/>
            <wp:effectExtent l="0" t="0" r="9525" b="952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37"/>
                    <a:stretch>
                      <a:fillRect/>
                    </a:stretch>
                  </pic:blipFill>
                  <pic:spPr>
                    <a:xfrm>
                      <a:off x="0" y="0"/>
                      <a:ext cx="3324225" cy="3667125"/>
                    </a:xfrm>
                    <a:prstGeom prst="rect">
                      <a:avLst/>
                    </a:prstGeom>
                    <a:noFill/>
                    <a:ln>
                      <a:noFill/>
                    </a:ln>
                  </pic:spPr>
                </pic:pic>
              </a:graphicData>
            </a:graphic>
          </wp:inline>
        </w:drawing>
      </w:r>
    </w:p>
    <w:p w14:paraId="15D91B56">
      <w:pPr>
        <w:pStyle w:val="116"/>
        <w:rPr>
          <w:rFonts w:hint="eastAsia" w:ascii="Times New Roman" w:hAnsi="Times New Roman" w:eastAsia="宋体" w:cs="Times New Roman"/>
        </w:rPr>
      </w:pPr>
      <w:r>
        <w:rPr>
          <w:rFonts w:hint="eastAsia" w:ascii="Times New Roman" w:hAnsi="Times New Roman" w:eastAsia="宋体" w:cs="Times New Roman"/>
        </w:rPr>
        <w:t>图</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rPr>
        <w:t>4.</w:t>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cs="Times New Roman"/>
          <w:lang w:val="en-US" w:eastAsia="zh-CN"/>
        </w:rPr>
        <w:t>.1.5</w:t>
      </w:r>
      <w:r>
        <w:rPr>
          <w:rFonts w:hint="eastAsia" w:ascii="Times New Roman" w:hAnsi="Times New Roman" w:eastAsia="宋体" w:cs="Times New Roman"/>
        </w:rPr>
        <w:t>-</w:t>
      </w:r>
      <w:r>
        <w:rPr>
          <w:rFonts w:hint="eastAsia" w:cs="Times New Roman"/>
          <w:lang w:val="en-US" w:eastAsia="zh-CN"/>
        </w:rPr>
        <w:t>1</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XGT6515-10S</w:t>
      </w:r>
      <w:r>
        <w:rPr>
          <w:rFonts w:hint="eastAsia" w:ascii="Times New Roman" w:hAnsi="Times New Roman" w:eastAsia="宋体" w:cs="Times New Roman"/>
        </w:rPr>
        <w:t>安装回转</w:t>
      </w:r>
      <w:r>
        <w:rPr>
          <w:rFonts w:hint="eastAsia" w:ascii="Times New Roman" w:hAnsi="Times New Roman" w:eastAsia="宋体" w:cs="Times New Roman"/>
          <w:lang w:val="en-US" w:eastAsia="zh-CN"/>
        </w:rPr>
        <w:t>塔身</w:t>
      </w:r>
      <w:r>
        <w:rPr>
          <w:rFonts w:hint="eastAsia" w:ascii="Times New Roman" w:hAnsi="Times New Roman" w:eastAsia="宋体" w:cs="Times New Roman"/>
        </w:rPr>
        <w:t>立面图</w:t>
      </w:r>
    </w:p>
    <w:p w14:paraId="47436EE5">
      <w:pPr>
        <w:pStyle w:val="5"/>
        <w:bidi w:val="0"/>
        <w:rPr>
          <w:rFonts w:hint="eastAsia"/>
        </w:rPr>
      </w:pPr>
      <w:r>
        <w:rPr>
          <w:rFonts w:hint="default"/>
          <w:lang w:val="zh-CN"/>
        </w:rPr>
        <w:t>平衡臂、起重臂及配重的安装</w:t>
      </w:r>
    </w:p>
    <w:p w14:paraId="6613920D">
      <w:pPr>
        <w:bidi w:val="0"/>
        <w:rPr>
          <w:rFonts w:hint="default"/>
          <w:lang w:val="zh-CN"/>
        </w:rPr>
      </w:pPr>
      <w:r>
        <w:rPr>
          <w:rFonts w:hint="eastAsia"/>
          <w:lang w:val="en-US" w:eastAsia="zh-CN"/>
        </w:rPr>
        <w:t>（1）</w:t>
      </w:r>
      <w:r>
        <w:rPr>
          <w:rFonts w:hint="default"/>
          <w:lang w:val="zh-CN"/>
        </w:rPr>
        <w:t>安装注意事项</w:t>
      </w:r>
    </w:p>
    <w:p w14:paraId="78A03695">
      <w:pPr>
        <w:bidi w:val="0"/>
        <w:rPr>
          <w:rFonts w:hint="default"/>
          <w:lang w:val="zh-CN"/>
        </w:rPr>
      </w:pPr>
      <w:r>
        <w:rPr>
          <w:rFonts w:hint="default"/>
          <w:lang w:val="zh-CN"/>
        </w:rPr>
        <w:t>平衡臂和起重臂的安装不能间断，因此在安装前应确保其相关部件已全部就位；</w:t>
      </w:r>
    </w:p>
    <w:p w14:paraId="64CC6B7C">
      <w:pPr>
        <w:bidi w:val="0"/>
        <w:rPr>
          <w:rFonts w:hint="default"/>
          <w:lang w:val="zh-CN"/>
        </w:rPr>
      </w:pPr>
      <w:r>
        <w:rPr>
          <w:rFonts w:hint="default"/>
          <w:lang w:val="zh-CN"/>
        </w:rPr>
        <w:t>安装时将起重小车始终固定在起重臂根节上；</w:t>
      </w:r>
    </w:p>
    <w:p w14:paraId="68B4BA2D">
      <w:pPr>
        <w:bidi w:val="0"/>
        <w:rPr>
          <w:rFonts w:hint="default"/>
          <w:lang w:val="zh-CN"/>
        </w:rPr>
      </w:pPr>
      <w:r>
        <w:rPr>
          <w:rFonts w:hint="default"/>
          <w:lang w:val="zh-CN"/>
        </w:rPr>
        <w:t>平衡臂和起重臂安装时不得和塔身轴线存在夹角，见下图：</w:t>
      </w:r>
    </w:p>
    <w:p w14:paraId="031261E2">
      <w:pPr>
        <w:bidi w:val="0"/>
      </w:pPr>
      <w:r>
        <w:drawing>
          <wp:inline distT="0" distB="0" distL="114300" distR="114300">
            <wp:extent cx="5272405" cy="1605280"/>
            <wp:effectExtent l="0" t="0" r="4445" b="13970"/>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38"/>
                    <a:stretch>
                      <a:fillRect/>
                    </a:stretch>
                  </pic:blipFill>
                  <pic:spPr>
                    <a:xfrm>
                      <a:off x="0" y="0"/>
                      <a:ext cx="5272405" cy="1605280"/>
                    </a:xfrm>
                    <a:prstGeom prst="rect">
                      <a:avLst/>
                    </a:prstGeom>
                    <a:noFill/>
                    <a:ln>
                      <a:noFill/>
                    </a:ln>
                  </pic:spPr>
                </pic:pic>
              </a:graphicData>
            </a:graphic>
          </wp:inline>
        </w:drawing>
      </w:r>
    </w:p>
    <w:p w14:paraId="734515BB">
      <w:pPr>
        <w:bidi w:val="0"/>
        <w:rPr>
          <w:rFonts w:hint="eastAsia"/>
          <w:lang w:val="en-US" w:eastAsia="zh-CN"/>
        </w:rPr>
      </w:pPr>
      <w:r>
        <w:rPr>
          <w:rFonts w:hint="eastAsia"/>
          <w:lang w:val="en-US" w:eastAsia="zh-CN"/>
        </w:rPr>
        <w:t>按以下顺序进行安装；</w:t>
      </w:r>
    </w:p>
    <w:p w14:paraId="5D91EF16">
      <w:pPr>
        <w:bidi w:val="0"/>
      </w:pPr>
      <w:r>
        <w:drawing>
          <wp:inline distT="0" distB="0" distL="114300" distR="114300">
            <wp:extent cx="5273040" cy="1585595"/>
            <wp:effectExtent l="0" t="0" r="3810" b="14605"/>
            <wp:docPr id="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
                    <pic:cNvPicPr>
                      <a:picLocks noChangeAspect="1"/>
                    </pic:cNvPicPr>
                  </pic:nvPicPr>
                  <pic:blipFill>
                    <a:blip r:embed="rId39"/>
                    <a:stretch>
                      <a:fillRect/>
                    </a:stretch>
                  </pic:blipFill>
                  <pic:spPr>
                    <a:xfrm>
                      <a:off x="0" y="0"/>
                      <a:ext cx="5273040" cy="1585595"/>
                    </a:xfrm>
                    <a:prstGeom prst="rect">
                      <a:avLst/>
                    </a:prstGeom>
                    <a:noFill/>
                    <a:ln>
                      <a:noFill/>
                    </a:ln>
                  </pic:spPr>
                </pic:pic>
              </a:graphicData>
            </a:graphic>
          </wp:inline>
        </w:drawing>
      </w:r>
    </w:p>
    <w:p w14:paraId="0B3853AB">
      <w:pPr>
        <w:bidi w:val="0"/>
        <w:rPr>
          <w:rFonts w:hint="default"/>
          <w:lang w:val="zh-CN"/>
        </w:rPr>
      </w:pPr>
      <w:r>
        <w:rPr>
          <w:rFonts w:hint="default"/>
          <w:lang w:val="zh-CN"/>
        </w:rPr>
        <w:t>从事这项工作的装配人员在操作时必须系好安全带；</w:t>
      </w:r>
    </w:p>
    <w:p w14:paraId="0D30DFC5">
      <w:pPr>
        <w:bidi w:val="0"/>
        <w:rPr>
          <w:rFonts w:hint="default"/>
          <w:lang w:val="zh-CN"/>
        </w:rPr>
      </w:pPr>
      <w:r>
        <w:rPr>
          <w:rFonts w:hint="default"/>
          <w:lang w:val="zh-CN"/>
        </w:rPr>
        <w:t>在空中进行平衡臂和起重臂的安装时风速不得大于10m/s。</w:t>
      </w:r>
    </w:p>
    <w:p w14:paraId="3101BC08">
      <w:pPr>
        <w:bidi w:val="0"/>
        <w:rPr>
          <w:rFonts w:hint="default" w:ascii="Times New Roman" w:hAnsi="Times New Roman" w:eastAsia="Times New Roman"/>
          <w:szCs w:val="24"/>
          <w:lang w:val="zh-CN"/>
        </w:rPr>
      </w:pPr>
      <w:r>
        <w:rPr>
          <w:rFonts w:hint="default"/>
          <w:lang w:val="zh-CN"/>
        </w:rPr>
        <w:t>注意臂节挂绳方法，见下图：</w:t>
      </w:r>
    </w:p>
    <w:p w14:paraId="5822E42F">
      <w:pPr>
        <w:bidi w:val="0"/>
      </w:pPr>
      <w:r>
        <w:drawing>
          <wp:inline distT="0" distB="0" distL="114300" distR="114300">
            <wp:extent cx="5200650" cy="2238375"/>
            <wp:effectExtent l="0" t="0" r="0" b="9525"/>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pic:cNvPicPr>
                  </pic:nvPicPr>
                  <pic:blipFill>
                    <a:blip r:embed="rId40"/>
                    <a:stretch>
                      <a:fillRect/>
                    </a:stretch>
                  </pic:blipFill>
                  <pic:spPr>
                    <a:xfrm>
                      <a:off x="0" y="0"/>
                      <a:ext cx="5200650" cy="2238375"/>
                    </a:xfrm>
                    <a:prstGeom prst="rect">
                      <a:avLst/>
                    </a:prstGeom>
                    <a:noFill/>
                    <a:ln>
                      <a:noFill/>
                    </a:ln>
                  </pic:spPr>
                </pic:pic>
              </a:graphicData>
            </a:graphic>
          </wp:inline>
        </w:drawing>
      </w:r>
    </w:p>
    <w:p w14:paraId="62C72A94">
      <w:pPr>
        <w:bidi w:val="0"/>
        <w:rPr>
          <w:rFonts w:hint="eastAsia"/>
          <w:lang w:val="en-US" w:eastAsia="zh-CN"/>
        </w:rPr>
      </w:pPr>
      <w:r>
        <w:rPr>
          <w:rFonts w:hint="eastAsia"/>
          <w:lang w:val="en-US" w:eastAsia="zh-CN"/>
        </w:rPr>
        <w:t>（2）安装步骤</w:t>
      </w:r>
    </w:p>
    <w:p w14:paraId="5DF93D2C">
      <w:pPr>
        <w:bidi w:val="0"/>
        <w:rPr>
          <w:rFonts w:hint="eastAsia"/>
          <w:lang w:val="en-US" w:eastAsia="zh-CN"/>
        </w:rPr>
      </w:pPr>
      <w:r>
        <w:rPr>
          <w:rFonts w:hint="eastAsia"/>
          <w:lang w:val="en-US" w:eastAsia="zh-CN"/>
        </w:rPr>
        <w:t>不同臂长组合方式见下图：</w:t>
      </w:r>
    </w:p>
    <w:p w14:paraId="285E9876">
      <w:pPr>
        <w:bidi w:val="0"/>
        <w:ind w:left="0" w:leftChars="0" w:firstLine="0" w:firstLineChars="0"/>
        <w:jc w:val="center"/>
        <w:rPr>
          <w:rFonts w:hint="default"/>
          <w:lang w:val="en-US" w:eastAsia="zh-CN"/>
        </w:rPr>
      </w:pPr>
      <w:r>
        <w:drawing>
          <wp:inline distT="0" distB="0" distL="114300" distR="114300">
            <wp:extent cx="5269865" cy="2002155"/>
            <wp:effectExtent l="0" t="0" r="6985" b="17145"/>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41"/>
                    <a:stretch>
                      <a:fillRect/>
                    </a:stretch>
                  </pic:blipFill>
                  <pic:spPr>
                    <a:xfrm>
                      <a:off x="0" y="0"/>
                      <a:ext cx="5269865" cy="2002155"/>
                    </a:xfrm>
                    <a:prstGeom prst="rect">
                      <a:avLst/>
                    </a:prstGeom>
                    <a:noFill/>
                    <a:ln>
                      <a:noFill/>
                    </a:ln>
                  </pic:spPr>
                </pic:pic>
              </a:graphicData>
            </a:graphic>
          </wp:inline>
        </w:drawing>
      </w:r>
      <w:r>
        <w:drawing>
          <wp:inline distT="0" distB="0" distL="114300" distR="114300">
            <wp:extent cx="5114925" cy="1019175"/>
            <wp:effectExtent l="0" t="0" r="9525" b="9525"/>
            <wp:docPr id="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3"/>
                    <pic:cNvPicPr>
                      <a:picLocks noChangeAspect="1"/>
                    </pic:cNvPicPr>
                  </pic:nvPicPr>
                  <pic:blipFill>
                    <a:blip r:embed="rId42"/>
                    <a:stretch>
                      <a:fillRect/>
                    </a:stretch>
                  </pic:blipFill>
                  <pic:spPr>
                    <a:xfrm>
                      <a:off x="0" y="0"/>
                      <a:ext cx="5114925" cy="1019175"/>
                    </a:xfrm>
                    <a:prstGeom prst="rect">
                      <a:avLst/>
                    </a:prstGeom>
                    <a:noFill/>
                    <a:ln>
                      <a:noFill/>
                    </a:ln>
                  </pic:spPr>
                </pic:pic>
              </a:graphicData>
            </a:graphic>
          </wp:inline>
        </w:drawing>
      </w:r>
    </w:p>
    <w:p w14:paraId="1C679766">
      <w:pPr>
        <w:bidi w:val="0"/>
      </w:pPr>
      <w:r>
        <w:rPr>
          <w:rFonts w:hint="default"/>
          <w:lang w:val="zh-CN"/>
        </w:rPr>
        <w:t>其余下弦杆的连接均采用M20X80，10.9级螺栓。</w:t>
      </w:r>
    </w:p>
    <w:p w14:paraId="0F7B81B1">
      <w:pPr>
        <w:bidi w:val="0"/>
      </w:pPr>
      <w:r>
        <w:drawing>
          <wp:inline distT="0" distB="0" distL="114300" distR="114300">
            <wp:extent cx="5797550" cy="781050"/>
            <wp:effectExtent l="0" t="0" r="6350" b="635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pic:cNvPicPr>
                  </pic:nvPicPr>
                  <pic:blipFill>
                    <a:blip r:embed="rId43"/>
                    <a:stretch>
                      <a:fillRect/>
                    </a:stretch>
                  </pic:blipFill>
                  <pic:spPr>
                    <a:xfrm>
                      <a:off x="0" y="0"/>
                      <a:ext cx="5797550" cy="781050"/>
                    </a:xfrm>
                    <a:prstGeom prst="rect">
                      <a:avLst/>
                    </a:prstGeom>
                    <a:noFill/>
                    <a:ln>
                      <a:noFill/>
                    </a:ln>
                  </pic:spPr>
                </pic:pic>
              </a:graphicData>
            </a:graphic>
          </wp:inline>
        </w:drawing>
      </w:r>
    </w:p>
    <w:p w14:paraId="3C1198F7">
      <w:pPr>
        <w:bidi w:val="0"/>
        <w:rPr>
          <w:rFonts w:hint="default"/>
          <w:lang w:val="zh-CN"/>
        </w:rPr>
      </w:pPr>
      <w:r>
        <w:rPr>
          <w:rFonts w:hint="default"/>
          <w:lang w:val="zh-CN"/>
        </w:rPr>
        <w:t>安装起重臂第一节（A214），按上图所示挂绳方法挂绳，使臂节靠回转塔身侧略向下倾，以方便臂节上弦杆耳板的连接；</w:t>
      </w:r>
    </w:p>
    <w:p w14:paraId="01BAF900">
      <w:pPr>
        <w:bidi w:val="0"/>
        <w:rPr>
          <w:rFonts w:hint="default"/>
          <w:lang w:val="zh-CN"/>
        </w:rPr>
      </w:pPr>
      <w:r>
        <w:rPr>
          <w:rFonts w:hint="default"/>
          <w:lang w:val="zh-CN"/>
        </w:rPr>
        <w:t>先将臂节A214的上弦杆单耳板与回转塔身的双耳板用销轴连接牢固，然后缓缓放下臂节，使臂节下弦杆的定位销孔与回转塔身的定位销对牢并顺利插入，连接好下弦杆连接板上的螺栓，见下图：</w:t>
      </w:r>
    </w:p>
    <w:p w14:paraId="256F5023">
      <w:pPr>
        <w:bidi w:val="0"/>
        <w:jc w:val="center"/>
      </w:pPr>
      <w:r>
        <w:drawing>
          <wp:inline distT="0" distB="0" distL="114300" distR="114300">
            <wp:extent cx="2755265" cy="1955800"/>
            <wp:effectExtent l="0" t="0" r="6985" b="6350"/>
            <wp:docPr id="1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pic:cNvPicPr>
                      <a:picLocks noChangeAspect="1"/>
                    </pic:cNvPicPr>
                  </pic:nvPicPr>
                  <pic:blipFill>
                    <a:blip r:embed="rId44"/>
                    <a:stretch>
                      <a:fillRect/>
                    </a:stretch>
                  </pic:blipFill>
                  <pic:spPr>
                    <a:xfrm>
                      <a:off x="0" y="0"/>
                      <a:ext cx="2755265" cy="1955800"/>
                    </a:xfrm>
                    <a:prstGeom prst="rect">
                      <a:avLst/>
                    </a:prstGeom>
                    <a:noFill/>
                    <a:ln>
                      <a:noFill/>
                    </a:ln>
                  </pic:spPr>
                </pic:pic>
              </a:graphicData>
            </a:graphic>
          </wp:inline>
        </w:drawing>
      </w:r>
      <w:r>
        <w:drawing>
          <wp:inline distT="0" distB="0" distL="114300" distR="114300">
            <wp:extent cx="3781425" cy="4019550"/>
            <wp:effectExtent l="0" t="0" r="9525"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5"/>
                    <a:stretch>
                      <a:fillRect/>
                    </a:stretch>
                  </pic:blipFill>
                  <pic:spPr>
                    <a:xfrm>
                      <a:off x="0" y="0"/>
                      <a:ext cx="3781425" cy="4019550"/>
                    </a:xfrm>
                    <a:prstGeom prst="rect">
                      <a:avLst/>
                    </a:prstGeom>
                    <a:noFill/>
                    <a:ln>
                      <a:noFill/>
                    </a:ln>
                  </pic:spPr>
                </pic:pic>
              </a:graphicData>
            </a:graphic>
          </wp:inline>
        </w:drawing>
      </w:r>
      <w:r>
        <w:drawing>
          <wp:inline distT="0" distB="0" distL="114300" distR="114300">
            <wp:extent cx="5269865" cy="5354955"/>
            <wp:effectExtent l="0" t="0" r="6985" b="1714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6"/>
                    <a:stretch>
                      <a:fillRect/>
                    </a:stretch>
                  </pic:blipFill>
                  <pic:spPr>
                    <a:xfrm>
                      <a:off x="0" y="0"/>
                      <a:ext cx="5269865" cy="5354955"/>
                    </a:xfrm>
                    <a:prstGeom prst="rect">
                      <a:avLst/>
                    </a:prstGeom>
                    <a:noFill/>
                    <a:ln>
                      <a:noFill/>
                    </a:ln>
                  </pic:spPr>
                </pic:pic>
              </a:graphicData>
            </a:graphic>
          </wp:inline>
        </w:drawing>
      </w:r>
    </w:p>
    <w:p w14:paraId="2A221E78">
      <w:pPr>
        <w:pStyle w:val="116"/>
        <w:rPr>
          <w:rFonts w:hint="eastAsia" w:ascii="Times New Roman" w:hAnsi="Times New Roman" w:eastAsia="宋体" w:cs="Times New Roman"/>
        </w:rPr>
      </w:pPr>
      <w:r>
        <w:rPr>
          <w:rFonts w:hint="eastAsia" w:ascii="Times New Roman" w:hAnsi="Times New Roman" w:eastAsia="宋体" w:cs="Times New Roman"/>
          <w:lang w:val="en-US" w:eastAsia="zh-CN"/>
        </w:rPr>
        <w:t>图4.5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起重臂第一节安装示意图</w:t>
      </w:r>
    </w:p>
    <w:p w14:paraId="707F391E">
      <w:pPr>
        <w:bidi w:val="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安装起重臂第二节（A215），安装方法同上面安装起重臂第一节；</w:t>
      </w:r>
    </w:p>
    <w:p w14:paraId="295550E0">
      <w:pPr>
        <w:bidi w:val="0"/>
        <w:jc w:val="center"/>
      </w:pPr>
      <w:r>
        <w:drawing>
          <wp:inline distT="0" distB="0" distL="114300" distR="114300">
            <wp:extent cx="4168140" cy="2149475"/>
            <wp:effectExtent l="0" t="0" r="3810" b="3175"/>
            <wp:docPr id="1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
                    <pic:cNvPicPr>
                      <a:picLocks noChangeAspect="1"/>
                    </pic:cNvPicPr>
                  </pic:nvPicPr>
                  <pic:blipFill>
                    <a:blip r:embed="rId47"/>
                    <a:stretch>
                      <a:fillRect/>
                    </a:stretch>
                  </pic:blipFill>
                  <pic:spPr>
                    <a:xfrm>
                      <a:off x="0" y="0"/>
                      <a:ext cx="4168140" cy="2149475"/>
                    </a:xfrm>
                    <a:prstGeom prst="rect">
                      <a:avLst/>
                    </a:prstGeom>
                    <a:noFill/>
                    <a:ln>
                      <a:noFill/>
                    </a:ln>
                  </pic:spPr>
                </pic:pic>
              </a:graphicData>
            </a:graphic>
          </wp:inline>
        </w:drawing>
      </w:r>
      <w:r>
        <w:drawing>
          <wp:inline distT="0" distB="0" distL="114300" distR="114300">
            <wp:extent cx="5274310" cy="5572760"/>
            <wp:effectExtent l="0" t="0" r="2540" b="889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48"/>
                    <a:stretch>
                      <a:fillRect/>
                    </a:stretch>
                  </pic:blipFill>
                  <pic:spPr>
                    <a:xfrm>
                      <a:off x="0" y="0"/>
                      <a:ext cx="5274310" cy="5572760"/>
                    </a:xfrm>
                    <a:prstGeom prst="rect">
                      <a:avLst/>
                    </a:prstGeom>
                    <a:noFill/>
                    <a:ln>
                      <a:noFill/>
                    </a:ln>
                  </pic:spPr>
                </pic:pic>
              </a:graphicData>
            </a:graphic>
          </wp:inline>
        </w:drawing>
      </w:r>
      <w:r>
        <w:drawing>
          <wp:inline distT="0" distB="0" distL="114300" distR="114300">
            <wp:extent cx="5048250" cy="5505450"/>
            <wp:effectExtent l="0" t="0" r="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49"/>
                    <a:stretch>
                      <a:fillRect/>
                    </a:stretch>
                  </pic:blipFill>
                  <pic:spPr>
                    <a:xfrm>
                      <a:off x="0" y="0"/>
                      <a:ext cx="5048250" cy="5505450"/>
                    </a:xfrm>
                    <a:prstGeom prst="rect">
                      <a:avLst/>
                    </a:prstGeom>
                    <a:noFill/>
                    <a:ln>
                      <a:noFill/>
                    </a:ln>
                  </pic:spPr>
                </pic:pic>
              </a:graphicData>
            </a:graphic>
          </wp:inline>
        </w:drawing>
      </w:r>
    </w:p>
    <w:p w14:paraId="6119AEE0">
      <w:pPr>
        <w:pStyle w:val="16"/>
        <w:bidi w:val="0"/>
      </w:pPr>
      <w:r>
        <w:rPr>
          <w:rFonts w:hint="eastAsia"/>
          <w:lang w:val="en-US" w:eastAsia="zh-CN"/>
        </w:rPr>
        <w:t>图</w:t>
      </w:r>
      <w:r>
        <w:rPr>
          <w:rFonts w:hint="eastAsia" w:ascii="Times New Roman" w:hAnsi="Times New Roman" w:eastAsia="宋体" w:cs="Times New Roman"/>
          <w:lang w:val="en-US" w:eastAsia="zh-CN"/>
        </w:rPr>
        <w:t>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2</w:t>
      </w:r>
      <w:r>
        <w:rPr>
          <w:rFonts w:hint="eastAsia"/>
          <w:lang w:val="en-US" w:eastAsia="zh-CN"/>
        </w:rPr>
        <w:t>起重臂第二节安装示意图</w:t>
      </w:r>
    </w:p>
    <w:p w14:paraId="3BF9778F">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安装起重臂第三节（A216），安装方法同上面安装起重臂第一节；</w:t>
      </w:r>
    </w:p>
    <w:p w14:paraId="4619E822">
      <w:pPr>
        <w:spacing w:beforeLines="0" w:afterLines="0" w:line="240" w:lineRule="auto"/>
        <w:ind w:firstLine="480"/>
        <w:jc w:val="center"/>
      </w:pPr>
      <w:r>
        <w:drawing>
          <wp:inline distT="0" distB="0" distL="114300" distR="114300">
            <wp:extent cx="5271135" cy="5786120"/>
            <wp:effectExtent l="0" t="0" r="5715" b="508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50"/>
                    <a:stretch>
                      <a:fillRect/>
                    </a:stretch>
                  </pic:blipFill>
                  <pic:spPr>
                    <a:xfrm>
                      <a:off x="0" y="0"/>
                      <a:ext cx="5271135" cy="5786120"/>
                    </a:xfrm>
                    <a:prstGeom prst="rect">
                      <a:avLst/>
                    </a:prstGeom>
                    <a:noFill/>
                    <a:ln>
                      <a:noFill/>
                    </a:ln>
                  </pic:spPr>
                </pic:pic>
              </a:graphicData>
            </a:graphic>
          </wp:inline>
        </w:drawing>
      </w:r>
      <w:r>
        <w:drawing>
          <wp:inline distT="0" distB="0" distL="114300" distR="114300">
            <wp:extent cx="5274310" cy="5247005"/>
            <wp:effectExtent l="0" t="0" r="2540" b="1079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51"/>
                    <a:stretch>
                      <a:fillRect/>
                    </a:stretch>
                  </pic:blipFill>
                  <pic:spPr>
                    <a:xfrm>
                      <a:off x="0" y="0"/>
                      <a:ext cx="5274310" cy="5247005"/>
                    </a:xfrm>
                    <a:prstGeom prst="rect">
                      <a:avLst/>
                    </a:prstGeom>
                    <a:noFill/>
                    <a:ln>
                      <a:noFill/>
                    </a:ln>
                  </pic:spPr>
                </pic:pic>
              </a:graphicData>
            </a:graphic>
          </wp:inline>
        </w:drawing>
      </w:r>
    </w:p>
    <w:p w14:paraId="275CFA18">
      <w:pPr>
        <w:pStyle w:val="16"/>
        <w:bidi w:val="0"/>
      </w:pPr>
      <w:r>
        <w:rPr>
          <w:rFonts w:hint="eastAsia"/>
          <w:lang w:val="en-US" w:eastAsia="zh-CN"/>
        </w:rPr>
        <w:t>图</w:t>
      </w:r>
      <w:r>
        <w:rPr>
          <w:rFonts w:hint="eastAsia" w:ascii="Times New Roman" w:hAnsi="Times New Roman" w:eastAsia="宋体" w:cs="Times New Roman"/>
          <w:lang w:val="en-US" w:eastAsia="zh-CN"/>
        </w:rPr>
        <w:t>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3</w:t>
      </w:r>
      <w:r>
        <w:rPr>
          <w:rFonts w:hint="eastAsia"/>
          <w:lang w:val="en-US" w:eastAsia="zh-CN"/>
        </w:rPr>
        <w:t>起重臂第三节安装示意图</w:t>
      </w:r>
    </w:p>
    <w:p w14:paraId="30DFBBC3">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安装平衡臂第一节，安装方法同安装起重臂第一节，见下图：</w:t>
      </w:r>
    </w:p>
    <w:p w14:paraId="5A2EEF34">
      <w:pPr>
        <w:bidi w:val="0"/>
      </w:pPr>
      <w:r>
        <w:drawing>
          <wp:inline distT="0" distB="0" distL="114300" distR="114300">
            <wp:extent cx="4911725" cy="1547495"/>
            <wp:effectExtent l="0" t="0" r="3175" b="14605"/>
            <wp:docPr id="1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6"/>
                    <pic:cNvPicPr>
                      <a:picLocks noChangeAspect="1"/>
                    </pic:cNvPicPr>
                  </pic:nvPicPr>
                  <pic:blipFill>
                    <a:blip r:embed="rId52"/>
                    <a:stretch>
                      <a:fillRect/>
                    </a:stretch>
                  </pic:blipFill>
                  <pic:spPr>
                    <a:xfrm>
                      <a:off x="0" y="0"/>
                      <a:ext cx="4911725" cy="1547495"/>
                    </a:xfrm>
                    <a:prstGeom prst="rect">
                      <a:avLst/>
                    </a:prstGeom>
                    <a:noFill/>
                    <a:ln>
                      <a:noFill/>
                    </a:ln>
                  </pic:spPr>
                </pic:pic>
              </a:graphicData>
            </a:graphic>
          </wp:inline>
        </w:drawing>
      </w:r>
    </w:p>
    <w:p w14:paraId="38962DA2">
      <w:pPr>
        <w:bidi w:val="0"/>
        <w:jc w:val="center"/>
      </w:pPr>
      <w:r>
        <w:drawing>
          <wp:inline distT="0" distB="0" distL="114300" distR="114300">
            <wp:extent cx="5269865" cy="3647440"/>
            <wp:effectExtent l="0" t="0" r="6985" b="1016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53"/>
                    <a:stretch>
                      <a:fillRect/>
                    </a:stretch>
                  </pic:blipFill>
                  <pic:spPr>
                    <a:xfrm>
                      <a:off x="0" y="0"/>
                      <a:ext cx="5269865" cy="3647440"/>
                    </a:xfrm>
                    <a:prstGeom prst="rect">
                      <a:avLst/>
                    </a:prstGeom>
                    <a:noFill/>
                    <a:ln>
                      <a:noFill/>
                    </a:ln>
                  </pic:spPr>
                </pic:pic>
              </a:graphicData>
            </a:graphic>
          </wp:inline>
        </w:drawing>
      </w:r>
      <w:r>
        <w:drawing>
          <wp:inline distT="0" distB="0" distL="114300" distR="114300">
            <wp:extent cx="5200650" cy="5534025"/>
            <wp:effectExtent l="0" t="0" r="0" b="952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54"/>
                    <a:stretch>
                      <a:fillRect/>
                    </a:stretch>
                  </pic:blipFill>
                  <pic:spPr>
                    <a:xfrm>
                      <a:off x="0" y="0"/>
                      <a:ext cx="5200650" cy="5534025"/>
                    </a:xfrm>
                    <a:prstGeom prst="rect">
                      <a:avLst/>
                    </a:prstGeom>
                    <a:noFill/>
                    <a:ln>
                      <a:noFill/>
                    </a:ln>
                  </pic:spPr>
                </pic:pic>
              </a:graphicData>
            </a:graphic>
          </wp:inline>
        </w:drawing>
      </w:r>
    </w:p>
    <w:p w14:paraId="14090431">
      <w:pPr>
        <w:pStyle w:val="16"/>
        <w:bidi w:val="0"/>
      </w:pPr>
      <w:r>
        <w:rPr>
          <w:rFonts w:hint="eastAsia"/>
          <w:lang w:val="en-US" w:eastAsia="zh-CN"/>
        </w:rPr>
        <w:t>图</w:t>
      </w:r>
      <w:r>
        <w:rPr>
          <w:rFonts w:hint="eastAsia" w:ascii="Times New Roman" w:hAnsi="Times New Roman" w:eastAsia="宋体" w:cs="Times New Roman"/>
          <w:lang w:val="en-US" w:eastAsia="zh-CN"/>
        </w:rPr>
        <w:t>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4</w:t>
      </w:r>
      <w:r>
        <w:rPr>
          <w:rFonts w:hint="eastAsia"/>
          <w:lang w:val="en-US" w:eastAsia="zh-CN"/>
        </w:rPr>
        <w:t>平衡臂第一节安装示意图</w:t>
      </w:r>
    </w:p>
    <w:p w14:paraId="07BE9685">
      <w:pPr>
        <w:bidi w:val="0"/>
        <w:rPr>
          <w:rFonts w:hint="default"/>
          <w:lang w:val="zh-CN"/>
        </w:rPr>
      </w:pPr>
      <w:r>
        <w:rPr>
          <w:rFonts w:hint="default"/>
          <w:lang w:val="zh-CN"/>
        </w:rPr>
        <w:t>吊装拼装好的平衡臂第二节，</w:t>
      </w:r>
      <w:r>
        <w:rPr>
          <w:rFonts w:hint="eastAsia"/>
          <w:lang w:val="en-US" w:eastAsia="zh-CN"/>
        </w:rPr>
        <w:t>吊装完成后单独吊装起升机构，</w:t>
      </w:r>
      <w:r>
        <w:rPr>
          <w:rFonts w:hint="default"/>
          <w:lang w:val="zh-CN"/>
        </w:rPr>
        <w:t>见下图：</w:t>
      </w:r>
    </w:p>
    <w:p w14:paraId="1A5C7F63">
      <w:pPr>
        <w:bidi w:val="0"/>
      </w:pPr>
    </w:p>
    <w:p w14:paraId="7ADFC3B1">
      <w:pPr>
        <w:bidi w:val="0"/>
        <w:jc w:val="center"/>
      </w:pPr>
      <w:r>
        <w:drawing>
          <wp:inline distT="0" distB="0" distL="114300" distR="114300">
            <wp:extent cx="5268595" cy="3035935"/>
            <wp:effectExtent l="0" t="0" r="8255" b="1206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55"/>
                    <a:stretch>
                      <a:fillRect/>
                    </a:stretch>
                  </pic:blipFill>
                  <pic:spPr>
                    <a:xfrm>
                      <a:off x="0" y="0"/>
                      <a:ext cx="5268595" cy="3035935"/>
                    </a:xfrm>
                    <a:prstGeom prst="rect">
                      <a:avLst/>
                    </a:prstGeom>
                    <a:noFill/>
                    <a:ln>
                      <a:noFill/>
                    </a:ln>
                  </pic:spPr>
                </pic:pic>
              </a:graphicData>
            </a:graphic>
          </wp:inline>
        </w:drawing>
      </w:r>
      <w:r>
        <w:drawing>
          <wp:inline distT="0" distB="0" distL="114300" distR="114300">
            <wp:extent cx="5000625" cy="5524500"/>
            <wp:effectExtent l="0" t="0" r="9525" b="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56"/>
                    <a:stretch>
                      <a:fillRect/>
                    </a:stretch>
                  </pic:blipFill>
                  <pic:spPr>
                    <a:xfrm>
                      <a:off x="0" y="0"/>
                      <a:ext cx="5000625" cy="5524500"/>
                    </a:xfrm>
                    <a:prstGeom prst="rect">
                      <a:avLst/>
                    </a:prstGeom>
                    <a:noFill/>
                    <a:ln>
                      <a:noFill/>
                    </a:ln>
                  </pic:spPr>
                </pic:pic>
              </a:graphicData>
            </a:graphic>
          </wp:inline>
        </w:drawing>
      </w:r>
    </w:p>
    <w:p w14:paraId="27055C29">
      <w:pPr>
        <w:pStyle w:val="16"/>
        <w:bidi w:val="0"/>
        <w:rPr>
          <w:rFonts w:hint="eastAsia"/>
          <w:lang w:val="en-US" w:eastAsia="zh-CN"/>
        </w:rPr>
      </w:pPr>
      <w:r>
        <w:rPr>
          <w:rFonts w:hint="eastAsia"/>
          <w:lang w:val="en-US" w:eastAsia="zh-CN"/>
        </w:rPr>
        <w:t>图</w:t>
      </w:r>
      <w:r>
        <w:rPr>
          <w:rFonts w:hint="eastAsia" w:ascii="Times New Roman" w:hAnsi="Times New Roman" w:eastAsia="宋体" w:cs="Times New Roman"/>
          <w:lang w:val="en-US" w:eastAsia="zh-CN"/>
        </w:rPr>
        <w:t>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5</w:t>
      </w:r>
      <w:r>
        <w:rPr>
          <w:rFonts w:hint="eastAsia"/>
          <w:lang w:val="en-US" w:eastAsia="zh-CN"/>
        </w:rPr>
        <w:t>平衡臂第二节安装示意图</w:t>
      </w:r>
    </w:p>
    <w:p w14:paraId="30D5D033">
      <w:pPr>
        <w:pStyle w:val="17"/>
      </w:pPr>
      <w:r>
        <w:drawing>
          <wp:inline distT="0" distB="0" distL="114300" distR="114300">
            <wp:extent cx="5268595" cy="3035935"/>
            <wp:effectExtent l="0" t="0" r="8255" b="1206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55"/>
                    <a:stretch>
                      <a:fillRect/>
                    </a:stretch>
                  </pic:blipFill>
                  <pic:spPr>
                    <a:xfrm>
                      <a:off x="0" y="0"/>
                      <a:ext cx="5268595" cy="3035935"/>
                    </a:xfrm>
                    <a:prstGeom prst="rect">
                      <a:avLst/>
                    </a:prstGeom>
                    <a:noFill/>
                    <a:ln>
                      <a:noFill/>
                    </a:ln>
                  </pic:spPr>
                </pic:pic>
              </a:graphicData>
            </a:graphic>
          </wp:inline>
        </w:drawing>
      </w:r>
      <w:r>
        <w:drawing>
          <wp:inline distT="0" distB="0" distL="114300" distR="114300">
            <wp:extent cx="5000625" cy="5524500"/>
            <wp:effectExtent l="0" t="0" r="9525" b="0"/>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56"/>
                    <a:stretch>
                      <a:fillRect/>
                    </a:stretch>
                  </pic:blipFill>
                  <pic:spPr>
                    <a:xfrm>
                      <a:off x="0" y="0"/>
                      <a:ext cx="5000625" cy="5524500"/>
                    </a:xfrm>
                    <a:prstGeom prst="rect">
                      <a:avLst/>
                    </a:prstGeom>
                    <a:noFill/>
                    <a:ln>
                      <a:noFill/>
                    </a:ln>
                  </pic:spPr>
                </pic:pic>
              </a:graphicData>
            </a:graphic>
          </wp:inline>
        </w:drawing>
      </w:r>
    </w:p>
    <w:p w14:paraId="01A61A6E">
      <w:pPr>
        <w:jc w:val="center"/>
        <w:rPr>
          <w:rFonts w:hint="eastAsia" w:eastAsia="宋体"/>
          <w:lang w:val="en-US" w:eastAsia="zh-CN"/>
        </w:rPr>
      </w:pPr>
      <w:r>
        <w:rPr>
          <w:rFonts w:hint="eastAsia" w:ascii="Times New Roman" w:hAnsi="Times New Roman" w:eastAsia="宋体" w:cs="Times New Roman"/>
          <w:b/>
          <w:kern w:val="2"/>
          <w:sz w:val="21"/>
          <w:szCs w:val="21"/>
          <w:lang w:val="en-US" w:eastAsia="zh-CN" w:bidi="ar-SA"/>
        </w:rPr>
        <w:t>图4.5.1.6-6起升机构安装示意图</w:t>
      </w:r>
    </w:p>
    <w:p w14:paraId="0EA91A6C">
      <w:pPr>
        <w:bidi w:val="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安装两块靠近回转塔身侧的平衡重（根据不同臂长时的平衡重组合选择，</w:t>
      </w:r>
      <w:r>
        <w:rPr>
          <w:rFonts w:hint="eastAsia" w:eastAsia="宋体"/>
          <w:sz w:val="24"/>
          <w:szCs w:val="24"/>
          <w:lang w:val="en-US" w:eastAsia="zh-CN"/>
        </w:rPr>
        <w:t>5</w:t>
      </w:r>
      <w:r>
        <w:rPr>
          <w:rFonts w:hint="default" w:ascii="Times New Roman" w:hAnsi="Times New Roman" w:eastAsia="Times New Roman"/>
          <w:sz w:val="24"/>
          <w:szCs w:val="24"/>
          <w:lang w:val="zh-CN"/>
        </w:rPr>
        <w:t>5m臂长时安装两块4t的平衡重），见下图：</w:t>
      </w:r>
    </w:p>
    <w:p w14:paraId="77B15D2A">
      <w:pPr>
        <w:bidi w:val="0"/>
      </w:pPr>
      <w:r>
        <w:drawing>
          <wp:inline distT="0" distB="0" distL="114300" distR="114300">
            <wp:extent cx="5271135" cy="1720850"/>
            <wp:effectExtent l="0" t="0" r="5715" b="12700"/>
            <wp:docPr id="1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
                    <pic:cNvPicPr>
                      <a:picLocks noChangeAspect="1"/>
                    </pic:cNvPicPr>
                  </pic:nvPicPr>
                  <pic:blipFill>
                    <a:blip r:embed="rId57"/>
                    <a:stretch>
                      <a:fillRect/>
                    </a:stretch>
                  </pic:blipFill>
                  <pic:spPr>
                    <a:xfrm>
                      <a:off x="0" y="0"/>
                      <a:ext cx="5271135" cy="1720850"/>
                    </a:xfrm>
                    <a:prstGeom prst="rect">
                      <a:avLst/>
                    </a:prstGeom>
                    <a:noFill/>
                    <a:ln>
                      <a:noFill/>
                    </a:ln>
                  </pic:spPr>
                </pic:pic>
              </a:graphicData>
            </a:graphic>
          </wp:inline>
        </w:drawing>
      </w:r>
    </w:p>
    <w:p w14:paraId="2250A8D5">
      <w:pPr>
        <w:bidi w:val="0"/>
        <w:jc w:val="center"/>
      </w:pPr>
      <w:r>
        <w:drawing>
          <wp:inline distT="0" distB="0" distL="114300" distR="114300">
            <wp:extent cx="5269865" cy="2929255"/>
            <wp:effectExtent l="0" t="0" r="6985" b="444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58"/>
                    <a:stretch>
                      <a:fillRect/>
                    </a:stretch>
                  </pic:blipFill>
                  <pic:spPr>
                    <a:xfrm>
                      <a:off x="0" y="0"/>
                      <a:ext cx="5269865" cy="2929255"/>
                    </a:xfrm>
                    <a:prstGeom prst="rect">
                      <a:avLst/>
                    </a:prstGeom>
                    <a:noFill/>
                    <a:ln>
                      <a:noFill/>
                    </a:ln>
                  </pic:spPr>
                </pic:pic>
              </a:graphicData>
            </a:graphic>
          </wp:inline>
        </w:drawing>
      </w:r>
      <w:r>
        <w:drawing>
          <wp:inline distT="0" distB="0" distL="114300" distR="114300">
            <wp:extent cx="4603750" cy="5088255"/>
            <wp:effectExtent l="0" t="0" r="6350" b="17145"/>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56"/>
                    <a:stretch>
                      <a:fillRect/>
                    </a:stretch>
                  </pic:blipFill>
                  <pic:spPr>
                    <a:xfrm>
                      <a:off x="0" y="0"/>
                      <a:ext cx="4603750" cy="5088255"/>
                    </a:xfrm>
                    <a:prstGeom prst="rect">
                      <a:avLst/>
                    </a:prstGeom>
                    <a:noFill/>
                    <a:ln>
                      <a:noFill/>
                    </a:ln>
                  </pic:spPr>
                </pic:pic>
              </a:graphicData>
            </a:graphic>
          </wp:inline>
        </w:drawing>
      </w:r>
    </w:p>
    <w:p w14:paraId="48CBB624">
      <w:pPr>
        <w:pStyle w:val="16"/>
        <w:bidi w:val="0"/>
      </w:pPr>
      <w:r>
        <w:rPr>
          <w:rFonts w:hint="eastAsia"/>
          <w:lang w:val="en-US" w:eastAsia="zh-CN"/>
        </w:rPr>
        <w:t>图</w:t>
      </w:r>
      <w:r>
        <w:rPr>
          <w:rFonts w:hint="eastAsia" w:ascii="Times New Roman" w:hAnsi="Times New Roman" w:eastAsia="宋体" w:cs="Times New Roman"/>
          <w:lang w:val="en-US" w:eastAsia="zh-CN"/>
        </w:rPr>
        <w:t>4.5</w:t>
      </w:r>
      <w:r>
        <w:rPr>
          <w:rFonts w:hint="eastAsia" w:cs="Times New Roman"/>
          <w:lang w:val="en-US" w:eastAsia="zh-CN"/>
        </w:rPr>
        <w:t>.1.6</w:t>
      </w:r>
      <w:r>
        <w:rPr>
          <w:rFonts w:hint="eastAsia" w:ascii="Times New Roman" w:hAnsi="Times New Roman" w:eastAsia="宋体" w:cs="Times New Roman"/>
          <w:lang w:val="en-US" w:eastAsia="zh-CN"/>
        </w:rPr>
        <w:t>-</w:t>
      </w:r>
      <w:r>
        <w:rPr>
          <w:rFonts w:hint="eastAsia" w:cs="Times New Roman"/>
          <w:lang w:val="en-US" w:eastAsia="zh-CN"/>
        </w:rPr>
        <w:t>7</w:t>
      </w:r>
      <w:r>
        <w:rPr>
          <w:rFonts w:hint="eastAsia"/>
          <w:lang w:val="en-US" w:eastAsia="zh-CN"/>
        </w:rPr>
        <w:t>平衡重安装示意图</w:t>
      </w:r>
    </w:p>
    <w:p w14:paraId="162E0EE1">
      <w:pPr>
        <w:bidi w:val="0"/>
        <w:rPr>
          <w:rFonts w:hint="eastAsia"/>
          <w:lang w:val="en-US" w:eastAsia="zh-CN"/>
        </w:rPr>
      </w:pPr>
      <w:r>
        <w:rPr>
          <w:rFonts w:hint="eastAsia"/>
          <w:lang w:val="en-US" w:eastAsia="zh-CN"/>
        </w:rPr>
        <w:t>安装起重臂臂第四节，见下图：</w:t>
      </w:r>
    </w:p>
    <w:p w14:paraId="64AF038D">
      <w:pPr>
        <w:bidi w:val="0"/>
        <w:jc w:val="center"/>
        <w:rPr>
          <w:rFonts w:hint="default"/>
          <w:lang w:val="en-US" w:eastAsia="zh-CN"/>
        </w:rPr>
      </w:pPr>
      <w:r>
        <w:drawing>
          <wp:inline distT="0" distB="0" distL="114300" distR="114300">
            <wp:extent cx="5200650" cy="3629025"/>
            <wp:effectExtent l="0" t="0" r="0" b="9525"/>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59"/>
                    <a:stretch>
                      <a:fillRect/>
                    </a:stretch>
                  </pic:blipFill>
                  <pic:spPr>
                    <a:xfrm>
                      <a:off x="0" y="0"/>
                      <a:ext cx="5200650" cy="3629025"/>
                    </a:xfrm>
                    <a:prstGeom prst="rect">
                      <a:avLst/>
                    </a:prstGeom>
                    <a:noFill/>
                    <a:ln>
                      <a:noFill/>
                    </a:ln>
                  </pic:spPr>
                </pic:pic>
              </a:graphicData>
            </a:graphic>
          </wp:inline>
        </w:drawing>
      </w:r>
      <w:r>
        <w:drawing>
          <wp:inline distT="0" distB="0" distL="114300" distR="114300">
            <wp:extent cx="5162550" cy="5362575"/>
            <wp:effectExtent l="0" t="0" r="0" b="9525"/>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60"/>
                    <a:stretch>
                      <a:fillRect/>
                    </a:stretch>
                  </pic:blipFill>
                  <pic:spPr>
                    <a:xfrm>
                      <a:off x="0" y="0"/>
                      <a:ext cx="5162550" cy="5362575"/>
                    </a:xfrm>
                    <a:prstGeom prst="rect">
                      <a:avLst/>
                    </a:prstGeom>
                    <a:noFill/>
                    <a:ln>
                      <a:noFill/>
                    </a:ln>
                  </pic:spPr>
                </pic:pic>
              </a:graphicData>
            </a:graphic>
          </wp:inline>
        </w:drawing>
      </w:r>
    </w:p>
    <w:p w14:paraId="2A3C6B59">
      <w:pPr>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hint="eastAsia" w:ascii="Times New Roman" w:hAnsi="Times New Roman" w:eastAsia="宋体" w:cs="Times New Roman"/>
          <w:lang w:val="en-US" w:eastAsia="zh-CN"/>
        </w:rPr>
        <w:t>4.5</w:t>
      </w:r>
      <w:r>
        <w:rPr>
          <w:rFonts w:hint="eastAsia" w:cs="Times New Roman"/>
          <w:lang w:val="en-US" w:eastAsia="zh-CN"/>
        </w:rPr>
        <w:t>.1.6-8</w:t>
      </w:r>
      <w:r>
        <w:rPr>
          <w:rFonts w:hint="eastAsia" w:ascii="Times New Roman" w:hAnsi="Times New Roman" w:eastAsia="宋体" w:cs="Times New Roman"/>
          <w:b/>
          <w:kern w:val="2"/>
          <w:sz w:val="21"/>
          <w:szCs w:val="21"/>
          <w:lang w:val="en-US" w:eastAsia="zh-CN" w:bidi="ar-SA"/>
        </w:rPr>
        <w:t>起重臂第四节安装示意图</w:t>
      </w:r>
    </w:p>
    <w:p w14:paraId="19B3150A">
      <w:pPr>
        <w:bidi w:val="0"/>
        <w:jc w:val="left"/>
        <w:rPr>
          <w:rFonts w:hint="eastAsia"/>
          <w:lang w:val="en-US" w:eastAsia="zh-CN"/>
        </w:rPr>
      </w:pPr>
      <w:r>
        <w:rPr>
          <w:rFonts w:hint="eastAsia"/>
          <w:lang w:val="en-US" w:eastAsia="zh-CN"/>
        </w:rPr>
        <w:t>安装起重臂臂第四节，见下图：</w:t>
      </w:r>
    </w:p>
    <w:p w14:paraId="3210DC42">
      <w:pPr>
        <w:bidi w:val="0"/>
        <w:jc w:val="left"/>
        <w:rPr>
          <w:rFonts w:hint="default"/>
          <w:lang w:val="en-US" w:eastAsia="zh-CN"/>
        </w:rPr>
      </w:pPr>
      <w:r>
        <w:drawing>
          <wp:inline distT="0" distB="0" distL="114300" distR="114300">
            <wp:extent cx="5272405" cy="3688715"/>
            <wp:effectExtent l="0" t="0" r="4445" b="6985"/>
            <wp:docPr id="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
                    <pic:cNvPicPr>
                      <a:picLocks noChangeAspect="1"/>
                    </pic:cNvPicPr>
                  </pic:nvPicPr>
                  <pic:blipFill>
                    <a:blip r:embed="rId61"/>
                    <a:stretch>
                      <a:fillRect/>
                    </a:stretch>
                  </pic:blipFill>
                  <pic:spPr>
                    <a:xfrm>
                      <a:off x="0" y="0"/>
                      <a:ext cx="5272405" cy="3688715"/>
                    </a:xfrm>
                    <a:prstGeom prst="rect">
                      <a:avLst/>
                    </a:prstGeom>
                    <a:noFill/>
                    <a:ln>
                      <a:noFill/>
                    </a:ln>
                  </pic:spPr>
                </pic:pic>
              </a:graphicData>
            </a:graphic>
          </wp:inline>
        </w:drawing>
      </w:r>
      <w:r>
        <w:drawing>
          <wp:inline distT="0" distB="0" distL="114300" distR="114300">
            <wp:extent cx="4867275" cy="5086350"/>
            <wp:effectExtent l="0" t="0" r="9525"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62"/>
                    <a:stretch>
                      <a:fillRect/>
                    </a:stretch>
                  </pic:blipFill>
                  <pic:spPr>
                    <a:xfrm>
                      <a:off x="0" y="0"/>
                      <a:ext cx="4867275" cy="5086350"/>
                    </a:xfrm>
                    <a:prstGeom prst="rect">
                      <a:avLst/>
                    </a:prstGeom>
                    <a:noFill/>
                    <a:ln>
                      <a:noFill/>
                    </a:ln>
                  </pic:spPr>
                </pic:pic>
              </a:graphicData>
            </a:graphic>
          </wp:inline>
        </w:drawing>
      </w:r>
    </w:p>
    <w:p w14:paraId="0869AABE">
      <w:pPr>
        <w:bidi w:val="0"/>
        <w:jc w:val="center"/>
        <w:rPr>
          <w:rFonts w:hint="default"/>
          <w:lang w:val="en-US" w:eastAsia="zh-CN"/>
        </w:rPr>
      </w:pPr>
      <w:r>
        <w:rPr>
          <w:rFonts w:hint="eastAsia" w:ascii="Times New Roman" w:hAnsi="Times New Roman" w:eastAsia="宋体" w:cs="Times New Roman"/>
          <w:b/>
          <w:kern w:val="2"/>
          <w:sz w:val="21"/>
          <w:szCs w:val="21"/>
          <w:lang w:val="en-US" w:eastAsia="zh-CN" w:bidi="ar-SA"/>
        </w:rPr>
        <w:t>图</w:t>
      </w:r>
      <w:r>
        <w:rPr>
          <w:rFonts w:hint="eastAsia" w:ascii="Times New Roman" w:hAnsi="Times New Roman" w:eastAsia="宋体" w:cs="Times New Roman"/>
          <w:lang w:val="en-US" w:eastAsia="zh-CN"/>
        </w:rPr>
        <w:t>4.5</w:t>
      </w:r>
      <w:r>
        <w:rPr>
          <w:rFonts w:hint="eastAsia" w:cs="Times New Roman"/>
          <w:lang w:val="en-US" w:eastAsia="zh-CN"/>
        </w:rPr>
        <w:t>.1.6-9</w:t>
      </w:r>
      <w:r>
        <w:rPr>
          <w:rFonts w:hint="eastAsia" w:ascii="Times New Roman" w:hAnsi="Times New Roman" w:eastAsia="宋体" w:cs="Times New Roman"/>
          <w:b/>
          <w:kern w:val="2"/>
          <w:sz w:val="21"/>
          <w:szCs w:val="21"/>
          <w:lang w:val="en-US" w:eastAsia="zh-CN" w:bidi="ar-SA"/>
        </w:rPr>
        <w:t>起重臂第</w:t>
      </w:r>
      <w:r>
        <w:rPr>
          <w:rFonts w:hint="eastAsia" w:cs="Times New Roman"/>
          <w:b/>
          <w:kern w:val="2"/>
          <w:sz w:val="21"/>
          <w:szCs w:val="21"/>
          <w:lang w:val="en-US" w:eastAsia="zh-CN" w:bidi="ar-SA"/>
        </w:rPr>
        <w:t>五</w:t>
      </w:r>
      <w:r>
        <w:rPr>
          <w:rFonts w:hint="eastAsia" w:ascii="Times New Roman" w:hAnsi="Times New Roman" w:eastAsia="宋体" w:cs="Times New Roman"/>
          <w:b/>
          <w:kern w:val="2"/>
          <w:sz w:val="21"/>
          <w:szCs w:val="21"/>
          <w:lang w:val="en-US" w:eastAsia="zh-CN" w:bidi="ar-SA"/>
        </w:rPr>
        <w:t>节安装示意图</w:t>
      </w:r>
    </w:p>
    <w:p w14:paraId="632F7D09">
      <w:pPr>
        <w:pStyle w:val="5"/>
        <w:bidi w:val="0"/>
        <w:rPr>
          <w:rFonts w:hint="eastAsia"/>
        </w:rPr>
      </w:pPr>
      <w:r>
        <w:rPr>
          <w:rFonts w:hint="eastAsia"/>
        </w:rPr>
        <w:t>安装</w:t>
      </w:r>
      <w:r>
        <w:rPr>
          <w:rFonts w:hint="eastAsia"/>
          <w:lang w:val="en-US" w:eastAsia="zh-CN"/>
        </w:rPr>
        <w:t>剩余平衡重</w:t>
      </w:r>
    </w:p>
    <w:p w14:paraId="487F11E6">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rPr>
          <w:rFonts w:hint="default" w:ascii="Times New Roman" w:hAnsi="Times New Roman" w:eastAsia="宋体"/>
          <w:sz w:val="24"/>
          <w:szCs w:val="24"/>
          <w:lang w:val="en-US" w:eastAsia="zh-CN"/>
        </w:rPr>
      </w:pPr>
      <w:r>
        <w:rPr>
          <w:rFonts w:hint="default" w:ascii="Times New Roman" w:hAnsi="Times New Roman" w:eastAsia="Times New Roman"/>
          <w:sz w:val="24"/>
          <w:szCs w:val="24"/>
          <w:lang w:val="zh-CN"/>
        </w:rPr>
        <w:t>根据不同臂长组合时平衡重的总重量和安装位置表安装剩余的平衡重</w:t>
      </w:r>
      <w:r>
        <w:rPr>
          <w:rFonts w:hint="eastAsia" w:ascii="Times New Roman" w:hAnsi="Times New Roman" w:eastAsia="Times New Roman"/>
          <w:sz w:val="24"/>
          <w:szCs w:val="24"/>
          <w:lang w:val="zh-CN"/>
        </w:rPr>
        <w:t>，</w:t>
      </w:r>
      <w:r>
        <w:rPr>
          <w:rFonts w:hint="eastAsia" w:ascii="Times New Roman" w:hAnsi="Times New Roman" w:eastAsia="宋体"/>
          <w:sz w:val="24"/>
          <w:szCs w:val="24"/>
          <w:lang w:val="en-US" w:eastAsia="zh-CN"/>
        </w:rPr>
        <w:t>本项目采用</w:t>
      </w:r>
      <w:r>
        <w:rPr>
          <w:rFonts w:hint="eastAsia"/>
          <w:sz w:val="24"/>
          <w:szCs w:val="24"/>
          <w:lang w:val="en-US" w:eastAsia="zh-CN"/>
        </w:rPr>
        <w:t>40</w:t>
      </w:r>
      <w:r>
        <w:rPr>
          <w:rFonts w:hint="eastAsia" w:ascii="Times New Roman" w:hAnsi="Times New Roman" w:eastAsia="宋体"/>
          <w:sz w:val="24"/>
          <w:szCs w:val="24"/>
          <w:lang w:val="en-US" w:eastAsia="zh-CN"/>
        </w:rPr>
        <w:t>m臂长。</w:t>
      </w:r>
    </w:p>
    <w:p w14:paraId="1EC29B83">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平衡重种类有三种重量规格，分别为4t，2.2t和1.5t；见下图：</w:t>
      </w:r>
    </w:p>
    <w:p w14:paraId="6A080FA3">
      <w:pPr>
        <w:keepNext w:val="0"/>
        <w:keepLines w:val="0"/>
        <w:pageBreakBefore w:val="0"/>
        <w:widowControl w:val="0"/>
        <w:numPr>
          <w:ilvl w:val="0"/>
          <w:numId w:val="0"/>
        </w:numPr>
        <w:kinsoku/>
        <w:wordWrap w:val="0"/>
        <w:overflowPunct/>
        <w:topLinePunct w:val="0"/>
        <w:autoSpaceDE/>
        <w:autoSpaceDN/>
        <w:bidi w:val="0"/>
        <w:adjustRightInd/>
        <w:snapToGrid/>
        <w:ind w:leftChars="200"/>
        <w:textAlignment w:val="auto"/>
      </w:pPr>
      <w:r>
        <w:drawing>
          <wp:inline distT="0" distB="0" distL="114300" distR="114300">
            <wp:extent cx="5269865" cy="3957955"/>
            <wp:effectExtent l="0" t="0" r="6985" b="4445"/>
            <wp:docPr id="1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9"/>
                    <pic:cNvPicPr>
                      <a:picLocks noChangeAspect="1"/>
                    </pic:cNvPicPr>
                  </pic:nvPicPr>
                  <pic:blipFill>
                    <a:blip r:embed="rId63"/>
                    <a:stretch>
                      <a:fillRect/>
                    </a:stretch>
                  </pic:blipFill>
                  <pic:spPr>
                    <a:xfrm>
                      <a:off x="0" y="0"/>
                      <a:ext cx="5269865" cy="3957955"/>
                    </a:xfrm>
                    <a:prstGeom prst="rect">
                      <a:avLst/>
                    </a:prstGeom>
                    <a:noFill/>
                    <a:ln>
                      <a:noFill/>
                    </a:ln>
                  </pic:spPr>
                </pic:pic>
              </a:graphicData>
            </a:graphic>
          </wp:inline>
        </w:drawing>
      </w:r>
    </w:p>
    <w:p w14:paraId="3BC78C62">
      <w:pPr>
        <w:widowControl w:val="0"/>
        <w:spacing w:after="50" w:afterLines="50" w:line="240" w:lineRule="auto"/>
        <w:ind w:firstLine="0" w:firstLineChars="0"/>
        <w:jc w:val="center"/>
        <w:rPr>
          <w:rFonts w:hint="eastAsia" w:ascii="Calibri" w:hAnsi="Calibri" w:eastAsia="仿宋" w:cs="仿宋"/>
          <w:b w:val="0"/>
          <w:bCs/>
          <w:kern w:val="3"/>
          <w:sz w:val="28"/>
          <w:szCs w:val="24"/>
          <w:lang w:val="en-US" w:eastAsia="zh-CN" w:bidi="ar-SA"/>
        </w:rPr>
      </w:pPr>
      <w:r>
        <w:drawing>
          <wp:inline distT="0" distB="0" distL="114300" distR="114300">
            <wp:extent cx="3429000" cy="1476375"/>
            <wp:effectExtent l="0" t="0" r="0" b="9525"/>
            <wp:docPr id="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
                    <pic:cNvPicPr>
                      <a:picLocks noChangeAspect="1"/>
                    </pic:cNvPicPr>
                  </pic:nvPicPr>
                  <pic:blipFill>
                    <a:blip r:embed="rId64"/>
                    <a:stretch>
                      <a:fillRect/>
                    </a:stretch>
                  </pic:blipFill>
                  <pic:spPr>
                    <a:xfrm>
                      <a:off x="0" y="0"/>
                      <a:ext cx="3429000" cy="1476375"/>
                    </a:xfrm>
                    <a:prstGeom prst="rect">
                      <a:avLst/>
                    </a:prstGeom>
                    <a:noFill/>
                    <a:ln>
                      <a:noFill/>
                    </a:ln>
                  </pic:spPr>
                </pic:pic>
              </a:graphicData>
            </a:graphic>
          </wp:inline>
        </w:drawing>
      </w:r>
    </w:p>
    <w:p w14:paraId="76713B53">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.1.7</w:t>
      </w:r>
      <w:r>
        <w:rPr>
          <w:rFonts w:hint="eastAsia" w:ascii="Times New Roman" w:hAnsi="Times New Roman" w:eastAsia="宋体" w:cs="Times New Roman"/>
          <w:lang w:val="en-US" w:eastAsia="zh-CN"/>
        </w:rPr>
        <w:t>-1平衡重组合图</w:t>
      </w:r>
    </w:p>
    <w:p w14:paraId="2F8D0E85">
      <w:pPr>
        <w:bidi w:val="0"/>
        <w:rPr>
          <w:rFonts w:hint="eastAsia"/>
          <w:lang w:val="en-US" w:eastAsia="zh-CN"/>
        </w:rPr>
      </w:pPr>
      <w:r>
        <w:rPr>
          <w:rFonts w:hint="eastAsia"/>
          <w:lang w:val="en-US" w:eastAsia="zh-CN"/>
        </w:rPr>
        <w:t>安装剩余平衡重：</w:t>
      </w:r>
    </w:p>
    <w:p w14:paraId="6958F674">
      <w:pPr>
        <w:bidi w:val="0"/>
        <w:rPr>
          <w:rFonts w:hint="eastAsia"/>
          <w:lang w:val="en-US" w:eastAsia="zh-CN"/>
        </w:rPr>
      </w:pPr>
      <w:r>
        <w:drawing>
          <wp:inline distT="0" distB="0" distL="114300" distR="114300">
            <wp:extent cx="5267960" cy="2663190"/>
            <wp:effectExtent l="0" t="0" r="8890" b="3810"/>
            <wp:docPr id="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6"/>
                    <pic:cNvPicPr>
                      <a:picLocks noChangeAspect="1"/>
                    </pic:cNvPicPr>
                  </pic:nvPicPr>
                  <pic:blipFill>
                    <a:blip r:embed="rId65"/>
                    <a:stretch>
                      <a:fillRect/>
                    </a:stretch>
                  </pic:blipFill>
                  <pic:spPr>
                    <a:xfrm>
                      <a:off x="0" y="0"/>
                      <a:ext cx="5267960" cy="2663190"/>
                    </a:xfrm>
                    <a:prstGeom prst="rect">
                      <a:avLst/>
                    </a:prstGeom>
                    <a:noFill/>
                    <a:ln>
                      <a:noFill/>
                    </a:ln>
                  </pic:spPr>
                </pic:pic>
              </a:graphicData>
            </a:graphic>
          </wp:inline>
        </w:drawing>
      </w:r>
      <w:r>
        <w:drawing>
          <wp:inline distT="0" distB="0" distL="114300" distR="114300">
            <wp:extent cx="4972050" cy="5324475"/>
            <wp:effectExtent l="0" t="0" r="0" b="9525"/>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66"/>
                    <a:stretch>
                      <a:fillRect/>
                    </a:stretch>
                  </pic:blipFill>
                  <pic:spPr>
                    <a:xfrm>
                      <a:off x="0" y="0"/>
                      <a:ext cx="4972050" cy="5324475"/>
                    </a:xfrm>
                    <a:prstGeom prst="rect">
                      <a:avLst/>
                    </a:prstGeom>
                    <a:noFill/>
                    <a:ln>
                      <a:noFill/>
                    </a:ln>
                  </pic:spPr>
                </pic:pic>
              </a:graphicData>
            </a:graphic>
          </wp:inline>
        </w:drawing>
      </w:r>
    </w:p>
    <w:p w14:paraId="7A7180AA">
      <w:pPr>
        <w:bidi w:val="0"/>
        <w:jc w:val="center"/>
        <w:rPr>
          <w:rFonts w:hint="eastAsia"/>
          <w:lang w:val="en-US" w:eastAsia="zh-CN"/>
        </w:rPr>
      </w:pPr>
      <w:r>
        <w:rPr>
          <w:rFonts w:hint="eastAsia" w:ascii="Times New Roman" w:hAnsi="Times New Roman" w:eastAsia="宋体" w:cs="Times New Roman"/>
          <w:b/>
          <w:kern w:val="2"/>
          <w:sz w:val="21"/>
          <w:szCs w:val="21"/>
          <w:lang w:val="en-US" w:eastAsia="zh-CN" w:bidi="ar-SA"/>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.1.7</w:t>
      </w:r>
      <w:r>
        <w:rPr>
          <w:rFonts w:hint="eastAsia" w:ascii="Times New Roman" w:hAnsi="Times New Roman" w:eastAsia="宋体" w:cs="Times New Roman"/>
          <w:lang w:val="en-US" w:eastAsia="zh-CN"/>
        </w:rPr>
        <w:t>-</w:t>
      </w:r>
      <w:r>
        <w:rPr>
          <w:rFonts w:hint="eastAsia" w:cs="Times New Roman"/>
          <w:lang w:val="en-US" w:eastAsia="zh-CN"/>
        </w:rPr>
        <w:t>2</w:t>
      </w:r>
      <w:r>
        <w:rPr>
          <w:rFonts w:hint="eastAsia" w:cs="Times New Roman"/>
          <w:b/>
          <w:kern w:val="2"/>
          <w:sz w:val="21"/>
          <w:szCs w:val="21"/>
          <w:lang w:val="en-US" w:eastAsia="zh-CN" w:bidi="ar-SA"/>
        </w:rPr>
        <w:t>剩余平衡重</w:t>
      </w:r>
      <w:r>
        <w:rPr>
          <w:rFonts w:hint="eastAsia" w:ascii="Times New Roman" w:hAnsi="Times New Roman" w:eastAsia="宋体" w:cs="Times New Roman"/>
          <w:b/>
          <w:kern w:val="2"/>
          <w:sz w:val="21"/>
          <w:szCs w:val="21"/>
          <w:lang w:val="en-US" w:eastAsia="zh-CN" w:bidi="ar-SA"/>
        </w:rPr>
        <w:t>安装示意图</w:t>
      </w:r>
    </w:p>
    <w:p w14:paraId="02A355BD">
      <w:pPr>
        <w:pStyle w:val="17"/>
        <w:rPr>
          <w:rFonts w:hint="eastAsia"/>
          <w:lang w:val="en-US" w:eastAsia="zh-CN"/>
        </w:rPr>
      </w:pPr>
    </w:p>
    <w:p w14:paraId="4D16AE86">
      <w:pPr>
        <w:pStyle w:val="5"/>
        <w:bidi w:val="0"/>
        <w:rPr>
          <w:rFonts w:hint="eastAsia"/>
          <w:lang w:val="en-US" w:eastAsia="zh-CN"/>
        </w:rPr>
      </w:pPr>
      <w:r>
        <w:rPr>
          <w:rFonts w:hint="eastAsia"/>
          <w:lang w:val="en-US" w:eastAsia="zh-CN"/>
        </w:rPr>
        <w:t>塔机的电气连接</w:t>
      </w:r>
    </w:p>
    <w:p w14:paraId="1691C44F">
      <w:pPr>
        <w:rPr>
          <w:rFonts w:hint="eastAsia"/>
          <w:lang w:val="en-US" w:eastAsia="zh-CN"/>
        </w:rPr>
      </w:pPr>
      <w:r>
        <w:rPr>
          <w:rFonts w:hint="eastAsia"/>
          <w:lang w:val="en-US" w:eastAsia="zh-CN"/>
        </w:rPr>
        <w:t>根据本说明书中操作维护指南部分电气连接的相关内容连接好起升机构、回转机构、变幅机构，顶升机构及司机室内的电气设备，使整个塔机电气设备均可以正常工作。</w:t>
      </w:r>
    </w:p>
    <w:p w14:paraId="4AB65E6D">
      <w:pPr>
        <w:pStyle w:val="5"/>
        <w:bidi w:val="0"/>
        <w:rPr>
          <w:rFonts w:hint="eastAsia"/>
          <w:lang w:val="en-US" w:eastAsia="zh-CN"/>
        </w:rPr>
      </w:pPr>
      <w:r>
        <w:rPr>
          <w:rFonts w:hint="eastAsia"/>
          <w:lang w:val="en-US" w:eastAsia="zh-CN"/>
        </w:rPr>
        <w:t>穿绕钢丝绳</w:t>
      </w:r>
    </w:p>
    <w:p w14:paraId="2C87F7B5">
      <w:pPr>
        <w:bidi w:val="0"/>
        <w:rPr>
          <w:rFonts w:hint="eastAsia"/>
          <w:lang w:val="en-US" w:eastAsia="zh-CN"/>
        </w:rPr>
      </w:pPr>
      <w:r>
        <w:rPr>
          <w:rFonts w:hint="eastAsia"/>
          <w:lang w:val="en-US" w:eastAsia="zh-CN"/>
        </w:rPr>
        <w:t>（1）变幅钢丝绳的穿绕及张紧</w:t>
      </w:r>
    </w:p>
    <w:p w14:paraId="509D164F">
      <w:pPr>
        <w:bidi w:val="0"/>
        <w:rPr>
          <w:rFonts w:hint="eastAsia"/>
          <w:lang w:val="en-US" w:eastAsia="zh-CN"/>
        </w:rPr>
      </w:pPr>
      <w:r>
        <w:rPr>
          <w:rFonts w:hint="eastAsia"/>
          <w:lang w:val="en-US" w:eastAsia="zh-CN"/>
        </w:rPr>
        <w:t>1）变幅钢丝绳的长度及规格</w:t>
      </w:r>
    </w:p>
    <w:p w14:paraId="36139F0D">
      <w:pPr>
        <w:bidi w:val="0"/>
        <w:ind w:left="0" w:leftChars="0" w:firstLine="0" w:firstLineChars="0"/>
        <w:jc w:val="both"/>
      </w:pPr>
      <w:r>
        <w:drawing>
          <wp:inline distT="0" distB="0" distL="114300" distR="114300">
            <wp:extent cx="5273040" cy="686435"/>
            <wp:effectExtent l="0" t="0" r="3810"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7"/>
                    <a:stretch>
                      <a:fillRect/>
                    </a:stretch>
                  </pic:blipFill>
                  <pic:spPr>
                    <a:xfrm>
                      <a:off x="0" y="0"/>
                      <a:ext cx="5273040" cy="686435"/>
                    </a:xfrm>
                    <a:prstGeom prst="rect">
                      <a:avLst/>
                    </a:prstGeom>
                    <a:noFill/>
                    <a:ln>
                      <a:noFill/>
                    </a:ln>
                  </pic:spPr>
                </pic:pic>
              </a:graphicData>
            </a:graphic>
          </wp:inline>
        </w:drawing>
      </w:r>
      <w:r>
        <w:drawing>
          <wp:inline distT="0" distB="0" distL="114300" distR="114300">
            <wp:extent cx="5274310" cy="4909820"/>
            <wp:effectExtent l="0" t="0" r="2540" b="5080"/>
            <wp:docPr id="1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
                    <pic:cNvPicPr>
                      <a:picLocks noChangeAspect="1"/>
                    </pic:cNvPicPr>
                  </pic:nvPicPr>
                  <pic:blipFill>
                    <a:blip r:embed="rId68"/>
                    <a:stretch>
                      <a:fillRect/>
                    </a:stretch>
                  </pic:blipFill>
                  <pic:spPr>
                    <a:xfrm>
                      <a:off x="0" y="0"/>
                      <a:ext cx="5274310" cy="4909820"/>
                    </a:xfrm>
                    <a:prstGeom prst="rect">
                      <a:avLst/>
                    </a:prstGeom>
                    <a:noFill/>
                    <a:ln>
                      <a:noFill/>
                    </a:ln>
                  </pic:spPr>
                </pic:pic>
              </a:graphicData>
            </a:graphic>
          </wp:inline>
        </w:drawing>
      </w:r>
    </w:p>
    <w:p w14:paraId="26255685">
      <w:pPr>
        <w:bidi w:val="0"/>
        <w:rPr>
          <w:rFonts w:hint="eastAsia"/>
          <w:lang w:val="en-US" w:eastAsia="zh-CN"/>
        </w:rPr>
      </w:pPr>
      <w:r>
        <w:rPr>
          <w:rFonts w:hint="eastAsia"/>
          <w:lang w:val="en-US" w:eastAsia="zh-CN"/>
        </w:rPr>
        <w:t>2）小车断绳止动装置的工作原理。</w:t>
      </w:r>
    </w:p>
    <w:p w14:paraId="45DCB556">
      <w:pPr>
        <w:bidi w:val="0"/>
        <w:rPr>
          <w:rFonts w:hint="eastAsia"/>
          <w:lang w:val="en-US" w:eastAsia="zh-CN"/>
        </w:rPr>
      </w:pPr>
      <w:r>
        <w:rPr>
          <w:rFonts w:hint="eastAsia"/>
          <w:lang w:val="en-US" w:eastAsia="zh-CN"/>
        </w:rPr>
        <w:t>如遇小车变幅钢丝绳断绳，此装置即可将行走小车停止在臂架上。安装起重小车钢丝绳时：</w:t>
      </w:r>
    </w:p>
    <w:p w14:paraId="28C29C27">
      <w:pPr>
        <w:bidi w:val="0"/>
        <w:rPr>
          <w:rFonts w:hint="eastAsia"/>
          <w:lang w:val="en-US" w:eastAsia="zh-CN"/>
        </w:rPr>
      </w:pPr>
      <w:r>
        <w:rPr>
          <w:rFonts w:hint="eastAsia"/>
          <w:lang w:val="en-US" w:eastAsia="zh-CN"/>
        </w:rPr>
        <w:t>a.检查断绳止动装置的工作状态。</w:t>
      </w:r>
    </w:p>
    <w:p w14:paraId="5A0AF929">
      <w:pPr>
        <w:bidi w:val="0"/>
        <w:rPr>
          <w:rFonts w:hint="eastAsia"/>
          <w:lang w:val="en-US" w:eastAsia="zh-CN"/>
        </w:rPr>
      </w:pPr>
      <w:r>
        <w:rPr>
          <w:rFonts w:hint="eastAsia"/>
          <w:lang w:val="en-US" w:eastAsia="zh-CN"/>
        </w:rPr>
        <w:t xml:space="preserve">b.将钢丝绳穿过断绳止动装置上安全装置中心的圆孔。 </w:t>
      </w:r>
    </w:p>
    <w:p w14:paraId="3C69A9C2">
      <w:pPr>
        <w:bidi w:val="0"/>
        <w:rPr>
          <w:rFonts w:hint="eastAsia"/>
          <w:lang w:val="en-US" w:eastAsia="zh-CN"/>
        </w:rPr>
      </w:pPr>
      <w:r>
        <w:rPr>
          <w:rFonts w:hint="eastAsia"/>
          <w:lang w:val="en-US" w:eastAsia="zh-CN"/>
        </w:rPr>
        <w:t>在塔机工作过程中，要定期检查钢丝绳张紧情况，以确保正常情况下断绳止动装置处于水平位置。</w:t>
      </w:r>
    </w:p>
    <w:p w14:paraId="3BB1251F">
      <w:pPr>
        <w:bidi w:val="0"/>
        <w:rPr>
          <w:rFonts w:hint="eastAsia"/>
          <w:lang w:val="en-US" w:eastAsia="zh-CN"/>
        </w:rPr>
      </w:pPr>
      <w:r>
        <w:rPr>
          <w:rFonts w:hint="eastAsia"/>
          <w:lang w:val="en-US" w:eastAsia="zh-CN"/>
        </w:rPr>
        <w:t>以下分别是钢丝绳张紧时和钢丝绳断绳后断绳止动装置的位置：</w:t>
      </w:r>
    </w:p>
    <w:p w14:paraId="40AB8E9C">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Data\\Tencent\\Users\\387702944\\QQ\\WinTemp\\RichOle\\{K@WA)[L}$1YTEUXVWAICQE.png" \* MERGEFORMATINET </w:instrText>
      </w:r>
      <w:r>
        <w:rPr>
          <w:rFonts w:hint="eastAsia"/>
          <w:lang w:val="en-US" w:eastAsia="zh-CN"/>
        </w:rPr>
        <w:fldChar w:fldCharType="separate"/>
      </w:r>
      <w:r>
        <w:rPr>
          <w:rFonts w:hint="eastAsia"/>
          <w:lang w:val="en-US" w:eastAsia="zh-CN"/>
        </w:rPr>
        <w:drawing>
          <wp:inline distT="0" distB="0" distL="114300" distR="114300">
            <wp:extent cx="2684145" cy="1270000"/>
            <wp:effectExtent l="0" t="0" r="1905" b="6350"/>
            <wp:docPr id="188"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1" descr="IMG_256"/>
                    <pic:cNvPicPr>
                      <a:picLocks noChangeAspect="1"/>
                    </pic:cNvPicPr>
                  </pic:nvPicPr>
                  <pic:blipFill>
                    <a:blip r:embed="rId69"/>
                    <a:srcRect l="21967" t="37289" r="24361" b="12816"/>
                    <a:stretch>
                      <a:fillRect/>
                    </a:stretch>
                  </pic:blipFill>
                  <pic:spPr>
                    <a:xfrm>
                      <a:off x="0" y="0"/>
                      <a:ext cx="2684145" cy="1270000"/>
                    </a:xfrm>
                    <a:prstGeom prst="rect">
                      <a:avLst/>
                    </a:prstGeom>
                    <a:noFill/>
                    <a:ln>
                      <a:noFill/>
                    </a:ln>
                  </pic:spPr>
                </pic:pic>
              </a:graphicData>
            </a:graphic>
          </wp:inline>
        </w:drawing>
      </w:r>
      <w:r>
        <w:rPr>
          <w:rFonts w:hint="eastAsia"/>
          <w:lang w:val="en-US" w:eastAsia="zh-CN"/>
        </w:rPr>
        <w:fldChar w:fldCharType="end"/>
      </w:r>
    </w:p>
    <w:p w14:paraId="1E1712A8">
      <w:pPr>
        <w:pStyle w:val="16"/>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.1.9</w:t>
      </w:r>
      <w:r>
        <w:rPr>
          <w:rFonts w:hint="eastAsia" w:ascii="Times New Roman" w:hAnsi="Times New Roman" w:eastAsia="宋体" w:cs="Times New Roman"/>
          <w:lang w:val="en-US" w:eastAsia="zh-CN"/>
        </w:rPr>
        <w:t>-1止动装置</w:t>
      </w:r>
    </w:p>
    <w:p w14:paraId="72357A93">
      <w:pPr>
        <w:bidi w:val="0"/>
        <w:rPr>
          <w:rFonts w:hint="eastAsia"/>
          <w:lang w:val="en-US" w:eastAsia="zh-CN"/>
        </w:rPr>
      </w:pPr>
      <w:r>
        <w:rPr>
          <w:rFonts w:hint="eastAsia"/>
          <w:lang w:val="en-US" w:eastAsia="zh-CN"/>
        </w:rPr>
        <w:t>3）小车防断轴装置的工作原理</w:t>
      </w:r>
    </w:p>
    <w:p w14:paraId="7CF8AC0E">
      <w:pPr>
        <w:bidi w:val="0"/>
        <w:rPr>
          <w:rFonts w:hint="eastAsia"/>
          <w:lang w:val="en-US" w:eastAsia="zh-CN"/>
        </w:rPr>
      </w:pPr>
      <w:r>
        <w:rPr>
          <w:rFonts w:hint="eastAsia"/>
          <w:lang w:val="en-US" w:eastAsia="zh-CN"/>
        </w:rPr>
        <w:t>小车防断轴装置由焊接在小车滚轮旁的四个耳板组成，如遇小车轮轴断裂，此装置可将小车止动在臂加下弦杆上，以防止起重小车附落：</w:t>
      </w:r>
    </w:p>
    <w:p w14:paraId="67F7F8D6">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Data\\Tencent\\Users\\387702944\\QQ\\WinTemp\\RichOle\\323L7SRQNK9DYU}%K1[SOB1.png" \* MERGEFORMATINET </w:instrText>
      </w:r>
      <w:r>
        <w:rPr>
          <w:rFonts w:hint="eastAsia"/>
          <w:lang w:val="en-US" w:eastAsia="zh-CN"/>
        </w:rPr>
        <w:fldChar w:fldCharType="separate"/>
      </w:r>
      <w:r>
        <w:rPr>
          <w:rFonts w:hint="eastAsia"/>
          <w:lang w:val="en-US" w:eastAsia="zh-CN"/>
        </w:rPr>
        <w:drawing>
          <wp:inline distT="0" distB="0" distL="114300" distR="114300">
            <wp:extent cx="1928495" cy="1590040"/>
            <wp:effectExtent l="0" t="0" r="14605" b="10160"/>
            <wp:docPr id="189"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2" descr="IMG_256"/>
                    <pic:cNvPicPr>
                      <a:picLocks noChangeAspect="1"/>
                    </pic:cNvPicPr>
                  </pic:nvPicPr>
                  <pic:blipFill>
                    <a:blip r:embed="rId70"/>
                    <a:srcRect r="-656" b="7866"/>
                    <a:stretch>
                      <a:fillRect/>
                    </a:stretch>
                  </pic:blipFill>
                  <pic:spPr>
                    <a:xfrm>
                      <a:off x="0" y="0"/>
                      <a:ext cx="1928495" cy="1590040"/>
                    </a:xfrm>
                    <a:prstGeom prst="rect">
                      <a:avLst/>
                    </a:prstGeom>
                    <a:noFill/>
                    <a:ln>
                      <a:noFill/>
                    </a:ln>
                  </pic:spPr>
                </pic:pic>
              </a:graphicData>
            </a:graphic>
          </wp:inline>
        </w:drawing>
      </w:r>
      <w:r>
        <w:rPr>
          <w:rFonts w:hint="eastAsia"/>
          <w:lang w:val="en-US" w:eastAsia="zh-CN"/>
        </w:rPr>
        <w:fldChar w:fldCharType="end"/>
      </w:r>
    </w:p>
    <w:p w14:paraId="046F41C5">
      <w:pPr>
        <w:pStyle w:val="16"/>
        <w:bidi w:val="0"/>
        <w:spacing w:line="48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.1.9</w:t>
      </w:r>
      <w:r>
        <w:rPr>
          <w:rFonts w:hint="eastAsia" w:ascii="Times New Roman" w:hAnsi="Times New Roman" w:eastAsia="宋体" w:cs="Times New Roman"/>
          <w:lang w:val="en-US" w:eastAsia="zh-CN"/>
        </w:rPr>
        <w:t>-</w:t>
      </w:r>
      <w:r>
        <w:rPr>
          <w:rFonts w:hint="eastAsia" w:cs="Times New Roman"/>
          <w:lang w:val="en-US" w:eastAsia="zh-CN"/>
        </w:rPr>
        <w:t>2</w:t>
      </w:r>
      <w:r>
        <w:rPr>
          <w:rFonts w:hint="eastAsia" w:ascii="Times New Roman" w:hAnsi="Times New Roman" w:eastAsia="宋体" w:cs="Times New Roman"/>
          <w:lang w:val="en-US" w:eastAsia="zh-CN"/>
        </w:rPr>
        <w:t>防断轴装置</w:t>
      </w:r>
    </w:p>
    <w:p w14:paraId="3E8F64FC">
      <w:pPr>
        <w:bidi w:val="0"/>
        <w:rPr>
          <w:rFonts w:hint="eastAsia"/>
          <w:lang w:val="en-US" w:eastAsia="zh-CN"/>
        </w:rPr>
      </w:pPr>
      <w:r>
        <w:rPr>
          <w:rFonts w:hint="eastAsia"/>
          <w:lang w:val="en-US" w:eastAsia="zh-CN"/>
        </w:rPr>
        <w:t>4）变幅钢丝绳的穿绕</w:t>
      </w:r>
    </w:p>
    <w:p w14:paraId="00F1EEF5">
      <w:pPr>
        <w:bidi w:val="0"/>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Data\\Tencent\\Users\\387702944\\QQ\\WinTemp\\RichOle\\V~9UI}{FRKOZ${X%`U}J%]M.png" \* MERGEFORMATINET </w:instrText>
      </w:r>
      <w:r>
        <w:rPr>
          <w:rFonts w:hint="eastAsia"/>
          <w:lang w:val="en-US" w:eastAsia="zh-CN"/>
        </w:rPr>
        <w:fldChar w:fldCharType="separate"/>
      </w:r>
      <w:r>
        <w:rPr>
          <w:rFonts w:hint="eastAsia"/>
          <w:lang w:val="en-US" w:eastAsia="zh-CN"/>
        </w:rPr>
        <w:drawing>
          <wp:inline distT="0" distB="0" distL="114300" distR="114300">
            <wp:extent cx="4872990" cy="1752600"/>
            <wp:effectExtent l="0" t="0" r="3810" b="0"/>
            <wp:docPr id="190"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3" descr="IMG_256"/>
                    <pic:cNvPicPr>
                      <a:picLocks noChangeAspect="1"/>
                    </pic:cNvPicPr>
                  </pic:nvPicPr>
                  <pic:blipFill>
                    <a:blip r:embed="rId71"/>
                    <a:srcRect l="6604" t="63344" r="5608" b="3311"/>
                    <a:stretch>
                      <a:fillRect/>
                    </a:stretch>
                  </pic:blipFill>
                  <pic:spPr>
                    <a:xfrm>
                      <a:off x="0" y="0"/>
                      <a:ext cx="4872990" cy="1752600"/>
                    </a:xfrm>
                    <a:prstGeom prst="rect">
                      <a:avLst/>
                    </a:prstGeom>
                    <a:noFill/>
                    <a:ln>
                      <a:noFill/>
                    </a:ln>
                  </pic:spPr>
                </pic:pic>
              </a:graphicData>
            </a:graphic>
          </wp:inline>
        </w:drawing>
      </w:r>
      <w:r>
        <w:rPr>
          <w:rFonts w:hint="eastAsia"/>
          <w:lang w:val="en-US" w:eastAsia="zh-CN"/>
        </w:rPr>
        <w:fldChar w:fldCharType="end"/>
      </w:r>
    </w:p>
    <w:p w14:paraId="06E47046">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.1.9</w:t>
      </w:r>
      <w:r>
        <w:rPr>
          <w:rFonts w:hint="eastAsia" w:ascii="Times New Roman" w:hAnsi="Times New Roman" w:eastAsia="宋体" w:cs="Times New Roman"/>
          <w:lang w:val="en-US" w:eastAsia="zh-CN"/>
        </w:rPr>
        <w:t>-</w:t>
      </w:r>
      <w:r>
        <w:rPr>
          <w:rFonts w:hint="eastAsia" w:cs="Times New Roman"/>
          <w:lang w:val="en-US" w:eastAsia="zh-CN"/>
        </w:rPr>
        <w:t>3</w:t>
      </w:r>
      <w:r>
        <w:rPr>
          <w:rFonts w:hint="eastAsia" w:ascii="Times New Roman" w:hAnsi="Times New Roman" w:eastAsia="宋体" w:cs="Times New Roman"/>
          <w:lang w:val="en-US" w:eastAsia="zh-CN"/>
        </w:rPr>
        <w:t>变幅钢丝绳穿绕示意图</w:t>
      </w:r>
    </w:p>
    <w:p w14:paraId="42192FDD">
      <w:pPr>
        <w:bidi w:val="0"/>
        <w:rPr>
          <w:rFonts w:hint="eastAsia"/>
          <w:lang w:val="en-US" w:eastAsia="zh-CN"/>
        </w:rPr>
      </w:pPr>
      <w:r>
        <w:rPr>
          <w:rFonts w:hint="eastAsia"/>
          <w:lang w:val="en-US" w:eastAsia="zh-CN"/>
        </w:rPr>
        <w:t>5）变幅钢丝绳的张紧</w:t>
      </w:r>
    </w:p>
    <w:p w14:paraId="479CD892">
      <w:pPr>
        <w:bidi w:val="0"/>
        <w:rPr>
          <w:rFonts w:hint="eastAsia"/>
          <w:lang w:val="en-US" w:eastAsia="zh-CN"/>
        </w:rPr>
      </w:pPr>
      <w:r>
        <w:rPr>
          <w:rFonts w:hint="eastAsia"/>
          <w:lang w:val="en-US" w:eastAsia="zh-CN"/>
        </w:rPr>
        <w:t>a.将安装好并固定在起重臂第一节的起重小车松开，转动小车上带有棘轮的小储绳卷筒，把变幅钢丝绳尽力张紧，见下图：</w:t>
      </w:r>
    </w:p>
    <w:p w14:paraId="5909D2F6">
      <w:pPr>
        <w:bidi w:val="0"/>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Data\\Tencent\\Users\\387702944\\QQ\\WinTemp\\RichOle\\RNY}(L8TEVQ]UPEAB]``7UR.png" \* MERGEFORMATINET </w:instrText>
      </w:r>
      <w:r>
        <w:rPr>
          <w:rFonts w:hint="eastAsia"/>
          <w:lang w:val="en-US" w:eastAsia="zh-CN"/>
        </w:rPr>
        <w:fldChar w:fldCharType="separate"/>
      </w:r>
      <w:r>
        <w:rPr>
          <w:rFonts w:hint="eastAsia"/>
          <w:lang w:val="en-US" w:eastAsia="zh-CN"/>
        </w:rPr>
        <w:drawing>
          <wp:inline distT="0" distB="0" distL="114300" distR="114300">
            <wp:extent cx="5520690" cy="1498600"/>
            <wp:effectExtent l="0" t="0" r="3810" b="6350"/>
            <wp:docPr id="191"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4" descr="IMG_256"/>
                    <pic:cNvPicPr>
                      <a:picLocks noChangeAspect="1"/>
                    </pic:cNvPicPr>
                  </pic:nvPicPr>
                  <pic:blipFill>
                    <a:blip r:embed="rId72"/>
                    <a:srcRect l="1886" t="33447" r="3870" b="33150"/>
                    <a:stretch>
                      <a:fillRect/>
                    </a:stretch>
                  </pic:blipFill>
                  <pic:spPr>
                    <a:xfrm>
                      <a:off x="0" y="0"/>
                      <a:ext cx="5520690" cy="1498600"/>
                    </a:xfrm>
                    <a:prstGeom prst="rect">
                      <a:avLst/>
                    </a:prstGeom>
                    <a:noFill/>
                    <a:ln>
                      <a:noFill/>
                    </a:ln>
                  </pic:spPr>
                </pic:pic>
              </a:graphicData>
            </a:graphic>
          </wp:inline>
        </w:drawing>
      </w:r>
      <w:r>
        <w:rPr>
          <w:rFonts w:hint="eastAsia"/>
          <w:lang w:val="en-US" w:eastAsia="zh-CN"/>
        </w:rPr>
        <w:fldChar w:fldCharType="end"/>
      </w:r>
    </w:p>
    <w:p w14:paraId="590070CA">
      <w:pPr>
        <w:bidi w:val="0"/>
        <w:rPr>
          <w:rFonts w:hint="eastAsia"/>
          <w:lang w:val="en-US" w:eastAsia="zh-CN"/>
        </w:rPr>
      </w:pPr>
      <w:r>
        <w:rPr>
          <w:rFonts w:hint="eastAsia"/>
          <w:lang w:val="en-US" w:eastAsia="zh-CN"/>
        </w:rPr>
        <w:t>b.空载状态下使小车在起重臂全长上来回走数次，将张力均匀分布在前后钢丝绳上。</w:t>
      </w:r>
    </w:p>
    <w:p w14:paraId="6A9A8663">
      <w:pPr>
        <w:bidi w:val="0"/>
        <w:rPr>
          <w:rFonts w:hint="eastAsia"/>
          <w:lang w:val="en-US" w:eastAsia="zh-CN"/>
        </w:rPr>
      </w:pPr>
      <w:r>
        <w:rPr>
          <w:rFonts w:hint="eastAsia"/>
          <w:lang w:val="en-US" w:eastAsia="zh-CN"/>
        </w:rPr>
        <w:t>c.必要时继续调整钢丝绳张力。</w:t>
      </w:r>
    </w:p>
    <w:p w14:paraId="7E7473A7">
      <w:pPr>
        <w:bidi w:val="0"/>
        <w:rPr>
          <w:rFonts w:hint="eastAsia"/>
          <w:lang w:val="en-US" w:eastAsia="zh-CN"/>
        </w:rPr>
      </w:pPr>
      <w:r>
        <w:rPr>
          <w:rFonts w:hint="eastAsia"/>
          <w:lang w:val="en-US" w:eastAsia="zh-CN"/>
        </w:rPr>
        <w:t>（2）起升钢丝绳的穿绕及固定</w:t>
      </w:r>
    </w:p>
    <w:p w14:paraId="4F91FDDB">
      <w:pPr>
        <w:bidi w:val="0"/>
        <w:rPr>
          <w:rFonts w:hint="eastAsia"/>
          <w:lang w:val="en-US" w:eastAsia="zh-CN"/>
        </w:rPr>
      </w:pPr>
      <w:r>
        <w:rPr>
          <w:rFonts w:hint="eastAsia"/>
          <w:lang w:val="en-US" w:eastAsia="zh-CN"/>
        </w:rPr>
        <w:t>1）起升钢丝绳的选择</w:t>
      </w:r>
    </w:p>
    <w:p w14:paraId="2CD520C3">
      <w:pPr>
        <w:bidi w:val="0"/>
        <w:rPr>
          <w:rFonts w:hint="eastAsia"/>
          <w:lang w:val="en-US" w:eastAsia="zh-CN"/>
        </w:rPr>
      </w:pPr>
      <w:r>
        <w:rPr>
          <w:rFonts w:hint="eastAsia"/>
          <w:lang w:val="en-US" w:eastAsia="zh-CN"/>
        </w:rPr>
        <w:t>a.根据塔机器的工作高度和使用期限选择钢丝绳的规格和长度。</w:t>
      </w:r>
    </w:p>
    <w:p w14:paraId="1D24D488">
      <w:pPr>
        <w:bidi w:val="0"/>
        <w:rPr>
          <w:rFonts w:hint="eastAsia"/>
          <w:lang w:val="en-US" w:eastAsia="zh-CN"/>
        </w:rPr>
      </w:pPr>
      <w:r>
        <w:rPr>
          <w:rFonts w:hint="eastAsia"/>
          <w:lang w:val="en-US" w:eastAsia="zh-CN"/>
        </w:rPr>
        <w:t>b.该塔机按标准节状态塔机独立高度60米、起重臂长为50米时提供钢丝绳，钢丝绳规格见下表：</w:t>
      </w:r>
    </w:p>
    <w:tbl>
      <w:tblPr>
        <w:tblStyle w:val="40"/>
        <w:tblW w:w="0" w:type="auto"/>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420"/>
        <w:gridCol w:w="1560"/>
        <w:gridCol w:w="1155"/>
        <w:gridCol w:w="1845"/>
      </w:tblGrid>
      <w:tr w14:paraId="473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noWrap w:val="0"/>
            <w:vAlign w:val="center"/>
          </w:tcPr>
          <w:p w14:paraId="1F2BC475">
            <w:pPr>
              <w:bidi w:val="0"/>
              <w:ind w:left="0" w:leftChars="0" w:firstLine="0" w:firstLineChars="0"/>
              <w:rPr>
                <w:rFonts w:hint="eastAsia"/>
                <w:lang w:val="en-US" w:eastAsia="zh-CN"/>
              </w:rPr>
            </w:pPr>
            <w:r>
              <w:rPr>
                <w:rFonts w:hint="eastAsia"/>
                <w:lang w:val="en-US" w:eastAsia="zh-CN"/>
              </w:rPr>
              <w:t>使用部位</w:t>
            </w:r>
          </w:p>
        </w:tc>
        <w:tc>
          <w:tcPr>
            <w:tcW w:w="3420" w:type="dxa"/>
            <w:noWrap w:val="0"/>
            <w:vAlign w:val="center"/>
          </w:tcPr>
          <w:p w14:paraId="04001001">
            <w:pPr>
              <w:bidi w:val="0"/>
              <w:rPr>
                <w:rFonts w:hint="eastAsia"/>
                <w:lang w:val="en-US" w:eastAsia="zh-CN"/>
              </w:rPr>
            </w:pPr>
            <w:r>
              <w:rPr>
                <w:rFonts w:hint="eastAsia"/>
                <w:lang w:val="en-US" w:eastAsia="zh-CN"/>
              </w:rPr>
              <w:t>标准号及规格</w:t>
            </w:r>
          </w:p>
        </w:tc>
        <w:tc>
          <w:tcPr>
            <w:tcW w:w="1560" w:type="dxa"/>
            <w:noWrap w:val="0"/>
            <w:vAlign w:val="center"/>
          </w:tcPr>
          <w:p w14:paraId="339F2861">
            <w:pPr>
              <w:bidi w:val="0"/>
              <w:ind w:left="0" w:leftChars="0" w:firstLine="0" w:firstLineChars="0"/>
              <w:rPr>
                <w:rFonts w:hint="eastAsia"/>
                <w:lang w:val="en-US" w:eastAsia="zh-CN"/>
              </w:rPr>
            </w:pPr>
            <w:r>
              <w:rPr>
                <w:rFonts w:hint="eastAsia"/>
                <w:lang w:val="en-US" w:eastAsia="zh-CN"/>
              </w:rPr>
              <w:t>绳径（mm）</w:t>
            </w:r>
          </w:p>
        </w:tc>
        <w:tc>
          <w:tcPr>
            <w:tcW w:w="1155" w:type="dxa"/>
            <w:noWrap w:val="0"/>
            <w:vAlign w:val="center"/>
          </w:tcPr>
          <w:p w14:paraId="33AFAB42">
            <w:pPr>
              <w:bidi w:val="0"/>
              <w:ind w:left="0" w:leftChars="0" w:firstLine="0" w:firstLineChars="0"/>
              <w:rPr>
                <w:rFonts w:hint="eastAsia"/>
                <w:lang w:val="en-US" w:eastAsia="zh-CN"/>
              </w:rPr>
            </w:pPr>
            <w:r>
              <w:rPr>
                <w:rFonts w:hint="eastAsia"/>
                <w:lang w:val="en-US" w:eastAsia="zh-CN"/>
              </w:rPr>
              <w:t>数量</w:t>
            </w:r>
          </w:p>
        </w:tc>
        <w:tc>
          <w:tcPr>
            <w:tcW w:w="1845" w:type="dxa"/>
            <w:noWrap w:val="0"/>
            <w:vAlign w:val="center"/>
          </w:tcPr>
          <w:p w14:paraId="6E65F33D">
            <w:pPr>
              <w:bidi w:val="0"/>
              <w:ind w:left="0" w:leftChars="0" w:firstLine="0" w:firstLineChars="0"/>
              <w:rPr>
                <w:rFonts w:hint="eastAsia"/>
                <w:lang w:val="en-US" w:eastAsia="zh-CN"/>
              </w:rPr>
            </w:pPr>
            <w:r>
              <w:rPr>
                <w:rFonts w:hint="eastAsia"/>
                <w:lang w:val="en-US" w:eastAsia="zh-CN"/>
              </w:rPr>
              <w:t>每根长度（m）</w:t>
            </w:r>
          </w:p>
        </w:tc>
      </w:tr>
      <w:tr w14:paraId="3890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noWrap w:val="0"/>
            <w:vAlign w:val="center"/>
          </w:tcPr>
          <w:p w14:paraId="3ECDE2C1">
            <w:pPr>
              <w:bidi w:val="0"/>
              <w:ind w:left="0" w:leftChars="0" w:firstLine="0" w:firstLineChars="0"/>
              <w:rPr>
                <w:rFonts w:hint="eastAsia"/>
                <w:lang w:val="en-US" w:eastAsia="zh-CN"/>
              </w:rPr>
            </w:pPr>
            <w:r>
              <w:rPr>
                <w:rFonts w:hint="eastAsia"/>
                <w:lang w:val="en-US" w:eastAsia="zh-CN"/>
              </w:rPr>
              <w:t>起升机构</w:t>
            </w:r>
          </w:p>
        </w:tc>
        <w:tc>
          <w:tcPr>
            <w:tcW w:w="3420" w:type="dxa"/>
            <w:noWrap w:val="0"/>
            <w:vAlign w:val="center"/>
          </w:tcPr>
          <w:p w14:paraId="047DFCAF">
            <w:pPr>
              <w:bidi w:val="0"/>
              <w:rPr>
                <w:rFonts w:hint="eastAsia"/>
                <w:lang w:val="en-US" w:eastAsia="zh-CN"/>
              </w:rPr>
            </w:pPr>
            <w:r>
              <w:rPr>
                <w:rFonts w:hint="eastAsia"/>
                <w:lang w:val="en-US" w:eastAsia="zh-CN"/>
              </w:rPr>
              <w:t>34*7+IWS-20-1960（GB8918-2006）</w:t>
            </w:r>
          </w:p>
        </w:tc>
        <w:tc>
          <w:tcPr>
            <w:tcW w:w="1560" w:type="dxa"/>
            <w:noWrap w:val="0"/>
            <w:vAlign w:val="center"/>
          </w:tcPr>
          <w:p w14:paraId="5CCF963B">
            <w:pPr>
              <w:bidi w:val="0"/>
              <w:rPr>
                <w:rFonts w:hint="eastAsia"/>
                <w:lang w:val="en-US" w:eastAsia="zh-CN"/>
              </w:rPr>
            </w:pPr>
            <w:r>
              <w:rPr>
                <w:rFonts w:hint="eastAsia"/>
              </w:rPr>
              <w:t>φ</w:t>
            </w:r>
            <w:r>
              <w:rPr>
                <w:rFonts w:hint="eastAsia"/>
                <w:lang w:val="en-US" w:eastAsia="zh-CN"/>
              </w:rPr>
              <w:t>20</w:t>
            </w:r>
          </w:p>
        </w:tc>
        <w:tc>
          <w:tcPr>
            <w:tcW w:w="1155" w:type="dxa"/>
            <w:noWrap w:val="0"/>
            <w:vAlign w:val="center"/>
          </w:tcPr>
          <w:p w14:paraId="0AAEEC13">
            <w:pPr>
              <w:bidi w:val="0"/>
              <w:rPr>
                <w:rFonts w:hint="eastAsia"/>
                <w:lang w:val="en-US" w:eastAsia="zh-CN"/>
              </w:rPr>
            </w:pPr>
            <w:r>
              <w:rPr>
                <w:rFonts w:hint="eastAsia"/>
                <w:lang w:val="en-US" w:eastAsia="zh-CN"/>
              </w:rPr>
              <w:t>1</w:t>
            </w:r>
          </w:p>
        </w:tc>
        <w:tc>
          <w:tcPr>
            <w:tcW w:w="1845" w:type="dxa"/>
            <w:noWrap w:val="0"/>
            <w:vAlign w:val="center"/>
          </w:tcPr>
          <w:p w14:paraId="11A928DB">
            <w:pPr>
              <w:bidi w:val="0"/>
              <w:rPr>
                <w:rFonts w:hint="eastAsia"/>
                <w:lang w:val="en-US" w:eastAsia="zh-CN"/>
              </w:rPr>
            </w:pPr>
            <w:r>
              <w:rPr>
                <w:rFonts w:hint="eastAsia"/>
                <w:lang w:val="en-US" w:eastAsia="zh-CN"/>
              </w:rPr>
              <w:t>450</w:t>
            </w:r>
          </w:p>
        </w:tc>
      </w:tr>
    </w:tbl>
    <w:p w14:paraId="45B66CB2">
      <w:pPr>
        <w:bidi w:val="0"/>
        <w:rPr>
          <w:rFonts w:hint="eastAsia"/>
          <w:lang w:val="en-US" w:eastAsia="zh-CN"/>
        </w:rPr>
      </w:pPr>
      <w:r>
        <w:rPr>
          <w:rFonts w:hint="eastAsia"/>
          <w:lang w:val="en-US" w:eastAsia="zh-CN"/>
        </w:rPr>
        <w:t>2）钢丝绳绕到卷筒上的方法</w:t>
      </w:r>
    </w:p>
    <w:p w14:paraId="5BE212EA">
      <w:pPr>
        <w:bidi w:val="0"/>
        <w:rPr>
          <w:rFonts w:hint="eastAsia"/>
          <w:lang w:val="en-US" w:eastAsia="zh-CN"/>
        </w:rPr>
      </w:pPr>
      <w:r>
        <w:rPr>
          <w:rFonts w:hint="eastAsia"/>
          <w:lang w:val="en-US" w:eastAsia="zh-CN"/>
        </w:rPr>
        <w:t>a.此操作可在地面或待平衡臂安装好后进行。</w:t>
      </w:r>
    </w:p>
    <w:p w14:paraId="53691D04">
      <w:pPr>
        <w:bidi w:val="0"/>
        <w:rPr>
          <w:rFonts w:hint="eastAsia"/>
          <w:lang w:val="en-US" w:eastAsia="zh-CN"/>
        </w:rPr>
      </w:pPr>
      <w:r>
        <w:rPr>
          <w:rFonts w:hint="eastAsia"/>
          <w:lang w:val="en-US" w:eastAsia="zh-CN"/>
        </w:rPr>
        <w:t>b.连接好起升机构电气设备，用一根牵引绳将钢丝绳尾端提起，引到起升卷筒上的钢丝绳锲套上。</w:t>
      </w:r>
    </w:p>
    <w:p w14:paraId="51881983">
      <w:pPr>
        <w:bidi w:val="0"/>
        <w:rPr>
          <w:rFonts w:hint="eastAsia"/>
          <w:lang w:val="en-US" w:eastAsia="zh-CN"/>
        </w:rPr>
      </w:pPr>
      <w:r>
        <w:rPr>
          <w:rFonts w:hint="eastAsia"/>
          <w:lang w:val="en-US" w:eastAsia="zh-CN"/>
        </w:rPr>
        <w:t>c.确定起升机构电气联接正常后操纵低速起各项运动，确保钢丝绳完全缠绕在卷筒绳槽内，然后逐层均匀整齐缠绕在卷筒内，如有乱绳必须重绕。</w:t>
      </w:r>
    </w:p>
    <w:p w14:paraId="1E970B55">
      <w:pPr>
        <w:bidi w:val="0"/>
        <w:rPr>
          <w:rFonts w:hint="eastAsia"/>
          <w:lang w:val="en-US" w:eastAsia="zh-CN"/>
        </w:rPr>
      </w:pPr>
      <w:r>
        <w:rPr>
          <w:rFonts w:hint="eastAsia"/>
          <w:lang w:val="en-US" w:eastAsia="zh-CN"/>
        </w:rPr>
        <w:t>d.若拆塔时发现钢丝绳破损或钢丝绳长度不符合新的工作高度时应将卷筒钢丝绳拆除并重新安装。</w:t>
      </w:r>
    </w:p>
    <w:p w14:paraId="281C5B58">
      <w:pPr>
        <w:bidi w:val="0"/>
        <w:rPr>
          <w:rFonts w:hint="eastAsia"/>
          <w:lang w:val="en-US" w:eastAsia="zh-CN"/>
        </w:rPr>
      </w:pPr>
      <w:r>
        <w:rPr>
          <w:rFonts w:hint="eastAsia"/>
          <w:lang w:val="en-US" w:eastAsia="zh-CN"/>
        </w:rPr>
        <w:t>e.将钢丝绳绕在起升卷筒上时，要求绕新绳的绳筒和起升卷筒之间保持最大距离，以方便钢丝绳能够正确的进入起升卷筒绳槽内。</w:t>
      </w:r>
    </w:p>
    <w:p w14:paraId="525B35A3">
      <w:pPr>
        <w:bidi w:val="0"/>
        <w:rPr>
          <w:rFonts w:hint="eastAsia"/>
          <w:lang w:val="en-US" w:eastAsia="zh-CN"/>
        </w:rPr>
      </w:pPr>
      <w:r>
        <w:rPr>
          <w:rFonts w:hint="eastAsia"/>
          <w:lang w:val="en-US" w:eastAsia="zh-CN"/>
        </w:rPr>
        <w:t>起升钢丝绳的穿绕见下图：</w:t>
      </w:r>
    </w:p>
    <w:p w14:paraId="6EB3C3F3">
      <w:pPr>
        <w:bidi w:val="0"/>
        <w:jc w:val="center"/>
        <w:rPr>
          <w:rFonts w:hint="eastAsia"/>
          <w:lang w:val="en-US" w:eastAsia="zh-CN"/>
        </w:rPr>
      </w:pPr>
      <w:r>
        <w:rPr>
          <w:rFonts w:hint="eastAsia"/>
          <w:lang w:val="en-US" w:eastAsia="zh-CN"/>
        </w:rPr>
        <w:fldChar w:fldCharType="begin"/>
      </w:r>
      <w:r>
        <w:rPr>
          <w:rFonts w:hint="eastAsia"/>
          <w:lang w:val="en-US" w:eastAsia="zh-CN"/>
        </w:rPr>
        <w:instrText xml:space="preserve">INCLUDEPICTURE \d "C:\\Documents and Settings\\Administrator\\Application Data\\Tencent\\Users\\387702944\\QQ\\WinTemp\\RichOle\\6LJG(5`)XR3{W@BNCVC6W00.png" \* MERGEFORMATINET </w:instrText>
      </w:r>
      <w:r>
        <w:rPr>
          <w:rFonts w:hint="eastAsia"/>
          <w:lang w:val="en-US" w:eastAsia="zh-CN"/>
        </w:rPr>
        <w:fldChar w:fldCharType="separate"/>
      </w:r>
      <w:r>
        <w:rPr>
          <w:rFonts w:hint="eastAsia"/>
          <w:lang w:val="en-US" w:eastAsia="zh-CN"/>
        </w:rPr>
        <w:drawing>
          <wp:inline distT="0" distB="0" distL="114300" distR="114300">
            <wp:extent cx="3892550" cy="2219325"/>
            <wp:effectExtent l="0" t="0" r="12700" b="9525"/>
            <wp:docPr id="192"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5" descr="IMG_256"/>
                    <pic:cNvPicPr>
                      <a:picLocks noChangeAspect="1"/>
                    </pic:cNvPicPr>
                  </pic:nvPicPr>
                  <pic:blipFill>
                    <a:blip r:embed="rId73"/>
                    <a:srcRect l="7663" t="33104"/>
                    <a:stretch>
                      <a:fillRect/>
                    </a:stretch>
                  </pic:blipFill>
                  <pic:spPr>
                    <a:xfrm>
                      <a:off x="0" y="0"/>
                      <a:ext cx="3892550" cy="2219325"/>
                    </a:xfrm>
                    <a:prstGeom prst="rect">
                      <a:avLst/>
                    </a:prstGeom>
                    <a:noFill/>
                    <a:ln>
                      <a:noFill/>
                    </a:ln>
                  </pic:spPr>
                </pic:pic>
              </a:graphicData>
            </a:graphic>
          </wp:inline>
        </w:drawing>
      </w:r>
      <w:r>
        <w:rPr>
          <w:rFonts w:hint="eastAsia"/>
          <w:lang w:val="en-US" w:eastAsia="zh-CN"/>
        </w:rPr>
        <w:fldChar w:fldCharType="end"/>
      </w:r>
    </w:p>
    <w:p w14:paraId="7F99F9B8">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.1.9</w:t>
      </w:r>
      <w:r>
        <w:rPr>
          <w:rFonts w:hint="eastAsia" w:ascii="Times New Roman" w:hAnsi="Times New Roman" w:eastAsia="宋体" w:cs="Times New Roman"/>
          <w:lang w:val="en-US" w:eastAsia="zh-CN"/>
        </w:rPr>
        <w:t>-</w:t>
      </w:r>
      <w:r>
        <w:rPr>
          <w:rFonts w:hint="eastAsia" w:cs="Times New Roman"/>
          <w:lang w:val="en-US" w:eastAsia="zh-CN"/>
        </w:rPr>
        <w:t>4</w:t>
      </w:r>
      <w:r>
        <w:rPr>
          <w:rFonts w:hint="eastAsia" w:ascii="Times New Roman" w:hAnsi="Times New Roman" w:eastAsia="宋体" w:cs="Times New Roman"/>
          <w:lang w:val="en-US" w:eastAsia="zh-CN"/>
        </w:rPr>
        <w:t>起升钢丝绳穿绕示意图</w:t>
      </w:r>
    </w:p>
    <w:p w14:paraId="4036A7E2">
      <w:pPr>
        <w:pStyle w:val="5"/>
        <w:bidi w:val="0"/>
        <w:rPr>
          <w:rFonts w:hint="eastAsia"/>
          <w:lang w:val="en-US" w:eastAsia="zh-CN"/>
        </w:rPr>
      </w:pPr>
      <w:r>
        <w:rPr>
          <w:rFonts w:hint="eastAsia"/>
          <w:lang w:val="en-US" w:eastAsia="zh-CN"/>
        </w:rPr>
        <w:t>安全装置及调试</w:t>
      </w:r>
    </w:p>
    <w:p w14:paraId="262B65E3">
      <w:pPr>
        <w:rPr>
          <w:rFonts w:hint="eastAsia"/>
          <w:lang w:val="en-US" w:eastAsia="zh-CN"/>
        </w:rPr>
      </w:pPr>
      <w:r>
        <w:rPr>
          <w:rFonts w:hint="eastAsia"/>
          <w:lang w:val="en-US" w:eastAsia="zh-CN"/>
        </w:rPr>
        <w:t>安全保护装置必须齐全，主要包括起重力矩、起重量、起升高度、回转和幅度限制器及风速仪（在起重臂根部铰点高度超过50米时，应在顶部设置风速仪）。</w:t>
      </w:r>
    </w:p>
    <w:p w14:paraId="518D64C1">
      <w:pPr>
        <w:rPr>
          <w:rFonts w:hint="eastAsia"/>
          <w:lang w:val="en-US" w:eastAsia="zh-CN"/>
        </w:rPr>
      </w:pPr>
      <w:r>
        <w:rPr>
          <w:rFonts w:hint="eastAsia"/>
          <w:lang w:val="en-US" w:eastAsia="zh-CN"/>
        </w:rPr>
        <w:t>具体调试等详见其使用说明书。</w:t>
      </w:r>
    </w:p>
    <w:p w14:paraId="5B1F1584">
      <w:pPr>
        <w:rPr>
          <w:rFonts w:hint="eastAsia"/>
          <w:lang w:val="en-US" w:eastAsia="zh-CN"/>
        </w:rPr>
      </w:pPr>
      <w:r>
        <w:rPr>
          <w:rFonts w:hint="eastAsia"/>
          <w:lang w:val="en-US" w:eastAsia="zh-CN"/>
        </w:rPr>
        <w:t>（1）塔机进行空载时的静态试验及超载时静动态试验，调整好各安全装置。</w:t>
      </w:r>
    </w:p>
    <w:p w14:paraId="252C81AD">
      <w:pPr>
        <w:rPr>
          <w:rFonts w:hint="eastAsia"/>
          <w:lang w:val="en-US" w:eastAsia="zh-CN"/>
        </w:rPr>
      </w:pPr>
      <w:r>
        <w:rPr>
          <w:rFonts w:hint="eastAsia"/>
          <w:lang w:val="en-US" w:eastAsia="zh-CN"/>
        </w:rPr>
        <w:t>塔机组装好检查合格后，应依次进行下列试验（每转移一个工地必须进行）。</w:t>
      </w:r>
    </w:p>
    <w:p w14:paraId="61937F10">
      <w:pPr>
        <w:rPr>
          <w:rFonts w:hint="eastAsia"/>
          <w:lang w:val="en-US" w:eastAsia="zh-CN"/>
        </w:rPr>
      </w:pPr>
      <w:r>
        <w:rPr>
          <w:rFonts w:hint="eastAsia"/>
          <w:lang w:val="en-US" w:eastAsia="zh-CN"/>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4DC3E97D">
      <w:pPr>
        <w:rPr>
          <w:rFonts w:hint="eastAsia"/>
          <w:lang w:val="en-US" w:eastAsia="zh-CN"/>
        </w:rPr>
      </w:pPr>
      <w:r>
        <w:rPr>
          <w:rFonts w:hint="eastAsia"/>
          <w:lang w:val="en-US" w:eastAsia="zh-CN"/>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1B6F84BA">
      <w:pPr>
        <w:rPr>
          <w:rFonts w:hint="eastAsia"/>
          <w:lang w:val="en-US" w:eastAsia="zh-CN"/>
        </w:rPr>
      </w:pPr>
      <w:r>
        <w:rPr>
          <w:rFonts w:hint="eastAsia"/>
          <w:lang w:val="en-US" w:eastAsia="zh-CN"/>
        </w:rPr>
        <w:t>（4）超载25%静态实验，空载试验合格后，进行静态超载试验。按起重臂长30.0米试验，静态超载试验按下表所示。</w:t>
      </w:r>
    </w:p>
    <w:p w14:paraId="4F809785">
      <w:pPr>
        <w:rPr>
          <w:rFonts w:hint="eastAsia"/>
          <w:lang w:val="en-US" w:eastAsia="zh-CN"/>
        </w:rPr>
      </w:pPr>
      <w:r>
        <w:rPr>
          <w:rFonts w:hint="eastAsia"/>
          <w:lang w:val="en-US" w:eastAsia="zh-CN"/>
        </w:rPr>
        <w:t>静态超载试验表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476"/>
        <w:gridCol w:w="1515"/>
        <w:gridCol w:w="1635"/>
        <w:gridCol w:w="1605"/>
      </w:tblGrid>
      <w:tr w14:paraId="30B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231" w:type="dxa"/>
            <w:noWrap w:val="0"/>
            <w:vAlign w:val="center"/>
          </w:tcPr>
          <w:p w14:paraId="5FEE6791">
            <w:pPr>
              <w:rPr>
                <w:rFonts w:hint="eastAsia"/>
                <w:lang w:val="en-US" w:eastAsia="zh-CN"/>
              </w:rPr>
            </w:pPr>
            <w:r>
              <w:rPr>
                <w:rFonts w:hint="eastAsia"/>
                <w:lang w:val="en-US" w:eastAsia="zh-CN"/>
              </w:rPr>
              <mc:AlternateContent>
                <mc:Choice Requires="wps">
                  <w:drawing>
                    <wp:anchor distT="0" distB="0" distL="114300" distR="114300" simplePos="0" relativeHeight="251661312" behindDoc="0" locked="0" layoutInCell="1" allowOverlap="1">
                      <wp:simplePos x="0" y="0"/>
                      <wp:positionH relativeFrom="column">
                        <wp:posOffset>-98425</wp:posOffset>
                      </wp:positionH>
                      <wp:positionV relativeFrom="paragraph">
                        <wp:posOffset>-7620</wp:posOffset>
                      </wp:positionV>
                      <wp:extent cx="1454150" cy="608330"/>
                      <wp:effectExtent l="1905" t="4445" r="10795" b="15875"/>
                      <wp:wrapNone/>
                      <wp:docPr id="97" name="直接连接符 97"/>
                      <wp:cNvGraphicFramePr/>
                      <a:graphic xmlns:a="http://schemas.openxmlformats.org/drawingml/2006/main">
                        <a:graphicData uri="http://schemas.microsoft.com/office/word/2010/wordprocessingShape">
                          <wps:wsp>
                            <wps:cNvCnPr/>
                            <wps:spPr>
                              <a:xfrm>
                                <a:off x="0" y="0"/>
                                <a:ext cx="1454150" cy="60833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75pt;margin-top:-0.6pt;height:47.9pt;width:114.5pt;z-index:251661312;mso-width-relative:page;mso-height-relative:page;" filled="f" stroked="t" coordsize="21600,21600" o:gfxdata="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TqX5tcAAAAJAQAADwAAAAAAAAABACAAAAAiAAAAZHJzL2Rvd25yZXYueG1s&#10;UEsBAhQAFAAAAAgAh07iQHES60n5AQAA7QMAAA4AAAAAAAAAAQAgAAAAJgEAAGRycy9lMm9Eb2Mu&#10;eG1sUEsFBgAAAAAGAAYAWQEAAJEFAAAAAA==&#10;">
                      <v:fill on="f" focussize="0,0"/>
                      <v:stroke color="#000000" joinstyle="round"/>
                      <v:imagedata o:title=""/>
                      <o:lock v:ext="edit" aspectratio="f"/>
                    </v:line>
                  </w:pict>
                </mc:Fallback>
              </mc:AlternateContent>
            </w:r>
            <w:r>
              <w:rPr>
                <w:rFonts w:hint="eastAsia"/>
                <w:lang w:val="en-US" w:eastAsia="zh-CN"/>
              </w:rPr>
              <w:t xml:space="preserve">   项 目</w:t>
            </w:r>
          </w:p>
          <w:p w14:paraId="507DD222">
            <w:pPr>
              <w:rPr>
                <w:rFonts w:hint="eastAsia"/>
                <w:lang w:val="en-US" w:eastAsia="zh-CN"/>
              </w:rPr>
            </w:pPr>
            <w:r>
              <w:rPr>
                <w:rFonts w:hint="eastAsia"/>
                <w:lang w:val="en-US" w:eastAsia="zh-CN"/>
              </w:rPr>
              <w:t>臂长（米）</w:t>
            </w:r>
          </w:p>
        </w:tc>
        <w:tc>
          <w:tcPr>
            <w:tcW w:w="1476" w:type="dxa"/>
            <w:noWrap w:val="0"/>
            <w:vAlign w:val="center"/>
          </w:tcPr>
          <w:p w14:paraId="1D00E87A">
            <w:pPr>
              <w:ind w:left="0" w:leftChars="0" w:firstLine="0" w:firstLineChars="0"/>
              <w:rPr>
                <w:rFonts w:hint="eastAsia"/>
                <w:lang w:val="en-US" w:eastAsia="zh-CN"/>
              </w:rPr>
            </w:pPr>
            <w:r>
              <w:rPr>
                <w:rFonts w:hint="eastAsia"/>
                <w:lang w:val="en-US" w:eastAsia="zh-CN"/>
              </w:rPr>
              <w:t>幅度I（米）</w:t>
            </w:r>
          </w:p>
        </w:tc>
        <w:tc>
          <w:tcPr>
            <w:tcW w:w="1515" w:type="dxa"/>
            <w:noWrap w:val="0"/>
            <w:vAlign w:val="center"/>
          </w:tcPr>
          <w:p w14:paraId="4E10C954">
            <w:pPr>
              <w:ind w:left="0" w:leftChars="0" w:firstLine="0" w:firstLineChars="0"/>
              <w:rPr>
                <w:rFonts w:hint="eastAsia"/>
                <w:lang w:val="en-US" w:eastAsia="zh-CN"/>
              </w:rPr>
            </w:pPr>
            <w:r>
              <w:rPr>
                <w:rFonts w:hint="eastAsia"/>
                <w:lang w:val="en-US" w:eastAsia="zh-CN"/>
              </w:rPr>
              <w:t>吊重I（吨）</w:t>
            </w:r>
          </w:p>
        </w:tc>
        <w:tc>
          <w:tcPr>
            <w:tcW w:w="1635" w:type="dxa"/>
            <w:noWrap w:val="0"/>
            <w:vAlign w:val="center"/>
          </w:tcPr>
          <w:p w14:paraId="02984EEE">
            <w:pPr>
              <w:ind w:left="0" w:leftChars="0" w:firstLine="0" w:firstLineChars="0"/>
              <w:rPr>
                <w:rFonts w:hint="eastAsia"/>
                <w:lang w:val="en-US" w:eastAsia="zh-CN"/>
              </w:rPr>
            </w:pPr>
            <w:r>
              <w:rPr>
                <w:rFonts w:hint="eastAsia"/>
                <w:lang w:val="en-US" w:eastAsia="zh-CN"/>
              </w:rPr>
              <w:t>幅度II（米）</w:t>
            </w:r>
          </w:p>
        </w:tc>
        <w:tc>
          <w:tcPr>
            <w:tcW w:w="1605" w:type="dxa"/>
            <w:noWrap w:val="0"/>
            <w:vAlign w:val="center"/>
          </w:tcPr>
          <w:p w14:paraId="414A80AA">
            <w:pPr>
              <w:ind w:left="0" w:leftChars="0" w:firstLine="0" w:firstLineChars="0"/>
              <w:rPr>
                <w:rFonts w:hint="eastAsia"/>
                <w:lang w:val="en-US" w:eastAsia="zh-CN"/>
              </w:rPr>
            </w:pPr>
            <w:r>
              <w:rPr>
                <w:rFonts w:hint="eastAsia"/>
                <w:lang w:val="en-US" w:eastAsia="zh-CN"/>
              </w:rPr>
              <w:t>吊重II（吨）</w:t>
            </w:r>
          </w:p>
        </w:tc>
      </w:tr>
      <w:tr w14:paraId="5606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31" w:type="dxa"/>
            <w:noWrap w:val="0"/>
            <w:vAlign w:val="center"/>
          </w:tcPr>
          <w:p w14:paraId="56193DB0">
            <w:pPr>
              <w:rPr>
                <w:rFonts w:hint="default"/>
                <w:lang w:val="en-US" w:eastAsia="zh-CN"/>
              </w:rPr>
            </w:pPr>
            <w:r>
              <w:rPr>
                <w:rFonts w:hint="eastAsia"/>
                <w:lang w:val="en-US" w:eastAsia="zh-CN"/>
              </w:rPr>
              <w:t>45</w:t>
            </w:r>
          </w:p>
        </w:tc>
        <w:tc>
          <w:tcPr>
            <w:tcW w:w="1476" w:type="dxa"/>
            <w:noWrap w:val="0"/>
            <w:vAlign w:val="center"/>
          </w:tcPr>
          <w:p w14:paraId="71250201">
            <w:pPr>
              <w:rPr>
                <w:rFonts w:hint="default"/>
                <w:lang w:val="en-US" w:eastAsia="zh-CN"/>
              </w:rPr>
            </w:pPr>
            <w:r>
              <w:rPr>
                <w:rFonts w:hint="eastAsia"/>
                <w:lang w:val="en-US" w:eastAsia="zh-CN"/>
              </w:rPr>
              <w:t>17.3</w:t>
            </w:r>
          </w:p>
        </w:tc>
        <w:tc>
          <w:tcPr>
            <w:tcW w:w="1515" w:type="dxa"/>
            <w:noWrap w:val="0"/>
            <w:vAlign w:val="center"/>
          </w:tcPr>
          <w:p w14:paraId="5F634687">
            <w:pPr>
              <w:rPr>
                <w:rFonts w:hint="eastAsia"/>
                <w:lang w:val="en-US" w:eastAsia="zh-CN"/>
              </w:rPr>
            </w:pPr>
            <w:r>
              <w:rPr>
                <w:rFonts w:hint="eastAsia"/>
                <w:lang w:val="en-US" w:eastAsia="zh-CN"/>
              </w:rPr>
              <w:t>22.5</w:t>
            </w:r>
          </w:p>
        </w:tc>
        <w:tc>
          <w:tcPr>
            <w:tcW w:w="1635" w:type="dxa"/>
            <w:noWrap w:val="0"/>
            <w:vAlign w:val="center"/>
          </w:tcPr>
          <w:p w14:paraId="0253194A">
            <w:pPr>
              <w:rPr>
                <w:rFonts w:hint="eastAsia"/>
                <w:lang w:val="en-US" w:eastAsia="zh-CN"/>
              </w:rPr>
            </w:pPr>
            <w:r>
              <w:rPr>
                <w:rFonts w:hint="eastAsia"/>
                <w:lang w:val="en-US" w:eastAsia="zh-CN"/>
              </w:rPr>
              <w:t>45</w:t>
            </w:r>
          </w:p>
        </w:tc>
        <w:tc>
          <w:tcPr>
            <w:tcW w:w="1605" w:type="dxa"/>
            <w:noWrap w:val="0"/>
            <w:vAlign w:val="center"/>
          </w:tcPr>
          <w:p w14:paraId="44CFC7E2">
            <w:pPr>
              <w:rPr>
                <w:rFonts w:hint="default"/>
                <w:lang w:val="en-US" w:eastAsia="zh-CN"/>
              </w:rPr>
            </w:pPr>
            <w:r>
              <w:rPr>
                <w:rFonts w:hint="eastAsia"/>
                <w:lang w:val="en-US" w:eastAsia="zh-CN"/>
              </w:rPr>
              <w:t>7.0375</w:t>
            </w:r>
          </w:p>
        </w:tc>
      </w:tr>
    </w:tbl>
    <w:p w14:paraId="686FF665">
      <w:pPr>
        <w:rPr>
          <w:rFonts w:hint="eastAsia"/>
          <w:lang w:val="en-US" w:eastAsia="zh-CN"/>
        </w:rPr>
      </w:pPr>
      <w:r>
        <w:rPr>
          <w:rFonts w:hint="eastAsia"/>
          <w:lang w:val="en-US" w:eastAsia="zh-CN"/>
        </w:rPr>
        <w:t>在以上幅度I和幅度II，以最低安全速度将对应的吊重离地0.2米左右，记录下离地距离，保持十分钟，卸载后检查金属结构和焊缝质量情况及有无永久变形。注意；静载试验不允许进行变幅和回转动作。D超载动态试验（四倍率超载10%）。在最大幅度处吊重2.88吨，对各机构对应的全程范围内进行3次动作，各机构应动作灵活，制动器动作可靠，机械及结构各部件无异常，连接无松动和破坏。</w:t>
      </w:r>
    </w:p>
    <w:p w14:paraId="22B011DC">
      <w:pPr>
        <w:rPr>
          <w:rFonts w:hint="eastAsia"/>
          <w:lang w:val="en-US" w:eastAsia="zh-CN"/>
        </w:rPr>
      </w:pPr>
      <w:r>
        <w:rPr>
          <w:rFonts w:hint="eastAsia"/>
          <w:lang w:val="en-US" w:eastAsia="zh-CN"/>
        </w:rPr>
        <w:t>超载动态试验表（四倍率10%）</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521"/>
        <w:gridCol w:w="1470"/>
        <w:gridCol w:w="1590"/>
        <w:gridCol w:w="1680"/>
      </w:tblGrid>
      <w:tr w14:paraId="2E0E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075" w:type="dxa"/>
            <w:noWrap w:val="0"/>
            <w:vAlign w:val="center"/>
          </w:tcPr>
          <w:p w14:paraId="5621C26F">
            <w:pPr>
              <w:rPr>
                <w:rFonts w:hint="eastAsia"/>
                <w:lang w:val="en-US" w:eastAsia="zh-CN"/>
              </w:rPr>
            </w:pPr>
            <w:r>
              <w:rPr>
                <w:rFonts w:hint="eastAsia"/>
                <w:lang w:val="en-US" w:eastAsia="zh-CN"/>
              </w:rPr>
              <mc:AlternateContent>
                <mc:Choice Requires="wps">
                  <w:drawing>
                    <wp:anchor distT="0" distB="0" distL="114300" distR="114300" simplePos="0" relativeHeight="251662336" behindDoc="0" locked="0" layoutInCell="1" allowOverlap="1">
                      <wp:simplePos x="0" y="0"/>
                      <wp:positionH relativeFrom="column">
                        <wp:posOffset>-52705</wp:posOffset>
                      </wp:positionH>
                      <wp:positionV relativeFrom="paragraph">
                        <wp:posOffset>10160</wp:posOffset>
                      </wp:positionV>
                      <wp:extent cx="1299845" cy="577215"/>
                      <wp:effectExtent l="1905" t="4445" r="12700" b="8890"/>
                      <wp:wrapNone/>
                      <wp:docPr id="195" name="直接连接符 195"/>
                      <wp:cNvGraphicFramePr/>
                      <a:graphic xmlns:a="http://schemas.openxmlformats.org/drawingml/2006/main">
                        <a:graphicData uri="http://schemas.microsoft.com/office/word/2010/wordprocessingShape">
                          <wps:wsp>
                            <wps:cNvCnPr/>
                            <wps:spPr>
                              <a:xfrm>
                                <a:off x="0" y="0"/>
                                <a:ext cx="1299845" cy="5772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15pt;margin-top:0.8pt;height:45.45pt;width:102.35pt;z-index:251662336;mso-width-relative:page;mso-height-relative:page;" filled="f" stroked="t" coordsize="21600,21600" o:gfxdata="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A8Nh9UAAAAHAQAADwAAAAAAAAABACAAAAAiAAAAZHJzL2Rvd25yZXYueG1sUEsB&#10;AhQAFAAAAAgAh07iQHAG2Gn4AQAA7wMAAA4AAAAAAAAAAQAgAAAAJAEAAGRycy9lMm9Eb2MueG1s&#10;UEsFBgAAAAAGAAYAWQEAAI4FAAAAAA==&#10;">
                      <v:fill on="f" focussize="0,0"/>
                      <v:stroke color="#000000" joinstyle="round"/>
                      <v:imagedata o:title=""/>
                      <o:lock v:ext="edit" aspectratio="f"/>
                    </v:line>
                  </w:pict>
                </mc:Fallback>
              </mc:AlternateContent>
            </w:r>
            <w:r>
              <w:rPr>
                <w:rFonts w:hint="eastAsia"/>
                <w:lang w:val="en-US" w:eastAsia="zh-CN"/>
              </w:rPr>
              <w:t xml:space="preserve">  项 目</w:t>
            </w:r>
          </w:p>
          <w:p w14:paraId="7B1059F2">
            <w:pPr>
              <w:rPr>
                <w:rFonts w:hint="eastAsia"/>
                <w:lang w:val="en-US" w:eastAsia="zh-CN"/>
              </w:rPr>
            </w:pPr>
            <w:r>
              <w:rPr>
                <w:rFonts w:hint="eastAsia"/>
                <w:lang w:val="en-US" w:eastAsia="zh-CN"/>
              </w:rPr>
              <w:t>臂长（米）</w:t>
            </w:r>
          </w:p>
        </w:tc>
        <w:tc>
          <w:tcPr>
            <w:tcW w:w="1521" w:type="dxa"/>
            <w:noWrap w:val="0"/>
            <w:vAlign w:val="center"/>
          </w:tcPr>
          <w:p w14:paraId="32643B9D">
            <w:pPr>
              <w:ind w:left="0" w:leftChars="0" w:firstLine="0" w:firstLineChars="0"/>
              <w:rPr>
                <w:rFonts w:hint="eastAsia"/>
                <w:lang w:val="en-US" w:eastAsia="zh-CN"/>
              </w:rPr>
            </w:pPr>
            <w:r>
              <w:rPr>
                <w:rFonts w:hint="eastAsia"/>
                <w:lang w:val="en-US" w:eastAsia="zh-CN"/>
              </w:rPr>
              <w:t>幅度I（米）</w:t>
            </w:r>
          </w:p>
        </w:tc>
        <w:tc>
          <w:tcPr>
            <w:tcW w:w="1470" w:type="dxa"/>
            <w:noWrap w:val="0"/>
            <w:vAlign w:val="center"/>
          </w:tcPr>
          <w:p w14:paraId="48C654D3">
            <w:pPr>
              <w:ind w:left="0" w:leftChars="0" w:firstLine="0" w:firstLineChars="0"/>
              <w:rPr>
                <w:rFonts w:hint="eastAsia"/>
                <w:lang w:val="en-US" w:eastAsia="zh-CN"/>
              </w:rPr>
            </w:pPr>
            <w:r>
              <w:rPr>
                <w:rFonts w:hint="eastAsia"/>
                <w:lang w:val="en-US" w:eastAsia="zh-CN"/>
              </w:rPr>
              <w:t>吊重I（吨）</w:t>
            </w:r>
          </w:p>
        </w:tc>
        <w:tc>
          <w:tcPr>
            <w:tcW w:w="1590" w:type="dxa"/>
            <w:noWrap w:val="0"/>
            <w:vAlign w:val="center"/>
          </w:tcPr>
          <w:p w14:paraId="7339A319">
            <w:pPr>
              <w:ind w:left="0" w:leftChars="0" w:firstLine="0" w:firstLineChars="0"/>
              <w:rPr>
                <w:rFonts w:hint="eastAsia"/>
                <w:lang w:val="en-US" w:eastAsia="zh-CN"/>
              </w:rPr>
            </w:pPr>
            <w:r>
              <w:rPr>
                <w:rFonts w:hint="eastAsia"/>
                <w:lang w:val="en-US" w:eastAsia="zh-CN"/>
              </w:rPr>
              <w:t>幅度II（米）</w:t>
            </w:r>
          </w:p>
        </w:tc>
        <w:tc>
          <w:tcPr>
            <w:tcW w:w="1680" w:type="dxa"/>
            <w:noWrap w:val="0"/>
            <w:vAlign w:val="center"/>
          </w:tcPr>
          <w:p w14:paraId="25EB89C3">
            <w:pPr>
              <w:ind w:left="0" w:leftChars="0" w:firstLine="0" w:firstLineChars="0"/>
              <w:rPr>
                <w:rFonts w:hint="eastAsia"/>
                <w:lang w:val="en-US" w:eastAsia="zh-CN"/>
              </w:rPr>
            </w:pPr>
            <w:r>
              <w:rPr>
                <w:rFonts w:hint="eastAsia"/>
                <w:lang w:val="en-US" w:eastAsia="zh-CN"/>
              </w:rPr>
              <w:t>吊重II（吨）</w:t>
            </w:r>
          </w:p>
        </w:tc>
      </w:tr>
      <w:tr w14:paraId="798E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075" w:type="dxa"/>
            <w:noWrap w:val="0"/>
            <w:vAlign w:val="center"/>
          </w:tcPr>
          <w:p w14:paraId="281CD788">
            <w:pPr>
              <w:rPr>
                <w:rFonts w:hint="default"/>
                <w:lang w:val="en-US" w:eastAsia="zh-CN"/>
              </w:rPr>
            </w:pPr>
            <w:r>
              <w:rPr>
                <w:rFonts w:hint="eastAsia"/>
                <w:lang w:val="en-US" w:eastAsia="zh-CN"/>
              </w:rPr>
              <w:t>45</w:t>
            </w:r>
          </w:p>
        </w:tc>
        <w:tc>
          <w:tcPr>
            <w:tcW w:w="1521" w:type="dxa"/>
            <w:noWrap w:val="0"/>
            <w:vAlign w:val="center"/>
          </w:tcPr>
          <w:p w14:paraId="06072A82">
            <w:pPr>
              <w:rPr>
                <w:rFonts w:hint="default"/>
                <w:lang w:val="en-US" w:eastAsia="zh-CN"/>
              </w:rPr>
            </w:pPr>
            <w:r>
              <w:rPr>
                <w:rFonts w:hint="eastAsia"/>
                <w:lang w:val="en-US" w:eastAsia="zh-CN"/>
              </w:rPr>
              <w:t>18</w:t>
            </w:r>
          </w:p>
        </w:tc>
        <w:tc>
          <w:tcPr>
            <w:tcW w:w="1470" w:type="dxa"/>
            <w:noWrap w:val="0"/>
            <w:vAlign w:val="center"/>
          </w:tcPr>
          <w:p w14:paraId="7B1FD89D">
            <w:pPr>
              <w:rPr>
                <w:rFonts w:hint="eastAsia"/>
                <w:lang w:val="en-US" w:eastAsia="zh-CN"/>
              </w:rPr>
            </w:pPr>
            <w:r>
              <w:rPr>
                <w:rFonts w:hint="eastAsia"/>
                <w:lang w:val="en-US" w:eastAsia="zh-CN"/>
              </w:rPr>
              <w:t>19.8</w:t>
            </w:r>
          </w:p>
        </w:tc>
        <w:tc>
          <w:tcPr>
            <w:tcW w:w="1590" w:type="dxa"/>
            <w:noWrap w:val="0"/>
            <w:vAlign w:val="center"/>
          </w:tcPr>
          <w:p w14:paraId="0642AD7E">
            <w:pPr>
              <w:rPr>
                <w:rFonts w:hint="eastAsia"/>
                <w:lang w:val="en-US" w:eastAsia="zh-CN"/>
              </w:rPr>
            </w:pPr>
            <w:r>
              <w:rPr>
                <w:rFonts w:hint="eastAsia"/>
                <w:lang w:val="en-US" w:eastAsia="zh-CN"/>
              </w:rPr>
              <w:t>45</w:t>
            </w:r>
          </w:p>
        </w:tc>
        <w:tc>
          <w:tcPr>
            <w:tcW w:w="1680" w:type="dxa"/>
            <w:noWrap w:val="0"/>
            <w:vAlign w:val="center"/>
          </w:tcPr>
          <w:p w14:paraId="4D3D850D">
            <w:pPr>
              <w:rPr>
                <w:rFonts w:hint="default"/>
                <w:lang w:val="en-US" w:eastAsia="zh-CN"/>
              </w:rPr>
            </w:pPr>
            <w:r>
              <w:rPr>
                <w:rFonts w:hint="eastAsia"/>
                <w:lang w:val="en-US" w:eastAsia="zh-CN"/>
              </w:rPr>
              <w:t>6.193</w:t>
            </w:r>
          </w:p>
        </w:tc>
      </w:tr>
    </w:tbl>
    <w:p w14:paraId="063EC0B3">
      <w:pPr>
        <w:rPr>
          <w:rFonts w:hint="eastAsia"/>
          <w:lang w:val="en-US" w:eastAsia="zh-CN"/>
        </w:rPr>
      </w:pPr>
      <w:r>
        <w:rPr>
          <w:rFonts w:hint="eastAsia"/>
          <w:lang w:val="en-US" w:eastAsia="zh-CN"/>
        </w:rPr>
        <w:t>在以上幅度I和幅度II处吊重如表中所示。对各机构对应的全程范围内进行3次动作，各机构应动作灵活，制动器动作可靠。机械及结构各部件无异常，连接无松动和破坏。</w:t>
      </w:r>
    </w:p>
    <w:p w14:paraId="6F57B314">
      <w:pPr>
        <w:rPr>
          <w:rFonts w:hint="eastAsia"/>
          <w:lang w:val="en-US" w:eastAsia="zh-CN"/>
        </w:rPr>
      </w:pPr>
    </w:p>
    <w:p w14:paraId="02F5E671">
      <w:pPr>
        <w:pStyle w:val="5"/>
        <w:bidi w:val="0"/>
        <w:rPr>
          <w:rFonts w:hint="eastAsia"/>
          <w:lang w:val="en-US" w:eastAsia="zh-CN"/>
        </w:rPr>
      </w:pPr>
      <w:r>
        <w:rPr>
          <w:rFonts w:hint="eastAsia"/>
          <w:lang w:val="en-US" w:eastAsia="zh-CN"/>
        </w:rPr>
        <w:t>红色障碍灯安装</w:t>
      </w:r>
    </w:p>
    <w:p w14:paraId="593231C6">
      <w:pPr>
        <w:spacing w:after="120" w:afterLines="50" w:line="36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分别在平衡臂尾部、塔顶（平头塔平衡臂根部上端）及起重臂端部的位置安装红色障碍灯，用U型螺栓障碍灯座可靠固定。安装完成后，将障碍灯开关置于开的位置。</w:t>
      </w:r>
    </w:p>
    <w:p w14:paraId="03DCEF96">
      <w:pPr>
        <w:pStyle w:val="3"/>
        <w:numPr>
          <w:ilvl w:val="2"/>
          <w:numId w:val="1"/>
        </w:numPr>
        <w:bidi w:val="0"/>
        <w:ind w:left="0" w:leftChars="0" w:firstLine="0" w:firstLineChars="0"/>
        <w:rPr>
          <w:rFonts w:hint="eastAsia"/>
          <w:lang w:val="en-US" w:eastAsia="zh-CN"/>
        </w:rPr>
      </w:pPr>
      <w:bookmarkStart w:id="99" w:name="_Toc16552"/>
      <w:bookmarkStart w:id="100" w:name="_Toc26737"/>
      <w:r>
        <w:rPr>
          <w:rFonts w:hint="eastAsia"/>
          <w:lang w:val="en-US" w:eastAsia="zh-CN"/>
        </w:rPr>
        <w:t>顶升加节</w:t>
      </w:r>
      <w:bookmarkEnd w:id="99"/>
      <w:bookmarkEnd w:id="100"/>
    </w:p>
    <w:p w14:paraId="03518228">
      <w:pPr>
        <w:pStyle w:val="5"/>
        <w:bidi w:val="0"/>
        <w:rPr>
          <w:rFonts w:hint="eastAsia"/>
          <w:lang w:val="en-US" w:eastAsia="zh-CN"/>
        </w:rPr>
      </w:pPr>
      <w:r>
        <w:rPr>
          <w:rFonts w:hint="eastAsia"/>
          <w:lang w:val="en-US" w:eastAsia="zh-CN"/>
        </w:rPr>
        <w:t>顶升前的准备工作</w:t>
      </w:r>
    </w:p>
    <w:p w14:paraId="33D3DD24">
      <w:pPr>
        <w:bidi w:val="0"/>
        <w:rPr>
          <w:rFonts w:hint="eastAsia"/>
          <w:lang w:val="en-US" w:eastAsia="zh-CN"/>
        </w:rPr>
      </w:pPr>
      <w:r>
        <w:rPr>
          <w:rFonts w:hint="eastAsia"/>
          <w:lang w:val="en-US" w:eastAsia="zh-CN"/>
        </w:rPr>
        <w:t xml:space="preserve">顶升部件包括液压油缸、泵站、顶升横梁、引进梁、引进小车、套架制动块和挂靴等。  </w:t>
      </w:r>
    </w:p>
    <w:p w14:paraId="4E80271B">
      <w:pPr>
        <w:bidi w:val="0"/>
        <w:rPr>
          <w:rFonts w:hint="eastAsia"/>
          <w:lang w:val="en-US" w:eastAsia="zh-CN"/>
        </w:rPr>
      </w:pPr>
      <w:r>
        <w:rPr>
          <w:rFonts w:hint="eastAsia"/>
          <w:lang w:val="en-US" w:eastAsia="zh-CN"/>
        </w:rPr>
        <w:t>（1）将顶升油缸用销轴安装到顶升套架上，并装好顶升横梁=挂靴和后梁平台等。</w:t>
      </w:r>
    </w:p>
    <w:p w14:paraId="49603438">
      <w:pPr>
        <w:bidi w:val="0"/>
        <w:rPr>
          <w:rFonts w:hint="eastAsia"/>
          <w:lang w:val="en-US" w:eastAsia="zh-CN"/>
        </w:rPr>
      </w:pPr>
      <w:r>
        <w:rPr>
          <w:rFonts w:hint="eastAsia"/>
          <w:lang w:val="en-US" w:eastAsia="zh-CN"/>
        </w:rPr>
        <w:t>（2）将液压泵站放置到顶升套架的平台上，连接好液压系统和电气设备。</w:t>
      </w:r>
    </w:p>
    <w:p w14:paraId="137A8770">
      <w:pPr>
        <w:bidi w:val="0"/>
        <w:rPr>
          <w:rFonts w:hint="eastAsia"/>
          <w:lang w:val="en-US" w:eastAsia="zh-CN"/>
        </w:rPr>
      </w:pPr>
      <w:r>
        <w:rPr>
          <w:rFonts w:hint="eastAsia"/>
          <w:lang w:val="en-US" w:eastAsia="zh-CN"/>
        </w:rPr>
        <w:t>（3）利用顶升油缸将套架顶起并用销轴与下支座联接。</w:t>
      </w:r>
    </w:p>
    <w:p w14:paraId="2458F1DC">
      <w:pPr>
        <w:bidi w:val="0"/>
        <w:rPr>
          <w:rFonts w:hint="eastAsia"/>
          <w:lang w:val="en-US" w:eastAsia="zh-CN"/>
        </w:rPr>
      </w:pPr>
      <w:r>
        <w:rPr>
          <w:rFonts w:hint="eastAsia"/>
          <w:lang w:val="en-US" w:eastAsia="zh-CN"/>
        </w:rPr>
        <w:t>（4）安装引进梁。引进梁在安装回转总成前在地面进行安装。</w:t>
      </w:r>
    </w:p>
    <w:p w14:paraId="08503ED4">
      <w:pPr>
        <w:pStyle w:val="5"/>
        <w:bidi w:val="0"/>
        <w:rPr>
          <w:rFonts w:hint="eastAsia"/>
          <w:lang w:val="en-US" w:eastAsia="zh-CN"/>
        </w:rPr>
      </w:pPr>
      <w:r>
        <w:rPr>
          <w:rFonts w:hint="eastAsia"/>
          <w:lang w:val="en-US" w:eastAsia="zh-CN"/>
        </w:rPr>
        <w:t>顶升规则</w:t>
      </w:r>
    </w:p>
    <w:p w14:paraId="037B07E8">
      <w:pPr>
        <w:bidi w:val="0"/>
        <w:rPr>
          <w:rFonts w:hint="eastAsia"/>
          <w:lang w:val="en-US" w:eastAsia="zh-CN"/>
        </w:rPr>
      </w:pPr>
      <w:r>
        <w:rPr>
          <w:rFonts w:hint="eastAsia"/>
          <w:lang w:val="en-US" w:eastAsia="zh-CN"/>
        </w:rPr>
        <w:t>（1）顶升程序包括一系列操作过程，这些操作过程需要重复进行几次。</w:t>
      </w:r>
    </w:p>
    <w:p w14:paraId="2F3B87A5">
      <w:pPr>
        <w:bidi w:val="0"/>
        <w:rPr>
          <w:rFonts w:hint="eastAsia"/>
          <w:lang w:val="en-US" w:eastAsia="zh-CN"/>
        </w:rPr>
      </w:pPr>
      <w:r>
        <w:rPr>
          <w:rFonts w:hint="eastAsia"/>
          <w:lang w:val="en-US" w:eastAsia="zh-CN"/>
        </w:rPr>
        <w:t>（2）将顶升横梁上的挂靴放入标准节上就近的一组顶升耳座内，并用安全销将挂靴与标准节固定，防止挂靴脱出顶升耳座。</w:t>
      </w:r>
    </w:p>
    <w:p w14:paraId="470C6FC6">
      <w:pPr>
        <w:bidi w:val="0"/>
        <w:rPr>
          <w:rFonts w:hint="eastAsia"/>
          <w:lang w:val="en-US" w:eastAsia="zh-CN"/>
        </w:rPr>
      </w:pPr>
      <w:r>
        <w:rPr>
          <w:rFonts w:hint="eastAsia"/>
          <w:lang w:val="en-US" w:eastAsia="zh-CN"/>
        </w:rPr>
        <w:t>（3）将塔机回转以上部分配平，使其重心位置落在顶升油缸上。</w:t>
      </w:r>
    </w:p>
    <w:p w14:paraId="0450AA27">
      <w:pPr>
        <w:bidi w:val="0"/>
        <w:rPr>
          <w:rFonts w:hint="eastAsia"/>
          <w:lang w:val="en-US" w:eastAsia="zh-CN"/>
        </w:rPr>
      </w:pPr>
      <w:r>
        <w:rPr>
          <w:rFonts w:hint="eastAsia"/>
          <w:lang w:val="en-US" w:eastAsia="zh-CN"/>
        </w:rPr>
        <w:t>（4）用顶升横梁上的顶升油缸顶起塔机下支座及以上部分。</w:t>
      </w:r>
    </w:p>
    <w:p w14:paraId="28A9745B">
      <w:pPr>
        <w:bidi w:val="0"/>
        <w:rPr>
          <w:rFonts w:hint="eastAsia"/>
          <w:lang w:val="en-US" w:eastAsia="zh-CN"/>
        </w:rPr>
      </w:pPr>
      <w:r>
        <w:rPr>
          <w:rFonts w:hint="eastAsia"/>
          <w:lang w:val="en-US" w:eastAsia="zh-CN"/>
        </w:rPr>
        <w:t>（5）用套架制动块将顶起的塔机部分支撑在塔身的顶各项耳座上。</w:t>
      </w:r>
    </w:p>
    <w:p w14:paraId="3C0F79D2">
      <w:pPr>
        <w:bidi w:val="0"/>
        <w:rPr>
          <w:rFonts w:hint="eastAsia"/>
          <w:lang w:val="en-US" w:eastAsia="zh-CN"/>
        </w:rPr>
      </w:pPr>
      <w:r>
        <w:rPr>
          <w:rFonts w:hint="eastAsia"/>
          <w:lang w:val="en-US" w:eastAsia="zh-CN"/>
        </w:rPr>
        <w:t>（6）抽出将挂靴锁闭在耳座上的安全销。</w:t>
      </w:r>
    </w:p>
    <w:p w14:paraId="0A4A1F06">
      <w:pPr>
        <w:bidi w:val="0"/>
        <w:rPr>
          <w:rFonts w:hint="eastAsia"/>
          <w:lang w:val="en-US" w:eastAsia="zh-CN"/>
        </w:rPr>
      </w:pPr>
      <w:r>
        <w:rPr>
          <w:rFonts w:hint="eastAsia"/>
          <w:lang w:val="en-US" w:eastAsia="zh-CN"/>
        </w:rPr>
        <w:t>（7）收回油缸活塞杆，将顶升横梁组件提起。</w:t>
      </w:r>
    </w:p>
    <w:p w14:paraId="42C6AF23">
      <w:pPr>
        <w:bidi w:val="0"/>
        <w:rPr>
          <w:rFonts w:hint="eastAsia"/>
          <w:lang w:val="en-US" w:eastAsia="zh-CN"/>
        </w:rPr>
      </w:pPr>
      <w:r>
        <w:rPr>
          <w:rFonts w:hint="eastAsia"/>
          <w:lang w:val="en-US" w:eastAsia="zh-CN"/>
        </w:rPr>
        <w:t>（8）重新将顶升横梁放到上一对顶升耳座内，再开始做下一个工作循环。</w:t>
      </w:r>
    </w:p>
    <w:p w14:paraId="0A7DB7BD">
      <w:pPr>
        <w:bidi w:val="0"/>
        <w:rPr>
          <w:lang w:val="zh-CN" w:eastAsia="zh-CN"/>
        </w:rPr>
      </w:pPr>
      <w:r>
        <w:rPr>
          <w:rFonts w:hint="eastAsia"/>
          <w:lang w:val="en-US" w:eastAsia="zh-CN"/>
        </w:rPr>
        <w:t>（9）顶升油缸活塞杆的工作行程略为1.6米，顶升两次可安装一节标准节。</w:t>
      </w:r>
    </w:p>
    <w:p w14:paraId="7F34BE58">
      <w:pPr>
        <w:pStyle w:val="5"/>
        <w:bidi w:val="0"/>
        <w:rPr>
          <w:rFonts w:hint="eastAsia"/>
          <w:lang w:val="en-US" w:eastAsia="zh-CN"/>
        </w:rPr>
      </w:pPr>
      <w:r>
        <w:rPr>
          <w:rFonts w:hint="eastAsia"/>
          <w:lang w:val="en-US" w:eastAsia="zh-CN"/>
        </w:rPr>
        <w:t>顶升前的配平</w:t>
      </w:r>
    </w:p>
    <w:p w14:paraId="7991911A">
      <w:pPr>
        <w:bidi w:val="0"/>
        <w:rPr>
          <w:rFonts w:hint="eastAsia"/>
          <w:lang w:val="en-US" w:eastAsia="zh-CN"/>
        </w:rPr>
      </w:pPr>
      <w:r>
        <w:rPr>
          <w:rFonts w:hint="eastAsia"/>
          <w:lang w:val="en-US" w:eastAsia="zh-CN"/>
        </w:rPr>
        <w:t>（1）将起重臂旋转至引进梁的方向（起重臂位于下支座上外伸引进梁的正上方）。</w:t>
      </w:r>
    </w:p>
    <w:p w14:paraId="05775064">
      <w:pPr>
        <w:bidi w:val="0"/>
        <w:rPr>
          <w:rFonts w:hint="eastAsia"/>
          <w:lang w:val="en-US" w:eastAsia="zh-CN"/>
        </w:rPr>
      </w:pPr>
      <w:r>
        <w:rPr>
          <w:rFonts w:hint="eastAsia"/>
          <w:lang w:val="en-US" w:eastAsia="zh-CN"/>
        </w:rPr>
        <w:t>（2）放松电缆长度略大于总的顶升高度。</w:t>
      </w:r>
    </w:p>
    <w:p w14:paraId="3E56B1E8">
      <w:pPr>
        <w:bidi w:val="0"/>
        <w:rPr>
          <w:rFonts w:hint="eastAsia"/>
          <w:lang w:val="en-US" w:eastAsia="zh-CN"/>
        </w:rPr>
      </w:pPr>
      <w:r>
        <w:rPr>
          <w:rFonts w:hint="eastAsia"/>
          <w:lang w:val="en-US" w:eastAsia="zh-CN"/>
        </w:rPr>
        <w:t>（3）安装好引进小车，将起重小车由四倍率变为二倍率，并将吊钩的连接架和顶各项钩安装到靠近回转中心的单滑轮组上。</w:t>
      </w:r>
    </w:p>
    <w:p w14:paraId="1AF077AA">
      <w:pPr>
        <w:bidi w:val="0"/>
        <w:rPr>
          <w:rFonts w:hint="eastAsia"/>
          <w:lang w:val="en-US" w:eastAsia="zh-CN"/>
        </w:rPr>
      </w:pPr>
      <w:r>
        <w:rPr>
          <w:rFonts w:hint="eastAsia"/>
          <w:lang w:val="en-US" w:eastAsia="zh-CN"/>
        </w:rPr>
        <w:t>（4）吊起拼装好的标准节（待加入）并安放在下支座的引进横梁上，注意标准节的方向（顶各项耳座应与安装好的标准节的顶升耳座在同一个面上）。</w:t>
      </w:r>
    </w:p>
    <w:p w14:paraId="678CD7B1">
      <w:pPr>
        <w:bidi w:val="0"/>
        <w:rPr>
          <w:rFonts w:hint="eastAsia"/>
          <w:color w:val="auto"/>
          <w:lang w:val="en-US" w:eastAsia="zh-CN"/>
        </w:rPr>
      </w:pPr>
      <w:r>
        <w:rPr>
          <w:rFonts w:hint="eastAsia"/>
          <w:lang w:val="en-US" w:eastAsia="zh-CN"/>
        </w:rPr>
        <w:t>（5）再调整小车的位置，使得塔机的上部重心落在顶各项油缸横梁的位置上：小车（或加吊重）停放位置如下：</w:t>
      </w:r>
    </w:p>
    <w:p w14:paraId="5825D29D">
      <w:pPr>
        <w:widowControl w:val="0"/>
        <w:spacing w:line="360" w:lineRule="auto"/>
        <w:ind w:left="0" w:leftChars="0" w:firstLine="0" w:firstLineChars="0"/>
        <w:jc w:val="center"/>
        <w:rPr>
          <w:rFonts w:hint="eastAsia" w:ascii="仿宋" w:hAnsi="仿宋" w:eastAsia="仿宋" w:cs="仿宋"/>
          <w:bCs/>
          <w:color w:val="auto"/>
          <w:kern w:val="2"/>
          <w:sz w:val="24"/>
          <w:szCs w:val="24"/>
          <w:lang w:val="en-US" w:eastAsia="zh-CN" w:bidi="ar-SA"/>
        </w:rPr>
      </w:pPr>
      <w:r>
        <w:drawing>
          <wp:inline distT="0" distB="0" distL="114300" distR="114300">
            <wp:extent cx="3642995" cy="2252345"/>
            <wp:effectExtent l="0" t="0" r="14605" b="14605"/>
            <wp:docPr id="8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9"/>
                    <pic:cNvPicPr>
                      <a:picLocks noChangeAspect="1"/>
                    </pic:cNvPicPr>
                  </pic:nvPicPr>
                  <pic:blipFill>
                    <a:blip r:embed="rId74"/>
                    <a:stretch>
                      <a:fillRect/>
                    </a:stretch>
                  </pic:blipFill>
                  <pic:spPr>
                    <a:xfrm>
                      <a:off x="0" y="0"/>
                      <a:ext cx="3642995" cy="2252345"/>
                    </a:xfrm>
                    <a:prstGeom prst="rect">
                      <a:avLst/>
                    </a:prstGeom>
                    <a:noFill/>
                    <a:ln>
                      <a:noFill/>
                    </a:ln>
                  </pic:spPr>
                </pic:pic>
              </a:graphicData>
            </a:graphic>
          </wp:inline>
        </w:drawing>
      </w:r>
    </w:p>
    <w:p w14:paraId="3876C606">
      <w:pPr>
        <w:bidi w:val="0"/>
      </w:pPr>
      <w:r>
        <w:rPr>
          <w:rFonts w:hint="eastAsia"/>
          <w:lang w:val="en-US" w:eastAsia="zh-CN"/>
        </w:rPr>
        <w:t>注：这里给出的重心位置只是理论数据，实际操作中，观察到顶升套架上四周16个导轮基本上与塔身标准节主弦杆脱开时，即为理想位置。</w:t>
      </w:r>
    </w:p>
    <w:p w14:paraId="2202F33A">
      <w:pPr>
        <w:pStyle w:val="5"/>
        <w:bidi w:val="0"/>
        <w:rPr>
          <w:rFonts w:hint="eastAsia"/>
          <w:lang w:val="en-US" w:eastAsia="zh-CN"/>
        </w:rPr>
      </w:pPr>
      <w:r>
        <w:rPr>
          <w:rFonts w:hint="eastAsia"/>
          <w:lang w:val="en-US" w:eastAsia="zh-CN"/>
        </w:rPr>
        <w:t>顶升作业</w:t>
      </w:r>
    </w:p>
    <w:p w14:paraId="33F98807">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w:t>
      </w:r>
      <w:r>
        <w:rPr>
          <w:rFonts w:hint="eastAsia" w:ascii="宋体" w:hAnsi="宋体" w:eastAsia="宋体" w:cs="Times New Roman"/>
          <w:b w:val="0"/>
          <w:bCs w:val="0"/>
          <w:color w:val="auto"/>
          <w:szCs w:val="24"/>
          <w:lang w:val="en-US" w:eastAsia="zh-CN"/>
        </w:rPr>
        <w:t>当塔机配平后，拆除标准节与回转下支座间的连接销轴，此时观察塔机顶升套架四周导向轮与塔身标准节四个主弦杆的间隙是否一致，如不一致可适当开动起重小车重新调整平衡位置（此时不得使塔机做回转、起各项或其它动作），</w:t>
      </w:r>
    </w:p>
    <w:p w14:paraId="428D90FD">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（2）</w:t>
      </w:r>
      <w:r>
        <w:rPr>
          <w:rFonts w:hint="eastAsia" w:ascii="宋体" w:hAnsi="宋体" w:eastAsia="宋体" w:cs="Times New Roman"/>
          <w:b w:val="0"/>
          <w:bCs w:val="0"/>
          <w:color w:val="auto"/>
          <w:szCs w:val="24"/>
          <w:lang w:val="en-US" w:eastAsia="zh-CN"/>
        </w:rPr>
        <w:t>开动液压系统，将挂靴（1）挂在标准节就近一个顶升耳座（2）上并用安全销(3)将其锁闭在标准节主弦角钢（4）上，防止其滑出标准节顶升耳座（2），再开动液压系统使活塞杆缓慢伸出约1.5米，至使套架上的套架制动块能顺利放入标准节上的顶升耳座内，放下套架制动块（5）并稍稍缩回活塞杆，使套架制动块（5）挂入塔身的顶升耳座（2）内，见下图：</w:t>
      </w:r>
    </w:p>
    <w:p w14:paraId="7D4DA392">
      <w:pPr>
        <w:spacing w:after="0" w:afterLines="-2147483648" w:line="360" w:lineRule="auto"/>
        <w:ind w:firstLine="480" w:firstLineChars="200"/>
        <w:jc w:val="center"/>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fldChar w:fldCharType="begin"/>
      </w:r>
      <w:r>
        <w:rPr>
          <w:rFonts w:hint="eastAsia" w:ascii="宋体" w:hAnsi="宋体" w:eastAsia="宋体" w:cs="Times New Roman"/>
          <w:b w:val="0"/>
          <w:bCs w:val="0"/>
          <w:color w:val="auto"/>
          <w:szCs w:val="24"/>
          <w:lang w:val="en-US" w:eastAsia="zh-CN"/>
        </w:rPr>
        <w:instrText xml:space="preserve">INCLUDEPICTURE \d "C:\\Documents and Settings\\Administrator\\Application Data\\Tencent\\Users\\387702944\\QQ\\WinTemp\\RichOle\\[HI0F1C~3G_SGWF@8P48G@4.png" \* MERGEFORMATINET </w:instrText>
      </w:r>
      <w:r>
        <w:rPr>
          <w:rFonts w:hint="eastAsia" w:ascii="宋体" w:hAnsi="宋体" w:eastAsia="宋体" w:cs="Times New Roman"/>
          <w:b w:val="0"/>
          <w:bCs w:val="0"/>
          <w:color w:val="auto"/>
          <w:szCs w:val="24"/>
          <w:lang w:val="en-US" w:eastAsia="zh-CN"/>
        </w:rPr>
        <w:fldChar w:fldCharType="separate"/>
      </w:r>
      <w:r>
        <w:rPr>
          <w:rFonts w:hint="eastAsia" w:ascii="宋体" w:hAnsi="宋体" w:eastAsia="宋体" w:cs="Times New Roman"/>
          <w:b w:val="0"/>
          <w:bCs w:val="0"/>
          <w:color w:val="auto"/>
          <w:szCs w:val="24"/>
          <w:lang w:val="en-US" w:eastAsia="zh-CN"/>
        </w:rPr>
        <w:drawing>
          <wp:inline distT="0" distB="0" distL="114300" distR="114300">
            <wp:extent cx="3743960" cy="1577975"/>
            <wp:effectExtent l="0" t="0" r="8890" b="3175"/>
            <wp:docPr id="198"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7" descr="IMG_256"/>
                    <pic:cNvPicPr>
                      <a:picLocks noChangeAspect="1"/>
                    </pic:cNvPicPr>
                  </pic:nvPicPr>
                  <pic:blipFill>
                    <a:blip r:embed="rId75"/>
                    <a:stretch>
                      <a:fillRect/>
                    </a:stretch>
                  </pic:blipFill>
                  <pic:spPr>
                    <a:xfrm>
                      <a:off x="0" y="0"/>
                      <a:ext cx="3743960" cy="1577975"/>
                    </a:xfrm>
                    <a:prstGeom prst="rect">
                      <a:avLst/>
                    </a:prstGeom>
                    <a:noFill/>
                    <a:ln>
                      <a:noFill/>
                    </a:ln>
                  </pic:spPr>
                </pic:pic>
              </a:graphicData>
            </a:graphic>
          </wp:inline>
        </w:drawing>
      </w:r>
      <w:r>
        <w:rPr>
          <w:rFonts w:hint="eastAsia" w:ascii="宋体" w:hAnsi="宋体" w:eastAsia="宋体" w:cs="Times New Roman"/>
          <w:b w:val="0"/>
          <w:bCs w:val="0"/>
          <w:color w:val="auto"/>
          <w:szCs w:val="24"/>
          <w:lang w:val="en-US" w:eastAsia="zh-CN"/>
        </w:rPr>
        <w:fldChar w:fldCharType="end"/>
      </w:r>
    </w:p>
    <w:p w14:paraId="052D996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（3）</w:t>
      </w:r>
      <w:r>
        <w:rPr>
          <w:rFonts w:hint="eastAsia" w:ascii="宋体" w:hAnsi="宋体" w:eastAsia="宋体" w:cs="Times New Roman"/>
          <w:b w:val="0"/>
          <w:bCs w:val="0"/>
          <w:color w:val="auto"/>
          <w:szCs w:val="24"/>
          <w:lang w:val="en-US" w:eastAsia="zh-CN"/>
        </w:rPr>
        <w:t>在确认套架制动块准确挂入塔身的顶升耳座内扣，油缸全部缩回，重做两次上述的顶各项操作后塔身上方恰好能有装一个标准节的空间。注意：整个顶各项过程中不能使套架的上导轮超出塔身的固定部分。</w:t>
      </w:r>
    </w:p>
    <w:p w14:paraId="6E5DEFA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（4）</w:t>
      </w:r>
      <w:r>
        <w:rPr>
          <w:rFonts w:hint="eastAsia" w:ascii="宋体" w:hAnsi="宋体" w:eastAsia="宋体" w:cs="Times New Roman"/>
          <w:b w:val="0"/>
          <w:bCs w:val="0"/>
          <w:color w:val="auto"/>
          <w:szCs w:val="24"/>
          <w:lang w:val="en-US" w:eastAsia="zh-CN"/>
        </w:rPr>
        <w:t>将引进梁上的待加入标准节引至塔身的正上方。</w:t>
      </w:r>
    </w:p>
    <w:p w14:paraId="6F8563A9">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（5）</w:t>
      </w:r>
      <w:r>
        <w:rPr>
          <w:rFonts w:hint="eastAsia" w:ascii="宋体" w:hAnsi="宋体" w:eastAsia="宋体" w:cs="Times New Roman"/>
          <w:b w:val="0"/>
          <w:bCs w:val="0"/>
          <w:color w:val="auto"/>
          <w:szCs w:val="24"/>
          <w:lang w:val="en-US" w:eastAsia="zh-CN"/>
        </w:rPr>
        <w:t>对准上下标准节的连接销轴孔，装好标准节连接销轴和开口肖即完成一个标准节的加节工作。</w:t>
      </w:r>
    </w:p>
    <w:p w14:paraId="46FD1EA9">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（6）</w:t>
      </w:r>
      <w:r>
        <w:rPr>
          <w:rFonts w:hint="eastAsia" w:ascii="宋体" w:hAnsi="宋体" w:eastAsia="宋体" w:cs="Times New Roman"/>
          <w:b w:val="0"/>
          <w:bCs w:val="0"/>
          <w:color w:val="auto"/>
          <w:szCs w:val="24"/>
          <w:lang w:val="en-US" w:eastAsia="zh-CN"/>
        </w:rPr>
        <w:t>若需连续加几节标准节，则可按照以上步骤连续几次即可。注意：在起吊下一节标准节必须将塔身标准节与下支座用安装销轴连接好（禁止连接销轴数量）。</w:t>
      </w:r>
    </w:p>
    <w:p w14:paraId="6A50BFD2">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（7）</w:t>
      </w:r>
      <w:r>
        <w:rPr>
          <w:rFonts w:hint="eastAsia" w:ascii="宋体" w:hAnsi="宋体" w:eastAsia="宋体" w:cs="Times New Roman"/>
          <w:b w:val="0"/>
          <w:bCs w:val="0"/>
          <w:color w:val="auto"/>
          <w:szCs w:val="24"/>
          <w:lang w:val="en-US" w:eastAsia="zh-CN"/>
        </w:rPr>
        <w:t>加节完毕后将下支座与塔身标准节连接牢固，卸下加节钩，换上起重吊钩，即完成标准节的加节工作。</w:t>
      </w:r>
    </w:p>
    <w:p w14:paraId="4DE1C69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（8）</w:t>
      </w:r>
      <w:r>
        <w:rPr>
          <w:rFonts w:hint="eastAsia" w:ascii="宋体" w:hAnsi="宋体" w:eastAsia="宋体" w:cs="Times New Roman"/>
          <w:b w:val="0"/>
          <w:bCs w:val="0"/>
          <w:color w:val="auto"/>
          <w:szCs w:val="24"/>
          <w:lang w:val="en-US" w:eastAsia="zh-CN"/>
        </w:rPr>
        <w:t>塔机加节完毕，应空载旋转臂架至不同角度，检查塔身各标准节及下支座是否连接可靠。</w:t>
      </w:r>
    </w:p>
    <w:p w14:paraId="79C1AAD7">
      <w:pPr>
        <w:spacing w:after="0" w:afterLines="-2147483648" w:line="360" w:lineRule="auto"/>
        <w:ind w:firstLine="480" w:firstLineChars="200"/>
        <w:jc w:val="both"/>
        <w:rPr>
          <w:rFonts w:ascii="宋体" w:hAnsi="宋体" w:eastAsia="宋体" w:cs="Times New Roman"/>
          <w:b w:val="0"/>
          <w:bCs w:val="0"/>
          <w:color w:val="auto"/>
          <w:szCs w:val="24"/>
        </w:rPr>
      </w:pPr>
      <w:r>
        <w:rPr>
          <w:rFonts w:hint="eastAsia" w:ascii="宋体" w:hAnsi="宋体" w:cs="Times New Roman"/>
          <w:b w:val="0"/>
          <w:bCs w:val="0"/>
          <w:color w:val="auto"/>
          <w:szCs w:val="24"/>
          <w:lang w:val="en-US" w:eastAsia="zh-CN"/>
        </w:rPr>
        <w:t>（9）</w:t>
      </w:r>
      <w:r>
        <w:rPr>
          <w:rFonts w:hint="eastAsia" w:ascii="宋体" w:hAnsi="宋体" w:eastAsia="宋体" w:cs="Times New Roman"/>
          <w:b w:val="0"/>
          <w:bCs w:val="0"/>
          <w:color w:val="auto"/>
          <w:szCs w:val="24"/>
          <w:lang w:val="en-US" w:eastAsia="zh-CN"/>
        </w:rPr>
        <w:t>塔身加节后应保证在各方向上塔身轴线和地面水平线的垂直度不大于塔机高度的3/1000；垂直度测量方法：若测量塔身南北方向的垂直度，需将塔机平衡臂、起重臂方向旋转至东西方向，相反如果测量塔身东西方向 的垂直度，需将塔机平衡臂、起重臂方向旋转至南北方向。</w:t>
      </w:r>
    </w:p>
    <w:p w14:paraId="63C8806C">
      <w:pPr>
        <w:pStyle w:val="5"/>
        <w:bidi w:val="0"/>
        <w:rPr>
          <w:rFonts w:hint="eastAsia"/>
          <w:lang w:val="en-US" w:eastAsia="zh-CN"/>
        </w:rPr>
      </w:pPr>
      <w:r>
        <w:rPr>
          <w:rFonts w:hint="eastAsia"/>
          <w:lang w:val="en-US" w:eastAsia="zh-CN"/>
        </w:rPr>
        <w:t>顶升的收尾工作</w:t>
      </w:r>
    </w:p>
    <w:p w14:paraId="3E2757DE">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顶各项结束后利用套架制动块将顶升套回支承在塔身上，收回压岁升油缸。</w:t>
      </w:r>
    </w:p>
    <w:p w14:paraId="4F380E42">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顶升工作全面完成后可以半顶升套架下降到标准节底部或拆除顶升套架，以降低整个塔机的重心和减小迎风面积，沿海及其他风压较大的地区必须将顶升套架下降至塔机底部或拆除顶升套架。</w:t>
      </w:r>
    </w:p>
    <w:p w14:paraId="6E0B7EA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顶升完毕后可将引进梁缩回下支座内或者拆除引进梁。以免吊钩在最小幅度工作时碰到。</w:t>
      </w:r>
    </w:p>
    <w:p w14:paraId="758C6BE3">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若采用将引进濯缩回下支座内，见下图：</w:t>
      </w:r>
    </w:p>
    <w:p w14:paraId="78999DBE">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a.用四根销轴（4）将八块连接板（3）安装到下支座上。</w:t>
      </w:r>
    </w:p>
    <w:p w14:paraId="30BD03D6">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b.用四根销轴（7）将连接板（3）销好。</w:t>
      </w:r>
    </w:p>
    <w:p w14:paraId="04F855B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c.用吊索拴住一根引进梁（1）的尾端吊孔，挂到吊钩上。</w:t>
      </w:r>
    </w:p>
    <w:p w14:paraId="0A6B46A5">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d.拆除此引进梁上的销轴（2）和销轴（5），使连接板（3）上的两根销轴（7）支撑起引进梁。</w:t>
      </w:r>
    </w:p>
    <w:p w14:paraId="5EF0A40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e.取出销轴（5）并销到销轴（8）处，起重小车向外慢慢变幅，拖动引进梁向后滑动。</w:t>
      </w:r>
    </w:p>
    <w:p w14:paraId="6C661B6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f.拖动至引进梁上的销孔与连接板（3）上的销孔对齐，装上连接销轴（6）。</w:t>
      </w:r>
    </w:p>
    <w:p w14:paraId="5E292A2C">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eastAsia="宋体" w:cs="Times New Roman"/>
          <w:b w:val="0"/>
          <w:bCs w:val="0"/>
          <w:color w:val="auto"/>
          <w:szCs w:val="24"/>
          <w:lang w:val="en-US" w:eastAsia="zh-CN"/>
        </w:rPr>
        <w:t>g.卸下吊索，另一根引进梁采用同样方法安装。</w:t>
      </w:r>
    </w:p>
    <w:p w14:paraId="238C96E1">
      <w:pPr>
        <w:spacing w:after="0" w:afterLines="-2147483648" w:line="360" w:lineRule="auto"/>
        <w:ind w:firstLine="480" w:firstLineChars="200"/>
        <w:jc w:val="center"/>
        <w:rPr>
          <w:rFonts w:ascii="宋体" w:hAnsi="宋体" w:eastAsia="宋体" w:cs="Times New Roman"/>
          <w:b w:val="0"/>
          <w:bCs w:val="0"/>
          <w:color w:val="auto"/>
          <w:szCs w:val="24"/>
        </w:rPr>
      </w:pPr>
      <w:r>
        <w:rPr>
          <w:rFonts w:hint="eastAsia" w:ascii="宋体" w:hAnsi="宋体" w:eastAsia="宋体" w:cs="Times New Roman"/>
          <w:b w:val="0"/>
          <w:bCs w:val="0"/>
          <w:color w:val="auto"/>
          <w:szCs w:val="24"/>
          <w:lang w:val="en-US" w:eastAsia="zh-CN"/>
        </w:rPr>
        <w:fldChar w:fldCharType="begin"/>
      </w:r>
      <w:r>
        <w:rPr>
          <w:rFonts w:hint="eastAsia" w:ascii="宋体" w:hAnsi="宋体" w:eastAsia="宋体" w:cs="Times New Roman"/>
          <w:b w:val="0"/>
          <w:bCs w:val="0"/>
          <w:color w:val="auto"/>
          <w:szCs w:val="24"/>
          <w:lang w:val="en-US" w:eastAsia="zh-CN"/>
        </w:rPr>
        <w:instrText xml:space="preserve">INCLUDEPICTURE \d "C:\\Documents and Settings\\Administrator\\Application Data\\Tencent\\Users\\387702944\\QQ\\WinTemp\\RichOle\\$}77PLPK998(LVXOJ1]T10E.png" \* MERGEFORMATINET </w:instrText>
      </w:r>
      <w:r>
        <w:rPr>
          <w:rFonts w:hint="eastAsia" w:ascii="宋体" w:hAnsi="宋体" w:eastAsia="宋体" w:cs="Times New Roman"/>
          <w:b w:val="0"/>
          <w:bCs w:val="0"/>
          <w:color w:val="auto"/>
          <w:szCs w:val="24"/>
          <w:lang w:val="en-US" w:eastAsia="zh-CN"/>
        </w:rPr>
        <w:fldChar w:fldCharType="separate"/>
      </w:r>
      <w:r>
        <w:rPr>
          <w:rFonts w:hint="eastAsia" w:ascii="宋体" w:hAnsi="宋体" w:eastAsia="宋体" w:cs="Times New Roman"/>
          <w:b w:val="0"/>
          <w:bCs w:val="0"/>
          <w:color w:val="auto"/>
          <w:szCs w:val="24"/>
          <w:lang w:val="en-US" w:eastAsia="zh-CN"/>
        </w:rPr>
        <w:drawing>
          <wp:inline distT="0" distB="0" distL="114300" distR="114300">
            <wp:extent cx="2981960" cy="2306320"/>
            <wp:effectExtent l="0" t="0" r="8890" b="17780"/>
            <wp:docPr id="200"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8" descr="IMG_256"/>
                    <pic:cNvPicPr>
                      <a:picLocks noChangeAspect="1"/>
                    </pic:cNvPicPr>
                  </pic:nvPicPr>
                  <pic:blipFill>
                    <a:blip r:embed="rId76"/>
                    <a:srcRect l="6508" t="1271" r="1160" b="542"/>
                    <a:stretch>
                      <a:fillRect/>
                    </a:stretch>
                  </pic:blipFill>
                  <pic:spPr>
                    <a:xfrm>
                      <a:off x="0" y="0"/>
                      <a:ext cx="2981960" cy="2306320"/>
                    </a:xfrm>
                    <a:prstGeom prst="rect">
                      <a:avLst/>
                    </a:prstGeom>
                    <a:noFill/>
                    <a:ln>
                      <a:noFill/>
                    </a:ln>
                  </pic:spPr>
                </pic:pic>
              </a:graphicData>
            </a:graphic>
          </wp:inline>
        </w:drawing>
      </w:r>
      <w:r>
        <w:rPr>
          <w:rFonts w:hint="eastAsia" w:ascii="宋体" w:hAnsi="宋体" w:eastAsia="宋体" w:cs="Times New Roman"/>
          <w:b w:val="0"/>
          <w:bCs w:val="0"/>
          <w:color w:val="auto"/>
          <w:szCs w:val="24"/>
          <w:lang w:val="en-US" w:eastAsia="zh-CN"/>
        </w:rPr>
        <w:fldChar w:fldCharType="end"/>
      </w:r>
    </w:p>
    <w:p w14:paraId="4FA319C3">
      <w:pPr>
        <w:pStyle w:val="5"/>
        <w:bidi w:val="0"/>
        <w:rPr>
          <w:rFonts w:hint="eastAsia"/>
          <w:lang w:val="en-US" w:eastAsia="zh-CN"/>
        </w:rPr>
      </w:pPr>
      <w:r>
        <w:rPr>
          <w:rFonts w:hint="eastAsia"/>
          <w:lang w:val="en-US" w:eastAsia="zh-CN"/>
        </w:rPr>
        <w:t>顶升作业注意事项</w:t>
      </w:r>
    </w:p>
    <w:p w14:paraId="160F7490">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w:t>
      </w:r>
      <w:r>
        <w:rPr>
          <w:rFonts w:hint="eastAsia" w:ascii="宋体" w:hAnsi="宋体" w:eastAsia="宋体" w:cs="Times New Roman"/>
          <w:b w:val="0"/>
          <w:bCs w:val="0"/>
          <w:color w:val="auto"/>
          <w:szCs w:val="24"/>
          <w:lang w:val="en-US" w:eastAsia="zh-CN"/>
        </w:rPr>
        <w:t>在进行顶升作业过程中，必须有专人指挥，专人照管电源，专人操作液压系统和专人安装标准节销轴；非有关操作人员不得登上顶升套架的操作平台，更不能擅自起动泵阀开关或其它电气设备。</w:t>
      </w:r>
    </w:p>
    <w:p w14:paraId="0CFE421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（2）</w:t>
      </w:r>
      <w:r>
        <w:rPr>
          <w:rFonts w:hint="eastAsia" w:ascii="宋体" w:hAnsi="宋体" w:eastAsia="宋体" w:cs="Times New Roman"/>
          <w:b w:val="0"/>
          <w:bCs w:val="0"/>
          <w:color w:val="auto"/>
          <w:szCs w:val="24"/>
          <w:lang w:val="en-US" w:eastAsia="zh-CN"/>
        </w:rPr>
        <w:t>顶各项作业应在能见度良好的白天进行，若遇特殊情况，需在夜间作业时，必须有充足合理的照明。</w:t>
      </w:r>
    </w:p>
    <w:p w14:paraId="01CAFD61">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（3）</w:t>
      </w:r>
      <w:r>
        <w:rPr>
          <w:rFonts w:hint="eastAsia" w:ascii="宋体" w:hAnsi="宋体" w:eastAsia="宋体" w:cs="Times New Roman"/>
          <w:b w:val="0"/>
          <w:bCs w:val="0"/>
          <w:color w:val="auto"/>
          <w:szCs w:val="24"/>
          <w:lang w:val="en-US" w:eastAsia="zh-CN"/>
        </w:rPr>
        <w:t>只允许在塔机最高处的风速小于10m/s的条件下进行顶升作业，如在作业过程中，突然遇到风力加大，必须停止工作，并连接好回转下支座与塔身的连接销轴，使上下塔身连成一体。</w:t>
      </w:r>
    </w:p>
    <w:p w14:paraId="47E2556D">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（4）</w:t>
      </w:r>
      <w:r>
        <w:rPr>
          <w:rFonts w:hint="eastAsia" w:ascii="宋体" w:hAnsi="宋体" w:eastAsia="宋体" w:cs="Times New Roman"/>
          <w:b w:val="0"/>
          <w:bCs w:val="0"/>
          <w:color w:val="auto"/>
          <w:szCs w:val="24"/>
          <w:lang w:val="en-US" w:eastAsia="zh-CN"/>
        </w:rPr>
        <w:t>顶升前必须放松电缆，使电缆放松长度略大于总的顶各项高度，并做好电缆的紧固工作。</w:t>
      </w:r>
    </w:p>
    <w:p w14:paraId="7532C4E8">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（5）</w:t>
      </w:r>
      <w:r>
        <w:rPr>
          <w:rFonts w:hint="eastAsia" w:ascii="宋体" w:hAnsi="宋体" w:eastAsia="宋体" w:cs="Times New Roman"/>
          <w:b w:val="0"/>
          <w:bCs w:val="0"/>
          <w:color w:val="auto"/>
          <w:szCs w:val="24"/>
          <w:lang w:val="en-US" w:eastAsia="zh-CN"/>
        </w:rPr>
        <w:t>在油缸顶各项过程中，把回转部分紧紧刹住，严禁做回转、变幅、起升等作业。</w:t>
      </w:r>
    </w:p>
    <w:p w14:paraId="52927BE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（6）</w:t>
      </w:r>
      <w:r>
        <w:rPr>
          <w:rFonts w:hint="eastAsia" w:ascii="宋体" w:hAnsi="宋体" w:eastAsia="宋体" w:cs="Times New Roman"/>
          <w:b w:val="0"/>
          <w:bCs w:val="0"/>
          <w:color w:val="auto"/>
          <w:szCs w:val="24"/>
          <w:lang w:val="en-US" w:eastAsia="zh-CN"/>
        </w:rPr>
        <w:t>在油缸顶升过程中，如发现故障，必须立即停车检查，缓慢降下并连接好回转下支座与塔身的连接销轴。在没有查明原因和排除故障前，不得继续顶升。</w:t>
      </w:r>
    </w:p>
    <w:p w14:paraId="05D5AACA">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（7）</w:t>
      </w:r>
      <w:r>
        <w:rPr>
          <w:rFonts w:hint="eastAsia" w:ascii="宋体" w:hAnsi="宋体" w:eastAsia="宋体" w:cs="Times New Roman"/>
          <w:b w:val="0"/>
          <w:bCs w:val="0"/>
          <w:color w:val="auto"/>
          <w:szCs w:val="24"/>
          <w:lang w:val="en-US" w:eastAsia="zh-CN"/>
        </w:rPr>
        <w:t>冬季使用时要将顶升油缸和液压站空载开开停停往复多次，待测温上升和控制阀动作灵活后再正式使用。</w:t>
      </w:r>
    </w:p>
    <w:p w14:paraId="405701B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（8）</w:t>
      </w:r>
      <w:r>
        <w:rPr>
          <w:rFonts w:hint="eastAsia" w:ascii="宋体" w:hAnsi="宋体" w:eastAsia="宋体" w:cs="Times New Roman"/>
          <w:b w:val="0"/>
          <w:bCs w:val="0"/>
          <w:color w:val="auto"/>
          <w:szCs w:val="24"/>
          <w:lang w:val="en-US" w:eastAsia="zh-CN"/>
        </w:rPr>
        <w:t>若要连续加几个标准节，则每加完一节后，用塔机自身起吊下一标准节前必须将塔身标准节与下支座用四个安装销轴连接好（禁止减少安装销轴连接数量）。</w:t>
      </w:r>
    </w:p>
    <w:p w14:paraId="22D44C8B">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（9）</w:t>
      </w:r>
      <w:r>
        <w:rPr>
          <w:rFonts w:hint="eastAsia" w:ascii="宋体" w:hAnsi="宋体" w:eastAsia="宋体" w:cs="Times New Roman"/>
          <w:b w:val="0"/>
          <w:bCs w:val="0"/>
          <w:color w:val="auto"/>
          <w:szCs w:val="24"/>
          <w:lang w:val="en-US" w:eastAsia="zh-CN"/>
        </w:rPr>
        <w:t>所有加入标准节的顶升耳座必须与已有的标准节顶各项耳座在同一面。</w:t>
      </w:r>
    </w:p>
    <w:p w14:paraId="6D4FD87F">
      <w:pPr>
        <w:spacing w:after="0" w:afterLines="-2147483648" w:line="360" w:lineRule="auto"/>
        <w:ind w:firstLine="480" w:firstLineChars="200"/>
        <w:jc w:val="both"/>
        <w:rPr>
          <w:rFonts w:hint="eastAsia" w:ascii="宋体" w:hAnsi="宋体" w:eastAsia="宋体" w:cs="Times New Roman"/>
          <w:b w:val="0"/>
          <w:bCs w:val="0"/>
          <w:color w:val="auto"/>
          <w:szCs w:val="24"/>
          <w:lang w:val="en-US" w:eastAsia="zh-CN"/>
        </w:rPr>
      </w:pPr>
      <w:r>
        <w:rPr>
          <w:rFonts w:hint="eastAsia" w:ascii="宋体" w:hAnsi="宋体" w:cs="Times New Roman"/>
          <w:b w:val="0"/>
          <w:bCs w:val="0"/>
          <w:color w:val="auto"/>
          <w:szCs w:val="24"/>
          <w:lang w:val="en-US" w:eastAsia="zh-CN"/>
        </w:rPr>
        <w:t>（10）</w:t>
      </w:r>
      <w:r>
        <w:rPr>
          <w:rFonts w:hint="eastAsia" w:ascii="宋体" w:hAnsi="宋体" w:eastAsia="宋体" w:cs="Times New Roman"/>
          <w:b w:val="0"/>
          <w:bCs w:val="0"/>
          <w:color w:val="auto"/>
          <w:szCs w:val="24"/>
          <w:lang w:val="en-US" w:eastAsia="zh-CN"/>
        </w:rPr>
        <w:t>顶升过程中必须安全使用将挂靴锁闭在标准节顶升耳座上的安全销，以防挂靴滑出标准节顶升耳座。</w:t>
      </w:r>
    </w:p>
    <w:p w14:paraId="019BD588">
      <w:pPr>
        <w:spacing w:after="0" w:afterLines="-2147483648" w:line="360" w:lineRule="auto"/>
        <w:ind w:firstLine="480" w:firstLineChars="200"/>
        <w:jc w:val="both"/>
        <w:rPr>
          <w:rFonts w:ascii="宋体" w:hAnsi="宋体" w:eastAsia="宋体" w:cs="Times New Roman"/>
          <w:b w:val="0"/>
          <w:bCs w:val="0"/>
          <w:color w:val="auto"/>
          <w:szCs w:val="24"/>
        </w:rPr>
      </w:pPr>
      <w:r>
        <w:rPr>
          <w:rFonts w:hint="eastAsia" w:ascii="宋体" w:hAnsi="宋体" w:cs="Times New Roman"/>
          <w:b w:val="0"/>
          <w:bCs w:val="0"/>
          <w:color w:val="auto"/>
          <w:szCs w:val="24"/>
          <w:lang w:val="en-US" w:eastAsia="zh-CN"/>
        </w:rPr>
        <w:t>（11）</w:t>
      </w:r>
      <w:r>
        <w:rPr>
          <w:rFonts w:hint="eastAsia" w:ascii="宋体" w:hAnsi="宋体" w:eastAsia="宋体" w:cs="Times New Roman"/>
          <w:b w:val="0"/>
          <w:bCs w:val="0"/>
          <w:color w:val="auto"/>
          <w:szCs w:val="24"/>
          <w:lang w:val="en-US" w:eastAsia="zh-CN"/>
        </w:rPr>
        <w:t>每次顶升前后，必须认真做好准备工作和收尾工作，特别是在顶升完以后，各连接销轴应按规定的要求连接好，液压操作手柄应回到中间“0”位置，切断电源液压系统的电源等。</w:t>
      </w:r>
    </w:p>
    <w:p w14:paraId="1C1134C6">
      <w:pPr>
        <w:pStyle w:val="5"/>
        <w:bidi w:val="0"/>
        <w:rPr>
          <w:lang w:val="en-US" w:eastAsia="zh-CN"/>
        </w:rPr>
      </w:pPr>
      <w:r>
        <w:rPr>
          <w:rFonts w:hint="eastAsia"/>
          <w:lang w:val="en-US" w:eastAsia="zh-CN"/>
        </w:rPr>
        <w:t>防脱销装置的使用方法</w:t>
      </w:r>
    </w:p>
    <w:p w14:paraId="7EB3ABC8">
      <w:pPr>
        <w:ind w:firstLine="480"/>
        <w:rPr>
          <w:rFonts w:ascii="Times New Roman" w:hAnsi="Times New Roman" w:eastAsia="宋体" w:cs="Times New Roman"/>
        </w:rPr>
      </w:pPr>
      <w:r>
        <w:rPr>
          <w:rFonts w:hint="eastAsia" w:ascii="Times New Roman" w:hAnsi="Times New Roman" w:eastAsia="宋体" w:cs="Times New Roman"/>
        </w:rPr>
        <w:t>防脱装置(1)由两部分组成，一是顶升横梁爬爪上的安全插销(4)，二是顶升横梁爬爪上的防脱插销孔(3)，其使用方法如下：</w:t>
      </w:r>
    </w:p>
    <w:p w14:paraId="310E45E6">
      <w:pPr>
        <w:numPr>
          <w:ilvl w:val="0"/>
          <w:numId w:val="25"/>
        </w:numPr>
        <w:ind w:firstLineChars="0"/>
        <w:rPr>
          <w:rFonts w:ascii="Times New Roman" w:hAnsi="Times New Roman" w:eastAsia="宋体" w:cs="Times New Roman"/>
        </w:rPr>
      </w:pPr>
      <w:r>
        <w:rPr>
          <w:rFonts w:hint="eastAsia" w:ascii="Times New Roman" w:hAnsi="Times New Roman" w:eastAsia="宋体" w:cs="Times New Roman"/>
        </w:rPr>
        <w:t>塔机开始顶升加节或降塔减节时，顶升横梁的爬爪需卡在标准节的踏步(2)上，同时将顶升横梁的防脱安全插销(4)插入爬爪的防脱销孔(3)内。</w:t>
      </w:r>
    </w:p>
    <w:p w14:paraId="5E624D2D">
      <w:pPr>
        <w:numPr>
          <w:ilvl w:val="0"/>
          <w:numId w:val="25"/>
        </w:numPr>
        <w:ind w:firstLineChars="0"/>
        <w:rPr>
          <w:rFonts w:ascii="Times New Roman" w:hAnsi="Times New Roman" w:eastAsia="宋体" w:cs="Times New Roman"/>
        </w:rPr>
      </w:pPr>
      <w:r>
        <w:rPr>
          <w:rFonts w:hint="eastAsia" w:ascii="Times New Roman" w:hAnsi="Times New Roman" w:eastAsia="宋体" w:cs="Times New Roman"/>
        </w:rPr>
        <w:t>在完成一个顶升步骤、顶升横梁要脱离标准节踏步时，须先将防脱安全插销(4)退出爬爪防脱销孔(3)，并固定在爬爪设置的插销孔(5)上。</w:t>
      </w:r>
    </w:p>
    <w:p w14:paraId="4309E894">
      <w:pPr>
        <w:numPr>
          <w:ilvl w:val="0"/>
          <w:numId w:val="25"/>
        </w:numPr>
        <w:ind w:firstLineChars="0"/>
        <w:rPr>
          <w:rFonts w:ascii="Times New Roman" w:hAnsi="Times New Roman" w:eastAsia="宋体" w:cs="Times New Roman"/>
        </w:rPr>
      </w:pPr>
      <w:r>
        <w:rPr>
          <w:rFonts w:hint="eastAsia" w:ascii="Times New Roman" w:hAnsi="Times New Roman" w:eastAsia="宋体" w:cs="Times New Roman"/>
        </w:rPr>
        <w:t>如此循环，将标节按照塔身高度陆续引进并固定。</w:t>
      </w:r>
    </w:p>
    <w:p w14:paraId="20F84E75">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641475" cy="1799590"/>
            <wp:effectExtent l="0" t="0" r="444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7"/>
                    <a:stretch>
                      <a:fillRect/>
                    </a:stretch>
                  </pic:blipFill>
                  <pic:spPr>
                    <a:xfrm>
                      <a:off x="0" y="0"/>
                      <a:ext cx="1641693" cy="1800000"/>
                    </a:xfrm>
                    <a:prstGeom prst="rect">
                      <a:avLst/>
                    </a:prstGeom>
                  </pic:spPr>
                </pic:pic>
              </a:graphicData>
            </a:graphic>
          </wp:inline>
        </w:drawing>
      </w:r>
    </w:p>
    <w:p w14:paraId="032546B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.2.7</w:t>
      </w:r>
      <w:r>
        <w:rPr>
          <w:rFonts w:hint="eastAsia" w:ascii="Times New Roman" w:hAnsi="Times New Roman" w:eastAsia="宋体" w:cs="Times New Roman"/>
          <w:lang w:val="en-US" w:eastAsia="zh-CN"/>
        </w:rPr>
        <w:t>-1防脱销装置</w:t>
      </w:r>
    </w:p>
    <w:p w14:paraId="10006BCD">
      <w:pPr>
        <w:ind w:firstLine="480"/>
        <w:rPr>
          <w:rFonts w:hint="eastAsia" w:ascii="Times New Roman" w:hAnsi="Times New Roman" w:eastAsia="宋体" w:cs="Times New Roman"/>
        </w:rPr>
      </w:pPr>
      <w:r>
        <w:rPr>
          <w:rFonts w:hint="eastAsia" w:ascii="Times New Roman" w:hAnsi="Times New Roman" w:eastAsia="宋体" w:cs="Times New Roman"/>
        </w:rPr>
        <w:t>防脱销轴未退出标准节防脱销孔，启动顶升机构强行使顶升横梁脱离标准节踏步会损坏防脱销轴。</w:t>
      </w:r>
    </w:p>
    <w:p w14:paraId="554090E2">
      <w:pPr>
        <w:pStyle w:val="4"/>
        <w:numPr>
          <w:ilvl w:val="2"/>
          <w:numId w:val="1"/>
        </w:numPr>
        <w:bidi w:val="0"/>
        <w:rPr>
          <w:lang w:val="en-US" w:eastAsia="zh-CN"/>
        </w:rPr>
      </w:pPr>
      <w:bookmarkStart w:id="101" w:name="_Toc24204"/>
      <w:bookmarkStart w:id="102" w:name="_Toc17383766"/>
      <w:bookmarkStart w:id="103" w:name="_Toc1385394900"/>
      <w:r>
        <w:rPr>
          <w:rFonts w:hint="eastAsia"/>
          <w:lang w:val="en-US" w:eastAsia="zh-CN"/>
        </w:rPr>
        <w:t>拆卸工艺</w:t>
      </w:r>
      <w:bookmarkEnd w:id="101"/>
    </w:p>
    <w:p w14:paraId="164643BE">
      <w:pPr>
        <w:pStyle w:val="5"/>
        <w:bidi w:val="0"/>
        <w:rPr>
          <w:lang w:val="en-US" w:eastAsia="zh-CN"/>
        </w:rPr>
      </w:pPr>
      <w:r>
        <w:rPr>
          <w:rFonts w:hint="eastAsia"/>
          <w:lang w:val="en-US" w:eastAsia="zh-CN"/>
        </w:rPr>
        <w:t>技术准备</w:t>
      </w:r>
      <w:bookmarkEnd w:id="102"/>
      <w:bookmarkEnd w:id="103"/>
    </w:p>
    <w:p w14:paraId="08AB39A4">
      <w:pPr>
        <w:keepNext w:val="0"/>
        <w:keepLines w:val="0"/>
        <w:pageBreakBefore w:val="0"/>
        <w:widowControl w:val="0"/>
        <w:numPr>
          <w:ilvl w:val="0"/>
          <w:numId w:val="0"/>
        </w:numPr>
        <w:kinsoku/>
        <w:wordWrap/>
        <w:overflowPunct/>
        <w:topLinePunct w:val="0"/>
        <w:autoSpaceDE/>
        <w:autoSpaceDN/>
        <w:bidi w:val="0"/>
        <w:adjustRightInd/>
        <w:snapToGrid/>
        <w:spacing w:after="0" w:afterLines="-2147483648" w:line="360" w:lineRule="auto"/>
        <w:ind w:firstLine="480" w:firstLineChars="200"/>
        <w:jc w:val="both"/>
        <w:textAlignment w:val="auto"/>
        <w:rPr>
          <w:rFonts w:hint="eastAsia" w:ascii="宋体" w:hAnsi="宋体" w:eastAsia="宋体" w:cs="宋体"/>
          <w:color w:val="auto"/>
          <w:kern w:val="0"/>
          <w:szCs w:val="24"/>
          <w:lang w:eastAsia="zh-CN"/>
        </w:rPr>
      </w:pPr>
      <w:bookmarkStart w:id="104" w:name="_Toc17383767"/>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1</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全体人员必须严格遵守施工现场各项安全规章制度。</w:t>
      </w:r>
    </w:p>
    <w:p w14:paraId="3AF26740">
      <w:pPr>
        <w:keepNext w:val="0"/>
        <w:keepLines w:val="0"/>
        <w:pageBreakBefore w:val="0"/>
        <w:widowControl w:val="0"/>
        <w:numPr>
          <w:ilvl w:val="0"/>
          <w:numId w:val="0"/>
        </w:numPr>
        <w:kinsoku/>
        <w:wordWrap/>
        <w:overflowPunct/>
        <w:topLinePunct w:val="0"/>
        <w:autoSpaceDE/>
        <w:autoSpaceDN/>
        <w:bidi w:val="0"/>
        <w:adjustRightInd/>
        <w:snapToGrid/>
        <w:spacing w:after="0" w:afterLines="-2147483648" w:line="360" w:lineRule="auto"/>
        <w:ind w:firstLine="480" w:firstLineChars="200"/>
        <w:jc w:val="both"/>
        <w:textAlignment w:val="auto"/>
        <w:rPr>
          <w:rFonts w:hint="eastAsia" w:ascii="宋体" w:hAnsi="宋体" w:eastAsia="宋体" w:cs="宋体"/>
          <w:color w:val="auto"/>
          <w:szCs w:val="22"/>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2</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作业之前，组织学习</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安全技术方案，对班组作业人员进行安全技术交底，对分项工作内容、技术要求、安全措施以及注意事项等进行单独</w:t>
      </w:r>
      <w:r>
        <w:rPr>
          <w:rFonts w:hint="eastAsia" w:ascii="宋体" w:hAnsi="宋体" w:eastAsia="宋体" w:cs="宋体"/>
          <w:color w:val="auto"/>
          <w:kern w:val="0"/>
          <w:szCs w:val="24"/>
        </w:rPr>
        <w:t>交底。</w:t>
      </w:r>
    </w:p>
    <w:p w14:paraId="6BA211D8">
      <w:pPr>
        <w:keepNext w:val="0"/>
        <w:keepLines w:val="0"/>
        <w:pageBreakBefore w:val="0"/>
        <w:widowControl w:val="0"/>
        <w:kinsoku/>
        <w:wordWrap/>
        <w:overflowPunct/>
        <w:topLinePunct w:val="0"/>
        <w:autoSpaceDE/>
        <w:autoSpaceDN/>
        <w:bidi w:val="0"/>
        <w:adjustRightInd/>
        <w:snapToGrid/>
        <w:spacing w:after="0" w:afterLines="-2147483648" w:line="360" w:lineRule="auto"/>
        <w:ind w:left="0" w:leftChars="0" w:firstLine="480" w:firstLineChars="200"/>
        <w:jc w:val="both"/>
        <w:textAlignment w:val="auto"/>
        <w:rPr>
          <w:rFonts w:hint="eastAsia" w:ascii="宋体" w:hAnsi="宋体" w:eastAsia="宋体" w:cs="宋体"/>
          <w:color w:val="auto"/>
          <w:szCs w:val="22"/>
        </w:rPr>
      </w:pPr>
      <w:r>
        <w:rPr>
          <w:rFonts w:hint="eastAsia" w:ascii="宋体" w:hAnsi="宋体" w:eastAsia="宋体" w:cs="宋体"/>
          <w:color w:val="auto"/>
          <w:szCs w:val="22"/>
        </w:rPr>
        <w:t>（3）对起重机</w:t>
      </w:r>
      <w:r>
        <w:rPr>
          <w:rFonts w:hint="eastAsia" w:ascii="宋体" w:hAnsi="宋体" w:eastAsia="宋体" w:cs="宋体"/>
          <w:color w:val="auto"/>
          <w:szCs w:val="22"/>
          <w:lang w:eastAsia="zh-CN"/>
        </w:rPr>
        <w:t>拆卸</w:t>
      </w:r>
      <w:r>
        <w:rPr>
          <w:rFonts w:hint="eastAsia" w:ascii="宋体" w:hAnsi="宋体" w:eastAsia="宋体" w:cs="宋体"/>
          <w:color w:val="auto"/>
          <w:szCs w:val="22"/>
        </w:rPr>
        <w:t>过程中需使用的工用索具进行清单列表。</w:t>
      </w:r>
    </w:p>
    <w:p w14:paraId="6957F5A6">
      <w:pPr>
        <w:keepNext w:val="0"/>
        <w:keepLines w:val="0"/>
        <w:pageBreakBefore w:val="0"/>
        <w:widowControl w:val="0"/>
        <w:kinsoku/>
        <w:wordWrap/>
        <w:overflowPunct/>
        <w:topLinePunct w:val="0"/>
        <w:autoSpaceDE/>
        <w:autoSpaceDN/>
        <w:bidi w:val="0"/>
        <w:adjustRightInd/>
        <w:snapToGrid/>
        <w:spacing w:after="0" w:afterLines="-2147483648" w:line="360" w:lineRule="auto"/>
        <w:ind w:left="0" w:leftChars="0" w:firstLine="480" w:firstLineChars="200"/>
        <w:jc w:val="both"/>
        <w:textAlignment w:val="auto"/>
        <w:rPr>
          <w:rFonts w:hint="eastAsia" w:ascii="宋体" w:hAnsi="宋体" w:eastAsia="宋体" w:cs="宋体"/>
          <w:color w:val="auto"/>
          <w:szCs w:val="22"/>
        </w:rPr>
      </w:pPr>
      <w:r>
        <w:rPr>
          <w:rFonts w:hint="eastAsia" w:ascii="宋体" w:hAnsi="宋体" w:eastAsia="宋体" w:cs="宋体"/>
          <w:color w:val="auto"/>
          <w:szCs w:val="22"/>
        </w:rPr>
        <w:t>（4）备齐设备</w:t>
      </w:r>
      <w:r>
        <w:rPr>
          <w:rFonts w:hint="eastAsia" w:ascii="宋体" w:hAnsi="宋体" w:eastAsia="宋体" w:cs="宋体"/>
          <w:color w:val="auto"/>
          <w:szCs w:val="22"/>
          <w:lang w:eastAsia="zh-CN"/>
        </w:rPr>
        <w:t>拆卸</w:t>
      </w:r>
      <w:r>
        <w:rPr>
          <w:rFonts w:hint="eastAsia" w:ascii="宋体" w:hAnsi="宋体" w:eastAsia="宋体" w:cs="宋体"/>
          <w:color w:val="auto"/>
          <w:szCs w:val="22"/>
        </w:rPr>
        <w:t>所需要的各种技术资料，以备查验。</w:t>
      </w:r>
    </w:p>
    <w:p w14:paraId="3BEE34A2">
      <w:pPr>
        <w:keepNext w:val="0"/>
        <w:keepLines w:val="0"/>
        <w:pageBreakBefore w:val="0"/>
        <w:widowControl w:val="0"/>
        <w:numPr>
          <w:ilvl w:val="0"/>
          <w:numId w:val="0"/>
        </w:numPr>
        <w:kinsoku/>
        <w:wordWrap/>
        <w:overflowPunct/>
        <w:topLinePunct w:val="0"/>
        <w:autoSpaceDE/>
        <w:autoSpaceDN/>
        <w:bidi w:val="0"/>
        <w:adjustRightInd/>
        <w:snapToGrid/>
        <w:spacing w:after="0" w:afterLines="-2147483648" w:line="360" w:lineRule="auto"/>
        <w:ind w:firstLine="480" w:firstLineChars="200"/>
        <w:jc w:val="both"/>
        <w:textAlignment w:val="auto"/>
        <w:rPr>
          <w:rFonts w:hint="eastAsia" w:ascii="宋体" w:hAnsi="宋体" w:eastAsia="宋体" w:cs="宋体"/>
          <w:color w:val="auto"/>
          <w:kern w:val="0"/>
          <w:szCs w:val="24"/>
          <w:lang w:eastAsia="zh-TW"/>
        </w:rPr>
      </w:pPr>
      <w:bookmarkStart w:id="105" w:name="_Toc1314383526"/>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5</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进入作业现场必须戴安全帽，施工人员均穿戴好安全用具，高空作业时要系好安全带，穿防滑鞋，安全带要系牢于身体上部牢固构件上，雨季应采取防滑措施。</w:t>
      </w:r>
    </w:p>
    <w:p w14:paraId="1B8B9694">
      <w:pPr>
        <w:keepNext w:val="0"/>
        <w:keepLines w:val="0"/>
        <w:pageBreakBefore w:val="0"/>
        <w:widowControl w:val="0"/>
        <w:numPr>
          <w:ilvl w:val="0"/>
          <w:numId w:val="0"/>
        </w:numPr>
        <w:kinsoku/>
        <w:wordWrap/>
        <w:overflowPunct/>
        <w:topLinePunct w:val="0"/>
        <w:autoSpaceDE/>
        <w:autoSpaceDN/>
        <w:bidi w:val="0"/>
        <w:adjustRightInd/>
        <w:snapToGrid/>
        <w:spacing w:after="0" w:afterLines="-2147483648" w:line="360" w:lineRule="auto"/>
        <w:ind w:firstLine="480" w:firstLineChars="200"/>
        <w:jc w:val="both"/>
        <w:textAlignment w:val="auto"/>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6</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作业人员必须遵守高空作业规则，严禁酒后上岗及高空抛物等一些不安全</w:t>
      </w:r>
      <w:r>
        <w:rPr>
          <w:rFonts w:hint="eastAsia" w:ascii="宋体" w:hAnsi="宋体" w:eastAsia="宋体" w:cs="宋体"/>
          <w:color w:val="auto"/>
          <w:kern w:val="0"/>
          <w:szCs w:val="24"/>
        </w:rPr>
        <w:t>行</w:t>
      </w:r>
      <w:r>
        <w:rPr>
          <w:rFonts w:hint="eastAsia" w:ascii="宋体" w:hAnsi="宋体" w:eastAsia="宋体" w:cs="宋体"/>
          <w:color w:val="auto"/>
          <w:kern w:val="0"/>
          <w:szCs w:val="24"/>
          <w:lang w:eastAsia="zh-TW"/>
        </w:rPr>
        <w:t>为，各类安全用具及配件均用工具袋携带，并用绳子吊上，放置于安全的地方，安装时遇六级以上风力和大雨天气禁止作业。</w:t>
      </w:r>
    </w:p>
    <w:p w14:paraId="661ED841">
      <w:pPr>
        <w:keepNext w:val="0"/>
        <w:keepLines w:val="0"/>
        <w:pageBreakBefore w:val="0"/>
        <w:widowControl w:val="0"/>
        <w:numPr>
          <w:ilvl w:val="0"/>
          <w:numId w:val="0"/>
        </w:numPr>
        <w:kinsoku/>
        <w:wordWrap/>
        <w:overflowPunct/>
        <w:topLinePunct w:val="0"/>
        <w:autoSpaceDE/>
        <w:autoSpaceDN/>
        <w:bidi w:val="0"/>
        <w:adjustRightInd/>
        <w:snapToGrid/>
        <w:spacing w:after="0" w:afterLines="-2147483648" w:line="360" w:lineRule="auto"/>
        <w:ind w:firstLine="480" w:firstLineChars="200"/>
        <w:jc w:val="both"/>
        <w:textAlignment w:val="auto"/>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7</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对长大物件吊点位置选择应准确，保证被吊物件平衡，起吊前应先用稳固绳把两端栓牢，防止重物旋转、摆动和碰撞。施工人员应听从专人指挥，吊运构件应缓慢，构件</w:t>
      </w:r>
      <w:r>
        <w:rPr>
          <w:rFonts w:hint="eastAsia" w:ascii="宋体" w:hAnsi="宋体" w:eastAsia="宋体" w:cs="宋体"/>
          <w:color w:val="auto"/>
          <w:kern w:val="0"/>
          <w:szCs w:val="24"/>
          <w:lang w:eastAsia="zh-CN"/>
        </w:rPr>
        <w:t>拆</w:t>
      </w:r>
      <w:r>
        <w:rPr>
          <w:rFonts w:hint="eastAsia" w:ascii="宋体" w:hAnsi="宋体" w:eastAsia="宋体" w:cs="宋体"/>
          <w:color w:val="auto"/>
          <w:kern w:val="0"/>
          <w:szCs w:val="24"/>
          <w:lang w:eastAsia="zh-TW"/>
        </w:rPr>
        <w:t>吊过程应用缆风绳牵引，防止空中转动。</w:t>
      </w:r>
    </w:p>
    <w:p w14:paraId="78ED3843">
      <w:pPr>
        <w:pStyle w:val="5"/>
        <w:bidi w:val="0"/>
        <w:rPr>
          <w:lang w:val="en-US" w:eastAsia="zh-CN"/>
        </w:rPr>
      </w:pPr>
      <w:r>
        <w:rPr>
          <w:rFonts w:hint="eastAsia"/>
          <w:lang w:val="en-US" w:eastAsia="zh-CN"/>
        </w:rPr>
        <w:t>现场准备</w:t>
      </w:r>
      <w:bookmarkEnd w:id="104"/>
      <w:bookmarkEnd w:id="105"/>
    </w:p>
    <w:p w14:paraId="25F62150">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（1）</w:t>
      </w:r>
      <w:r>
        <w:rPr>
          <w:rFonts w:ascii="Times New Roman" w:hAnsi="Times New Roman" w:eastAsia="宋体" w:cs="Times New Roman"/>
          <w:color w:val="auto"/>
          <w:szCs w:val="22"/>
        </w:rPr>
        <w:t>根据施工现场情况，确定</w:t>
      </w:r>
      <w:r>
        <w:rPr>
          <w:rFonts w:hint="eastAsia" w:ascii="Times New Roman" w:hAnsi="Times New Roman" w:eastAsia="宋体" w:cs="Times New Roman"/>
          <w:color w:val="auto"/>
          <w:szCs w:val="22"/>
          <w:lang w:val="en-US" w:eastAsia="zh-CN"/>
        </w:rPr>
        <w:t>塔机拆卸时各部件的堆放</w:t>
      </w:r>
      <w:r>
        <w:rPr>
          <w:rFonts w:ascii="Times New Roman" w:hAnsi="Times New Roman" w:eastAsia="宋体" w:cs="Times New Roman"/>
          <w:color w:val="auto"/>
          <w:szCs w:val="22"/>
        </w:rPr>
        <w:t>位置</w:t>
      </w:r>
      <w:r>
        <w:rPr>
          <w:rFonts w:hint="eastAsia" w:ascii="Times New Roman" w:hAnsi="Times New Roman" w:eastAsia="宋体" w:cs="Times New Roman"/>
          <w:color w:val="auto"/>
          <w:szCs w:val="22"/>
        </w:rPr>
        <w:t>和</w:t>
      </w:r>
      <w:r>
        <w:rPr>
          <w:rFonts w:ascii="Times New Roman" w:hAnsi="Times New Roman" w:eastAsia="宋体" w:cs="Times New Roman"/>
          <w:color w:val="auto"/>
          <w:szCs w:val="22"/>
        </w:rPr>
        <w:t>施工工具存放地点。</w:t>
      </w:r>
    </w:p>
    <w:p w14:paraId="35E2F777">
      <w:pPr>
        <w:spacing w:after="0" w:afterLines="-2147483648" w:line="360" w:lineRule="auto"/>
        <w:ind w:firstLine="480"/>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rPr>
        <w:t>（2）</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场地选择：场地选择要求平整开阔，地基牢实，四周无影响施工的障碍物</w:t>
      </w:r>
      <w:r>
        <w:rPr>
          <w:rFonts w:hint="eastAsia" w:ascii="Times New Roman" w:hAnsi="Times New Roman" w:eastAsia="宋体" w:cs="Times New Roman"/>
          <w:color w:val="auto"/>
          <w:szCs w:val="22"/>
          <w:lang w:eastAsia="zh-CN"/>
        </w:rPr>
        <w:t>。</w:t>
      </w:r>
    </w:p>
    <w:p w14:paraId="4800A355">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（3）</w:t>
      </w:r>
      <w:r>
        <w:rPr>
          <w:rFonts w:ascii="Times New Roman" w:hAnsi="Times New Roman" w:eastAsia="宋体" w:cs="Times New Roman"/>
          <w:color w:val="auto"/>
          <w:szCs w:val="22"/>
        </w:rPr>
        <w:t>根据</w:t>
      </w:r>
      <w:r>
        <w:rPr>
          <w:rFonts w:hint="eastAsia" w:ascii="Times New Roman" w:hAnsi="Times New Roman" w:eastAsia="宋体" w:cs="Times New Roman"/>
          <w:color w:val="auto"/>
          <w:szCs w:val="22"/>
          <w:lang w:val="en-US" w:eastAsia="zh-CN"/>
        </w:rPr>
        <w:t>塔</w:t>
      </w:r>
      <w:r>
        <w:rPr>
          <w:rFonts w:ascii="Times New Roman" w:hAnsi="Times New Roman" w:eastAsia="宋体" w:cs="Times New Roman"/>
          <w:color w:val="auto"/>
          <w:szCs w:val="22"/>
        </w:rPr>
        <w:t>机</w:t>
      </w:r>
      <w:r>
        <w:rPr>
          <w:rFonts w:hint="eastAsia" w:ascii="Times New Roman" w:hAnsi="Times New Roman" w:eastAsia="宋体" w:cs="Times New Roman"/>
          <w:color w:val="auto"/>
          <w:szCs w:val="22"/>
          <w:lang w:eastAsia="zh-CN"/>
        </w:rPr>
        <w:t>拆卸</w:t>
      </w:r>
      <w:r>
        <w:rPr>
          <w:rFonts w:ascii="Times New Roman" w:hAnsi="Times New Roman" w:eastAsia="宋体" w:cs="Times New Roman"/>
          <w:color w:val="auto"/>
          <w:szCs w:val="22"/>
        </w:rPr>
        <w:t>计划安排，</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作业人员提前进入施工现场，勘察作业环境、道路、电源及照明设施。</w:t>
      </w:r>
    </w:p>
    <w:p w14:paraId="0E9AE83B">
      <w:pPr>
        <w:spacing w:after="0" w:afterLines="-2147483648" w:line="360" w:lineRule="auto"/>
        <w:ind w:firstLine="480"/>
        <w:jc w:val="both"/>
        <w:rPr>
          <w:rFonts w:ascii="Times New Roman" w:hAnsi="Times New Roman" w:eastAsia="宋体" w:cs="Times New Roman"/>
          <w:color w:val="auto"/>
          <w:kern w:val="0"/>
          <w:szCs w:val="22"/>
        </w:rPr>
      </w:pPr>
      <w:r>
        <w:rPr>
          <w:rFonts w:hint="eastAsia" w:ascii="Times New Roman" w:hAnsi="Times New Roman" w:eastAsia="宋体" w:cs="Times New Roman"/>
          <w:color w:val="auto"/>
          <w:szCs w:val="22"/>
        </w:rPr>
        <w:t>（4）对</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现场进行清理，将现场的建筑材料、泥土、废料废物等杂物清扫干净。同时拉起安全警戒线，闲杂人员在安装</w:t>
      </w:r>
      <w:r>
        <w:rPr>
          <w:rFonts w:hint="eastAsia" w:ascii="Times New Roman" w:hAnsi="Times New Roman" w:eastAsia="宋体" w:cs="Times New Roman"/>
          <w:color w:val="auto"/>
          <w:kern w:val="0"/>
          <w:szCs w:val="22"/>
        </w:rPr>
        <w:t>范围一律不准通行，同时设置安全专职人员负责值班警戒。</w:t>
      </w:r>
    </w:p>
    <w:p w14:paraId="6C884EA2">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5</w:t>
      </w:r>
      <w:r>
        <w:rPr>
          <w:rFonts w:hint="eastAsia" w:ascii="Times New Roman" w:hAnsi="Times New Roman" w:eastAsia="宋体" w:cs="Times New Roman"/>
          <w:color w:val="auto"/>
          <w:szCs w:val="22"/>
        </w:rPr>
        <w:t>）</w:t>
      </w:r>
      <w:r>
        <w:rPr>
          <w:rFonts w:ascii="Times New Roman" w:hAnsi="Times New Roman" w:eastAsia="宋体" w:cs="Times New Roman"/>
          <w:color w:val="auto"/>
          <w:szCs w:val="22"/>
        </w:rPr>
        <w:t>备好施工机具、工具和安全防护用品</w:t>
      </w:r>
      <w:r>
        <w:rPr>
          <w:rFonts w:hint="eastAsia" w:ascii="Times New Roman" w:hAnsi="Times New Roman" w:eastAsia="宋体" w:cs="Times New Roman"/>
          <w:color w:val="auto"/>
          <w:szCs w:val="22"/>
        </w:rPr>
        <w:t>。做到吊</w:t>
      </w:r>
      <w:r>
        <w:rPr>
          <w:rFonts w:hint="eastAsia" w:ascii="Times New Roman" w:hAnsi="Times New Roman" w:eastAsia="宋体" w:cs="Times New Roman"/>
          <w:color w:val="auto"/>
          <w:szCs w:val="22"/>
          <w:lang w:eastAsia="zh-CN"/>
        </w:rPr>
        <w:t>拆</w:t>
      </w:r>
      <w:r>
        <w:rPr>
          <w:rFonts w:hint="eastAsia" w:ascii="Times New Roman" w:hAnsi="Times New Roman" w:eastAsia="宋体" w:cs="Times New Roman"/>
          <w:color w:val="auto"/>
          <w:szCs w:val="22"/>
        </w:rPr>
        <w:t>前后检查、每班前检查，严格执行相关标准，对存在安全隐患的工索具应禁止使用，达到报废条件的，应立即报废并销毁，禁止再次使用。</w:t>
      </w:r>
    </w:p>
    <w:p w14:paraId="1D54F112">
      <w:pPr>
        <w:spacing w:after="0" w:afterLines="-2147483648" w:line="360" w:lineRule="auto"/>
        <w:ind w:firstLine="480"/>
        <w:jc w:val="both"/>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lang w:val="en-US" w:eastAsia="zh-CN"/>
        </w:rPr>
        <w:t>6</w:t>
      </w:r>
      <w:r>
        <w:rPr>
          <w:rFonts w:hint="eastAsia" w:ascii="Times New Roman" w:hAnsi="Times New Roman" w:eastAsia="宋体" w:cs="Times New Roman"/>
          <w:color w:val="auto"/>
          <w:szCs w:val="22"/>
          <w:lang w:eastAsia="zh-CN"/>
        </w:rPr>
        <w:t>）拆卸前</w:t>
      </w:r>
      <w:r>
        <w:rPr>
          <w:rFonts w:hint="eastAsia" w:ascii="Times New Roman" w:hAnsi="Times New Roman" w:eastAsia="宋体" w:cs="Times New Roman"/>
          <w:color w:val="auto"/>
          <w:szCs w:val="22"/>
        </w:rPr>
        <w:t>，需对</w:t>
      </w:r>
      <w:r>
        <w:rPr>
          <w:rFonts w:hint="eastAsia" w:ascii="Times New Roman" w:hAnsi="Times New Roman" w:eastAsia="宋体" w:cs="Times New Roman"/>
          <w:color w:val="auto"/>
          <w:szCs w:val="22"/>
          <w:lang w:eastAsia="zh-CN"/>
        </w:rPr>
        <w:t>整机</w:t>
      </w:r>
      <w:r>
        <w:rPr>
          <w:rFonts w:hint="eastAsia" w:ascii="Times New Roman" w:hAnsi="Times New Roman" w:eastAsia="宋体" w:cs="Times New Roman"/>
          <w:color w:val="auto"/>
          <w:szCs w:val="22"/>
        </w:rPr>
        <w:t>进行</w:t>
      </w:r>
      <w:r>
        <w:rPr>
          <w:rFonts w:hint="eastAsia" w:ascii="Times New Roman" w:hAnsi="Times New Roman" w:eastAsia="宋体" w:cs="Times New Roman"/>
          <w:color w:val="auto"/>
          <w:szCs w:val="22"/>
          <w:lang w:eastAsia="zh-CN"/>
        </w:rPr>
        <w:t>安全查</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在满足拆卸的条件下进行作业</w:t>
      </w:r>
      <w:r>
        <w:rPr>
          <w:rFonts w:hint="eastAsia" w:ascii="Times New Roman" w:hAnsi="Times New Roman" w:eastAsia="宋体" w:cs="Times New Roman"/>
          <w:color w:val="auto"/>
          <w:szCs w:val="22"/>
        </w:rPr>
        <w:t>。</w:t>
      </w:r>
    </w:p>
    <w:p w14:paraId="04C5F4CD">
      <w:pPr>
        <w:pStyle w:val="5"/>
        <w:bidi w:val="0"/>
        <w:rPr>
          <w:rFonts w:hint="eastAsia"/>
          <w:lang w:val="en-US" w:eastAsia="zh-CN"/>
        </w:rPr>
      </w:pPr>
      <w:bookmarkStart w:id="106" w:name="_Toc10754"/>
      <w:r>
        <w:rPr>
          <w:rFonts w:hint="eastAsia"/>
          <w:lang w:val="en-US" w:eastAsia="zh-CN"/>
        </w:rPr>
        <w:t>拆卸塔机的起重设备</w:t>
      </w:r>
      <w:bookmarkEnd w:id="106"/>
    </w:p>
    <w:p w14:paraId="2956AE04">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塔机的拆卸采用</w:t>
      </w:r>
      <w:r>
        <w:rPr>
          <w:rFonts w:hint="eastAsia" w:ascii="宋体" w:hAnsi="宋体" w:cs="宋体"/>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t汽车吊。汽车吊就位于</w:t>
      </w:r>
      <w:r>
        <w:rPr>
          <w:rFonts w:hint="eastAsia" w:ascii="宋体" w:hAnsi="宋体" w:cs="宋体"/>
          <w:color w:val="auto"/>
          <w:kern w:val="0"/>
          <w:sz w:val="24"/>
          <w:szCs w:val="24"/>
          <w:lang w:val="en-US" w:eastAsia="zh-CN" w:bidi="ar"/>
        </w:rPr>
        <w:t>地面</w:t>
      </w:r>
      <w:r>
        <w:rPr>
          <w:rFonts w:hint="eastAsia" w:ascii="宋体" w:hAnsi="宋体" w:eastAsia="宋体" w:cs="宋体"/>
          <w:color w:val="auto"/>
          <w:kern w:val="0"/>
          <w:sz w:val="24"/>
          <w:szCs w:val="24"/>
          <w:lang w:val="en-US" w:eastAsia="zh-CN" w:bidi="ar"/>
        </w:rPr>
        <w:t>上，可满足塔吊</w:t>
      </w:r>
      <w:r>
        <w:rPr>
          <w:rFonts w:hint="eastAsia" w:ascii="宋体" w:hAnsi="宋体" w:cs="宋体"/>
          <w:color w:val="auto"/>
          <w:kern w:val="0"/>
          <w:sz w:val="24"/>
          <w:szCs w:val="24"/>
          <w:lang w:val="en-US" w:eastAsia="zh-CN" w:bidi="ar"/>
        </w:rPr>
        <w:t>T7527-18</w:t>
      </w:r>
      <w:r>
        <w:rPr>
          <w:rFonts w:hint="eastAsia" w:ascii="宋体" w:hAnsi="宋体" w:eastAsia="宋体" w:cs="宋体"/>
          <w:color w:val="auto"/>
          <w:kern w:val="0"/>
          <w:sz w:val="24"/>
          <w:szCs w:val="24"/>
          <w:lang w:val="en-US" w:eastAsia="zh-CN" w:bidi="ar"/>
        </w:rPr>
        <w:t>塔机的</w:t>
      </w:r>
      <w:r>
        <w:rPr>
          <w:rFonts w:hint="eastAsia" w:ascii="宋体" w:hAnsi="宋体" w:cs="宋体"/>
          <w:color w:val="auto"/>
          <w:kern w:val="0"/>
          <w:sz w:val="24"/>
          <w:szCs w:val="24"/>
          <w:lang w:val="en-US" w:eastAsia="zh-CN" w:bidi="ar"/>
        </w:rPr>
        <w:t>拆除</w:t>
      </w:r>
      <w:r>
        <w:rPr>
          <w:rFonts w:hint="eastAsia" w:ascii="宋体" w:hAnsi="宋体" w:eastAsia="宋体" w:cs="宋体"/>
          <w:color w:val="auto"/>
          <w:kern w:val="0"/>
          <w:sz w:val="24"/>
          <w:szCs w:val="24"/>
          <w:lang w:val="en-US" w:eastAsia="zh-CN" w:bidi="ar"/>
        </w:rPr>
        <w:t>。（暂定，可根据现场实际情况选择合适的起重设备）。</w:t>
      </w:r>
    </w:p>
    <w:p w14:paraId="64DF4984">
      <w:pPr>
        <w:widowControl w:val="0"/>
        <w:spacing w:after="50" w:afterLines="50" w:line="240" w:lineRule="auto"/>
        <w:ind w:firstLine="0" w:firstLineChars="0"/>
        <w:jc w:val="center"/>
        <w:rPr>
          <w:rFonts w:ascii="Calibri" w:hAnsi="Calibri" w:eastAsia="仿宋" w:cs="仿宋"/>
          <w:kern w:val="3"/>
          <w:sz w:val="28"/>
          <w:szCs w:val="24"/>
          <w:lang w:val="en-US" w:eastAsia="zh-CN" w:bidi="ar-SA"/>
        </w:rPr>
      </w:pPr>
      <w:r>
        <w:drawing>
          <wp:inline distT="0" distB="0" distL="114300" distR="114300">
            <wp:extent cx="3454400" cy="3168650"/>
            <wp:effectExtent l="0" t="0" r="0" b="6350"/>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pic:cNvPicPr>
                      <a:picLocks noChangeAspect="1"/>
                    </pic:cNvPicPr>
                  </pic:nvPicPr>
                  <pic:blipFill>
                    <a:blip r:embed="rId78"/>
                    <a:stretch>
                      <a:fillRect/>
                    </a:stretch>
                  </pic:blipFill>
                  <pic:spPr>
                    <a:xfrm>
                      <a:off x="0" y="0"/>
                      <a:ext cx="3454400" cy="3168650"/>
                    </a:xfrm>
                    <a:prstGeom prst="rect">
                      <a:avLst/>
                    </a:prstGeom>
                    <a:noFill/>
                    <a:ln>
                      <a:noFill/>
                    </a:ln>
                  </pic:spPr>
                </pic:pic>
              </a:graphicData>
            </a:graphic>
          </wp:inline>
        </w:drawing>
      </w:r>
    </w:p>
    <w:p w14:paraId="08575C5E">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.4.3</w:t>
      </w:r>
      <w:r>
        <w:rPr>
          <w:rFonts w:hint="eastAsia" w:ascii="Times New Roman" w:hAnsi="Times New Roman" w:eastAsia="宋体" w:cs="Times New Roman"/>
          <w:lang w:val="en-US" w:eastAsia="zh-CN"/>
        </w:rPr>
        <w:t>-</w:t>
      </w:r>
      <w:r>
        <w:rPr>
          <w:rFonts w:hint="eastAsia" w:cs="Times New Roman"/>
          <w:lang w:val="en-US" w:eastAsia="zh-CN"/>
        </w:rPr>
        <w:t>1右5</w:t>
      </w:r>
      <w:r>
        <w:rPr>
          <w:rFonts w:hint="eastAsia" w:ascii="Times New Roman" w:hAnsi="Times New Roman" w:eastAsia="宋体" w:cs="Times New Roman"/>
          <w:lang w:val="en-US" w:eastAsia="zh-CN"/>
        </w:rPr>
        <w:t>#塔机拆卸汽车吊就位平面示意图</w:t>
      </w:r>
    </w:p>
    <w:p w14:paraId="0012775C">
      <w:pPr>
        <w:pStyle w:val="5"/>
        <w:bidi w:val="0"/>
        <w:rPr>
          <w:rFonts w:hint="eastAsia"/>
          <w:lang w:val="en-US" w:eastAsia="zh-CN"/>
        </w:rPr>
      </w:pPr>
      <w:bookmarkStart w:id="107" w:name="_Toc1802698076"/>
      <w:bookmarkStart w:id="108" w:name="_Toc17383774"/>
      <w:bookmarkStart w:id="109" w:name="_Toc21790"/>
      <w:r>
        <w:rPr>
          <w:rFonts w:hint="eastAsia"/>
          <w:lang w:val="en-US" w:eastAsia="zh-CN"/>
        </w:rPr>
        <w:t>塔式起重机拆卸</w:t>
      </w:r>
      <w:bookmarkEnd w:id="107"/>
      <w:bookmarkEnd w:id="108"/>
      <w:r>
        <w:rPr>
          <w:rFonts w:hint="eastAsia"/>
          <w:lang w:val="en-US" w:eastAsia="zh-CN"/>
        </w:rPr>
        <w:t>工艺流程</w:t>
      </w:r>
      <w:bookmarkEnd w:id="109"/>
      <w:r>
        <w:rPr>
          <w:rFonts w:hint="eastAsia"/>
          <w:lang w:val="en-US" w:eastAsia="zh-CN"/>
        </w:rPr>
        <w:t xml:space="preserve"> </w:t>
      </w:r>
    </w:p>
    <w:p w14:paraId="2BF51884">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塔机的拆卸方法与安装方法基本相同，只是工作程序与安装时相反，即先装的后拆，后装的先拆，但是，在拆卸过程中不能马虎大意，否则会发生安全事故。</w:t>
      </w:r>
    </w:p>
    <w:p w14:paraId="7DBD01F2">
      <w:pPr>
        <w:pStyle w:val="5"/>
        <w:bidi w:val="0"/>
        <w:rPr>
          <w:rFonts w:hint="eastAsia"/>
          <w:lang w:val="en-US" w:eastAsia="zh-CN"/>
        </w:rPr>
      </w:pPr>
      <w:bookmarkStart w:id="110" w:name="_Toc1247271456"/>
      <w:bookmarkStart w:id="111" w:name="_Toc7090"/>
      <w:r>
        <w:rPr>
          <w:rFonts w:hint="eastAsia"/>
          <w:lang w:val="en-US" w:eastAsia="zh-CN"/>
        </w:rPr>
        <w:t>施工流程及方法</w:t>
      </w:r>
      <w:bookmarkEnd w:id="110"/>
      <w:bookmarkEnd w:id="111"/>
    </w:p>
    <w:p w14:paraId="5529B60A">
      <w:pPr>
        <w:widowControl w:val="0"/>
        <w:spacing w:after="50" w:afterLines="50" w:line="240" w:lineRule="auto"/>
        <w:ind w:firstLine="0" w:firstLineChars="0"/>
        <w:jc w:val="center"/>
        <w:rPr>
          <w:rFonts w:hint="eastAsia" w:ascii="宋体" w:hAnsi="宋体" w:eastAsia="宋体" w:cs="宋体"/>
          <w:b/>
          <w:color w:val="auto"/>
          <w:kern w:val="2"/>
          <w:sz w:val="24"/>
          <w:szCs w:val="24"/>
          <w:lang w:val="en-US" w:eastAsia="zh-CN" w:bidi="ar-SA"/>
        </w:rPr>
      </w:pPr>
      <w:r>
        <w:drawing>
          <wp:inline distT="0" distB="0" distL="114300" distR="114300">
            <wp:extent cx="4276725" cy="4200525"/>
            <wp:effectExtent l="0" t="0" r="952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8"/>
                    <a:stretch>
                      <a:fillRect/>
                    </a:stretch>
                  </pic:blipFill>
                  <pic:spPr>
                    <a:xfrm>
                      <a:off x="0" y="0"/>
                      <a:ext cx="4276725" cy="4200525"/>
                    </a:xfrm>
                    <a:prstGeom prst="rect">
                      <a:avLst/>
                    </a:prstGeom>
                    <a:noFill/>
                    <a:ln>
                      <a:noFill/>
                    </a:ln>
                  </pic:spPr>
                </pic:pic>
              </a:graphicData>
            </a:graphic>
          </wp:inline>
        </w:drawing>
      </w:r>
    </w:p>
    <w:p w14:paraId="78952058">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.4.5</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 xml:space="preserve"> T7527-18型塔机拆塔示意图</w:t>
      </w:r>
    </w:p>
    <w:p w14:paraId="3779F854">
      <w:pPr>
        <w:bidi w:val="0"/>
        <w:rPr>
          <w:rFonts w:hint="eastAsia"/>
          <w:lang w:val="en-US" w:eastAsia="zh-CN"/>
        </w:rPr>
      </w:pPr>
      <w:r>
        <w:rPr>
          <w:rFonts w:hint="eastAsia"/>
          <w:lang w:val="en-US" w:eastAsia="zh-CN"/>
        </w:rPr>
        <w:t>（1）拆除注意事项</w:t>
      </w:r>
    </w:p>
    <w:p w14:paraId="595E466A">
      <w:pPr>
        <w:bidi w:val="0"/>
        <w:rPr>
          <w:rFonts w:hint="default"/>
          <w:lang w:val="zh-CN" w:eastAsia="zh-CN"/>
        </w:rPr>
      </w:pPr>
      <w:r>
        <w:rPr>
          <w:rFonts w:hint="eastAsia"/>
          <w:lang w:val="en-US" w:eastAsia="zh-CN"/>
        </w:rPr>
        <w:t>①</w:t>
      </w:r>
      <w:r>
        <w:rPr>
          <w:rFonts w:hint="default"/>
          <w:lang w:val="zh-CN" w:eastAsia="zh-CN"/>
        </w:rPr>
        <w:t>拆卸作业前必须仔细阅读本说明书，并按本说明书中拆卸顺序进行；</w:t>
      </w:r>
    </w:p>
    <w:p w14:paraId="11B0511C">
      <w:pPr>
        <w:bidi w:val="0"/>
        <w:rPr>
          <w:rFonts w:hint="default"/>
          <w:lang w:val="zh-CN" w:eastAsia="zh-CN"/>
        </w:rPr>
      </w:pPr>
      <w:r>
        <w:rPr>
          <w:rFonts w:hint="eastAsia"/>
          <w:lang w:val="en-US" w:eastAsia="zh-CN"/>
        </w:rPr>
        <w:t>②</w:t>
      </w:r>
      <w:r>
        <w:rPr>
          <w:rFonts w:hint="default"/>
          <w:lang w:val="zh-CN" w:eastAsia="zh-CN"/>
        </w:rPr>
        <w:t>拆卸必须由专业且富有经验的安装人员进行，拆卸时必须要有固定的地面指挥人员，安装人员要在拆卸过程中认真负责，注意各种作业的安全规程；</w:t>
      </w:r>
    </w:p>
    <w:p w14:paraId="65E4EEF3">
      <w:pPr>
        <w:bidi w:val="0"/>
        <w:rPr>
          <w:rFonts w:hint="default"/>
          <w:lang w:val="zh-CN" w:eastAsia="zh-CN"/>
        </w:rPr>
      </w:pPr>
      <w:r>
        <w:rPr>
          <w:rFonts w:hint="eastAsia"/>
          <w:lang w:val="en-US" w:eastAsia="zh-CN"/>
        </w:rPr>
        <w:t>③</w:t>
      </w:r>
      <w:r>
        <w:rPr>
          <w:rFonts w:hint="default"/>
          <w:lang w:val="zh-CN" w:eastAsia="zh-CN"/>
        </w:rPr>
        <w:t>在风速超过10m/s的情况下塔机不得进行拆卸作业；</w:t>
      </w:r>
    </w:p>
    <w:p w14:paraId="5806F640">
      <w:pPr>
        <w:bidi w:val="0"/>
        <w:rPr>
          <w:rFonts w:hint="default"/>
          <w:lang w:val="zh-CN" w:eastAsia="zh-CN"/>
        </w:rPr>
      </w:pPr>
      <w:r>
        <w:rPr>
          <w:rFonts w:hint="eastAsia"/>
          <w:lang w:val="en-US" w:eastAsia="zh-CN"/>
        </w:rPr>
        <w:t>④</w:t>
      </w:r>
      <w:r>
        <w:rPr>
          <w:rFonts w:hint="default"/>
          <w:lang w:val="zh-CN" w:eastAsia="zh-CN"/>
        </w:rPr>
        <w:t>使用辅助汽车吊拆卸塔机时必须注意安全：</w:t>
      </w:r>
    </w:p>
    <w:p w14:paraId="0BFE0300">
      <w:pPr>
        <w:bidi w:val="0"/>
        <w:rPr>
          <w:rFonts w:hint="default"/>
          <w:lang w:val="zh-CN" w:eastAsia="zh-CN"/>
        </w:rPr>
      </w:pPr>
      <w:r>
        <w:rPr>
          <w:rFonts w:hint="eastAsia"/>
          <w:lang w:val="en-US" w:eastAsia="zh-CN"/>
        </w:rPr>
        <w:t>1）</w:t>
      </w:r>
      <w:r>
        <w:rPr>
          <w:rFonts w:hint="default"/>
          <w:lang w:val="zh-CN" w:eastAsia="zh-CN"/>
        </w:rPr>
        <w:t>将汽车吊支好；</w:t>
      </w:r>
    </w:p>
    <w:p w14:paraId="5048B2F5">
      <w:pPr>
        <w:bidi w:val="0"/>
        <w:rPr>
          <w:rFonts w:hint="default"/>
          <w:lang w:val="zh-CN" w:eastAsia="zh-CN"/>
        </w:rPr>
      </w:pPr>
      <w:r>
        <w:rPr>
          <w:rFonts w:hint="eastAsia"/>
          <w:lang w:val="en-US" w:eastAsia="zh-CN"/>
        </w:rPr>
        <w:t>2）</w:t>
      </w:r>
      <w:r>
        <w:rPr>
          <w:rFonts w:hint="default"/>
          <w:lang w:val="zh-CN" w:eastAsia="zh-CN"/>
        </w:rPr>
        <w:t>严禁超载；</w:t>
      </w:r>
    </w:p>
    <w:p w14:paraId="07152E30">
      <w:pPr>
        <w:bidi w:val="0"/>
        <w:rPr>
          <w:rFonts w:hint="eastAsia"/>
          <w:lang w:val="en-US" w:eastAsia="zh-CN"/>
        </w:rPr>
      </w:pPr>
      <w:r>
        <w:rPr>
          <w:rFonts w:hint="eastAsia"/>
          <w:lang w:val="en-US" w:eastAsia="zh-CN"/>
        </w:rPr>
        <w:t>3）</w:t>
      </w:r>
      <w:r>
        <w:rPr>
          <w:rFonts w:hint="default"/>
          <w:lang w:val="zh-CN" w:eastAsia="zh-CN"/>
        </w:rPr>
        <w:t>吊具良好，并根据起吊部件重量选择合适的幅度，注意吊点位置。</w:t>
      </w:r>
    </w:p>
    <w:p w14:paraId="7D7FBD15">
      <w:pPr>
        <w:pStyle w:val="5"/>
        <w:bidi w:val="0"/>
        <w:rPr>
          <w:rFonts w:hint="eastAsia"/>
          <w:lang w:val="en-US" w:eastAsia="zh-CN"/>
        </w:rPr>
      </w:pPr>
      <w:bookmarkStart w:id="112" w:name="_Toc1012592669"/>
      <w:bookmarkStart w:id="113" w:name="_Toc17383782"/>
      <w:r>
        <w:rPr>
          <w:rFonts w:hint="eastAsia"/>
          <w:lang w:val="en-US" w:eastAsia="zh-CN"/>
        </w:rPr>
        <w:t>塔身拆除</w:t>
      </w:r>
    </w:p>
    <w:p w14:paraId="12395AD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（1）将起重臂回转到引进方向（套架中有开口的一侧），使回转制动器处于制动状态，载重小车停在配平位置（与立塔顶升加节时载重小车的配平位置一致）；</w:t>
      </w:r>
    </w:p>
    <w:p w14:paraId="1E039C9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将套架的四个角用销轴锁定，拆掉最上面塔身标准节与下支座的连接销轴，稍稍向上顶升，将单轨小车吊链安装固定在标准节吊装位置处，并保证安全可靠；然后拆掉最上面的塔身标准节与下一节标准节的连接销轴；</w:t>
      </w:r>
    </w:p>
    <w:p w14:paraId="6F100AD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（3）伸长顶升油缸，将顶升横梁顶在从上往下数第三个踏步的圆弧槽内，将上部结构顶起；</w:t>
      </w:r>
    </w:p>
    <w:p w14:paraId="3352BC0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（4）移动单轨小车， 将最上一节标准节沿引进梁移出；</w:t>
      </w:r>
    </w:p>
    <w:p w14:paraId="23768368">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（5）扳开挂靴，回缩油缸， 继续下降至挂靴支承在套架横梁上并支承住上部结构后，再回缩油缸， 至下一标准节与顶升套架相接触时为止；</w:t>
      </w:r>
    </w:p>
    <w:p w14:paraId="111F2449">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（6）顶升套架与塔身标准节之间用销轴连接好后，用小车吊钩将标准节吊至桥面。</w:t>
      </w:r>
    </w:p>
    <w:p w14:paraId="05D8010F">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（7）重复上述动作，将塔身标准节依次拆下。</w:t>
      </w:r>
    </w:p>
    <w:p w14:paraId="597608A8">
      <w:pPr>
        <w:spacing w:after="0" w:afterLines="-2147483648" w:line="360" w:lineRule="auto"/>
        <w:ind w:firstLine="480" w:firstLineChars="200"/>
        <w:jc w:val="both"/>
        <w:rPr>
          <w:rFonts w:hint="eastAsia" w:ascii="宋体" w:hAnsi="宋体" w:eastAsia="宋体" w:cs="宋体"/>
          <w:b/>
          <w:color w:val="auto"/>
          <w:sz w:val="24"/>
          <w:szCs w:val="24"/>
          <w:lang w:val="en-US" w:eastAsia="zh-CN"/>
        </w:rPr>
      </w:pPr>
      <w:r>
        <w:rPr>
          <w:rFonts w:hint="eastAsia" w:ascii="宋体" w:hAnsi="宋体" w:eastAsia="宋体" w:cs="宋体"/>
          <w:color w:val="auto"/>
          <w:sz w:val="24"/>
          <w:szCs w:val="24"/>
          <w:lang w:val="en-US" w:eastAsia="zh-CN"/>
        </w:rPr>
        <w:t>（8）塔身拆卸至安装高度后，若要继续拆塔，必须借助起重设备先拆卸平衡臂上的平衡重。</w:t>
      </w:r>
    </w:p>
    <w:p w14:paraId="411EAE1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注意：套架的下落过程中，需用人工翻转挂靴，同时派专人看管顶升横梁和导轮，观察套架下降时有无被障碍物卡住的现象。以便套架能顺利下降。</w:t>
      </w:r>
    </w:p>
    <w:p w14:paraId="3F27C003">
      <w:pPr>
        <w:pStyle w:val="5"/>
        <w:bidi w:val="0"/>
        <w:rPr>
          <w:rFonts w:hint="eastAsia"/>
          <w:lang w:val="en-US" w:eastAsia="zh-CN"/>
        </w:rPr>
      </w:pPr>
      <w:r>
        <w:rPr>
          <w:rFonts w:hint="eastAsia"/>
          <w:lang w:val="en-US" w:eastAsia="zh-CN"/>
        </w:rPr>
        <w:t>平衡臂配重拆除</w:t>
      </w:r>
    </w:p>
    <w:p w14:paraId="416F34BC">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将载重小车固定在起重臂根部，借助汽车吊拆卸配重。</w:t>
      </w:r>
    </w:p>
    <w:p w14:paraId="56D03254">
      <w:pPr>
        <w:spacing w:after="0" w:afterLines="-2147483648" w:line="360" w:lineRule="auto"/>
        <w:ind w:firstLine="480" w:firstLineChars="200"/>
        <w:jc w:val="both"/>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保留靠近回转塔身侧两块平衡重，拆除平衡臂尾部的其余平衡重</w:t>
      </w:r>
      <w:r>
        <w:rPr>
          <w:rFonts w:hint="eastAsia" w:ascii="宋体" w:hAnsi="宋体" w:cs="宋体"/>
          <w:color w:val="auto"/>
          <w:sz w:val="24"/>
          <w:szCs w:val="24"/>
          <w:lang w:val="en-US" w:eastAsia="zh-CN"/>
        </w:rPr>
        <w:t>。</w:t>
      </w:r>
    </w:p>
    <w:p w14:paraId="3589ED73">
      <w:pPr>
        <w:numPr>
          <w:ilvl w:val="0"/>
          <w:numId w:val="0"/>
        </w:numPr>
        <w:bidi w:val="0"/>
        <w:jc w:val="center"/>
      </w:pPr>
      <w:r>
        <w:drawing>
          <wp:inline distT="0" distB="0" distL="114300" distR="114300">
            <wp:extent cx="6105525" cy="2455545"/>
            <wp:effectExtent l="0" t="0" r="3175" b="8255"/>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79"/>
                    <a:stretch>
                      <a:fillRect/>
                    </a:stretch>
                  </pic:blipFill>
                  <pic:spPr>
                    <a:xfrm>
                      <a:off x="0" y="0"/>
                      <a:ext cx="6105525" cy="2455545"/>
                    </a:xfrm>
                    <a:prstGeom prst="rect">
                      <a:avLst/>
                    </a:prstGeom>
                    <a:noFill/>
                    <a:ln>
                      <a:noFill/>
                    </a:ln>
                  </pic:spPr>
                </pic:pic>
              </a:graphicData>
            </a:graphic>
          </wp:inline>
        </w:drawing>
      </w:r>
      <w:r>
        <w:drawing>
          <wp:inline distT="0" distB="0" distL="114300" distR="114300">
            <wp:extent cx="4914900" cy="3663950"/>
            <wp:effectExtent l="0" t="0" r="0" b="6350"/>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80"/>
                    <a:stretch>
                      <a:fillRect/>
                    </a:stretch>
                  </pic:blipFill>
                  <pic:spPr>
                    <a:xfrm>
                      <a:off x="0" y="0"/>
                      <a:ext cx="4914900" cy="3663950"/>
                    </a:xfrm>
                    <a:prstGeom prst="rect">
                      <a:avLst/>
                    </a:prstGeom>
                    <a:noFill/>
                    <a:ln>
                      <a:noFill/>
                    </a:ln>
                  </pic:spPr>
                </pic:pic>
              </a:graphicData>
            </a:graphic>
          </wp:inline>
        </w:drawing>
      </w:r>
    </w:p>
    <w:p w14:paraId="61699C8C">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.4.8</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拆除平衡重至剩余两块</w:t>
      </w:r>
    </w:p>
    <w:p w14:paraId="7CC6C158">
      <w:pPr>
        <w:spacing w:after="0" w:afterLines="-2147483648" w:line="360" w:lineRule="auto"/>
        <w:ind w:firstLine="480" w:firstLineChars="200"/>
        <w:jc w:val="both"/>
        <w:rPr>
          <w:rFonts w:hint="eastAsia" w:ascii="宋体" w:hAnsi="宋体" w:cs="宋体"/>
          <w:color w:val="auto"/>
          <w:sz w:val="24"/>
          <w:szCs w:val="24"/>
          <w:lang w:val="en-US" w:eastAsia="zh-CN"/>
        </w:rPr>
      </w:pPr>
    </w:p>
    <w:p w14:paraId="11B95FA5">
      <w:pPr>
        <w:pStyle w:val="5"/>
        <w:bidi w:val="0"/>
        <w:rPr>
          <w:rFonts w:hint="eastAsia"/>
          <w:lang w:val="en-US" w:eastAsia="zh-CN"/>
        </w:rPr>
      </w:pPr>
      <w:r>
        <w:rPr>
          <w:rFonts w:hint="eastAsia"/>
          <w:lang w:val="en-US" w:eastAsia="zh-CN"/>
        </w:rPr>
        <w:t>拆除起重臂的第四节臂端节</w:t>
      </w:r>
    </w:p>
    <w:p w14:paraId="2F932A10">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14:paraId="5AA6180F">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14:paraId="2BB7E40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轻轻提起起重臂,慢慢启动起升机构，拆掉起重臂与臂根的连接销；</w:t>
      </w:r>
    </w:p>
    <w:p w14:paraId="5657D3DB">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放下起重臂,并搁在垫有枕木的支座上。</w:t>
      </w:r>
    </w:p>
    <w:p w14:paraId="4793A77C">
      <w:pPr>
        <w:widowControl w:val="0"/>
        <w:spacing w:after="120" w:afterLines="50" w:line="360" w:lineRule="auto"/>
        <w:ind w:left="0" w:leftChars="0" w:firstLine="0" w:firstLineChars="0"/>
        <w:jc w:val="center"/>
        <w:rPr>
          <w:rFonts w:hint="eastAsia" w:ascii="宋体" w:hAnsi="宋体" w:eastAsia="宋体" w:cs="宋体"/>
          <w:b/>
          <w:bCs/>
          <w:kern w:val="2"/>
          <w:sz w:val="24"/>
          <w:szCs w:val="24"/>
          <w:lang w:val="en-US" w:eastAsia="zh-CN" w:bidi="ar-SA"/>
        </w:rPr>
      </w:pPr>
      <w:r>
        <w:drawing>
          <wp:inline distT="0" distB="0" distL="114300" distR="114300">
            <wp:extent cx="5600700" cy="3035300"/>
            <wp:effectExtent l="0" t="0" r="0" b="0"/>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81"/>
                    <a:stretch>
                      <a:fillRect/>
                    </a:stretch>
                  </pic:blipFill>
                  <pic:spPr>
                    <a:xfrm>
                      <a:off x="0" y="0"/>
                      <a:ext cx="5600700" cy="3035300"/>
                    </a:xfrm>
                    <a:prstGeom prst="rect">
                      <a:avLst/>
                    </a:prstGeom>
                    <a:noFill/>
                    <a:ln>
                      <a:noFill/>
                    </a:ln>
                  </pic:spPr>
                </pic:pic>
              </a:graphicData>
            </a:graphic>
          </wp:inline>
        </w:drawing>
      </w:r>
      <w:r>
        <w:drawing>
          <wp:inline distT="0" distB="0" distL="114300" distR="114300">
            <wp:extent cx="4349750" cy="3225800"/>
            <wp:effectExtent l="0" t="0" r="6350" b="0"/>
            <wp:docPr id="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pic:cNvPicPr>
                      <a:picLocks noChangeAspect="1"/>
                    </pic:cNvPicPr>
                  </pic:nvPicPr>
                  <pic:blipFill>
                    <a:blip r:embed="rId82"/>
                    <a:stretch>
                      <a:fillRect/>
                    </a:stretch>
                  </pic:blipFill>
                  <pic:spPr>
                    <a:xfrm>
                      <a:off x="0" y="0"/>
                      <a:ext cx="4349750" cy="3225800"/>
                    </a:xfrm>
                    <a:prstGeom prst="rect">
                      <a:avLst/>
                    </a:prstGeom>
                    <a:noFill/>
                    <a:ln>
                      <a:noFill/>
                    </a:ln>
                  </pic:spPr>
                </pic:pic>
              </a:graphicData>
            </a:graphic>
          </wp:inline>
        </w:drawing>
      </w:r>
    </w:p>
    <w:p w14:paraId="1D9C52A1">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.4.9</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拆除起重臂第四节示意图</w:t>
      </w:r>
    </w:p>
    <w:p w14:paraId="6029B22D">
      <w:pPr>
        <w:pStyle w:val="5"/>
        <w:bidi w:val="0"/>
        <w:rPr>
          <w:rFonts w:hint="eastAsia"/>
          <w:lang w:val="en-US" w:eastAsia="zh-CN"/>
        </w:rPr>
      </w:pPr>
      <w:r>
        <w:rPr>
          <w:rFonts w:hint="eastAsia"/>
          <w:lang w:val="en-US" w:eastAsia="zh-CN"/>
        </w:rPr>
        <w:t>拆除剩下的两块平衡重</w:t>
      </w:r>
    </w:p>
    <w:p w14:paraId="27DE30C6">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将剩余的配重吊下，然后通过平衡臂上的四个安装吊耳吊起平衡臂，使平衡臂拉杆处于放松状态，拆下拉杆连接销轴。然后拆掉平衡臂与上支座的连接销，将平衡臂平稳放至地面上。</w:t>
      </w:r>
    </w:p>
    <w:p w14:paraId="7120DE52">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6101080" cy="2747645"/>
            <wp:effectExtent l="0" t="0" r="7620" b="8255"/>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83"/>
                    <a:stretch>
                      <a:fillRect/>
                    </a:stretch>
                  </pic:blipFill>
                  <pic:spPr>
                    <a:xfrm>
                      <a:off x="0" y="0"/>
                      <a:ext cx="6101080" cy="2747645"/>
                    </a:xfrm>
                    <a:prstGeom prst="rect">
                      <a:avLst/>
                    </a:prstGeom>
                    <a:noFill/>
                    <a:ln>
                      <a:noFill/>
                    </a:ln>
                  </pic:spPr>
                </pic:pic>
              </a:graphicData>
            </a:graphic>
          </wp:inline>
        </w:drawing>
      </w:r>
      <w:r>
        <w:drawing>
          <wp:inline distT="0" distB="0" distL="114300" distR="114300">
            <wp:extent cx="5715000" cy="2806700"/>
            <wp:effectExtent l="0" t="0" r="0" b="0"/>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pic:cNvPicPr>
                      <a:picLocks noChangeAspect="1"/>
                    </pic:cNvPicPr>
                  </pic:nvPicPr>
                  <pic:blipFill>
                    <a:blip r:embed="rId84"/>
                    <a:stretch>
                      <a:fillRect/>
                    </a:stretch>
                  </pic:blipFill>
                  <pic:spPr>
                    <a:xfrm>
                      <a:off x="0" y="0"/>
                      <a:ext cx="5715000" cy="2806700"/>
                    </a:xfrm>
                    <a:prstGeom prst="rect">
                      <a:avLst/>
                    </a:prstGeom>
                    <a:noFill/>
                    <a:ln>
                      <a:noFill/>
                    </a:ln>
                  </pic:spPr>
                </pic:pic>
              </a:graphicData>
            </a:graphic>
          </wp:inline>
        </w:drawing>
      </w:r>
    </w:p>
    <w:p w14:paraId="067DE31B">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.4.10</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 xml:space="preserve"> 拆除剩下平衡重示意图</w:t>
      </w:r>
    </w:p>
    <w:p w14:paraId="130617C3">
      <w:pPr>
        <w:pStyle w:val="5"/>
        <w:bidi w:val="0"/>
        <w:rPr>
          <w:rFonts w:hint="default"/>
          <w:lang w:val="en-US" w:eastAsia="zh-CN"/>
        </w:rPr>
      </w:pPr>
      <w:r>
        <w:rPr>
          <w:rFonts w:hint="eastAsia"/>
          <w:lang w:val="en-US" w:eastAsia="zh-CN"/>
        </w:rPr>
        <w:t>拆卸起升机构</w:t>
      </w:r>
    </w:p>
    <w:p w14:paraId="6FADA1A8">
      <w:pPr>
        <w:jc w:val="center"/>
        <w:rPr>
          <w:rFonts w:hint="default"/>
          <w:lang w:val="en-US" w:eastAsia="zh-CN"/>
        </w:rPr>
      </w:pPr>
      <w:r>
        <w:drawing>
          <wp:inline distT="0" distB="0" distL="114300" distR="114300">
            <wp:extent cx="4991100" cy="3835400"/>
            <wp:effectExtent l="0" t="0" r="0" b="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85"/>
                    <a:stretch>
                      <a:fillRect/>
                    </a:stretch>
                  </pic:blipFill>
                  <pic:spPr>
                    <a:xfrm>
                      <a:off x="0" y="0"/>
                      <a:ext cx="4991100" cy="3835400"/>
                    </a:xfrm>
                    <a:prstGeom prst="rect">
                      <a:avLst/>
                    </a:prstGeom>
                    <a:noFill/>
                    <a:ln>
                      <a:noFill/>
                    </a:ln>
                  </pic:spPr>
                </pic:pic>
              </a:graphicData>
            </a:graphic>
          </wp:inline>
        </w:drawing>
      </w:r>
      <w:r>
        <w:drawing>
          <wp:inline distT="0" distB="0" distL="114300" distR="114300">
            <wp:extent cx="4083050" cy="3282950"/>
            <wp:effectExtent l="0" t="0" r="6350" b="6350"/>
            <wp:docPr id="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
                    <pic:cNvPicPr>
                      <a:picLocks noChangeAspect="1"/>
                    </pic:cNvPicPr>
                  </pic:nvPicPr>
                  <pic:blipFill>
                    <a:blip r:embed="rId86"/>
                    <a:stretch>
                      <a:fillRect/>
                    </a:stretch>
                  </pic:blipFill>
                  <pic:spPr>
                    <a:xfrm>
                      <a:off x="0" y="0"/>
                      <a:ext cx="4083050" cy="3282950"/>
                    </a:xfrm>
                    <a:prstGeom prst="rect">
                      <a:avLst/>
                    </a:prstGeom>
                    <a:noFill/>
                    <a:ln>
                      <a:noFill/>
                    </a:ln>
                  </pic:spPr>
                </pic:pic>
              </a:graphicData>
            </a:graphic>
          </wp:inline>
        </w:drawing>
      </w:r>
    </w:p>
    <w:p w14:paraId="51DF1D3D">
      <w:pPr>
        <w:pStyle w:val="5"/>
        <w:bidi w:val="0"/>
        <w:rPr>
          <w:rFonts w:hint="default"/>
          <w:lang w:val="en-US" w:eastAsia="zh-CN"/>
        </w:rPr>
      </w:pPr>
      <w:r>
        <w:rPr>
          <w:rFonts w:hint="eastAsia"/>
          <w:lang w:val="en-US" w:eastAsia="zh-CN"/>
        </w:rPr>
        <w:t>拆卸平衡臂</w:t>
      </w:r>
    </w:p>
    <w:p w14:paraId="1A8CF433">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14:paraId="7E2513C4">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轻轻提起平衡臂,慢慢启动起升机构，拆掉平衡臂与臂根的连接销；</w:t>
      </w:r>
    </w:p>
    <w:p w14:paraId="51930404">
      <w:pPr>
        <w:rPr>
          <w:rFonts w:hint="default"/>
          <w:lang w:val="en-US" w:eastAsia="zh-CN"/>
        </w:rPr>
      </w:pPr>
      <w:r>
        <w:rPr>
          <w:rFonts w:hint="eastAsia" w:ascii="宋体" w:hAnsi="宋体" w:eastAsia="宋体" w:cs="宋体"/>
          <w:color w:val="auto"/>
          <w:sz w:val="24"/>
          <w:szCs w:val="24"/>
          <w:lang w:val="en-US" w:eastAsia="zh-CN"/>
        </w:rPr>
        <w:t>放下平衡臂,并搁在垫有枕木的支座上。</w:t>
      </w:r>
    </w:p>
    <w:p w14:paraId="43552781">
      <w:pPr>
        <w:jc w:val="center"/>
      </w:pPr>
      <w:r>
        <w:drawing>
          <wp:inline distT="0" distB="0" distL="114300" distR="114300">
            <wp:extent cx="6102985" cy="2827020"/>
            <wp:effectExtent l="0" t="0" r="5715" b="5080"/>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87"/>
                    <a:stretch>
                      <a:fillRect/>
                    </a:stretch>
                  </pic:blipFill>
                  <pic:spPr>
                    <a:xfrm>
                      <a:off x="0" y="0"/>
                      <a:ext cx="6102985" cy="2827020"/>
                    </a:xfrm>
                    <a:prstGeom prst="rect">
                      <a:avLst/>
                    </a:prstGeom>
                    <a:noFill/>
                    <a:ln>
                      <a:noFill/>
                    </a:ln>
                  </pic:spPr>
                </pic:pic>
              </a:graphicData>
            </a:graphic>
          </wp:inline>
        </w:drawing>
      </w:r>
      <w:r>
        <w:drawing>
          <wp:inline distT="0" distB="0" distL="114300" distR="114300">
            <wp:extent cx="4186555" cy="3664585"/>
            <wp:effectExtent l="0" t="0" r="4445" b="5715"/>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88"/>
                    <a:stretch>
                      <a:fillRect/>
                    </a:stretch>
                  </pic:blipFill>
                  <pic:spPr>
                    <a:xfrm>
                      <a:off x="0" y="0"/>
                      <a:ext cx="4186555" cy="3664585"/>
                    </a:xfrm>
                    <a:prstGeom prst="rect">
                      <a:avLst/>
                    </a:prstGeom>
                    <a:noFill/>
                    <a:ln>
                      <a:noFill/>
                    </a:ln>
                  </pic:spPr>
                </pic:pic>
              </a:graphicData>
            </a:graphic>
          </wp:inline>
        </w:drawing>
      </w:r>
      <w:r>
        <w:drawing>
          <wp:inline distT="0" distB="0" distL="114300" distR="114300">
            <wp:extent cx="6107430" cy="3455670"/>
            <wp:effectExtent l="0" t="0" r="1270" b="11430"/>
            <wp:docPr id="8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7"/>
                    <pic:cNvPicPr>
                      <a:picLocks noChangeAspect="1"/>
                    </pic:cNvPicPr>
                  </pic:nvPicPr>
                  <pic:blipFill>
                    <a:blip r:embed="rId89"/>
                    <a:stretch>
                      <a:fillRect/>
                    </a:stretch>
                  </pic:blipFill>
                  <pic:spPr>
                    <a:xfrm>
                      <a:off x="0" y="0"/>
                      <a:ext cx="6107430" cy="3455670"/>
                    </a:xfrm>
                    <a:prstGeom prst="rect">
                      <a:avLst/>
                    </a:prstGeom>
                    <a:noFill/>
                    <a:ln>
                      <a:noFill/>
                    </a:ln>
                  </pic:spPr>
                </pic:pic>
              </a:graphicData>
            </a:graphic>
          </wp:inline>
        </w:drawing>
      </w:r>
      <w:r>
        <w:drawing>
          <wp:inline distT="0" distB="0" distL="114300" distR="114300">
            <wp:extent cx="5397500" cy="3035300"/>
            <wp:effectExtent l="0" t="0" r="0" b="0"/>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ChangeAspect="1"/>
                    </pic:cNvPicPr>
                  </pic:nvPicPr>
                  <pic:blipFill>
                    <a:blip r:embed="rId90"/>
                    <a:stretch>
                      <a:fillRect/>
                    </a:stretch>
                  </pic:blipFill>
                  <pic:spPr>
                    <a:xfrm>
                      <a:off x="0" y="0"/>
                      <a:ext cx="5397500" cy="3035300"/>
                    </a:xfrm>
                    <a:prstGeom prst="rect">
                      <a:avLst/>
                    </a:prstGeom>
                    <a:noFill/>
                    <a:ln>
                      <a:noFill/>
                    </a:ln>
                  </pic:spPr>
                </pic:pic>
              </a:graphicData>
            </a:graphic>
          </wp:inline>
        </w:drawing>
      </w:r>
    </w:p>
    <w:p w14:paraId="46A2CAC3">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.4.11</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 xml:space="preserve"> 拆除平衡臂示意图</w:t>
      </w:r>
    </w:p>
    <w:p w14:paraId="0F990BF5">
      <w:pPr>
        <w:pStyle w:val="5"/>
        <w:bidi w:val="0"/>
        <w:rPr>
          <w:rFonts w:hint="default"/>
          <w:lang w:val="zh-CN" w:eastAsia="zh-CN"/>
        </w:rPr>
      </w:pPr>
      <w:r>
        <w:rPr>
          <w:rFonts w:hint="default"/>
          <w:lang w:val="zh-CN" w:eastAsia="zh-CN"/>
        </w:rPr>
        <w:t>拆除起重臂第一节至第三节</w:t>
      </w:r>
    </w:p>
    <w:p w14:paraId="4E70B7F5">
      <w:pPr>
        <w:bidi w:val="0"/>
        <w:rPr>
          <w:rFonts w:hint="eastAsia"/>
          <w:lang w:val="en-US" w:eastAsia="zh-CN"/>
        </w:rPr>
      </w:pPr>
      <w:r>
        <w:rPr>
          <w:rFonts w:hint="eastAsia"/>
          <w:lang w:val="en-US" w:eastAsia="zh-CN"/>
        </w:rPr>
        <w:t>根据安装时的吊点位置挂绳；</w:t>
      </w:r>
    </w:p>
    <w:p w14:paraId="288092C9">
      <w:pPr>
        <w:bidi w:val="0"/>
        <w:rPr>
          <w:rFonts w:hint="eastAsia"/>
          <w:lang w:val="en-US" w:eastAsia="zh-CN"/>
        </w:rPr>
      </w:pPr>
      <w:r>
        <w:rPr>
          <w:rFonts w:hint="eastAsia"/>
          <w:lang w:val="en-US" w:eastAsia="zh-CN"/>
        </w:rPr>
        <w:t>轻轻提起起重臂,慢慢启动起升机构，拆掉起重臂与臂根的连接销；</w:t>
      </w:r>
    </w:p>
    <w:p w14:paraId="17C934B4">
      <w:pPr>
        <w:bidi w:val="0"/>
        <w:rPr>
          <w:rFonts w:hint="eastAsia"/>
          <w:lang w:val="en-US" w:eastAsia="zh-CN"/>
        </w:rPr>
      </w:pPr>
      <w:r>
        <w:rPr>
          <w:rFonts w:hint="eastAsia"/>
          <w:lang w:val="en-US" w:eastAsia="zh-CN"/>
        </w:rPr>
        <w:t>放下起重臂,并搁在垫有枕木的支座上。</w:t>
      </w:r>
    </w:p>
    <w:p w14:paraId="249F8FED">
      <w:pPr>
        <w:numPr>
          <w:ilvl w:val="0"/>
          <w:numId w:val="0"/>
        </w:numPr>
        <w:bidi w:val="0"/>
        <w:jc w:val="center"/>
      </w:pPr>
      <w:r>
        <w:drawing>
          <wp:inline distT="0" distB="0" distL="114300" distR="114300">
            <wp:extent cx="4616450" cy="4368800"/>
            <wp:effectExtent l="0" t="0" r="6350" b="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91"/>
                    <a:stretch>
                      <a:fillRect/>
                    </a:stretch>
                  </pic:blipFill>
                  <pic:spPr>
                    <a:xfrm>
                      <a:off x="0" y="0"/>
                      <a:ext cx="4616450" cy="4368800"/>
                    </a:xfrm>
                    <a:prstGeom prst="rect">
                      <a:avLst/>
                    </a:prstGeom>
                    <a:noFill/>
                    <a:ln>
                      <a:noFill/>
                    </a:ln>
                  </pic:spPr>
                </pic:pic>
              </a:graphicData>
            </a:graphic>
          </wp:inline>
        </w:drawing>
      </w:r>
      <w:r>
        <w:drawing>
          <wp:inline distT="0" distB="0" distL="114300" distR="114300">
            <wp:extent cx="3505200" cy="2571750"/>
            <wp:effectExtent l="0" t="0" r="0" b="6350"/>
            <wp:docPr id="5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5"/>
                    <pic:cNvPicPr>
                      <a:picLocks noChangeAspect="1"/>
                    </pic:cNvPicPr>
                  </pic:nvPicPr>
                  <pic:blipFill>
                    <a:blip r:embed="rId92"/>
                    <a:stretch>
                      <a:fillRect/>
                    </a:stretch>
                  </pic:blipFill>
                  <pic:spPr>
                    <a:xfrm>
                      <a:off x="0" y="0"/>
                      <a:ext cx="3505200" cy="2571750"/>
                    </a:xfrm>
                    <a:prstGeom prst="rect">
                      <a:avLst/>
                    </a:prstGeom>
                    <a:noFill/>
                    <a:ln>
                      <a:noFill/>
                    </a:ln>
                  </pic:spPr>
                </pic:pic>
              </a:graphicData>
            </a:graphic>
          </wp:inline>
        </w:drawing>
      </w:r>
      <w:r>
        <w:drawing>
          <wp:inline distT="0" distB="0" distL="114300" distR="114300">
            <wp:extent cx="5181600" cy="4159250"/>
            <wp:effectExtent l="0" t="0" r="0" b="6350"/>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93"/>
                    <a:stretch>
                      <a:fillRect/>
                    </a:stretch>
                  </pic:blipFill>
                  <pic:spPr>
                    <a:xfrm>
                      <a:off x="0" y="0"/>
                      <a:ext cx="5181600" cy="4159250"/>
                    </a:xfrm>
                    <a:prstGeom prst="rect">
                      <a:avLst/>
                    </a:prstGeom>
                    <a:noFill/>
                    <a:ln>
                      <a:noFill/>
                    </a:ln>
                  </pic:spPr>
                </pic:pic>
              </a:graphicData>
            </a:graphic>
          </wp:inline>
        </w:drawing>
      </w:r>
      <w:r>
        <w:drawing>
          <wp:inline distT="0" distB="0" distL="114300" distR="114300">
            <wp:extent cx="4724400" cy="2762250"/>
            <wp:effectExtent l="0" t="0" r="0" b="635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pic:cNvPicPr>
                      <a:picLocks noChangeAspect="1"/>
                    </pic:cNvPicPr>
                  </pic:nvPicPr>
                  <pic:blipFill>
                    <a:blip r:embed="rId94"/>
                    <a:stretch>
                      <a:fillRect/>
                    </a:stretch>
                  </pic:blipFill>
                  <pic:spPr>
                    <a:xfrm>
                      <a:off x="0" y="0"/>
                      <a:ext cx="4724400" cy="2762250"/>
                    </a:xfrm>
                    <a:prstGeom prst="rect">
                      <a:avLst/>
                    </a:prstGeom>
                    <a:noFill/>
                    <a:ln>
                      <a:noFill/>
                    </a:ln>
                  </pic:spPr>
                </pic:pic>
              </a:graphicData>
            </a:graphic>
          </wp:inline>
        </w:drawing>
      </w:r>
      <w:r>
        <w:drawing>
          <wp:inline distT="0" distB="0" distL="114300" distR="114300">
            <wp:extent cx="3851275" cy="5075555"/>
            <wp:effectExtent l="0" t="0" r="15875" b="10795"/>
            <wp:docPr id="2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6"/>
                    <pic:cNvPicPr>
                      <a:picLocks noChangeAspect="1"/>
                    </pic:cNvPicPr>
                  </pic:nvPicPr>
                  <pic:blipFill>
                    <a:blip r:embed="rId95"/>
                    <a:stretch>
                      <a:fillRect/>
                    </a:stretch>
                  </pic:blipFill>
                  <pic:spPr>
                    <a:xfrm>
                      <a:off x="0" y="0"/>
                      <a:ext cx="3851275" cy="5075555"/>
                    </a:xfrm>
                    <a:prstGeom prst="rect">
                      <a:avLst/>
                    </a:prstGeom>
                    <a:noFill/>
                    <a:ln>
                      <a:noFill/>
                    </a:ln>
                  </pic:spPr>
                </pic:pic>
              </a:graphicData>
            </a:graphic>
          </wp:inline>
        </w:drawing>
      </w:r>
      <w:r>
        <w:drawing>
          <wp:inline distT="0" distB="0" distL="114300" distR="114300">
            <wp:extent cx="5276850" cy="2743200"/>
            <wp:effectExtent l="0" t="0" r="6350" b="0"/>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96"/>
                    <a:stretch>
                      <a:fillRect/>
                    </a:stretch>
                  </pic:blipFill>
                  <pic:spPr>
                    <a:xfrm>
                      <a:off x="0" y="0"/>
                      <a:ext cx="5276850" cy="2743200"/>
                    </a:xfrm>
                    <a:prstGeom prst="rect">
                      <a:avLst/>
                    </a:prstGeom>
                    <a:noFill/>
                    <a:ln>
                      <a:noFill/>
                    </a:ln>
                  </pic:spPr>
                </pic:pic>
              </a:graphicData>
            </a:graphic>
          </wp:inline>
        </w:drawing>
      </w:r>
    </w:p>
    <w:p w14:paraId="1C437651">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.4.12</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拆除起重臂</w:t>
      </w:r>
    </w:p>
    <w:p w14:paraId="178E398A">
      <w:pPr>
        <w:pStyle w:val="5"/>
        <w:bidi w:val="0"/>
        <w:rPr>
          <w:rFonts w:hint="default"/>
          <w:lang w:val="en-US" w:eastAsia="zh-CN"/>
        </w:rPr>
      </w:pPr>
      <w:r>
        <w:rPr>
          <w:rFonts w:hint="eastAsia"/>
          <w:lang w:val="en-US" w:eastAsia="zh-CN"/>
        </w:rPr>
        <w:t>拆卸回转塔身</w:t>
      </w:r>
    </w:p>
    <w:p w14:paraId="273FBC53">
      <w:pPr>
        <w:rPr>
          <w:rFonts w:hint="default"/>
          <w:lang w:val="en-US" w:eastAsia="zh-CN"/>
        </w:rPr>
      </w:pPr>
      <w:r>
        <w:rPr>
          <w:rFonts w:hint="default"/>
          <w:lang w:val="en-US" w:eastAsia="zh-CN"/>
        </w:rPr>
        <w:t>用可靠的吊索吊住回转塔身，拆除回转塔身与上支座的联接，然后将回转塔身缓慢起吊至地面安全放置。</w:t>
      </w:r>
    </w:p>
    <w:p w14:paraId="589EF6F9">
      <w:pPr>
        <w:bidi w:val="0"/>
        <w:jc w:val="center"/>
      </w:pPr>
      <w:r>
        <w:drawing>
          <wp:inline distT="0" distB="0" distL="114300" distR="114300">
            <wp:extent cx="3423920" cy="4787265"/>
            <wp:effectExtent l="0" t="0" r="5080" b="13335"/>
            <wp:docPr id="2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7"/>
                    <pic:cNvPicPr>
                      <a:picLocks noChangeAspect="1"/>
                    </pic:cNvPicPr>
                  </pic:nvPicPr>
                  <pic:blipFill>
                    <a:blip r:embed="rId97"/>
                    <a:stretch>
                      <a:fillRect/>
                    </a:stretch>
                  </pic:blipFill>
                  <pic:spPr>
                    <a:xfrm>
                      <a:off x="0" y="0"/>
                      <a:ext cx="3423920" cy="4787265"/>
                    </a:xfrm>
                    <a:prstGeom prst="rect">
                      <a:avLst/>
                    </a:prstGeom>
                    <a:noFill/>
                    <a:ln>
                      <a:noFill/>
                    </a:ln>
                  </pic:spPr>
                </pic:pic>
              </a:graphicData>
            </a:graphic>
          </wp:inline>
        </w:drawing>
      </w:r>
      <w:r>
        <w:drawing>
          <wp:inline distT="0" distB="0" distL="114300" distR="114300">
            <wp:extent cx="4216400" cy="3492500"/>
            <wp:effectExtent l="0" t="0" r="0" b="0"/>
            <wp:docPr id="6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8"/>
                    <pic:cNvPicPr>
                      <a:picLocks noChangeAspect="1"/>
                    </pic:cNvPicPr>
                  </pic:nvPicPr>
                  <pic:blipFill>
                    <a:blip r:embed="rId98"/>
                    <a:stretch>
                      <a:fillRect/>
                    </a:stretch>
                  </pic:blipFill>
                  <pic:spPr>
                    <a:xfrm>
                      <a:off x="0" y="0"/>
                      <a:ext cx="4216400" cy="3492500"/>
                    </a:xfrm>
                    <a:prstGeom prst="rect">
                      <a:avLst/>
                    </a:prstGeom>
                    <a:noFill/>
                    <a:ln>
                      <a:noFill/>
                    </a:ln>
                  </pic:spPr>
                </pic:pic>
              </a:graphicData>
            </a:graphic>
          </wp:inline>
        </w:drawing>
      </w:r>
    </w:p>
    <w:p w14:paraId="035B47CF">
      <w:pPr>
        <w:pStyle w:val="16"/>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.4.13</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拆除回转塔身</w:t>
      </w:r>
    </w:p>
    <w:p w14:paraId="3B0E9D8D">
      <w:pPr>
        <w:pStyle w:val="5"/>
        <w:bidi w:val="0"/>
        <w:rPr>
          <w:rFonts w:hint="eastAsia"/>
          <w:lang w:val="en-US" w:eastAsia="zh-CN"/>
        </w:rPr>
      </w:pPr>
      <w:bookmarkStart w:id="114" w:name="_Toc528139691"/>
      <w:r>
        <w:rPr>
          <w:rFonts w:hint="eastAsia"/>
          <w:lang w:val="en-US" w:eastAsia="zh-CN"/>
        </w:rPr>
        <w:t>拆卸回转总成（</w:t>
      </w:r>
      <w:r>
        <w:rPr>
          <w:rFonts w:hint="default"/>
          <w:lang w:val="zh-CN" w:eastAsia="zh-CN"/>
        </w:rPr>
        <w:t>包括回转上下支座、回转机构）及司机室</w:t>
      </w:r>
    </w:p>
    <w:p w14:paraId="550B8E69">
      <w:pPr>
        <w:bidi w:val="0"/>
        <w:rPr>
          <w:rFonts w:hint="default"/>
          <w:lang w:val="zh-CN" w:eastAsia="zh-CN"/>
        </w:rPr>
      </w:pPr>
      <w:r>
        <w:rPr>
          <w:rFonts w:hint="eastAsia"/>
          <w:lang w:val="en-US" w:eastAsia="zh-CN"/>
        </w:rPr>
        <w:t>（1）</w:t>
      </w:r>
      <w:r>
        <w:rPr>
          <w:rFonts w:hint="default"/>
          <w:lang w:val="zh-CN" w:eastAsia="zh-CN"/>
        </w:rPr>
        <w:t>拆掉下支座与塔身的连接销轴；</w:t>
      </w:r>
    </w:p>
    <w:p w14:paraId="57375A9E">
      <w:pPr>
        <w:bidi w:val="0"/>
        <w:rPr>
          <w:rFonts w:hint="default"/>
          <w:lang w:val="zh-CN" w:eastAsia="zh-CN"/>
        </w:rPr>
      </w:pPr>
      <w:r>
        <w:rPr>
          <w:rFonts w:hint="eastAsia"/>
          <w:lang w:val="en-US" w:eastAsia="zh-CN"/>
        </w:rPr>
        <w:t>（2）</w:t>
      </w:r>
      <w:r>
        <w:rPr>
          <w:rFonts w:hint="default"/>
          <w:lang w:val="zh-CN" w:eastAsia="zh-CN"/>
        </w:rPr>
        <w:t>伸长顶升油缸，将顶升横梁顶在加强节的顶升耳座内并稍稍顶紧；</w:t>
      </w:r>
    </w:p>
    <w:p w14:paraId="6C0614FB">
      <w:pPr>
        <w:bidi w:val="0"/>
        <w:rPr>
          <w:rFonts w:hint="default"/>
          <w:lang w:val="zh-CN" w:eastAsia="zh-CN"/>
        </w:rPr>
      </w:pPr>
      <w:r>
        <w:rPr>
          <w:rFonts w:hint="eastAsia"/>
          <w:lang w:val="en-US" w:eastAsia="zh-CN"/>
        </w:rPr>
        <w:t>（3）</w:t>
      </w:r>
      <w:r>
        <w:rPr>
          <w:rFonts w:hint="default"/>
          <w:lang w:val="zh-CN" w:eastAsia="zh-CN"/>
        </w:rPr>
        <w:t>拆掉下支座与顶升套架的连接销轴；</w:t>
      </w:r>
    </w:p>
    <w:p w14:paraId="0CFA6C8C">
      <w:pPr>
        <w:bidi w:val="0"/>
        <w:rPr>
          <w:rFonts w:hint="default"/>
          <w:lang w:val="zh-CN" w:eastAsia="zh-CN"/>
        </w:rPr>
      </w:pPr>
      <w:r>
        <w:rPr>
          <w:rFonts w:hint="eastAsia"/>
          <w:lang w:val="en-US" w:eastAsia="zh-CN"/>
        </w:rPr>
        <w:t>（4）</w:t>
      </w:r>
      <w:r>
        <w:rPr>
          <w:rFonts w:hint="default"/>
          <w:lang w:val="zh-CN" w:eastAsia="zh-CN"/>
        </w:rPr>
        <w:t>回缩顶升油缸，将套架制动块支承在塔身顶升耳座内；</w:t>
      </w:r>
    </w:p>
    <w:p w14:paraId="3E9F75C8">
      <w:pPr>
        <w:bidi w:val="0"/>
        <w:rPr>
          <w:rFonts w:hint="default"/>
          <w:lang w:val="zh-CN" w:eastAsia="zh-CN"/>
        </w:rPr>
      </w:pPr>
      <w:r>
        <w:rPr>
          <w:rFonts w:hint="eastAsia"/>
          <w:lang w:val="en-US" w:eastAsia="zh-CN"/>
        </w:rPr>
        <w:t>（5）</w:t>
      </w:r>
      <w:r>
        <w:rPr>
          <w:rFonts w:hint="default"/>
          <w:lang w:val="zh-CN" w:eastAsia="zh-CN"/>
        </w:rPr>
        <w:t>用吊索将回转总成吊起卸下，然后将回转总成缓慢起吊至地面安全放置；</w:t>
      </w:r>
    </w:p>
    <w:p w14:paraId="767D2E65">
      <w:pPr>
        <w:bidi w:val="0"/>
        <w:rPr>
          <w:rFonts w:hint="default"/>
          <w:lang w:val="zh-CN" w:eastAsia="zh-CN"/>
        </w:rPr>
      </w:pPr>
      <w:r>
        <w:rPr>
          <w:rFonts w:hint="eastAsia"/>
          <w:lang w:val="en-US" w:eastAsia="zh-CN"/>
        </w:rPr>
        <w:t>（6）</w:t>
      </w:r>
      <w:r>
        <w:rPr>
          <w:rFonts w:hint="default"/>
          <w:lang w:val="zh-CN" w:eastAsia="zh-CN"/>
        </w:rPr>
        <w:t>在地面将平台、司机室及司机室平台分别从回转总成上拆卸下来。</w:t>
      </w:r>
    </w:p>
    <w:p w14:paraId="613B64F7">
      <w:pPr>
        <w:widowControl w:val="0"/>
        <w:numPr>
          <w:ilvl w:val="2"/>
          <w:numId w:val="0"/>
        </w:numPr>
        <w:kinsoku/>
        <w:overflowPunct/>
        <w:autoSpaceDE/>
        <w:autoSpaceDN/>
        <w:adjustRightInd/>
        <w:snapToGrid/>
        <w:spacing w:before="50" w:beforeLines="50" w:after="50" w:afterLines="50" w:line="360" w:lineRule="auto"/>
        <w:ind w:firstLine="200" w:firstLineChars="0"/>
        <w:jc w:val="center"/>
        <w:outlineLvl w:val="9"/>
        <w:rPr>
          <w:rFonts w:hint="eastAsia" w:ascii="宋体" w:hAnsi="宋体" w:eastAsia="宋体" w:cs="宋体"/>
          <w:b/>
          <w:bCs/>
          <w:color w:val="1F3864"/>
          <w:kern w:val="2"/>
          <w:sz w:val="24"/>
          <w:szCs w:val="24"/>
          <w:lang w:val="en-US" w:eastAsia="zh-CN" w:bidi="ar-SA"/>
        </w:rPr>
      </w:pPr>
      <w:r>
        <w:drawing>
          <wp:inline distT="0" distB="0" distL="114300" distR="114300">
            <wp:extent cx="2485390" cy="3479165"/>
            <wp:effectExtent l="0" t="0" r="10160" b="6985"/>
            <wp:docPr id="2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8"/>
                    <pic:cNvPicPr>
                      <a:picLocks noChangeAspect="1"/>
                    </pic:cNvPicPr>
                  </pic:nvPicPr>
                  <pic:blipFill>
                    <a:blip r:embed="rId99"/>
                    <a:stretch>
                      <a:fillRect/>
                    </a:stretch>
                  </pic:blipFill>
                  <pic:spPr>
                    <a:xfrm>
                      <a:off x="0" y="0"/>
                      <a:ext cx="2485390" cy="3479165"/>
                    </a:xfrm>
                    <a:prstGeom prst="rect">
                      <a:avLst/>
                    </a:prstGeom>
                    <a:noFill/>
                    <a:ln>
                      <a:noFill/>
                    </a:ln>
                  </pic:spPr>
                </pic:pic>
              </a:graphicData>
            </a:graphic>
          </wp:inline>
        </w:drawing>
      </w:r>
      <w:r>
        <w:drawing>
          <wp:inline distT="0" distB="0" distL="114300" distR="114300">
            <wp:extent cx="4216400" cy="3492500"/>
            <wp:effectExtent l="0" t="0" r="0" b="0"/>
            <wp:docPr id="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9"/>
                    <pic:cNvPicPr>
                      <a:picLocks noChangeAspect="1"/>
                    </pic:cNvPicPr>
                  </pic:nvPicPr>
                  <pic:blipFill>
                    <a:blip r:embed="rId98"/>
                    <a:stretch>
                      <a:fillRect/>
                    </a:stretch>
                  </pic:blipFill>
                  <pic:spPr>
                    <a:xfrm>
                      <a:off x="0" y="0"/>
                      <a:ext cx="4216400" cy="3492500"/>
                    </a:xfrm>
                    <a:prstGeom prst="rect">
                      <a:avLst/>
                    </a:prstGeom>
                    <a:noFill/>
                    <a:ln>
                      <a:noFill/>
                    </a:ln>
                  </pic:spPr>
                </pic:pic>
              </a:graphicData>
            </a:graphic>
          </wp:inline>
        </w:drawing>
      </w:r>
    </w:p>
    <w:p w14:paraId="26DE287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4.5</w:t>
      </w:r>
      <w:r>
        <w:rPr>
          <w:rFonts w:hint="eastAsia" w:ascii="Times New Roman" w:hAnsi="Times New Roman" w:eastAsia="宋体" w:cs="Times New Roman"/>
          <w:lang w:val="en-US" w:eastAsia="zh-CN"/>
        </w:rPr>
        <w:fldChar w:fldCharType="end"/>
      </w:r>
      <w:r>
        <w:rPr>
          <w:rFonts w:hint="eastAsia" w:cs="Times New Roman"/>
          <w:lang w:val="en-US" w:eastAsia="zh-CN"/>
        </w:rPr>
        <w:t>.4.14</w:t>
      </w: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 xml:space="preserve"> 回转总成拆除示意图</w:t>
      </w:r>
    </w:p>
    <w:p w14:paraId="50A11AB0">
      <w:pPr>
        <w:pStyle w:val="5"/>
        <w:bidi w:val="0"/>
        <w:rPr>
          <w:rFonts w:hint="eastAsia"/>
          <w:lang w:val="en-US" w:eastAsia="zh-CN"/>
        </w:rPr>
      </w:pPr>
      <w:r>
        <w:rPr>
          <w:rFonts w:hint="eastAsia"/>
          <w:lang w:val="en-US" w:eastAsia="zh-CN"/>
        </w:rPr>
        <w:t>拆卸</w:t>
      </w:r>
      <w:bookmarkEnd w:id="114"/>
      <w:r>
        <w:rPr>
          <w:rFonts w:hint="eastAsia"/>
          <w:lang w:val="en-US" w:eastAsia="zh-CN"/>
        </w:rPr>
        <w:t>顶升套架及过渡节</w:t>
      </w:r>
    </w:p>
    <w:p w14:paraId="56D64DCD">
      <w:pPr>
        <w:bidi w:val="0"/>
        <w:rPr>
          <w:rFonts w:hint="default"/>
          <w:lang w:val="zh-CN" w:eastAsia="zh-CN"/>
        </w:rPr>
      </w:pPr>
      <w:r>
        <w:rPr>
          <w:rFonts w:hint="eastAsia"/>
          <w:lang w:val="en-US" w:eastAsia="zh-CN"/>
        </w:rPr>
        <w:t xml:space="preserve">（1） </w:t>
      </w:r>
      <w:bookmarkStart w:id="115" w:name="_Toc528139692"/>
      <w:r>
        <w:rPr>
          <w:rFonts w:hint="default"/>
          <w:lang w:val="zh-CN" w:eastAsia="zh-CN"/>
        </w:rPr>
        <w:t>吊起顶升套架，缓缓地沿着标准节主弦杆向上吊出，然后放至地面</w:t>
      </w:r>
      <w:r>
        <w:rPr>
          <w:rFonts w:hint="eastAsia"/>
          <w:lang w:val="zh-CN" w:eastAsia="zh-CN"/>
        </w:rPr>
        <w:t>；</w:t>
      </w:r>
    </w:p>
    <w:p w14:paraId="004BD34A">
      <w:pPr>
        <w:numPr>
          <w:ilvl w:val="0"/>
          <w:numId w:val="0"/>
        </w:numPr>
        <w:bidi w:val="0"/>
        <w:jc w:val="center"/>
      </w:pPr>
      <w:r>
        <w:drawing>
          <wp:inline distT="0" distB="0" distL="114300" distR="114300">
            <wp:extent cx="3246755" cy="4657090"/>
            <wp:effectExtent l="0" t="0" r="10795" b="10160"/>
            <wp:docPr id="2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9"/>
                    <pic:cNvPicPr>
                      <a:picLocks noChangeAspect="1"/>
                    </pic:cNvPicPr>
                  </pic:nvPicPr>
                  <pic:blipFill>
                    <a:blip r:embed="rId100"/>
                    <a:stretch>
                      <a:fillRect/>
                    </a:stretch>
                  </pic:blipFill>
                  <pic:spPr>
                    <a:xfrm>
                      <a:off x="0" y="0"/>
                      <a:ext cx="3246755" cy="4657090"/>
                    </a:xfrm>
                    <a:prstGeom prst="rect">
                      <a:avLst/>
                    </a:prstGeom>
                    <a:noFill/>
                    <a:ln>
                      <a:noFill/>
                    </a:ln>
                  </pic:spPr>
                </pic:pic>
              </a:graphicData>
            </a:graphic>
          </wp:inline>
        </w:drawing>
      </w:r>
      <w:r>
        <w:drawing>
          <wp:inline distT="0" distB="0" distL="114300" distR="114300">
            <wp:extent cx="4216400" cy="3492500"/>
            <wp:effectExtent l="0" t="0" r="0" b="0"/>
            <wp:docPr id="6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0"/>
                    <pic:cNvPicPr>
                      <a:picLocks noChangeAspect="1"/>
                    </pic:cNvPicPr>
                  </pic:nvPicPr>
                  <pic:blipFill>
                    <a:blip r:embed="rId98"/>
                    <a:stretch>
                      <a:fillRect/>
                    </a:stretch>
                  </pic:blipFill>
                  <pic:spPr>
                    <a:xfrm>
                      <a:off x="0" y="0"/>
                      <a:ext cx="4216400" cy="3492500"/>
                    </a:xfrm>
                    <a:prstGeom prst="rect">
                      <a:avLst/>
                    </a:prstGeom>
                    <a:noFill/>
                    <a:ln>
                      <a:noFill/>
                    </a:ln>
                  </pic:spPr>
                </pic:pic>
              </a:graphicData>
            </a:graphic>
          </wp:inline>
        </w:drawing>
      </w:r>
    </w:p>
    <w:p w14:paraId="29253918">
      <w:pPr>
        <w:pStyle w:val="16"/>
        <w:bidi w:val="0"/>
        <w:rPr>
          <w:rFonts w:hint="default" w:ascii="Times New Roman" w:hAnsi="Times New Roman" w:eastAsia="宋体" w:cs="Times New Roman"/>
          <w:lang w:val="zh-CN" w:eastAsia="zh-CN"/>
        </w:rPr>
      </w:pPr>
      <w:r>
        <w:rPr>
          <w:rFonts w:hint="eastAsia" w:ascii="Times New Roman" w:hAnsi="Times New Roman" w:eastAsia="宋体" w:cs="Times New Roman"/>
          <w:lang w:val="en-US" w:eastAsia="zh-CN"/>
        </w:rPr>
        <w:t>图4.5</w:t>
      </w:r>
      <w:r>
        <w:rPr>
          <w:rFonts w:hint="eastAsia" w:cs="Times New Roman"/>
          <w:lang w:val="en-US" w:eastAsia="zh-CN"/>
        </w:rPr>
        <w:t>.4.15</w:t>
      </w:r>
      <w:r>
        <w:rPr>
          <w:rFonts w:hint="eastAsia" w:ascii="Times New Roman" w:hAnsi="Times New Roman" w:eastAsia="宋体" w:cs="Times New Roman"/>
          <w:lang w:val="en-US" w:eastAsia="zh-CN"/>
        </w:rPr>
        <w:t>-1拆除套架</w:t>
      </w:r>
    </w:p>
    <w:p w14:paraId="24D2C556">
      <w:pPr>
        <w:numPr>
          <w:ilvl w:val="0"/>
          <w:numId w:val="0"/>
        </w:numPr>
        <w:bidi w:val="0"/>
        <w:jc w:val="center"/>
        <w:rPr>
          <w:rFonts w:hint="default"/>
          <w:lang w:val="zh-CN" w:eastAsia="zh-CN"/>
        </w:rPr>
      </w:pPr>
    </w:p>
    <w:p w14:paraId="5D30ACF0">
      <w:pPr>
        <w:bidi w:val="0"/>
        <w:rPr>
          <w:rFonts w:hint="default"/>
          <w:lang w:val="zh-CN" w:eastAsia="zh-CN"/>
        </w:rPr>
      </w:pPr>
      <w:r>
        <w:rPr>
          <w:rFonts w:hint="eastAsia"/>
          <w:lang w:val="en-US" w:eastAsia="zh-CN"/>
        </w:rPr>
        <w:t>（2）</w:t>
      </w:r>
      <w:r>
        <w:rPr>
          <w:rFonts w:hint="default"/>
          <w:lang w:val="zh-CN" w:eastAsia="zh-CN"/>
        </w:rPr>
        <w:t>拆除过渡节。</w:t>
      </w:r>
    </w:p>
    <w:p w14:paraId="1F158A37">
      <w:pPr>
        <w:bidi w:val="0"/>
        <w:jc w:val="center"/>
      </w:pPr>
      <w:r>
        <w:drawing>
          <wp:inline distT="0" distB="0" distL="114300" distR="114300">
            <wp:extent cx="3150870" cy="4435475"/>
            <wp:effectExtent l="0" t="0" r="11430" b="3175"/>
            <wp:docPr id="2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0"/>
                    <pic:cNvPicPr>
                      <a:picLocks noChangeAspect="1"/>
                    </pic:cNvPicPr>
                  </pic:nvPicPr>
                  <pic:blipFill>
                    <a:blip r:embed="rId101"/>
                    <a:stretch>
                      <a:fillRect/>
                    </a:stretch>
                  </pic:blipFill>
                  <pic:spPr>
                    <a:xfrm>
                      <a:off x="0" y="0"/>
                      <a:ext cx="3150870" cy="4435475"/>
                    </a:xfrm>
                    <a:prstGeom prst="rect">
                      <a:avLst/>
                    </a:prstGeom>
                    <a:noFill/>
                    <a:ln>
                      <a:noFill/>
                    </a:ln>
                  </pic:spPr>
                </pic:pic>
              </a:graphicData>
            </a:graphic>
          </wp:inline>
        </w:drawing>
      </w:r>
      <w:r>
        <w:drawing>
          <wp:inline distT="0" distB="0" distL="114300" distR="114300">
            <wp:extent cx="4216400" cy="3492500"/>
            <wp:effectExtent l="0" t="0" r="0" b="0"/>
            <wp:docPr id="6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1"/>
                    <pic:cNvPicPr>
                      <a:picLocks noChangeAspect="1"/>
                    </pic:cNvPicPr>
                  </pic:nvPicPr>
                  <pic:blipFill>
                    <a:blip r:embed="rId98"/>
                    <a:stretch>
                      <a:fillRect/>
                    </a:stretch>
                  </pic:blipFill>
                  <pic:spPr>
                    <a:xfrm>
                      <a:off x="0" y="0"/>
                      <a:ext cx="4216400" cy="3492500"/>
                    </a:xfrm>
                    <a:prstGeom prst="rect">
                      <a:avLst/>
                    </a:prstGeom>
                    <a:noFill/>
                    <a:ln>
                      <a:noFill/>
                    </a:ln>
                  </pic:spPr>
                </pic:pic>
              </a:graphicData>
            </a:graphic>
          </wp:inline>
        </w:drawing>
      </w:r>
    </w:p>
    <w:p w14:paraId="3AF8369F">
      <w:pPr>
        <w:pStyle w:val="16"/>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图4.5</w:t>
      </w:r>
      <w:r>
        <w:rPr>
          <w:rFonts w:hint="eastAsia" w:cs="Times New Roman"/>
          <w:lang w:val="en-US" w:eastAsia="zh-CN"/>
        </w:rPr>
        <w:t>.4.15</w:t>
      </w:r>
      <w:r>
        <w:rPr>
          <w:rFonts w:hint="eastAsia" w:ascii="Times New Roman" w:hAnsi="Times New Roman" w:eastAsia="宋体" w:cs="Times New Roman"/>
          <w:lang w:val="en-US" w:eastAsia="zh-CN"/>
        </w:rPr>
        <w:t>-</w:t>
      </w:r>
      <w:r>
        <w:rPr>
          <w:rFonts w:hint="eastAsia" w:cs="Times New Roman"/>
          <w:lang w:val="en-US" w:eastAsia="zh-CN"/>
        </w:rPr>
        <w:t>2</w:t>
      </w:r>
      <w:r>
        <w:rPr>
          <w:rFonts w:hint="eastAsia" w:ascii="Times New Roman" w:hAnsi="Times New Roman" w:eastAsia="宋体" w:cs="Times New Roman"/>
          <w:lang w:val="en-US" w:eastAsia="zh-CN"/>
        </w:rPr>
        <w:t>拆除过渡节</w:t>
      </w:r>
    </w:p>
    <w:bookmarkEnd w:id="115"/>
    <w:p w14:paraId="45C48DAE">
      <w:pPr>
        <w:pStyle w:val="5"/>
        <w:bidi w:val="0"/>
        <w:rPr>
          <w:rFonts w:hint="eastAsia"/>
          <w:lang w:val="en-US" w:eastAsia="zh-CN"/>
        </w:rPr>
      </w:pPr>
      <w:bookmarkStart w:id="116" w:name="_Toc17576"/>
      <w:r>
        <w:rPr>
          <w:rFonts w:hint="eastAsia"/>
          <w:lang w:val="en-US" w:eastAsia="zh-CN"/>
        </w:rPr>
        <w:t>塔机拆除注意事项</w:t>
      </w:r>
      <w:bookmarkEnd w:id="116"/>
    </w:p>
    <w:p w14:paraId="379F34DE">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（1）拆卸作业前，总负责人应组织全体拆卸人员学习安全技术措施，进行技术交底落实每项工作。</w:t>
      </w:r>
    </w:p>
    <w:p w14:paraId="5359DF1B">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（2）拆卸作业人员职责分工明确，坚守岗位，必须全神贯注地投入工作，并观察塔机上部下降动态，做到遇情况立即停机检查，故障未排除不得继续拆卸。</w:t>
      </w:r>
    </w:p>
    <w:p w14:paraId="7996E811">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（3）高空作业人员必须系好安全带，着防滑鞋，戴安全帽。</w:t>
      </w:r>
    </w:p>
    <w:p w14:paraId="4BF25E4D">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（4）</w:t>
      </w:r>
      <w:r>
        <w:rPr>
          <w:rFonts w:hint="eastAsia" w:ascii="宋体" w:hAnsi="宋体" w:eastAsia="宋体" w:cs="宋体"/>
          <w:color w:val="auto"/>
          <w:kern w:val="0"/>
          <w:sz w:val="24"/>
          <w:szCs w:val="24"/>
          <w:lang w:val="en-US" w:eastAsia="zh-CN" w:bidi="ar"/>
        </w:rPr>
        <w:t>塔机拆塔之前，顶升机构由于长期停止使用，应对顶升机构进行保养和试运转，在试运转过程中，应有目的地对限位器，回转机构的制动器等进行可靠性检查；</w:t>
      </w:r>
    </w:p>
    <w:p w14:paraId="637548C8">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a. 检查液压系统各部件是否完好、有无漏、渗油现象。顶升油缸运动是否顺畅、到位。 </w:t>
      </w:r>
    </w:p>
    <w:p w14:paraId="3B19998D">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b. 检查顶升油箱油位计显示油量在油缸完全收回时是否在 1/3 到 2/3 刻度之间，如果油量减少应及时补油。 </w:t>
      </w:r>
    </w:p>
    <w:p w14:paraId="1781EC8E">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c. 操作顶升控制手柄进行试顶升动作，当液压系统压力到达溢流阀设定的压力后保持10 秒，如果压力一直保持不变，则顶升系统可进行顶升加节操作。</w:t>
      </w:r>
    </w:p>
    <w:p w14:paraId="01AA2E2B">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（5）顶升机构工作时，所有操作人员应集中精力观察各相对运动件的相对位置是否正常（如滚轮与主弦杆之间，套架与塔身之间），是否有阻碍套架运动（特别是下降运动时）的物件。</w:t>
      </w:r>
    </w:p>
    <w:p w14:paraId="42009428">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（6）塔机在拆前的试运转过程中，应有目的地对各安全装置、各制动器等进行认真检查，确保灵敏可靠。</w:t>
      </w:r>
    </w:p>
    <w:p w14:paraId="6584F44B">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（7）降塔过程中，塔机应处于平衡状态。 </w:t>
      </w:r>
    </w:p>
    <w:p w14:paraId="239AA667">
      <w:pPr>
        <w:spacing w:after="0" w:afterLines="-2147483648"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（8）拆卸进行前，应将起重臂回转至爬升架引进标准节一侧。</w:t>
      </w:r>
    </w:p>
    <w:p w14:paraId="72669551">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（9）对于拆卸的部件，如起重臂、平衡臂等必须遵守规章，以防止当拆卸某一部件时，其余部分有失去平衡的危险。 </w:t>
      </w:r>
    </w:p>
    <w:p w14:paraId="68F62F45">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（10）对主要受力的结构件应检查金属疲劳、焊缝裂纹、结构变形等情况，检查塔机各零部件是否有损坏或碰伤等。</w:t>
      </w:r>
    </w:p>
    <w:p w14:paraId="64EC817C">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 xml:space="preserve">（11）在拆塔过程中，吊运钢丝绳的选择要合理，物件捆绑必须牢固。 </w:t>
      </w:r>
    </w:p>
    <w:p w14:paraId="1E39A2CA">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（12）在塔机标准节已拆出，但下支座与塔身还没有用销轴连接好之前，严禁使用回转机构、牵引机构和起升机构。</w:t>
      </w:r>
    </w:p>
    <w:p w14:paraId="715D4BB7">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 xml:space="preserve"> 拆卸时最高处风速应低于 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m/s。</w:t>
      </w:r>
    </w:p>
    <w:p w14:paraId="3957A28D">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（14）塔身拆卸未降到规定高度，不得先拆附墙装置。</w:t>
      </w:r>
    </w:p>
    <w:bookmarkEnd w:id="112"/>
    <w:bookmarkEnd w:id="113"/>
    <w:p w14:paraId="4E53CE85">
      <w:pPr>
        <w:pStyle w:val="5"/>
      </w:pPr>
      <w:r>
        <w:rPr>
          <w:rFonts w:hint="eastAsia"/>
        </w:rPr>
        <w:t>解体装车退场</w:t>
      </w:r>
    </w:p>
    <w:p w14:paraId="6889DC74">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14:paraId="57F0DE22">
      <w:pPr>
        <w:numPr>
          <w:ilvl w:val="0"/>
          <w:numId w:val="26"/>
        </w:numPr>
      </w:pPr>
      <w:r>
        <w:rPr>
          <w:rFonts w:hint="eastAsia"/>
        </w:rPr>
        <w:t>把起重臂和平衡臂拆下后，在地面使用</w:t>
      </w: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配合对其进行解体装车；</w:t>
      </w:r>
    </w:p>
    <w:p w14:paraId="4C187A6E">
      <w:pPr>
        <w:numPr>
          <w:ilvl w:val="0"/>
          <w:numId w:val="26"/>
        </w:numPr>
      </w:pPr>
      <w:r>
        <w:rPr>
          <w:rFonts w:hint="eastAsia"/>
        </w:rPr>
        <w:t>在拆除中注意拆下的螺栓按规格进行存放，防止损坏和丢失；</w:t>
      </w:r>
    </w:p>
    <w:p w14:paraId="47DB1994">
      <w:pPr>
        <w:numPr>
          <w:ilvl w:val="0"/>
          <w:numId w:val="26"/>
        </w:numPr>
      </w:pPr>
      <w:r>
        <w:rPr>
          <w:rFonts w:hint="eastAsia"/>
        </w:rPr>
        <w:t>各种电器元件、电缆全部装箱储运，防止损坏和丢失。电气柜和控制室内的电气连接不得随意拆除和更改，装车运输时装稳刹牢防止溜滑；</w:t>
      </w:r>
    </w:p>
    <w:p w14:paraId="227ECE47">
      <w:pPr>
        <w:numPr>
          <w:ilvl w:val="0"/>
          <w:numId w:val="26"/>
        </w:numPr>
      </w:pPr>
      <w:r>
        <w:rPr>
          <w:rFonts w:hint="eastAsia"/>
        </w:rPr>
        <w:t>各部件装车运输时应合理配车，做到大不压小、精密易损件重点保护。</w:t>
      </w:r>
    </w:p>
    <w:p w14:paraId="31A8813E">
      <w:pPr>
        <w:pStyle w:val="3"/>
      </w:pPr>
      <w:bookmarkStart w:id="117" w:name="_Toc17496"/>
      <w:r>
        <w:rPr>
          <w:rFonts w:hint="eastAsia"/>
        </w:rPr>
        <w:t>检查要求</w:t>
      </w:r>
      <w:bookmarkEnd w:id="117"/>
    </w:p>
    <w:p w14:paraId="135CDF9C">
      <w:pPr>
        <w:pStyle w:val="4"/>
        <w:numPr>
          <w:ilvl w:val="2"/>
          <w:numId w:val="1"/>
        </w:numPr>
        <w:bidi w:val="0"/>
      </w:pPr>
      <w:r>
        <w:rPr>
          <w:rFonts w:hint="eastAsia"/>
        </w:rPr>
        <w:t>验收标准</w:t>
      </w:r>
    </w:p>
    <w:p w14:paraId="79EFB1DA">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14:paraId="4F13A160">
      <w:pPr>
        <w:pStyle w:val="16"/>
      </w:pPr>
      <w:bookmarkStart w:id="118"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18"/>
      <w:r>
        <w:t xml:space="preserve"> </w:t>
      </w:r>
      <w:r>
        <w:rPr>
          <w:rFonts w:hint="eastAsia"/>
        </w:rPr>
        <w:t>验收标准</w:t>
      </w:r>
    </w:p>
    <w:tbl>
      <w:tblPr>
        <w:tblStyle w:val="1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1946B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20D49206">
            <w:pPr>
              <w:pStyle w:val="17"/>
              <w:rPr>
                <w:b/>
              </w:rPr>
            </w:pPr>
            <w:r>
              <w:rPr>
                <w:rFonts w:hint="eastAsia"/>
                <w:b/>
              </w:rPr>
              <w:t>序号</w:t>
            </w:r>
          </w:p>
        </w:tc>
        <w:tc>
          <w:tcPr>
            <w:tcW w:w="1113" w:type="pct"/>
            <w:vAlign w:val="center"/>
          </w:tcPr>
          <w:p w14:paraId="031F5ED6">
            <w:pPr>
              <w:pStyle w:val="17"/>
              <w:rPr>
                <w:b/>
              </w:rPr>
            </w:pPr>
            <w:r>
              <w:rPr>
                <w:rFonts w:hint="eastAsia"/>
                <w:b/>
              </w:rPr>
              <w:t>标准号</w:t>
            </w:r>
          </w:p>
        </w:tc>
        <w:tc>
          <w:tcPr>
            <w:tcW w:w="3075" w:type="pct"/>
            <w:vAlign w:val="center"/>
          </w:tcPr>
          <w:p w14:paraId="4D216B73">
            <w:pPr>
              <w:pStyle w:val="17"/>
              <w:rPr>
                <w:b/>
              </w:rPr>
            </w:pPr>
            <w:r>
              <w:rPr>
                <w:rFonts w:hint="eastAsia"/>
                <w:b/>
              </w:rPr>
              <w:t>标准（文件）名称</w:t>
            </w:r>
          </w:p>
        </w:tc>
        <w:tc>
          <w:tcPr>
            <w:tcW w:w="406" w:type="pct"/>
            <w:vAlign w:val="center"/>
          </w:tcPr>
          <w:p w14:paraId="1E9ADFD7">
            <w:pPr>
              <w:pStyle w:val="17"/>
              <w:rPr>
                <w:b/>
              </w:rPr>
            </w:pPr>
            <w:r>
              <w:rPr>
                <w:rFonts w:hint="eastAsia"/>
                <w:b/>
              </w:rPr>
              <w:t>备注</w:t>
            </w:r>
          </w:p>
        </w:tc>
      </w:tr>
      <w:tr w14:paraId="51711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7A9A32C">
            <w:pPr>
              <w:pStyle w:val="17"/>
              <w:numPr>
                <w:ilvl w:val="0"/>
                <w:numId w:val="27"/>
              </w:numPr>
            </w:pPr>
          </w:p>
        </w:tc>
        <w:tc>
          <w:tcPr>
            <w:tcW w:w="1113" w:type="pct"/>
            <w:vAlign w:val="center"/>
          </w:tcPr>
          <w:p w14:paraId="6B29B4E7">
            <w:pPr>
              <w:pStyle w:val="17"/>
            </w:pPr>
            <w:r>
              <w:rPr>
                <w:rFonts w:hint="eastAsia"/>
              </w:rPr>
              <w:t>GB</w:t>
            </w:r>
            <w:r>
              <w:t xml:space="preserve"> </w:t>
            </w:r>
            <w:r>
              <w:rPr>
                <w:rFonts w:hint="eastAsia"/>
              </w:rPr>
              <w:t>50278-2010</w:t>
            </w:r>
          </w:p>
        </w:tc>
        <w:tc>
          <w:tcPr>
            <w:tcW w:w="3075" w:type="pct"/>
            <w:vAlign w:val="center"/>
          </w:tcPr>
          <w:p w14:paraId="3456E6C3">
            <w:pPr>
              <w:pStyle w:val="17"/>
            </w:pPr>
            <w:r>
              <w:rPr>
                <w:rFonts w:hint="eastAsia"/>
              </w:rPr>
              <w:t>起重设备安装工程施工及验收规范</w:t>
            </w:r>
          </w:p>
        </w:tc>
        <w:tc>
          <w:tcPr>
            <w:tcW w:w="406" w:type="pct"/>
            <w:vAlign w:val="center"/>
          </w:tcPr>
          <w:p w14:paraId="12F4E9D6">
            <w:pPr>
              <w:pStyle w:val="17"/>
            </w:pPr>
          </w:p>
        </w:tc>
      </w:tr>
      <w:tr w14:paraId="69ADB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10A33E9">
            <w:pPr>
              <w:pStyle w:val="17"/>
              <w:numPr>
                <w:ilvl w:val="0"/>
                <w:numId w:val="27"/>
              </w:numPr>
            </w:pPr>
          </w:p>
        </w:tc>
        <w:tc>
          <w:tcPr>
            <w:tcW w:w="1113" w:type="pct"/>
            <w:vAlign w:val="center"/>
          </w:tcPr>
          <w:p w14:paraId="4AEF7BD4">
            <w:pPr>
              <w:pStyle w:val="17"/>
            </w:pPr>
            <w:r>
              <w:rPr>
                <w:rFonts w:hint="eastAsia"/>
              </w:rPr>
              <w:t>GB 50231-2009</w:t>
            </w:r>
          </w:p>
        </w:tc>
        <w:tc>
          <w:tcPr>
            <w:tcW w:w="3075" w:type="pct"/>
            <w:vAlign w:val="center"/>
          </w:tcPr>
          <w:p w14:paraId="77AF61FE">
            <w:pPr>
              <w:pStyle w:val="17"/>
            </w:pPr>
            <w:r>
              <w:rPr>
                <w:rFonts w:hint="eastAsia"/>
              </w:rPr>
              <w:t>机械设备安装工程施工及验收通用规范</w:t>
            </w:r>
          </w:p>
        </w:tc>
        <w:tc>
          <w:tcPr>
            <w:tcW w:w="406" w:type="pct"/>
            <w:vAlign w:val="center"/>
          </w:tcPr>
          <w:p w14:paraId="472D0403">
            <w:pPr>
              <w:pStyle w:val="17"/>
            </w:pPr>
          </w:p>
        </w:tc>
      </w:tr>
      <w:tr w14:paraId="61B20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A1D2660">
            <w:pPr>
              <w:pStyle w:val="17"/>
              <w:numPr>
                <w:ilvl w:val="0"/>
                <w:numId w:val="27"/>
              </w:numPr>
            </w:pPr>
          </w:p>
        </w:tc>
        <w:tc>
          <w:tcPr>
            <w:tcW w:w="1113" w:type="pct"/>
            <w:vAlign w:val="center"/>
          </w:tcPr>
          <w:p w14:paraId="0275C1C1">
            <w:pPr>
              <w:pStyle w:val="17"/>
            </w:pPr>
            <w:r>
              <w:rPr>
                <w:rFonts w:hint="eastAsia"/>
              </w:rPr>
              <w:t>GB 50256-2014</w:t>
            </w:r>
          </w:p>
        </w:tc>
        <w:tc>
          <w:tcPr>
            <w:tcW w:w="3075" w:type="pct"/>
            <w:vAlign w:val="center"/>
          </w:tcPr>
          <w:p w14:paraId="674F01C4">
            <w:pPr>
              <w:pStyle w:val="17"/>
            </w:pPr>
            <w:r>
              <w:rPr>
                <w:rFonts w:hint="eastAsia"/>
              </w:rPr>
              <w:t>电气装置安装工程起重机电气装置施工及验收规范</w:t>
            </w:r>
          </w:p>
        </w:tc>
        <w:tc>
          <w:tcPr>
            <w:tcW w:w="406" w:type="pct"/>
            <w:vAlign w:val="center"/>
          </w:tcPr>
          <w:p w14:paraId="62A48315">
            <w:pPr>
              <w:pStyle w:val="17"/>
            </w:pPr>
          </w:p>
        </w:tc>
      </w:tr>
      <w:tr w14:paraId="66A83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427A7D4">
            <w:pPr>
              <w:pStyle w:val="17"/>
              <w:numPr>
                <w:ilvl w:val="0"/>
                <w:numId w:val="27"/>
              </w:numPr>
            </w:pPr>
          </w:p>
        </w:tc>
        <w:tc>
          <w:tcPr>
            <w:tcW w:w="1113" w:type="pct"/>
            <w:vAlign w:val="center"/>
          </w:tcPr>
          <w:p w14:paraId="1CF671F9">
            <w:pPr>
              <w:pStyle w:val="17"/>
            </w:pPr>
            <w:r>
              <w:t>GB/T 5031-2008</w:t>
            </w:r>
          </w:p>
        </w:tc>
        <w:tc>
          <w:tcPr>
            <w:tcW w:w="3075" w:type="pct"/>
            <w:vAlign w:val="center"/>
          </w:tcPr>
          <w:p w14:paraId="35305E2B">
            <w:pPr>
              <w:pStyle w:val="17"/>
            </w:pPr>
            <w:r>
              <w:t>塔式起重机</w:t>
            </w:r>
          </w:p>
        </w:tc>
        <w:tc>
          <w:tcPr>
            <w:tcW w:w="406" w:type="pct"/>
            <w:vAlign w:val="center"/>
          </w:tcPr>
          <w:p w14:paraId="0ACF6002">
            <w:pPr>
              <w:pStyle w:val="17"/>
            </w:pPr>
          </w:p>
        </w:tc>
      </w:tr>
    </w:tbl>
    <w:p w14:paraId="00FB85B4">
      <w:pPr>
        <w:pStyle w:val="4"/>
        <w:numPr>
          <w:ilvl w:val="2"/>
          <w:numId w:val="1"/>
        </w:numPr>
        <w:bidi w:val="0"/>
      </w:pPr>
      <w:r>
        <w:rPr>
          <w:rFonts w:hint="eastAsia"/>
        </w:rPr>
        <w:t>验收程序</w:t>
      </w:r>
    </w:p>
    <w:p w14:paraId="44EF7458">
      <w:pPr>
        <w:numPr>
          <w:ilvl w:val="0"/>
          <w:numId w:val="28"/>
        </w:numPr>
      </w:pPr>
      <w:r>
        <w:rPr>
          <w:rFonts w:hint="eastAsia"/>
        </w:rPr>
        <w:t>设备安装自检验收</w:t>
      </w:r>
    </w:p>
    <w:p w14:paraId="3D4665DC">
      <w:pPr>
        <w:ind w:firstLine="480"/>
      </w:pPr>
      <w:r>
        <w:rPr>
          <w:rFonts w:hint="eastAsia"/>
        </w:rPr>
        <w:t>设备安装完成后，及时组织本单位施工负责人、质检人员、技术人员、安全人员、安装人员对设备进行安装验收。</w:t>
      </w:r>
    </w:p>
    <w:p w14:paraId="2DC92022">
      <w:pPr>
        <w:numPr>
          <w:ilvl w:val="0"/>
          <w:numId w:val="28"/>
        </w:numPr>
      </w:pPr>
      <w:r>
        <w:rPr>
          <w:rFonts w:hint="eastAsia"/>
        </w:rPr>
        <w:t>委托第三方检验机构检验</w:t>
      </w:r>
    </w:p>
    <w:p w14:paraId="23D5D261">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14:paraId="5F1C533A">
      <w:pPr>
        <w:numPr>
          <w:ilvl w:val="0"/>
          <w:numId w:val="28"/>
        </w:numPr>
      </w:pPr>
      <w:r>
        <w:rPr>
          <w:rFonts w:hint="eastAsia"/>
        </w:rPr>
        <w:t>安装资料送审</w:t>
      </w:r>
    </w:p>
    <w:p w14:paraId="4E531A0E">
      <w:pPr>
        <w:ind w:firstLine="480"/>
      </w:pPr>
      <w:r>
        <w:rPr>
          <w:rFonts w:hint="eastAsia"/>
        </w:rPr>
        <w:t>将设备安装相关资料原件报送项目部审核，参与项目部组织的联合验收。</w:t>
      </w:r>
    </w:p>
    <w:p w14:paraId="5052F95F">
      <w:pPr>
        <w:numPr>
          <w:ilvl w:val="0"/>
          <w:numId w:val="28"/>
        </w:numPr>
      </w:pPr>
      <w:r>
        <w:rPr>
          <w:rFonts w:hint="eastAsia"/>
        </w:rPr>
        <w:t>参与设备安装联合验收</w:t>
      </w:r>
    </w:p>
    <w:p w14:paraId="5816B8F3">
      <w:pPr>
        <w:ind w:firstLine="480"/>
      </w:pPr>
      <w:r>
        <w:rPr>
          <w:rFonts w:hint="eastAsia"/>
        </w:rPr>
        <w:t>参与项目部组织的设备安装联合验收。</w:t>
      </w:r>
    </w:p>
    <w:p w14:paraId="6D2C0F17">
      <w:pPr>
        <w:numPr>
          <w:ilvl w:val="0"/>
          <w:numId w:val="28"/>
        </w:numPr>
      </w:pPr>
      <w:r>
        <w:rPr>
          <w:rFonts w:hint="eastAsia"/>
        </w:rPr>
        <w:t>设备取证</w:t>
      </w:r>
    </w:p>
    <w:p w14:paraId="220699B1">
      <w:pPr>
        <w:ind w:firstLine="480"/>
      </w:pPr>
      <w:r>
        <w:rPr>
          <w:rFonts w:hint="eastAsia"/>
        </w:rPr>
        <w:t>设备安装联合验收通过后，根据合同约定进行设备取证。</w:t>
      </w:r>
    </w:p>
    <w:p w14:paraId="35F0F967">
      <w:pPr>
        <w:pStyle w:val="4"/>
        <w:numPr>
          <w:ilvl w:val="2"/>
          <w:numId w:val="1"/>
        </w:numPr>
        <w:bidi w:val="0"/>
      </w:pPr>
      <w:r>
        <w:rPr>
          <w:rFonts w:hint="eastAsia"/>
        </w:rPr>
        <w:t>验收人员</w:t>
      </w:r>
    </w:p>
    <w:p w14:paraId="43D00BA7">
      <w:pPr>
        <w:ind w:firstLine="480"/>
      </w:pPr>
      <w:r>
        <w:rPr>
          <w:rFonts w:hint="eastAsia"/>
        </w:rPr>
        <w:t>参与设备安装自检验收主要人员包括：本单位施工负责人、质检人员、技术人员、安全人员、安装人员等。</w:t>
      </w:r>
    </w:p>
    <w:p w14:paraId="654439ED">
      <w:pPr>
        <w:ind w:firstLine="480"/>
      </w:pPr>
      <w:r>
        <w:rPr>
          <w:rFonts w:hint="eastAsia"/>
        </w:rPr>
        <w:t>参与设备安装联合验收主要人员包括：本单位施工负责人。</w:t>
      </w:r>
    </w:p>
    <w:p w14:paraId="19067A1C">
      <w:pPr>
        <w:pStyle w:val="4"/>
        <w:numPr>
          <w:ilvl w:val="2"/>
          <w:numId w:val="1"/>
        </w:numPr>
        <w:bidi w:val="0"/>
      </w:pPr>
      <w:r>
        <w:rPr>
          <w:rFonts w:hint="eastAsia"/>
        </w:rPr>
        <w:t>验收内容</w:t>
      </w:r>
    </w:p>
    <w:p w14:paraId="60C34B04">
      <w:pPr>
        <w:ind w:firstLine="480"/>
      </w:pPr>
      <w:r>
        <w:rPr>
          <w:rFonts w:hint="eastAsia"/>
        </w:rPr>
        <w:t>设备安装验收内容见方案附件四：安装自检表。</w:t>
      </w:r>
      <w:r>
        <w:br w:type="page"/>
      </w:r>
    </w:p>
    <w:p w14:paraId="1DADC7F4">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119" w:name="_Toc8221"/>
      <w:bookmarkStart w:id="120" w:name="_Toc7060"/>
      <w:bookmarkStart w:id="121" w:name="_Toc40778442"/>
      <w:bookmarkStart w:id="122" w:name="_Toc24330"/>
      <w:r>
        <w:rPr>
          <w:rFonts w:hint="eastAsia"/>
        </w:rPr>
        <w:t>质量管理</w:t>
      </w:r>
      <w:r>
        <w:t>措施</w:t>
      </w:r>
      <w:bookmarkEnd w:id="119"/>
      <w:bookmarkEnd w:id="120"/>
    </w:p>
    <w:p w14:paraId="404BED7A">
      <w:pPr>
        <w:pStyle w:val="3"/>
      </w:pPr>
      <w:bookmarkStart w:id="123" w:name="_Toc3095"/>
      <w:bookmarkStart w:id="124" w:name="_Toc10656"/>
      <w:r>
        <w:rPr>
          <w:rFonts w:hint="eastAsia"/>
        </w:rPr>
        <w:t>质量管理组织机构</w:t>
      </w:r>
      <w:bookmarkEnd w:id="123"/>
      <w:bookmarkEnd w:id="124"/>
    </w:p>
    <w:p w14:paraId="1E958166">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14:paraId="147BD1ED">
      <w:pPr>
        <w:pStyle w:val="16"/>
      </w:pPr>
      <w:bookmarkStart w:id="125"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25"/>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14:paraId="10245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vAlign w:val="center"/>
          </w:tcPr>
          <w:p w14:paraId="4BE20EC4">
            <w:pPr>
              <w:pStyle w:val="17"/>
              <w:rPr>
                <w:b/>
              </w:rPr>
            </w:pPr>
            <w:r>
              <w:rPr>
                <w:rFonts w:hint="eastAsia"/>
                <w:b/>
              </w:rPr>
              <w:t>序号</w:t>
            </w:r>
          </w:p>
        </w:tc>
        <w:tc>
          <w:tcPr>
            <w:tcW w:w="770" w:type="pct"/>
            <w:vAlign w:val="center"/>
          </w:tcPr>
          <w:p w14:paraId="5AF25A40">
            <w:pPr>
              <w:pStyle w:val="17"/>
              <w:rPr>
                <w:b/>
              </w:rPr>
            </w:pPr>
            <w:r>
              <w:rPr>
                <w:rFonts w:hint="eastAsia"/>
                <w:b/>
              </w:rPr>
              <w:t>岗位</w:t>
            </w:r>
          </w:p>
        </w:tc>
        <w:tc>
          <w:tcPr>
            <w:tcW w:w="600" w:type="pct"/>
            <w:vAlign w:val="center"/>
          </w:tcPr>
          <w:p w14:paraId="1C28CABD">
            <w:pPr>
              <w:pStyle w:val="17"/>
              <w:rPr>
                <w:b/>
              </w:rPr>
            </w:pPr>
            <w:r>
              <w:rPr>
                <w:rFonts w:hint="eastAsia"/>
                <w:b/>
              </w:rPr>
              <w:t>姓名</w:t>
            </w:r>
          </w:p>
        </w:tc>
        <w:tc>
          <w:tcPr>
            <w:tcW w:w="2741" w:type="pct"/>
            <w:vAlign w:val="center"/>
          </w:tcPr>
          <w:p w14:paraId="522EA3F8">
            <w:pPr>
              <w:pStyle w:val="17"/>
              <w:rPr>
                <w:b/>
              </w:rPr>
            </w:pPr>
            <w:r>
              <w:rPr>
                <w:rFonts w:hint="eastAsia"/>
                <w:b/>
              </w:rPr>
              <w:t>工作职责</w:t>
            </w:r>
          </w:p>
        </w:tc>
        <w:tc>
          <w:tcPr>
            <w:tcW w:w="470" w:type="pct"/>
            <w:vAlign w:val="center"/>
          </w:tcPr>
          <w:p w14:paraId="3CDEAA6E">
            <w:pPr>
              <w:pStyle w:val="17"/>
              <w:rPr>
                <w:b/>
              </w:rPr>
            </w:pPr>
            <w:r>
              <w:rPr>
                <w:rFonts w:hint="eastAsia"/>
                <w:b/>
              </w:rPr>
              <w:t>备注</w:t>
            </w:r>
          </w:p>
        </w:tc>
      </w:tr>
      <w:tr w14:paraId="7C7C9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65989603">
            <w:pPr>
              <w:pStyle w:val="17"/>
              <w:numPr>
                <w:ilvl w:val="0"/>
                <w:numId w:val="29"/>
              </w:numPr>
            </w:pPr>
          </w:p>
        </w:tc>
        <w:tc>
          <w:tcPr>
            <w:tcW w:w="770" w:type="pct"/>
            <w:shd w:val="clear" w:color="auto" w:fill="auto"/>
            <w:vAlign w:val="center"/>
          </w:tcPr>
          <w:p w14:paraId="16DCEB98">
            <w:pPr>
              <w:pStyle w:val="17"/>
            </w:pPr>
            <w:r>
              <w:rPr>
                <w:rFonts w:hint="eastAsia"/>
              </w:rPr>
              <w:t>现场负责人</w:t>
            </w:r>
          </w:p>
        </w:tc>
        <w:tc>
          <w:tcPr>
            <w:tcW w:w="600" w:type="pct"/>
            <w:shd w:val="clear" w:color="auto" w:fill="auto"/>
            <w:vAlign w:val="center"/>
          </w:tcPr>
          <w:p w14:paraId="710849DC">
            <w:pPr>
              <w:pStyle w:val="17"/>
              <w:rPr>
                <w:rFonts w:hint="default" w:eastAsia="宋体"/>
                <w:lang w:val="en-US" w:eastAsia="zh-CN"/>
              </w:rPr>
            </w:pPr>
            <w:r>
              <w:rPr>
                <w:rFonts w:hint="eastAsia"/>
                <w:lang w:val="en-US" w:eastAsia="zh-CN"/>
              </w:rPr>
              <w:t>吕仕昌</w:t>
            </w:r>
          </w:p>
        </w:tc>
        <w:tc>
          <w:tcPr>
            <w:tcW w:w="2741" w:type="pct"/>
            <w:shd w:val="clear" w:color="auto" w:fill="auto"/>
            <w:vAlign w:val="center"/>
          </w:tcPr>
          <w:p w14:paraId="71CDE7A9">
            <w:pPr>
              <w:pStyle w:val="17"/>
              <w:jc w:val="left"/>
            </w:pPr>
            <w:r>
              <w:rPr>
                <w:rFonts w:hint="eastAsia"/>
              </w:rPr>
              <w:t>负责设备安装组织、实施及安全</w:t>
            </w:r>
          </w:p>
        </w:tc>
        <w:tc>
          <w:tcPr>
            <w:tcW w:w="470" w:type="pct"/>
            <w:shd w:val="clear" w:color="auto" w:fill="auto"/>
            <w:vAlign w:val="center"/>
          </w:tcPr>
          <w:p w14:paraId="6C1E9BE7">
            <w:pPr>
              <w:pStyle w:val="17"/>
            </w:pPr>
          </w:p>
        </w:tc>
      </w:tr>
      <w:tr w14:paraId="7AB6E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56BA89D">
            <w:pPr>
              <w:pStyle w:val="17"/>
              <w:numPr>
                <w:ilvl w:val="0"/>
                <w:numId w:val="29"/>
              </w:numPr>
            </w:pPr>
          </w:p>
        </w:tc>
        <w:tc>
          <w:tcPr>
            <w:tcW w:w="770" w:type="pct"/>
            <w:shd w:val="clear" w:color="auto" w:fill="auto"/>
            <w:vAlign w:val="center"/>
          </w:tcPr>
          <w:p w14:paraId="57719C1E">
            <w:pPr>
              <w:pStyle w:val="17"/>
            </w:pPr>
            <w:r>
              <w:rPr>
                <w:rFonts w:hint="eastAsia"/>
              </w:rPr>
              <w:t>设备安拆工</w:t>
            </w:r>
          </w:p>
        </w:tc>
        <w:tc>
          <w:tcPr>
            <w:tcW w:w="600" w:type="pct"/>
            <w:shd w:val="clear" w:color="auto" w:fill="auto"/>
            <w:vAlign w:val="center"/>
          </w:tcPr>
          <w:p w14:paraId="626ACC62">
            <w:pPr>
              <w:pStyle w:val="17"/>
              <w:rPr>
                <w:rFonts w:hint="eastAsia" w:eastAsia="宋体"/>
                <w:lang w:eastAsia="zh-CN"/>
              </w:rPr>
            </w:pPr>
            <w:r>
              <w:rPr>
                <w:rFonts w:hint="eastAsia"/>
                <w:lang w:val="en-US" w:eastAsia="zh-CN"/>
              </w:rPr>
              <w:t>吴强</w:t>
            </w:r>
          </w:p>
        </w:tc>
        <w:tc>
          <w:tcPr>
            <w:tcW w:w="2741" w:type="pct"/>
            <w:shd w:val="clear" w:color="auto" w:fill="auto"/>
            <w:vAlign w:val="center"/>
          </w:tcPr>
          <w:p w14:paraId="1183FFAB">
            <w:pPr>
              <w:pStyle w:val="17"/>
              <w:jc w:val="left"/>
            </w:pPr>
            <w:r>
              <w:rPr>
                <w:rFonts w:hint="eastAsia"/>
              </w:rPr>
              <w:t>负责设备安装技术工作以及安全工作</w:t>
            </w:r>
          </w:p>
        </w:tc>
        <w:tc>
          <w:tcPr>
            <w:tcW w:w="470" w:type="pct"/>
            <w:shd w:val="clear" w:color="auto" w:fill="auto"/>
            <w:vAlign w:val="center"/>
          </w:tcPr>
          <w:p w14:paraId="7D01EDCC">
            <w:pPr>
              <w:pStyle w:val="17"/>
            </w:pPr>
          </w:p>
        </w:tc>
      </w:tr>
      <w:tr w14:paraId="0F6B0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13E03A5">
            <w:pPr>
              <w:pStyle w:val="17"/>
              <w:numPr>
                <w:ilvl w:val="0"/>
                <w:numId w:val="29"/>
              </w:numPr>
            </w:pPr>
          </w:p>
        </w:tc>
        <w:tc>
          <w:tcPr>
            <w:tcW w:w="770" w:type="pct"/>
            <w:shd w:val="clear" w:color="auto" w:fill="auto"/>
            <w:vAlign w:val="center"/>
          </w:tcPr>
          <w:p w14:paraId="348819CA">
            <w:pPr>
              <w:pStyle w:val="17"/>
            </w:pPr>
            <w:r>
              <w:rPr>
                <w:rFonts w:hint="eastAsia"/>
              </w:rPr>
              <w:t>设备安拆工</w:t>
            </w:r>
          </w:p>
        </w:tc>
        <w:tc>
          <w:tcPr>
            <w:tcW w:w="600" w:type="pct"/>
            <w:shd w:val="clear" w:color="auto" w:fill="auto"/>
            <w:vAlign w:val="center"/>
          </w:tcPr>
          <w:p w14:paraId="3793A4F7">
            <w:pPr>
              <w:pStyle w:val="17"/>
              <w:rPr>
                <w:rFonts w:hint="default" w:eastAsia="宋体"/>
                <w:lang w:val="en-US" w:eastAsia="zh-CN"/>
              </w:rPr>
            </w:pPr>
            <w:r>
              <w:rPr>
                <w:rFonts w:hint="eastAsia"/>
                <w:lang w:val="en-US" w:eastAsia="zh-CN"/>
              </w:rPr>
              <w:t>周清云</w:t>
            </w:r>
          </w:p>
        </w:tc>
        <w:tc>
          <w:tcPr>
            <w:tcW w:w="2741" w:type="pct"/>
            <w:shd w:val="clear" w:color="auto" w:fill="auto"/>
            <w:vAlign w:val="center"/>
          </w:tcPr>
          <w:p w14:paraId="3C5C8AD0">
            <w:pPr>
              <w:pStyle w:val="17"/>
              <w:jc w:val="left"/>
            </w:pPr>
            <w:r>
              <w:rPr>
                <w:rFonts w:hint="eastAsia"/>
              </w:rPr>
              <w:t>负责现场的安全组织、检查、监督、纠正</w:t>
            </w:r>
          </w:p>
        </w:tc>
        <w:tc>
          <w:tcPr>
            <w:tcW w:w="470" w:type="pct"/>
            <w:shd w:val="clear" w:color="auto" w:fill="auto"/>
            <w:vAlign w:val="center"/>
          </w:tcPr>
          <w:p w14:paraId="7C18B7B4">
            <w:pPr>
              <w:pStyle w:val="17"/>
            </w:pPr>
          </w:p>
        </w:tc>
      </w:tr>
      <w:tr w14:paraId="48BBA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4FBEC67">
            <w:pPr>
              <w:pStyle w:val="17"/>
              <w:numPr>
                <w:ilvl w:val="0"/>
                <w:numId w:val="29"/>
              </w:numPr>
            </w:pPr>
          </w:p>
        </w:tc>
        <w:tc>
          <w:tcPr>
            <w:tcW w:w="770" w:type="pct"/>
            <w:shd w:val="clear" w:color="auto" w:fill="auto"/>
            <w:vAlign w:val="center"/>
          </w:tcPr>
          <w:p w14:paraId="7382516A">
            <w:pPr>
              <w:pStyle w:val="17"/>
            </w:pPr>
            <w:r>
              <w:rPr>
                <w:rFonts w:hint="eastAsia"/>
              </w:rPr>
              <w:t>设备安拆工</w:t>
            </w:r>
          </w:p>
        </w:tc>
        <w:tc>
          <w:tcPr>
            <w:tcW w:w="600" w:type="pct"/>
            <w:shd w:val="clear" w:color="auto" w:fill="auto"/>
            <w:vAlign w:val="center"/>
          </w:tcPr>
          <w:p w14:paraId="36ABEEA5">
            <w:pPr>
              <w:pStyle w:val="17"/>
              <w:rPr>
                <w:rFonts w:hint="default" w:eastAsia="宋体"/>
                <w:lang w:val="en-US" w:eastAsia="zh-CN"/>
              </w:rPr>
            </w:pPr>
            <w:r>
              <w:rPr>
                <w:rFonts w:hint="eastAsia"/>
                <w:lang w:val="en-US" w:eastAsia="zh-CN"/>
              </w:rPr>
              <w:t>匡彬</w:t>
            </w:r>
          </w:p>
        </w:tc>
        <w:tc>
          <w:tcPr>
            <w:tcW w:w="2741" w:type="pct"/>
            <w:shd w:val="clear" w:color="auto" w:fill="auto"/>
            <w:vAlign w:val="center"/>
          </w:tcPr>
          <w:p w14:paraId="32462708">
            <w:pPr>
              <w:pStyle w:val="17"/>
              <w:jc w:val="left"/>
            </w:pPr>
            <w:r>
              <w:rPr>
                <w:rFonts w:hint="eastAsia"/>
              </w:rPr>
              <w:t>负责设备安装的人员设备组织、协调</w:t>
            </w:r>
          </w:p>
          <w:p w14:paraId="394EF438">
            <w:pPr>
              <w:pStyle w:val="17"/>
              <w:jc w:val="left"/>
            </w:pPr>
            <w:r>
              <w:rPr>
                <w:rFonts w:hint="eastAsia"/>
              </w:rPr>
              <w:t>检查吊具、索具安全性，保证吊点正确，物件平稳，指挥信号清晰、明确。</w:t>
            </w:r>
          </w:p>
        </w:tc>
        <w:tc>
          <w:tcPr>
            <w:tcW w:w="470" w:type="pct"/>
            <w:shd w:val="clear" w:color="auto" w:fill="auto"/>
            <w:vAlign w:val="center"/>
          </w:tcPr>
          <w:p w14:paraId="0995052A">
            <w:pPr>
              <w:pStyle w:val="17"/>
            </w:pPr>
          </w:p>
        </w:tc>
      </w:tr>
      <w:tr w14:paraId="57D30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EEAD10C">
            <w:pPr>
              <w:pStyle w:val="17"/>
              <w:numPr>
                <w:ilvl w:val="0"/>
                <w:numId w:val="29"/>
              </w:numPr>
            </w:pPr>
          </w:p>
        </w:tc>
        <w:tc>
          <w:tcPr>
            <w:tcW w:w="770" w:type="pct"/>
            <w:shd w:val="clear" w:color="auto" w:fill="auto"/>
            <w:vAlign w:val="center"/>
          </w:tcPr>
          <w:p w14:paraId="4BD92811">
            <w:pPr>
              <w:pStyle w:val="17"/>
            </w:pPr>
            <w:r>
              <w:rPr>
                <w:rFonts w:hint="eastAsia"/>
              </w:rPr>
              <w:t>电工</w:t>
            </w:r>
          </w:p>
        </w:tc>
        <w:tc>
          <w:tcPr>
            <w:tcW w:w="600" w:type="pct"/>
            <w:shd w:val="clear" w:color="auto" w:fill="auto"/>
            <w:vAlign w:val="center"/>
          </w:tcPr>
          <w:p w14:paraId="13EC260E">
            <w:pPr>
              <w:pStyle w:val="17"/>
              <w:rPr>
                <w:rFonts w:hint="default" w:eastAsia="宋体"/>
                <w:lang w:val="en-US" w:eastAsia="zh-CN"/>
              </w:rPr>
            </w:pPr>
            <w:r>
              <w:rPr>
                <w:rFonts w:hint="eastAsia"/>
                <w:lang w:val="en-US" w:eastAsia="zh-CN"/>
              </w:rPr>
              <w:t>章增云</w:t>
            </w:r>
          </w:p>
        </w:tc>
        <w:tc>
          <w:tcPr>
            <w:tcW w:w="2741" w:type="pct"/>
            <w:shd w:val="clear" w:color="auto" w:fill="auto"/>
            <w:vAlign w:val="center"/>
          </w:tcPr>
          <w:p w14:paraId="2FAE88F5">
            <w:pPr>
              <w:pStyle w:val="17"/>
              <w:jc w:val="left"/>
            </w:pPr>
            <w:r>
              <w:rPr>
                <w:rFonts w:hint="eastAsia"/>
              </w:rPr>
              <w:t>负责现场设备的电气安装、恢复、调试</w:t>
            </w:r>
          </w:p>
        </w:tc>
        <w:tc>
          <w:tcPr>
            <w:tcW w:w="470" w:type="pct"/>
            <w:shd w:val="clear" w:color="auto" w:fill="auto"/>
            <w:vAlign w:val="center"/>
          </w:tcPr>
          <w:p w14:paraId="30417BE7">
            <w:pPr>
              <w:pStyle w:val="17"/>
            </w:pPr>
          </w:p>
        </w:tc>
      </w:tr>
    </w:tbl>
    <w:p w14:paraId="354B2A80">
      <w:pPr>
        <w:pStyle w:val="3"/>
      </w:pPr>
      <w:bookmarkStart w:id="126" w:name="_Toc8509"/>
      <w:r>
        <w:rPr>
          <w:rFonts w:hint="eastAsia"/>
        </w:rPr>
        <w:t>质量保证措施</w:t>
      </w:r>
      <w:bookmarkEnd w:id="126"/>
    </w:p>
    <w:p w14:paraId="6C309EC1">
      <w:pPr>
        <w:pStyle w:val="4"/>
        <w:numPr>
          <w:ilvl w:val="2"/>
          <w:numId w:val="1"/>
        </w:numPr>
        <w:bidi w:val="0"/>
      </w:pPr>
      <w:r>
        <w:rPr>
          <w:rFonts w:hint="eastAsia"/>
        </w:rPr>
        <w:t>设备部件质量控制措施</w:t>
      </w:r>
    </w:p>
    <w:p w14:paraId="5ADA7959">
      <w:pPr>
        <w:numPr>
          <w:ilvl w:val="0"/>
          <w:numId w:val="30"/>
        </w:numPr>
        <w:ind w:firstLineChars="0"/>
      </w:pPr>
      <w:r>
        <w:rPr>
          <w:rFonts w:hint="eastAsia"/>
        </w:rPr>
        <w:t>原材料严格执行国家现行制作验收规范和施工图设计要求及设备说明书提出的有关要求，安装单位拟定相应质量计划并规范操作。</w:t>
      </w:r>
    </w:p>
    <w:p w14:paraId="0B8E84F3">
      <w:pPr>
        <w:numPr>
          <w:ilvl w:val="0"/>
          <w:numId w:val="30"/>
        </w:numPr>
        <w:ind w:firstLineChars="0"/>
      </w:pPr>
      <w:r>
        <w:rPr>
          <w:rFonts w:hint="eastAsia"/>
        </w:rPr>
        <w:t>原材料进场各施工队进行专检、工序检、复检确认，行使质量否决权。施工队兼职质量员进行现场施工质量监督控制，并负责本队自检、互检工作。</w:t>
      </w:r>
    </w:p>
    <w:p w14:paraId="6B8547F9">
      <w:pPr>
        <w:numPr>
          <w:ilvl w:val="0"/>
          <w:numId w:val="30"/>
        </w:numPr>
        <w:ind w:firstLineChars="0"/>
      </w:pPr>
      <w:r>
        <w:rPr>
          <w:rFonts w:hint="eastAsia"/>
        </w:rPr>
        <w:t>实行施工全过程的质量控制。在工程开工前，确定关键工序停工检验点，一般工序实行工序交叉检，上道工序不合格，不得转入下道工序。</w:t>
      </w:r>
    </w:p>
    <w:p w14:paraId="1DFFAE74">
      <w:pPr>
        <w:numPr>
          <w:ilvl w:val="0"/>
          <w:numId w:val="30"/>
        </w:numPr>
        <w:ind w:firstLineChars="0"/>
      </w:pPr>
      <w:r>
        <w:rPr>
          <w:rFonts w:hint="eastAsia"/>
        </w:rPr>
        <w:t>施工队详细填写安装质量验收检查表，以保证质量施工原始记录的及时、完整和准确。</w:t>
      </w:r>
    </w:p>
    <w:p w14:paraId="4C0F4E85">
      <w:pPr>
        <w:pStyle w:val="4"/>
        <w:numPr>
          <w:ilvl w:val="2"/>
          <w:numId w:val="1"/>
        </w:numPr>
        <w:bidi w:val="0"/>
      </w:pPr>
      <w:r>
        <w:rPr>
          <w:rFonts w:hint="eastAsia"/>
        </w:rPr>
        <w:t>过程质量控制措施</w:t>
      </w:r>
    </w:p>
    <w:p w14:paraId="2A18334F">
      <w:pPr>
        <w:numPr>
          <w:ilvl w:val="1"/>
          <w:numId w:val="31"/>
        </w:numPr>
        <w:ind w:firstLineChars="0"/>
      </w:pPr>
      <w:r>
        <w:rPr>
          <w:rFonts w:hint="eastAsia"/>
        </w:rPr>
        <w:t>安装单位按使用单位提供图纸及实测数据，编制施工方案或技术措施，施工前向施工人员作详细的技术交底。</w:t>
      </w:r>
    </w:p>
    <w:p w14:paraId="17ECC2E3">
      <w:pPr>
        <w:numPr>
          <w:ilvl w:val="1"/>
          <w:numId w:val="31"/>
        </w:numPr>
        <w:ind w:firstLineChars="0"/>
      </w:pPr>
      <w:r>
        <w:rPr>
          <w:rFonts w:hint="eastAsia"/>
        </w:rPr>
        <w:t>施工使用的水准仪、经纬仪与盒尺等检验器具，必须严格按国家有关要求定期校验和核查，未经检验或过期、失准的计量器具严禁使用。</w:t>
      </w:r>
    </w:p>
    <w:p w14:paraId="5FF9E3D6">
      <w:pPr>
        <w:numPr>
          <w:ilvl w:val="1"/>
          <w:numId w:val="31"/>
        </w:numPr>
        <w:ind w:firstLineChars="0"/>
      </w:pPr>
      <w:r>
        <w:rPr>
          <w:rFonts w:hint="eastAsia"/>
        </w:rPr>
        <w:t>各种设备的交接、验收、保管、存放应按有关要求进行。拆卸应视实际情况采取相关措施，保证设备安全。存放保管应按设备材料就按要求进行，认真核对名称、型号、规格、数量。</w:t>
      </w:r>
    </w:p>
    <w:p w14:paraId="05B6F297">
      <w:pPr>
        <w:pStyle w:val="4"/>
        <w:numPr>
          <w:ilvl w:val="2"/>
          <w:numId w:val="1"/>
        </w:numPr>
        <w:bidi w:val="0"/>
      </w:pPr>
      <w:r>
        <w:rPr>
          <w:rFonts w:hint="eastAsia"/>
        </w:rPr>
        <w:t>质量通病及防治措施</w:t>
      </w:r>
    </w:p>
    <w:p w14:paraId="73F1C0BD">
      <w:pPr>
        <w:ind w:firstLine="480"/>
      </w:pP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14:paraId="43A62CAD">
      <w:pPr>
        <w:pStyle w:val="16"/>
      </w:pPr>
      <w:bookmarkStart w:id="127"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27"/>
      <w:r>
        <w:rPr>
          <w:rFonts w:hint="eastAsia"/>
        </w:rPr>
        <w:t xml:space="preserve"> 质量通病及防治措施</w:t>
      </w:r>
    </w:p>
    <w:tbl>
      <w:tblPr>
        <w:tblStyle w:val="40"/>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14:paraId="4851BDD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14:paraId="081AEB3F">
            <w:pPr>
              <w:spacing w:line="240" w:lineRule="auto"/>
              <w:ind w:firstLine="0" w:firstLineChars="0"/>
              <w:jc w:val="center"/>
              <w:rPr>
                <w:b/>
                <w:bCs/>
                <w:sz w:val="21"/>
              </w:rPr>
            </w:pPr>
            <w:r>
              <w:rPr>
                <w:b/>
                <w:bCs/>
                <w:sz w:val="21"/>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C06E286">
            <w:pPr>
              <w:spacing w:line="240" w:lineRule="auto"/>
              <w:ind w:firstLine="0" w:firstLineChars="0"/>
              <w:jc w:val="center"/>
              <w:rPr>
                <w:b/>
                <w:bCs/>
                <w:sz w:val="21"/>
              </w:rPr>
            </w:pPr>
            <w:r>
              <w:rPr>
                <w:b/>
                <w:bCs/>
                <w:sz w:val="21"/>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1ADECD0">
            <w:pPr>
              <w:spacing w:line="240" w:lineRule="auto"/>
              <w:ind w:firstLine="0" w:firstLineChars="0"/>
              <w:jc w:val="center"/>
              <w:rPr>
                <w:b/>
                <w:bCs/>
                <w:sz w:val="21"/>
              </w:rPr>
            </w:pPr>
            <w:r>
              <w:rPr>
                <w:b/>
                <w:bCs/>
                <w:sz w:val="21"/>
              </w:rPr>
              <w:t>预防措施</w:t>
            </w:r>
          </w:p>
        </w:tc>
      </w:tr>
      <w:tr w14:paraId="084CBFE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B6F7F9D">
            <w:pPr>
              <w:pStyle w:val="78"/>
              <w:numPr>
                <w:ilvl w:val="0"/>
                <w:numId w:val="32"/>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D7070">
            <w:pPr>
              <w:spacing w:line="240" w:lineRule="auto"/>
              <w:ind w:firstLine="0" w:firstLineChars="0"/>
              <w:jc w:val="center"/>
              <w:rPr>
                <w:sz w:val="21"/>
              </w:rPr>
            </w:pPr>
            <w:r>
              <w:rPr>
                <w:sz w:val="21"/>
              </w:rPr>
              <w:t>安装</w:t>
            </w:r>
            <w:r>
              <w:rPr>
                <w:rFonts w:hint="eastAsia"/>
                <w:sz w:val="21"/>
              </w:rPr>
              <w:t>、拆除</w:t>
            </w:r>
            <w:r>
              <w:rPr>
                <w:sz w:val="21"/>
              </w:rP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AA662B3">
            <w:pPr>
              <w:spacing w:line="240" w:lineRule="auto"/>
              <w:ind w:firstLine="0" w:firstLineChars="0"/>
              <w:jc w:val="left"/>
              <w:rPr>
                <w:sz w:val="21"/>
              </w:rPr>
            </w:pPr>
            <w:r>
              <w:rPr>
                <w:sz w:val="21"/>
              </w:rPr>
              <w:t>在对</w:t>
            </w:r>
            <w:r>
              <w:rPr>
                <w:rFonts w:hint="eastAsia"/>
                <w:sz w:val="21"/>
              </w:rPr>
              <w:t>设备</w:t>
            </w:r>
            <w:r>
              <w:rPr>
                <w:sz w:val="21"/>
              </w:rPr>
              <w:t>进行</w:t>
            </w:r>
            <w:r>
              <w:rPr>
                <w:rFonts w:hint="eastAsia"/>
                <w:sz w:val="21"/>
              </w:rPr>
              <w:t>施工</w:t>
            </w:r>
            <w:r>
              <w:rPr>
                <w:sz w:val="21"/>
              </w:rPr>
              <w:t>作</w:t>
            </w:r>
            <w:r>
              <w:rPr>
                <w:rFonts w:hint="eastAsia"/>
                <w:sz w:val="21"/>
              </w:rPr>
              <w:t>业</w:t>
            </w:r>
            <w:r>
              <w:rPr>
                <w:sz w:val="21"/>
              </w:rPr>
              <w:t>前，</w:t>
            </w:r>
            <w:r>
              <w:rPr>
                <w:rFonts w:hint="eastAsia"/>
                <w:sz w:val="21"/>
              </w:rPr>
              <w:t>施工</w:t>
            </w:r>
            <w:r>
              <w:rPr>
                <w:sz w:val="21"/>
              </w:rPr>
              <w:t>人员，尤其是</w:t>
            </w:r>
            <w:r>
              <w:rPr>
                <w:rFonts w:hint="eastAsia"/>
                <w:sz w:val="21"/>
              </w:rPr>
              <w:t>施工</w:t>
            </w:r>
            <w:r>
              <w:rPr>
                <w:sz w:val="21"/>
              </w:rPr>
              <w:t>队的负责人应对</w:t>
            </w:r>
            <w:r>
              <w:rPr>
                <w:rFonts w:hint="eastAsia"/>
                <w:sz w:val="21"/>
              </w:rPr>
              <w:t>设备</w:t>
            </w:r>
            <w:r>
              <w:rPr>
                <w:sz w:val="21"/>
              </w:rPr>
              <w:t>进行全面的检查，确保钢结构无裂纹及不可恢复的塑性变形，焊缝无开裂现象，各安全装置齐全、有效，如发现问题应及时地采取措施，以免在</w:t>
            </w:r>
            <w:r>
              <w:rPr>
                <w:rFonts w:hint="eastAsia"/>
                <w:sz w:val="21"/>
              </w:rPr>
              <w:t>设备施工</w:t>
            </w:r>
            <w:r>
              <w:rPr>
                <w:sz w:val="21"/>
              </w:rPr>
              <w:t>作</w:t>
            </w:r>
            <w:r>
              <w:rPr>
                <w:rFonts w:hint="eastAsia"/>
                <w:sz w:val="21"/>
              </w:rPr>
              <w:t>业</w:t>
            </w:r>
            <w:r>
              <w:rPr>
                <w:sz w:val="21"/>
              </w:rPr>
              <w:t>过程中发生事故。</w:t>
            </w:r>
          </w:p>
        </w:tc>
      </w:tr>
      <w:tr w14:paraId="0A057B8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AFF09D3">
            <w:pPr>
              <w:pStyle w:val="78"/>
              <w:numPr>
                <w:ilvl w:val="0"/>
                <w:numId w:val="32"/>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0C128">
            <w:pPr>
              <w:spacing w:line="240" w:lineRule="auto"/>
              <w:ind w:firstLine="0" w:firstLineChars="0"/>
              <w:jc w:val="center"/>
              <w:rPr>
                <w:sz w:val="21"/>
              </w:rPr>
            </w:pPr>
            <w:r>
              <w:rPr>
                <w:rFonts w:hint="eastAsia"/>
                <w:sz w:val="21"/>
              </w:rPr>
              <w:t>拆除、</w:t>
            </w:r>
            <w:r>
              <w:rPr>
                <w:sz w:val="21"/>
              </w:rP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1FD9D4D">
            <w:pPr>
              <w:spacing w:line="240" w:lineRule="auto"/>
              <w:ind w:firstLine="0" w:firstLineChars="0"/>
              <w:jc w:val="left"/>
              <w:rPr>
                <w:sz w:val="21"/>
              </w:rPr>
            </w:pPr>
            <w:r>
              <w:rPr>
                <w:sz w:val="21"/>
              </w:rPr>
              <w:t>在对整机进行</w:t>
            </w:r>
            <w:r>
              <w:rPr>
                <w:rFonts w:hint="eastAsia"/>
                <w:sz w:val="21"/>
              </w:rPr>
              <w:t>施工</w:t>
            </w:r>
            <w:r>
              <w:rPr>
                <w:sz w:val="21"/>
              </w:rPr>
              <w:t>过程中，现场管理人员及</w:t>
            </w:r>
            <w:r>
              <w:rPr>
                <w:rFonts w:hint="eastAsia"/>
                <w:sz w:val="21"/>
              </w:rPr>
              <w:t>施工</w:t>
            </w:r>
            <w:r>
              <w:rPr>
                <w:sz w:val="21"/>
              </w:rPr>
              <w:t>队伍负责人应对</w:t>
            </w:r>
            <w:r>
              <w:rPr>
                <w:rFonts w:hint="eastAsia"/>
                <w:sz w:val="21"/>
              </w:rPr>
              <w:t>施工</w:t>
            </w:r>
            <w:r>
              <w:rPr>
                <w:sz w:val="21"/>
              </w:rPr>
              <w:t>过程进行</w:t>
            </w:r>
            <w:r>
              <w:rPr>
                <w:rFonts w:hint="eastAsia"/>
                <w:sz w:val="21"/>
              </w:rPr>
              <w:t>监督</w:t>
            </w:r>
            <w:r>
              <w:rPr>
                <w:sz w:val="21"/>
              </w:rPr>
              <w:t>检查，上道工序未验收通过，下道工序不得进行，确保</w:t>
            </w:r>
            <w:r>
              <w:rPr>
                <w:rFonts w:hint="eastAsia"/>
                <w:sz w:val="21"/>
              </w:rPr>
              <w:t>设备</w:t>
            </w:r>
            <w:r>
              <w:rPr>
                <w:sz w:val="21"/>
              </w:rPr>
              <w:t>的安装的精度及偏移，保证整体钢结构无变形裂纹，焊接质量满足规范要求，发现问题及时制止采取措施，避免在</w:t>
            </w:r>
            <w:r>
              <w:rPr>
                <w:rFonts w:hint="eastAsia"/>
                <w:sz w:val="21"/>
              </w:rPr>
              <w:t>设备</w:t>
            </w:r>
            <w:r>
              <w:rPr>
                <w:sz w:val="21"/>
              </w:rPr>
              <w:t>安装出现质量事故及安全事故。</w:t>
            </w:r>
          </w:p>
        </w:tc>
      </w:tr>
      <w:tr w14:paraId="3DA5B0E0">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0EF3662A">
            <w:pPr>
              <w:pStyle w:val="78"/>
              <w:numPr>
                <w:ilvl w:val="0"/>
                <w:numId w:val="32"/>
              </w:numPr>
              <w:spacing w:line="240" w:lineRule="auto"/>
              <w:ind w:firstLineChars="0"/>
              <w:jc w:val="center"/>
              <w:rPr>
                <w:sz w:val="21"/>
              </w:r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240A54D">
            <w:pPr>
              <w:spacing w:line="240" w:lineRule="auto"/>
              <w:ind w:firstLine="0" w:firstLineChars="0"/>
              <w:jc w:val="center"/>
              <w:rPr>
                <w:sz w:val="21"/>
              </w:rPr>
            </w:pPr>
            <w:r>
              <w:rPr>
                <w:sz w:val="21"/>
              </w:rP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5E0D605E">
            <w:pPr>
              <w:spacing w:line="240" w:lineRule="auto"/>
              <w:ind w:firstLine="0" w:firstLineChars="0"/>
              <w:jc w:val="left"/>
              <w:rPr>
                <w:sz w:val="21"/>
              </w:rPr>
            </w:pPr>
            <w:r>
              <w:rPr>
                <w:sz w:val="21"/>
              </w:rPr>
              <w:t>整机安装结束后，组织联合验收，对</w:t>
            </w:r>
            <w:r>
              <w:rPr>
                <w:rFonts w:hint="eastAsia"/>
                <w:sz w:val="21"/>
              </w:rPr>
              <w:t>设备</w:t>
            </w:r>
            <w:r>
              <w:rPr>
                <w:sz w:val="21"/>
              </w:rPr>
              <w:t>的结构尺寸、焊接质量、安装精度等容易出现问题的地方进行相关数据验收，并按照相关要求进行荷载试验，确保</w:t>
            </w:r>
            <w:r>
              <w:rPr>
                <w:rFonts w:hint="eastAsia"/>
                <w:sz w:val="21"/>
              </w:rPr>
              <w:t>设备</w:t>
            </w:r>
            <w:r>
              <w:rPr>
                <w:sz w:val="21"/>
              </w:rPr>
              <w:t>验收合格后能投入使用。</w:t>
            </w:r>
          </w:p>
        </w:tc>
      </w:tr>
    </w:tbl>
    <w:p w14:paraId="19D55F94">
      <w:pPr>
        <w:widowControl/>
        <w:spacing w:line="240" w:lineRule="auto"/>
        <w:ind w:firstLine="0" w:firstLineChars="0"/>
        <w:jc w:val="left"/>
      </w:pPr>
      <w:r>
        <w:br w:type="page"/>
      </w:r>
    </w:p>
    <w:bookmarkEnd w:id="121"/>
    <w:bookmarkEnd w:id="122"/>
    <w:p w14:paraId="7EF5D536">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128" w:name="_Toc18267"/>
      <w:bookmarkStart w:id="129" w:name="_Toc4539"/>
      <w:r>
        <w:rPr>
          <w:rFonts w:hint="eastAsia"/>
        </w:rPr>
        <w:t>施工</w:t>
      </w:r>
      <w:bookmarkEnd w:id="128"/>
      <w:r>
        <w:rPr>
          <w:rFonts w:hint="eastAsia"/>
        </w:rPr>
        <w:t>风险源辨识及安全保障措施</w:t>
      </w:r>
      <w:bookmarkEnd w:id="129"/>
    </w:p>
    <w:p w14:paraId="008F4319">
      <w:pPr>
        <w:pStyle w:val="3"/>
      </w:pPr>
      <w:bookmarkStart w:id="130" w:name="_Toc16094"/>
      <w:bookmarkStart w:id="131" w:name="_Toc29268"/>
      <w:r>
        <w:rPr>
          <w:rFonts w:hint="eastAsia"/>
        </w:rPr>
        <w:t>风险源辨识及分析</w:t>
      </w:r>
      <w:bookmarkEnd w:id="130"/>
    </w:p>
    <w:p w14:paraId="09363250">
      <w:pPr>
        <w:pStyle w:val="4"/>
        <w:numPr>
          <w:ilvl w:val="2"/>
          <w:numId w:val="1"/>
        </w:numPr>
        <w:bidi w:val="0"/>
      </w:pPr>
      <w:r>
        <w:rPr>
          <w:rFonts w:hint="eastAsia"/>
        </w:rPr>
        <w:t>风险源辨识与评价</w:t>
      </w:r>
    </w:p>
    <w:p w14:paraId="25C7CFA4">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14:paraId="246AB0D1">
      <w:pPr>
        <w:pStyle w:val="16"/>
      </w:pPr>
      <w:bookmarkStart w:id="132"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32"/>
      <w:r>
        <w:t xml:space="preserve"> </w:t>
      </w:r>
      <w:r>
        <w:rPr>
          <w:rFonts w:hint="eastAsia"/>
        </w:rPr>
        <w:t>风险因素分析、识别表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9"/>
        <w:gridCol w:w="6129"/>
        <w:gridCol w:w="1093"/>
      </w:tblGrid>
      <w:tr w14:paraId="6915E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9" w:type="pct"/>
            <w:tcBorders>
              <w:tl2br w:val="nil"/>
              <w:tr2bl w:val="nil"/>
            </w:tcBorders>
            <w:vAlign w:val="center"/>
          </w:tcPr>
          <w:p w14:paraId="0B1A07A7">
            <w:pPr>
              <w:pStyle w:val="17"/>
              <w:tabs>
                <w:tab w:val="left" w:pos="0"/>
              </w:tabs>
              <w:jc w:val="both"/>
              <w:rPr>
                <w:b/>
              </w:rPr>
            </w:pPr>
            <w:r>
              <w:rPr>
                <w:rFonts w:hint="eastAsia"/>
                <w:b/>
              </w:rPr>
              <w:t>序号</w:t>
            </w:r>
          </w:p>
        </w:tc>
        <w:tc>
          <w:tcPr>
            <w:tcW w:w="504" w:type="pct"/>
            <w:tcBorders>
              <w:tl2br w:val="nil"/>
              <w:tr2bl w:val="nil"/>
            </w:tcBorders>
            <w:vAlign w:val="center"/>
          </w:tcPr>
          <w:p w14:paraId="0BF85C21">
            <w:pPr>
              <w:pStyle w:val="17"/>
              <w:rPr>
                <w:b/>
              </w:rPr>
            </w:pPr>
            <w:r>
              <w:rPr>
                <w:rFonts w:hint="eastAsia"/>
                <w:b/>
              </w:rPr>
              <w:t>环节</w:t>
            </w:r>
          </w:p>
        </w:tc>
        <w:tc>
          <w:tcPr>
            <w:tcW w:w="3596" w:type="pct"/>
            <w:tcBorders>
              <w:tl2br w:val="nil"/>
              <w:tr2bl w:val="nil"/>
            </w:tcBorders>
            <w:vAlign w:val="center"/>
          </w:tcPr>
          <w:p w14:paraId="7243E443">
            <w:pPr>
              <w:pStyle w:val="17"/>
              <w:rPr>
                <w:b/>
              </w:rPr>
            </w:pPr>
            <w:r>
              <w:rPr>
                <w:rFonts w:hint="eastAsia"/>
                <w:b/>
                <w:bCs/>
              </w:rPr>
              <w:t>危害因素</w:t>
            </w:r>
          </w:p>
        </w:tc>
        <w:tc>
          <w:tcPr>
            <w:tcW w:w="641" w:type="pct"/>
            <w:tcBorders>
              <w:tl2br w:val="nil"/>
              <w:tr2bl w:val="nil"/>
            </w:tcBorders>
            <w:vAlign w:val="center"/>
          </w:tcPr>
          <w:p w14:paraId="6E7CA077">
            <w:pPr>
              <w:pStyle w:val="17"/>
              <w:rPr>
                <w:b/>
              </w:rPr>
            </w:pPr>
            <w:r>
              <w:rPr>
                <w:rFonts w:hint="eastAsia"/>
                <w:b/>
                <w:bCs/>
              </w:rPr>
              <w:t>潜在事故类型</w:t>
            </w:r>
          </w:p>
        </w:tc>
      </w:tr>
      <w:tr w14:paraId="1D705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EE13644">
            <w:pPr>
              <w:pStyle w:val="17"/>
              <w:numPr>
                <w:ilvl w:val="0"/>
                <w:numId w:val="33"/>
              </w:numPr>
              <w:tabs>
                <w:tab w:val="clear" w:pos="0"/>
              </w:tabs>
            </w:pPr>
          </w:p>
        </w:tc>
        <w:tc>
          <w:tcPr>
            <w:tcW w:w="504" w:type="pct"/>
            <w:vMerge w:val="restart"/>
            <w:tcBorders>
              <w:tl2br w:val="nil"/>
              <w:tr2bl w:val="nil"/>
            </w:tcBorders>
            <w:vAlign w:val="center"/>
          </w:tcPr>
          <w:p w14:paraId="3EB377DE">
            <w:pPr>
              <w:pStyle w:val="17"/>
            </w:pPr>
            <w:r>
              <w:rPr>
                <w:rFonts w:hint="eastAsia"/>
              </w:rPr>
              <w:t>安装前准备</w:t>
            </w:r>
          </w:p>
        </w:tc>
        <w:tc>
          <w:tcPr>
            <w:tcW w:w="3596" w:type="pct"/>
            <w:tcBorders>
              <w:tl2br w:val="nil"/>
              <w:tr2bl w:val="nil"/>
            </w:tcBorders>
            <w:vAlign w:val="center"/>
          </w:tcPr>
          <w:p w14:paraId="43CAF807">
            <w:pPr>
              <w:pStyle w:val="17"/>
            </w:pPr>
            <w:r>
              <w:rPr>
                <w:rFonts w:hint="eastAsia"/>
              </w:rPr>
              <w:t>设备安装前没有进行全面的检查，并确认合格。</w:t>
            </w:r>
          </w:p>
        </w:tc>
        <w:tc>
          <w:tcPr>
            <w:tcW w:w="641" w:type="pct"/>
            <w:tcBorders>
              <w:tl2br w:val="nil"/>
              <w:tr2bl w:val="nil"/>
            </w:tcBorders>
            <w:vAlign w:val="center"/>
          </w:tcPr>
          <w:p w14:paraId="2AC796BD">
            <w:pPr>
              <w:pStyle w:val="17"/>
            </w:pPr>
            <w:r>
              <w:rPr>
                <w:rFonts w:hint="eastAsia"/>
              </w:rPr>
              <w:t>起重伤害</w:t>
            </w:r>
          </w:p>
        </w:tc>
      </w:tr>
      <w:tr w14:paraId="2F918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016E8A9">
            <w:pPr>
              <w:pStyle w:val="17"/>
              <w:numPr>
                <w:ilvl w:val="0"/>
                <w:numId w:val="33"/>
              </w:numPr>
              <w:tabs>
                <w:tab w:val="clear" w:pos="0"/>
              </w:tabs>
            </w:pPr>
          </w:p>
        </w:tc>
        <w:tc>
          <w:tcPr>
            <w:tcW w:w="504" w:type="pct"/>
            <w:vMerge w:val="continue"/>
            <w:tcBorders>
              <w:tl2br w:val="nil"/>
              <w:tr2bl w:val="nil"/>
            </w:tcBorders>
            <w:vAlign w:val="center"/>
          </w:tcPr>
          <w:p w14:paraId="683FB7DD">
            <w:pPr>
              <w:pStyle w:val="17"/>
            </w:pPr>
          </w:p>
        </w:tc>
        <w:tc>
          <w:tcPr>
            <w:tcW w:w="3596" w:type="pct"/>
            <w:tcBorders>
              <w:tl2br w:val="nil"/>
              <w:tr2bl w:val="nil"/>
            </w:tcBorders>
            <w:vAlign w:val="center"/>
          </w:tcPr>
          <w:p w14:paraId="466555CF">
            <w:pPr>
              <w:pStyle w:val="17"/>
            </w:pPr>
            <w:r>
              <w:rPr>
                <w:rFonts w:hint="eastAsia"/>
              </w:rPr>
              <w:t>安装前没有对基础进行验收。基础周围没有排水设施、积水未及时清理。影响施工的地下地面管线未改迁。</w:t>
            </w:r>
          </w:p>
        </w:tc>
        <w:tc>
          <w:tcPr>
            <w:tcW w:w="641" w:type="pct"/>
            <w:tcBorders>
              <w:tl2br w:val="nil"/>
              <w:tr2bl w:val="nil"/>
            </w:tcBorders>
            <w:vAlign w:val="center"/>
          </w:tcPr>
          <w:p w14:paraId="42283E3F">
            <w:pPr>
              <w:pStyle w:val="17"/>
            </w:pPr>
            <w:r>
              <w:rPr>
                <w:rFonts w:hint="eastAsia"/>
              </w:rPr>
              <w:t>坍塌</w:t>
            </w:r>
          </w:p>
        </w:tc>
      </w:tr>
      <w:tr w14:paraId="7AA5D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7EEB9B3">
            <w:pPr>
              <w:pStyle w:val="17"/>
              <w:numPr>
                <w:ilvl w:val="0"/>
                <w:numId w:val="33"/>
              </w:numPr>
              <w:tabs>
                <w:tab w:val="clear" w:pos="0"/>
              </w:tabs>
            </w:pPr>
          </w:p>
        </w:tc>
        <w:tc>
          <w:tcPr>
            <w:tcW w:w="504" w:type="pct"/>
            <w:vMerge w:val="continue"/>
            <w:tcBorders>
              <w:tl2br w:val="nil"/>
              <w:tr2bl w:val="nil"/>
            </w:tcBorders>
            <w:vAlign w:val="center"/>
          </w:tcPr>
          <w:p w14:paraId="1DDC5845">
            <w:pPr>
              <w:pStyle w:val="17"/>
            </w:pPr>
          </w:p>
        </w:tc>
        <w:tc>
          <w:tcPr>
            <w:tcW w:w="3596" w:type="pct"/>
            <w:tcBorders>
              <w:tl2br w:val="nil"/>
              <w:tr2bl w:val="nil"/>
            </w:tcBorders>
            <w:vAlign w:val="center"/>
          </w:tcPr>
          <w:p w14:paraId="586D8361">
            <w:pPr>
              <w:pStyle w:val="17"/>
            </w:pPr>
            <w:r>
              <w:rPr>
                <w:rFonts w:hint="eastAsia"/>
              </w:rPr>
              <w:t>没有对建筑承载结构进行验算。</w:t>
            </w:r>
          </w:p>
        </w:tc>
        <w:tc>
          <w:tcPr>
            <w:tcW w:w="641" w:type="pct"/>
            <w:tcBorders>
              <w:tl2br w:val="nil"/>
              <w:tr2bl w:val="nil"/>
            </w:tcBorders>
            <w:vAlign w:val="center"/>
          </w:tcPr>
          <w:p w14:paraId="3A037D3E">
            <w:pPr>
              <w:pStyle w:val="17"/>
            </w:pPr>
            <w:r>
              <w:rPr>
                <w:rFonts w:hint="eastAsia"/>
              </w:rPr>
              <w:t>起重伤害</w:t>
            </w:r>
          </w:p>
        </w:tc>
      </w:tr>
      <w:tr w14:paraId="0C00B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B9C96E5">
            <w:pPr>
              <w:pStyle w:val="17"/>
              <w:numPr>
                <w:ilvl w:val="0"/>
                <w:numId w:val="33"/>
              </w:numPr>
              <w:tabs>
                <w:tab w:val="clear" w:pos="0"/>
              </w:tabs>
            </w:pPr>
          </w:p>
        </w:tc>
        <w:tc>
          <w:tcPr>
            <w:tcW w:w="504" w:type="pct"/>
            <w:vMerge w:val="continue"/>
            <w:tcBorders>
              <w:tl2br w:val="nil"/>
              <w:tr2bl w:val="nil"/>
            </w:tcBorders>
            <w:vAlign w:val="center"/>
          </w:tcPr>
          <w:p w14:paraId="4A7AF041">
            <w:pPr>
              <w:pStyle w:val="17"/>
            </w:pPr>
          </w:p>
        </w:tc>
        <w:tc>
          <w:tcPr>
            <w:tcW w:w="3596" w:type="pct"/>
            <w:tcBorders>
              <w:tl2br w:val="nil"/>
              <w:tr2bl w:val="nil"/>
            </w:tcBorders>
            <w:vAlign w:val="center"/>
          </w:tcPr>
          <w:p w14:paraId="29DF2371">
            <w:pPr>
              <w:pStyle w:val="17"/>
            </w:pPr>
            <w:r>
              <w:rPr>
                <w:rFonts w:hint="eastAsia"/>
              </w:rPr>
              <w:t>安装作业未按照专项方案要求实施。安装前未对安装作业人员进行安全技术交底。</w:t>
            </w:r>
          </w:p>
        </w:tc>
        <w:tc>
          <w:tcPr>
            <w:tcW w:w="641" w:type="pct"/>
            <w:tcBorders>
              <w:tl2br w:val="nil"/>
              <w:tr2bl w:val="nil"/>
            </w:tcBorders>
            <w:vAlign w:val="center"/>
          </w:tcPr>
          <w:p w14:paraId="4B3469A1">
            <w:pPr>
              <w:pStyle w:val="17"/>
            </w:pPr>
            <w:r>
              <w:rPr>
                <w:rFonts w:hint="eastAsia"/>
              </w:rPr>
              <w:t>起重伤害</w:t>
            </w:r>
          </w:p>
        </w:tc>
      </w:tr>
      <w:tr w14:paraId="106FE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E55B165">
            <w:pPr>
              <w:pStyle w:val="17"/>
              <w:numPr>
                <w:ilvl w:val="0"/>
                <w:numId w:val="33"/>
              </w:numPr>
              <w:tabs>
                <w:tab w:val="clear" w:pos="0"/>
              </w:tabs>
            </w:pPr>
          </w:p>
        </w:tc>
        <w:tc>
          <w:tcPr>
            <w:tcW w:w="504" w:type="pct"/>
            <w:vMerge w:val="continue"/>
            <w:tcBorders>
              <w:tl2br w:val="nil"/>
              <w:tr2bl w:val="nil"/>
            </w:tcBorders>
            <w:vAlign w:val="center"/>
          </w:tcPr>
          <w:p w14:paraId="25904749">
            <w:pPr>
              <w:pStyle w:val="17"/>
            </w:pPr>
          </w:p>
        </w:tc>
        <w:tc>
          <w:tcPr>
            <w:tcW w:w="3596" w:type="pct"/>
            <w:tcBorders>
              <w:tl2br w:val="nil"/>
              <w:tr2bl w:val="nil"/>
            </w:tcBorders>
            <w:vAlign w:val="center"/>
          </w:tcPr>
          <w:p w14:paraId="3999046A">
            <w:pPr>
              <w:pStyle w:val="17"/>
            </w:pPr>
            <w:r>
              <w:rPr>
                <w:rFonts w:hint="eastAsia"/>
              </w:rPr>
              <w:t>雨雪、浓雾天气没有停止安装作业。</w:t>
            </w:r>
          </w:p>
        </w:tc>
        <w:tc>
          <w:tcPr>
            <w:tcW w:w="641" w:type="pct"/>
            <w:tcBorders>
              <w:tl2br w:val="nil"/>
              <w:tr2bl w:val="nil"/>
            </w:tcBorders>
            <w:vAlign w:val="center"/>
          </w:tcPr>
          <w:p w14:paraId="216EFB11">
            <w:pPr>
              <w:pStyle w:val="17"/>
            </w:pPr>
            <w:r>
              <w:rPr>
                <w:rFonts w:hint="eastAsia"/>
              </w:rPr>
              <w:t>起重伤害</w:t>
            </w:r>
          </w:p>
        </w:tc>
      </w:tr>
      <w:tr w14:paraId="5791C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057D643">
            <w:pPr>
              <w:pStyle w:val="17"/>
              <w:numPr>
                <w:ilvl w:val="0"/>
                <w:numId w:val="33"/>
              </w:numPr>
              <w:tabs>
                <w:tab w:val="clear" w:pos="0"/>
              </w:tabs>
            </w:pPr>
          </w:p>
        </w:tc>
        <w:tc>
          <w:tcPr>
            <w:tcW w:w="504" w:type="pct"/>
            <w:vMerge w:val="continue"/>
            <w:tcBorders>
              <w:tl2br w:val="nil"/>
              <w:tr2bl w:val="nil"/>
            </w:tcBorders>
            <w:vAlign w:val="center"/>
          </w:tcPr>
          <w:p w14:paraId="64345F8C">
            <w:pPr>
              <w:pStyle w:val="17"/>
            </w:pPr>
          </w:p>
        </w:tc>
        <w:tc>
          <w:tcPr>
            <w:tcW w:w="3596" w:type="pct"/>
            <w:tcBorders>
              <w:tl2br w:val="nil"/>
              <w:tr2bl w:val="nil"/>
            </w:tcBorders>
            <w:vAlign w:val="center"/>
          </w:tcPr>
          <w:p w14:paraId="37756B1C">
            <w:pPr>
              <w:pStyle w:val="17"/>
            </w:pPr>
            <w:r>
              <w:rPr>
                <w:rFonts w:hint="eastAsia"/>
              </w:rPr>
              <w:t>当需要在夜间进行安拆作业时，没有保证提供足够的照明。</w:t>
            </w:r>
          </w:p>
        </w:tc>
        <w:tc>
          <w:tcPr>
            <w:tcW w:w="641" w:type="pct"/>
            <w:tcBorders>
              <w:tl2br w:val="nil"/>
              <w:tr2bl w:val="nil"/>
            </w:tcBorders>
            <w:vAlign w:val="center"/>
          </w:tcPr>
          <w:p w14:paraId="4CB93D71">
            <w:pPr>
              <w:pStyle w:val="17"/>
            </w:pPr>
            <w:r>
              <w:rPr>
                <w:rFonts w:hint="eastAsia"/>
              </w:rPr>
              <w:t>起重伤害</w:t>
            </w:r>
          </w:p>
        </w:tc>
      </w:tr>
      <w:tr w14:paraId="5F06E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8209F21">
            <w:pPr>
              <w:pStyle w:val="17"/>
              <w:numPr>
                <w:ilvl w:val="0"/>
                <w:numId w:val="33"/>
              </w:numPr>
              <w:tabs>
                <w:tab w:val="clear" w:pos="0"/>
              </w:tabs>
            </w:pPr>
          </w:p>
        </w:tc>
        <w:tc>
          <w:tcPr>
            <w:tcW w:w="504" w:type="pct"/>
            <w:vMerge w:val="continue"/>
            <w:tcBorders>
              <w:tl2br w:val="nil"/>
              <w:tr2bl w:val="nil"/>
            </w:tcBorders>
            <w:vAlign w:val="center"/>
          </w:tcPr>
          <w:p w14:paraId="5C01DA70">
            <w:pPr>
              <w:pStyle w:val="17"/>
            </w:pPr>
          </w:p>
        </w:tc>
        <w:tc>
          <w:tcPr>
            <w:tcW w:w="3596" w:type="pct"/>
            <w:tcBorders>
              <w:tl2br w:val="nil"/>
              <w:tr2bl w:val="nil"/>
            </w:tcBorders>
            <w:vAlign w:val="center"/>
          </w:tcPr>
          <w:p w14:paraId="09FDD187">
            <w:pPr>
              <w:pStyle w:val="17"/>
            </w:pPr>
            <w:r>
              <w:rPr>
                <w:rFonts w:hint="eastAsia"/>
              </w:rPr>
              <w:t>起重吊装设备的进场验收</w:t>
            </w:r>
          </w:p>
        </w:tc>
        <w:tc>
          <w:tcPr>
            <w:tcW w:w="641" w:type="pct"/>
            <w:tcBorders>
              <w:tl2br w:val="nil"/>
              <w:tr2bl w:val="nil"/>
            </w:tcBorders>
            <w:vAlign w:val="center"/>
          </w:tcPr>
          <w:p w14:paraId="17D84C7A">
            <w:pPr>
              <w:pStyle w:val="17"/>
            </w:pPr>
            <w:r>
              <w:rPr>
                <w:rFonts w:hint="eastAsia"/>
              </w:rPr>
              <w:t>起重伤害</w:t>
            </w:r>
          </w:p>
        </w:tc>
      </w:tr>
      <w:tr w14:paraId="40273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2EFAF71">
            <w:pPr>
              <w:pStyle w:val="17"/>
              <w:numPr>
                <w:ilvl w:val="0"/>
                <w:numId w:val="33"/>
              </w:numPr>
              <w:tabs>
                <w:tab w:val="clear" w:pos="0"/>
              </w:tabs>
            </w:pPr>
          </w:p>
        </w:tc>
        <w:tc>
          <w:tcPr>
            <w:tcW w:w="504" w:type="pct"/>
            <w:vMerge w:val="continue"/>
            <w:tcBorders>
              <w:tl2br w:val="nil"/>
              <w:tr2bl w:val="nil"/>
            </w:tcBorders>
            <w:vAlign w:val="center"/>
          </w:tcPr>
          <w:p w14:paraId="310664AE">
            <w:pPr>
              <w:pStyle w:val="17"/>
            </w:pPr>
          </w:p>
        </w:tc>
        <w:tc>
          <w:tcPr>
            <w:tcW w:w="3596" w:type="pct"/>
            <w:tcBorders>
              <w:tl2br w:val="nil"/>
              <w:tr2bl w:val="nil"/>
            </w:tcBorders>
            <w:vAlign w:val="center"/>
          </w:tcPr>
          <w:p w14:paraId="35C19865">
            <w:pPr>
              <w:pStyle w:val="17"/>
            </w:pPr>
            <w:r>
              <w:rPr>
                <w:rFonts w:hint="eastAsia"/>
              </w:rPr>
              <w:t>与建筑物、高压线安全距离不足。</w:t>
            </w:r>
          </w:p>
        </w:tc>
        <w:tc>
          <w:tcPr>
            <w:tcW w:w="641" w:type="pct"/>
            <w:tcBorders>
              <w:tl2br w:val="nil"/>
              <w:tr2bl w:val="nil"/>
            </w:tcBorders>
            <w:vAlign w:val="center"/>
          </w:tcPr>
          <w:p w14:paraId="785DF37C">
            <w:pPr>
              <w:pStyle w:val="17"/>
            </w:pPr>
            <w:r>
              <w:rPr>
                <w:rFonts w:hint="eastAsia"/>
              </w:rPr>
              <w:t>触电、起重伤害</w:t>
            </w:r>
          </w:p>
        </w:tc>
      </w:tr>
      <w:tr w14:paraId="7F538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62D157E">
            <w:pPr>
              <w:pStyle w:val="17"/>
              <w:numPr>
                <w:ilvl w:val="0"/>
                <w:numId w:val="33"/>
              </w:numPr>
              <w:tabs>
                <w:tab w:val="clear" w:pos="0"/>
              </w:tabs>
            </w:pPr>
          </w:p>
        </w:tc>
        <w:tc>
          <w:tcPr>
            <w:tcW w:w="504" w:type="pct"/>
            <w:vMerge w:val="continue"/>
            <w:tcBorders>
              <w:tl2br w:val="nil"/>
              <w:tr2bl w:val="nil"/>
            </w:tcBorders>
            <w:vAlign w:val="center"/>
          </w:tcPr>
          <w:p w14:paraId="728E2E29">
            <w:pPr>
              <w:pStyle w:val="17"/>
            </w:pPr>
          </w:p>
        </w:tc>
        <w:tc>
          <w:tcPr>
            <w:tcW w:w="3596" w:type="pct"/>
            <w:tcBorders>
              <w:tl2br w:val="nil"/>
              <w:tr2bl w:val="nil"/>
            </w:tcBorders>
            <w:vAlign w:val="center"/>
          </w:tcPr>
          <w:p w14:paraId="41094DED">
            <w:pPr>
              <w:pStyle w:val="17"/>
            </w:pPr>
            <w:r>
              <w:rPr>
                <w:rFonts w:hint="eastAsia"/>
              </w:rPr>
              <w:t>作业场地未封闭、警戒区域未设置。</w:t>
            </w:r>
          </w:p>
        </w:tc>
        <w:tc>
          <w:tcPr>
            <w:tcW w:w="641" w:type="pct"/>
            <w:tcBorders>
              <w:tl2br w:val="nil"/>
              <w:tr2bl w:val="nil"/>
            </w:tcBorders>
            <w:vAlign w:val="center"/>
          </w:tcPr>
          <w:p w14:paraId="5241C1A9">
            <w:pPr>
              <w:pStyle w:val="17"/>
            </w:pPr>
            <w:r>
              <w:rPr>
                <w:rFonts w:hint="eastAsia"/>
              </w:rPr>
              <w:t>起重伤害</w:t>
            </w:r>
          </w:p>
        </w:tc>
      </w:tr>
      <w:tr w14:paraId="4154B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71B9F2E">
            <w:pPr>
              <w:pStyle w:val="17"/>
              <w:numPr>
                <w:ilvl w:val="0"/>
                <w:numId w:val="33"/>
              </w:numPr>
              <w:tabs>
                <w:tab w:val="clear" w:pos="0"/>
              </w:tabs>
            </w:pPr>
          </w:p>
        </w:tc>
        <w:tc>
          <w:tcPr>
            <w:tcW w:w="504" w:type="pct"/>
            <w:vMerge w:val="continue"/>
            <w:tcBorders>
              <w:tl2br w:val="nil"/>
              <w:tr2bl w:val="nil"/>
            </w:tcBorders>
            <w:vAlign w:val="center"/>
          </w:tcPr>
          <w:p w14:paraId="769CEB1D">
            <w:pPr>
              <w:pStyle w:val="17"/>
            </w:pPr>
          </w:p>
        </w:tc>
        <w:tc>
          <w:tcPr>
            <w:tcW w:w="3596" w:type="pct"/>
            <w:tcBorders>
              <w:tl2br w:val="nil"/>
              <w:tr2bl w:val="nil"/>
            </w:tcBorders>
            <w:vAlign w:val="center"/>
          </w:tcPr>
          <w:p w14:paraId="63D44A5B">
            <w:pPr>
              <w:pStyle w:val="17"/>
            </w:pPr>
            <w:r>
              <w:rPr>
                <w:rFonts w:hint="eastAsia"/>
              </w:rPr>
              <w:t>当遇特殊情况安装作业不能连续进行时，没有将已安装的部位固定牢靠并达到安全状态。</w:t>
            </w:r>
          </w:p>
        </w:tc>
        <w:tc>
          <w:tcPr>
            <w:tcW w:w="641" w:type="pct"/>
            <w:tcBorders>
              <w:tl2br w:val="nil"/>
              <w:tr2bl w:val="nil"/>
            </w:tcBorders>
            <w:vAlign w:val="center"/>
          </w:tcPr>
          <w:p w14:paraId="69848EF5">
            <w:pPr>
              <w:pStyle w:val="17"/>
            </w:pPr>
            <w:r>
              <w:rPr>
                <w:rFonts w:hint="eastAsia"/>
              </w:rPr>
              <w:t>物体打击</w:t>
            </w:r>
          </w:p>
        </w:tc>
      </w:tr>
      <w:tr w14:paraId="3FB7F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2C2E126">
            <w:pPr>
              <w:pStyle w:val="17"/>
              <w:numPr>
                <w:ilvl w:val="0"/>
                <w:numId w:val="33"/>
              </w:numPr>
              <w:tabs>
                <w:tab w:val="clear" w:pos="0"/>
              </w:tabs>
            </w:pPr>
          </w:p>
        </w:tc>
        <w:tc>
          <w:tcPr>
            <w:tcW w:w="504" w:type="pct"/>
            <w:vMerge w:val="continue"/>
            <w:tcBorders>
              <w:tl2br w:val="nil"/>
              <w:tr2bl w:val="nil"/>
            </w:tcBorders>
            <w:vAlign w:val="center"/>
          </w:tcPr>
          <w:p w14:paraId="6EB9BE44">
            <w:pPr>
              <w:pStyle w:val="17"/>
            </w:pPr>
          </w:p>
        </w:tc>
        <w:tc>
          <w:tcPr>
            <w:tcW w:w="3596" w:type="pct"/>
            <w:tcBorders>
              <w:tl2br w:val="nil"/>
              <w:tr2bl w:val="nil"/>
            </w:tcBorders>
            <w:vAlign w:val="center"/>
          </w:tcPr>
          <w:p w14:paraId="198F4C82">
            <w:pPr>
              <w:pStyle w:val="17"/>
            </w:pPr>
            <w:r>
              <w:rPr>
                <w:rFonts w:hint="eastAsia"/>
              </w:rPr>
              <w:t>安全装置不齐全，未进行防雷接地没有按程序进行调试合格。</w:t>
            </w:r>
          </w:p>
        </w:tc>
        <w:tc>
          <w:tcPr>
            <w:tcW w:w="641" w:type="pct"/>
            <w:tcBorders>
              <w:tl2br w:val="nil"/>
              <w:tr2bl w:val="nil"/>
            </w:tcBorders>
            <w:vAlign w:val="center"/>
          </w:tcPr>
          <w:p w14:paraId="56A1536B">
            <w:pPr>
              <w:pStyle w:val="17"/>
            </w:pPr>
            <w:r>
              <w:rPr>
                <w:rFonts w:hint="eastAsia"/>
              </w:rPr>
              <w:t>起重伤害</w:t>
            </w:r>
          </w:p>
        </w:tc>
      </w:tr>
      <w:tr w14:paraId="7AB83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7BC39E4">
            <w:pPr>
              <w:pStyle w:val="17"/>
              <w:numPr>
                <w:ilvl w:val="0"/>
                <w:numId w:val="33"/>
              </w:numPr>
              <w:tabs>
                <w:tab w:val="clear" w:pos="0"/>
              </w:tabs>
            </w:pPr>
          </w:p>
        </w:tc>
        <w:tc>
          <w:tcPr>
            <w:tcW w:w="504" w:type="pct"/>
            <w:tcBorders>
              <w:tl2br w:val="nil"/>
              <w:tr2bl w:val="nil"/>
            </w:tcBorders>
            <w:vAlign w:val="center"/>
          </w:tcPr>
          <w:p w14:paraId="6B38918A">
            <w:pPr>
              <w:pStyle w:val="17"/>
            </w:pPr>
            <w:r>
              <w:rPr>
                <w:rFonts w:hint="eastAsia"/>
              </w:rPr>
              <w:t>风速要求</w:t>
            </w:r>
          </w:p>
        </w:tc>
        <w:tc>
          <w:tcPr>
            <w:tcW w:w="3596" w:type="pct"/>
            <w:tcBorders>
              <w:tl2br w:val="nil"/>
              <w:tr2bl w:val="nil"/>
            </w:tcBorders>
            <w:vAlign w:val="center"/>
          </w:tcPr>
          <w:p w14:paraId="6D1F9294">
            <w:pPr>
              <w:pStyle w:val="17"/>
            </w:pPr>
            <w:r>
              <w:rPr>
                <w:rFonts w:hint="eastAsia"/>
              </w:rPr>
              <w:t>安装时塔机最高处的风速不符合使用说明书的要求，或者大于12m/s。顶升作业时风速超过四级风。</w:t>
            </w:r>
          </w:p>
        </w:tc>
        <w:tc>
          <w:tcPr>
            <w:tcW w:w="641" w:type="pct"/>
            <w:tcBorders>
              <w:tl2br w:val="nil"/>
              <w:tr2bl w:val="nil"/>
            </w:tcBorders>
            <w:vAlign w:val="center"/>
          </w:tcPr>
          <w:p w14:paraId="5AA9F922">
            <w:pPr>
              <w:pStyle w:val="17"/>
            </w:pPr>
            <w:r>
              <w:rPr>
                <w:rFonts w:hint="eastAsia"/>
              </w:rPr>
              <w:t>起重伤害</w:t>
            </w:r>
          </w:p>
        </w:tc>
      </w:tr>
      <w:tr w14:paraId="0E72D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CA74349">
            <w:pPr>
              <w:pStyle w:val="17"/>
              <w:numPr>
                <w:ilvl w:val="0"/>
                <w:numId w:val="33"/>
              </w:numPr>
              <w:tabs>
                <w:tab w:val="clear" w:pos="0"/>
              </w:tabs>
            </w:pPr>
          </w:p>
        </w:tc>
        <w:tc>
          <w:tcPr>
            <w:tcW w:w="504" w:type="pct"/>
            <w:tcBorders>
              <w:tl2br w:val="nil"/>
              <w:tr2bl w:val="nil"/>
            </w:tcBorders>
            <w:vAlign w:val="center"/>
          </w:tcPr>
          <w:p w14:paraId="7E4FA0C1">
            <w:pPr>
              <w:pStyle w:val="17"/>
            </w:pPr>
            <w:r>
              <w:rPr>
                <w:rFonts w:hint="eastAsia"/>
              </w:rPr>
              <w:t>连接要求</w:t>
            </w:r>
          </w:p>
        </w:tc>
        <w:tc>
          <w:tcPr>
            <w:tcW w:w="3596" w:type="pct"/>
            <w:tcBorders>
              <w:tl2br w:val="nil"/>
              <w:tr2bl w:val="nil"/>
            </w:tcBorders>
            <w:vAlign w:val="center"/>
          </w:tcPr>
          <w:p w14:paraId="6E259694">
            <w:pPr>
              <w:pStyle w:val="17"/>
            </w:pPr>
            <w:r>
              <w:rPr>
                <w:rFonts w:hint="eastAsia"/>
              </w:rPr>
              <w:t>开口销未两边张开，夹角未达到90°以上，螺栓与螺母未连接牢固</w:t>
            </w:r>
          </w:p>
        </w:tc>
        <w:tc>
          <w:tcPr>
            <w:tcW w:w="641" w:type="pct"/>
            <w:tcBorders>
              <w:tl2br w:val="nil"/>
              <w:tr2bl w:val="nil"/>
            </w:tcBorders>
            <w:vAlign w:val="center"/>
          </w:tcPr>
          <w:p w14:paraId="43EE01B2">
            <w:pPr>
              <w:pStyle w:val="17"/>
            </w:pPr>
            <w:r>
              <w:rPr>
                <w:rFonts w:hint="eastAsia"/>
              </w:rPr>
              <w:t>起重伤害</w:t>
            </w:r>
          </w:p>
        </w:tc>
      </w:tr>
      <w:tr w14:paraId="3E883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9503754">
            <w:pPr>
              <w:pStyle w:val="17"/>
              <w:numPr>
                <w:ilvl w:val="0"/>
                <w:numId w:val="33"/>
              </w:numPr>
              <w:tabs>
                <w:tab w:val="clear" w:pos="0"/>
              </w:tabs>
            </w:pPr>
          </w:p>
        </w:tc>
        <w:tc>
          <w:tcPr>
            <w:tcW w:w="504" w:type="pct"/>
            <w:vMerge w:val="restart"/>
            <w:tcBorders>
              <w:tl2br w:val="nil"/>
              <w:tr2bl w:val="nil"/>
            </w:tcBorders>
            <w:vAlign w:val="center"/>
          </w:tcPr>
          <w:p w14:paraId="4CFF6497">
            <w:pPr>
              <w:pStyle w:val="17"/>
            </w:pPr>
            <w:r>
              <w:rPr>
                <w:rFonts w:hint="eastAsia"/>
              </w:rPr>
              <w:t>安装塔身基础节</w:t>
            </w:r>
          </w:p>
        </w:tc>
        <w:tc>
          <w:tcPr>
            <w:tcW w:w="3596" w:type="pct"/>
            <w:tcBorders>
              <w:tl2br w:val="nil"/>
              <w:tr2bl w:val="nil"/>
            </w:tcBorders>
            <w:vAlign w:val="center"/>
          </w:tcPr>
          <w:p w14:paraId="286ADD0D">
            <w:pPr>
              <w:pStyle w:val="17"/>
            </w:pPr>
            <w:r>
              <w:rPr>
                <w:rFonts w:hint="eastAsia"/>
              </w:rPr>
              <w:t>塔身基础节吊至预埋塔架上方，未对好方向。塔身基础节连接底板与地脚螺栓未正确就位</w:t>
            </w:r>
          </w:p>
        </w:tc>
        <w:tc>
          <w:tcPr>
            <w:tcW w:w="641" w:type="pct"/>
            <w:tcBorders>
              <w:tl2br w:val="nil"/>
              <w:tr2bl w:val="nil"/>
            </w:tcBorders>
            <w:vAlign w:val="center"/>
          </w:tcPr>
          <w:p w14:paraId="357EFF73">
            <w:pPr>
              <w:pStyle w:val="17"/>
            </w:pPr>
            <w:r>
              <w:rPr>
                <w:rFonts w:hint="eastAsia"/>
              </w:rPr>
              <w:t>起重伤害</w:t>
            </w:r>
          </w:p>
        </w:tc>
      </w:tr>
      <w:tr w14:paraId="3CFE0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45F438F">
            <w:pPr>
              <w:pStyle w:val="17"/>
              <w:numPr>
                <w:ilvl w:val="0"/>
                <w:numId w:val="33"/>
              </w:numPr>
              <w:tabs>
                <w:tab w:val="clear" w:pos="0"/>
              </w:tabs>
            </w:pPr>
          </w:p>
        </w:tc>
        <w:tc>
          <w:tcPr>
            <w:tcW w:w="504" w:type="pct"/>
            <w:vMerge w:val="continue"/>
            <w:tcBorders>
              <w:tl2br w:val="nil"/>
              <w:tr2bl w:val="nil"/>
            </w:tcBorders>
            <w:vAlign w:val="center"/>
          </w:tcPr>
          <w:p w14:paraId="6B557F3A">
            <w:pPr>
              <w:pStyle w:val="17"/>
            </w:pPr>
          </w:p>
        </w:tc>
        <w:tc>
          <w:tcPr>
            <w:tcW w:w="3596" w:type="pct"/>
            <w:tcBorders>
              <w:tl2br w:val="nil"/>
              <w:tr2bl w:val="nil"/>
            </w:tcBorders>
            <w:vAlign w:val="center"/>
          </w:tcPr>
          <w:p w14:paraId="6FE6F8DC">
            <w:pPr>
              <w:pStyle w:val="17"/>
            </w:pPr>
            <w:r>
              <w:rPr>
                <w:rFonts w:hint="eastAsia"/>
              </w:rPr>
              <w:t>基础节四块连接底板未在同一水平面上，误差大于1/1000</w:t>
            </w:r>
          </w:p>
        </w:tc>
        <w:tc>
          <w:tcPr>
            <w:tcW w:w="641" w:type="pct"/>
            <w:tcBorders>
              <w:tl2br w:val="nil"/>
              <w:tr2bl w:val="nil"/>
            </w:tcBorders>
            <w:vAlign w:val="center"/>
          </w:tcPr>
          <w:p w14:paraId="1C06CECB">
            <w:pPr>
              <w:pStyle w:val="17"/>
            </w:pPr>
            <w:r>
              <w:rPr>
                <w:rFonts w:hint="eastAsia"/>
              </w:rPr>
              <w:t>起重伤害</w:t>
            </w:r>
          </w:p>
        </w:tc>
      </w:tr>
      <w:tr w14:paraId="5EEC8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5F238F2">
            <w:pPr>
              <w:pStyle w:val="17"/>
              <w:numPr>
                <w:ilvl w:val="0"/>
                <w:numId w:val="33"/>
              </w:numPr>
              <w:tabs>
                <w:tab w:val="clear" w:pos="0"/>
              </w:tabs>
            </w:pPr>
          </w:p>
        </w:tc>
        <w:tc>
          <w:tcPr>
            <w:tcW w:w="504" w:type="pct"/>
            <w:vMerge w:val="continue"/>
            <w:tcBorders>
              <w:tl2br w:val="nil"/>
              <w:tr2bl w:val="nil"/>
            </w:tcBorders>
            <w:vAlign w:val="center"/>
          </w:tcPr>
          <w:p w14:paraId="4265E386">
            <w:pPr>
              <w:pStyle w:val="17"/>
            </w:pPr>
          </w:p>
        </w:tc>
        <w:tc>
          <w:tcPr>
            <w:tcW w:w="3596" w:type="pct"/>
            <w:tcBorders>
              <w:tl2br w:val="nil"/>
              <w:tr2bl w:val="nil"/>
            </w:tcBorders>
            <w:vAlign w:val="center"/>
          </w:tcPr>
          <w:p w14:paraId="4759C260">
            <w:pPr>
              <w:pStyle w:val="17"/>
            </w:pPr>
            <w:r>
              <w:rPr>
                <w:rFonts w:hint="eastAsia"/>
              </w:rPr>
              <w:t>塔身基础节未使用双螺母与地脚螺栓相连</w:t>
            </w:r>
          </w:p>
        </w:tc>
        <w:tc>
          <w:tcPr>
            <w:tcW w:w="641" w:type="pct"/>
            <w:tcBorders>
              <w:tl2br w:val="nil"/>
              <w:tr2bl w:val="nil"/>
            </w:tcBorders>
            <w:vAlign w:val="center"/>
          </w:tcPr>
          <w:p w14:paraId="1A294FE0">
            <w:pPr>
              <w:pStyle w:val="17"/>
            </w:pPr>
            <w:r>
              <w:rPr>
                <w:rFonts w:hint="eastAsia"/>
              </w:rPr>
              <w:t>起重伤害</w:t>
            </w:r>
          </w:p>
        </w:tc>
      </w:tr>
      <w:tr w14:paraId="265A7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33D4FD3">
            <w:pPr>
              <w:pStyle w:val="17"/>
              <w:numPr>
                <w:ilvl w:val="0"/>
                <w:numId w:val="33"/>
              </w:numPr>
              <w:tabs>
                <w:tab w:val="clear" w:pos="0"/>
              </w:tabs>
            </w:pPr>
          </w:p>
        </w:tc>
        <w:tc>
          <w:tcPr>
            <w:tcW w:w="504" w:type="pct"/>
            <w:vMerge w:val="restart"/>
            <w:tcBorders>
              <w:tl2br w:val="nil"/>
              <w:tr2bl w:val="nil"/>
            </w:tcBorders>
            <w:vAlign w:val="center"/>
          </w:tcPr>
          <w:p w14:paraId="0E71E11B">
            <w:pPr>
              <w:pStyle w:val="17"/>
            </w:pPr>
            <w:r>
              <w:rPr>
                <w:rFonts w:hint="eastAsia"/>
              </w:rPr>
              <w:t>安装塔身</w:t>
            </w:r>
          </w:p>
        </w:tc>
        <w:tc>
          <w:tcPr>
            <w:tcW w:w="3596" w:type="pct"/>
            <w:tcBorders>
              <w:tl2br w:val="nil"/>
              <w:tr2bl w:val="nil"/>
            </w:tcBorders>
            <w:vAlign w:val="center"/>
          </w:tcPr>
          <w:p w14:paraId="32C96EBF">
            <w:pPr>
              <w:pStyle w:val="17"/>
            </w:pPr>
            <w:r>
              <w:rPr>
                <w:rFonts w:hint="eastAsia"/>
              </w:rPr>
              <w:t>安装下塔身加强节未使用特制的高强度螺栓、未拧紧双螺母</w:t>
            </w:r>
          </w:p>
        </w:tc>
        <w:tc>
          <w:tcPr>
            <w:tcW w:w="641" w:type="pct"/>
            <w:tcBorders>
              <w:tl2br w:val="nil"/>
              <w:tr2bl w:val="nil"/>
            </w:tcBorders>
            <w:vAlign w:val="center"/>
          </w:tcPr>
          <w:p w14:paraId="23E03E4A">
            <w:pPr>
              <w:pStyle w:val="17"/>
            </w:pPr>
            <w:r>
              <w:rPr>
                <w:rFonts w:hint="eastAsia"/>
              </w:rPr>
              <w:t>起重伤害</w:t>
            </w:r>
          </w:p>
        </w:tc>
      </w:tr>
      <w:tr w14:paraId="0F4AA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ED59829">
            <w:pPr>
              <w:pStyle w:val="17"/>
              <w:numPr>
                <w:ilvl w:val="0"/>
                <w:numId w:val="33"/>
              </w:numPr>
              <w:tabs>
                <w:tab w:val="clear" w:pos="0"/>
              </w:tabs>
            </w:pPr>
          </w:p>
        </w:tc>
        <w:tc>
          <w:tcPr>
            <w:tcW w:w="504" w:type="pct"/>
            <w:vMerge w:val="continue"/>
            <w:tcBorders>
              <w:tl2br w:val="nil"/>
              <w:tr2bl w:val="nil"/>
            </w:tcBorders>
            <w:vAlign w:val="center"/>
          </w:tcPr>
          <w:p w14:paraId="53EDF813">
            <w:pPr>
              <w:pStyle w:val="17"/>
            </w:pPr>
          </w:p>
        </w:tc>
        <w:tc>
          <w:tcPr>
            <w:tcW w:w="3596" w:type="pct"/>
            <w:tcBorders>
              <w:tl2br w:val="nil"/>
              <w:tr2bl w:val="nil"/>
            </w:tcBorders>
            <w:vAlign w:val="center"/>
          </w:tcPr>
          <w:p w14:paraId="7A9C082E">
            <w:pPr>
              <w:pStyle w:val="17"/>
            </w:pPr>
            <w:r>
              <w:rPr>
                <w:rFonts w:hint="eastAsia"/>
              </w:rPr>
              <w:t>套架上未安装操作平台</w:t>
            </w:r>
          </w:p>
        </w:tc>
        <w:tc>
          <w:tcPr>
            <w:tcW w:w="641" w:type="pct"/>
            <w:tcBorders>
              <w:tl2br w:val="nil"/>
              <w:tr2bl w:val="nil"/>
            </w:tcBorders>
            <w:vAlign w:val="center"/>
          </w:tcPr>
          <w:p w14:paraId="763E8828">
            <w:pPr>
              <w:pStyle w:val="17"/>
            </w:pPr>
            <w:r>
              <w:rPr>
                <w:rFonts w:hint="eastAsia"/>
              </w:rPr>
              <w:t>起重伤害</w:t>
            </w:r>
          </w:p>
        </w:tc>
      </w:tr>
      <w:tr w14:paraId="2F558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D2F46B5">
            <w:pPr>
              <w:pStyle w:val="17"/>
              <w:numPr>
                <w:ilvl w:val="0"/>
                <w:numId w:val="33"/>
              </w:numPr>
              <w:tabs>
                <w:tab w:val="clear" w:pos="0"/>
              </w:tabs>
            </w:pPr>
          </w:p>
        </w:tc>
        <w:tc>
          <w:tcPr>
            <w:tcW w:w="504" w:type="pct"/>
            <w:vMerge w:val="continue"/>
            <w:tcBorders>
              <w:tl2br w:val="nil"/>
              <w:tr2bl w:val="nil"/>
            </w:tcBorders>
            <w:vAlign w:val="center"/>
          </w:tcPr>
          <w:p w14:paraId="3ACE6816">
            <w:pPr>
              <w:pStyle w:val="17"/>
            </w:pPr>
          </w:p>
        </w:tc>
        <w:tc>
          <w:tcPr>
            <w:tcW w:w="3596" w:type="pct"/>
            <w:tcBorders>
              <w:tl2br w:val="nil"/>
              <w:tr2bl w:val="nil"/>
            </w:tcBorders>
            <w:vAlign w:val="center"/>
          </w:tcPr>
          <w:p w14:paraId="47AABA9C">
            <w:pPr>
              <w:pStyle w:val="17"/>
            </w:pPr>
            <w:r>
              <w:rPr>
                <w:rFonts w:hint="eastAsia"/>
              </w:rPr>
              <w:t>下支座下端主弦杆与标准节主弦杆未使用高强度螺栓将其相连，未紧固好双螺母</w:t>
            </w:r>
          </w:p>
        </w:tc>
        <w:tc>
          <w:tcPr>
            <w:tcW w:w="641" w:type="pct"/>
            <w:tcBorders>
              <w:tl2br w:val="nil"/>
              <w:tr2bl w:val="nil"/>
            </w:tcBorders>
            <w:vAlign w:val="center"/>
          </w:tcPr>
          <w:p w14:paraId="15BE77F0">
            <w:pPr>
              <w:pStyle w:val="17"/>
            </w:pPr>
            <w:r>
              <w:rPr>
                <w:rFonts w:hint="eastAsia"/>
              </w:rPr>
              <w:t>起重伤害</w:t>
            </w:r>
          </w:p>
        </w:tc>
      </w:tr>
      <w:tr w14:paraId="7F3C8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BF4933D">
            <w:pPr>
              <w:pStyle w:val="17"/>
              <w:numPr>
                <w:ilvl w:val="0"/>
                <w:numId w:val="33"/>
              </w:numPr>
              <w:tabs>
                <w:tab w:val="clear" w:pos="0"/>
              </w:tabs>
            </w:pPr>
          </w:p>
        </w:tc>
        <w:tc>
          <w:tcPr>
            <w:tcW w:w="504" w:type="pct"/>
            <w:vMerge w:val="continue"/>
            <w:tcBorders>
              <w:tl2br w:val="nil"/>
              <w:tr2bl w:val="nil"/>
            </w:tcBorders>
            <w:vAlign w:val="center"/>
          </w:tcPr>
          <w:p w14:paraId="42D6FBDA">
            <w:pPr>
              <w:pStyle w:val="17"/>
            </w:pPr>
          </w:p>
        </w:tc>
        <w:tc>
          <w:tcPr>
            <w:tcW w:w="3596" w:type="pct"/>
            <w:tcBorders>
              <w:tl2br w:val="nil"/>
              <w:tr2bl w:val="nil"/>
            </w:tcBorders>
            <w:vAlign w:val="center"/>
          </w:tcPr>
          <w:p w14:paraId="434356EE">
            <w:pPr>
              <w:pStyle w:val="17"/>
            </w:pPr>
            <w:r>
              <w:rPr>
                <w:rFonts w:hint="eastAsia"/>
              </w:rPr>
              <w:t>标准节的爬梯、背圈、爬梯平台未同步安装</w:t>
            </w:r>
          </w:p>
        </w:tc>
        <w:tc>
          <w:tcPr>
            <w:tcW w:w="641" w:type="pct"/>
            <w:tcBorders>
              <w:tl2br w:val="nil"/>
              <w:tr2bl w:val="nil"/>
            </w:tcBorders>
            <w:vAlign w:val="center"/>
          </w:tcPr>
          <w:p w14:paraId="057EB5A0">
            <w:pPr>
              <w:pStyle w:val="17"/>
            </w:pPr>
            <w:r>
              <w:rPr>
                <w:rFonts w:hint="eastAsia"/>
              </w:rPr>
              <w:t>起重伤害</w:t>
            </w:r>
          </w:p>
        </w:tc>
      </w:tr>
      <w:tr w14:paraId="5097D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7911458">
            <w:pPr>
              <w:pStyle w:val="17"/>
              <w:numPr>
                <w:ilvl w:val="0"/>
                <w:numId w:val="33"/>
              </w:numPr>
              <w:tabs>
                <w:tab w:val="clear" w:pos="0"/>
              </w:tabs>
            </w:pPr>
          </w:p>
        </w:tc>
        <w:tc>
          <w:tcPr>
            <w:tcW w:w="504" w:type="pct"/>
            <w:vMerge w:val="continue"/>
            <w:tcBorders>
              <w:tl2br w:val="nil"/>
              <w:tr2bl w:val="nil"/>
            </w:tcBorders>
            <w:vAlign w:val="center"/>
          </w:tcPr>
          <w:p w14:paraId="4362B186">
            <w:pPr>
              <w:pStyle w:val="17"/>
            </w:pPr>
          </w:p>
        </w:tc>
        <w:tc>
          <w:tcPr>
            <w:tcW w:w="3596" w:type="pct"/>
            <w:tcBorders>
              <w:tl2br w:val="nil"/>
              <w:tr2bl w:val="nil"/>
            </w:tcBorders>
            <w:vAlign w:val="center"/>
          </w:tcPr>
          <w:p w14:paraId="7A5288B4">
            <w:pPr>
              <w:pStyle w:val="17"/>
            </w:pPr>
            <w:r>
              <w:rPr>
                <w:rFonts w:hint="eastAsia"/>
              </w:rPr>
              <w:t>未安装塔顶平台、栏杆、滑轮、过度拉板</w:t>
            </w:r>
          </w:p>
        </w:tc>
        <w:tc>
          <w:tcPr>
            <w:tcW w:w="641" w:type="pct"/>
            <w:tcBorders>
              <w:tl2br w:val="nil"/>
              <w:tr2bl w:val="nil"/>
            </w:tcBorders>
            <w:vAlign w:val="center"/>
          </w:tcPr>
          <w:p w14:paraId="7200E626">
            <w:pPr>
              <w:pStyle w:val="17"/>
            </w:pPr>
            <w:r>
              <w:rPr>
                <w:rFonts w:hint="eastAsia"/>
              </w:rPr>
              <w:t>起重伤害</w:t>
            </w:r>
          </w:p>
        </w:tc>
      </w:tr>
      <w:tr w14:paraId="23869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8A1CDC2">
            <w:pPr>
              <w:pStyle w:val="17"/>
              <w:numPr>
                <w:ilvl w:val="0"/>
                <w:numId w:val="33"/>
              </w:numPr>
              <w:tabs>
                <w:tab w:val="clear" w:pos="0"/>
              </w:tabs>
            </w:pPr>
          </w:p>
        </w:tc>
        <w:tc>
          <w:tcPr>
            <w:tcW w:w="504" w:type="pct"/>
            <w:vMerge w:val="restart"/>
            <w:tcBorders>
              <w:tl2br w:val="nil"/>
              <w:tr2bl w:val="nil"/>
            </w:tcBorders>
            <w:vAlign w:val="center"/>
          </w:tcPr>
          <w:p w14:paraId="05CA794E">
            <w:pPr>
              <w:pStyle w:val="17"/>
            </w:pPr>
            <w:r>
              <w:rPr>
                <w:rFonts w:hint="eastAsia"/>
              </w:rPr>
              <w:t>安装起重臂、平衡臂</w:t>
            </w:r>
          </w:p>
        </w:tc>
        <w:tc>
          <w:tcPr>
            <w:tcW w:w="3596" w:type="pct"/>
            <w:tcBorders>
              <w:tl2br w:val="nil"/>
              <w:tr2bl w:val="nil"/>
            </w:tcBorders>
            <w:vAlign w:val="center"/>
          </w:tcPr>
          <w:p w14:paraId="1F42D6CE">
            <w:pPr>
              <w:pStyle w:val="17"/>
            </w:pPr>
            <w:r>
              <w:rPr>
                <w:rFonts w:hint="eastAsia"/>
              </w:rPr>
              <w:t>平衡臂未安装平台、栏杆</w:t>
            </w:r>
          </w:p>
        </w:tc>
        <w:tc>
          <w:tcPr>
            <w:tcW w:w="641" w:type="pct"/>
            <w:tcBorders>
              <w:tl2br w:val="nil"/>
              <w:tr2bl w:val="nil"/>
            </w:tcBorders>
            <w:vAlign w:val="center"/>
          </w:tcPr>
          <w:p w14:paraId="60B96510">
            <w:pPr>
              <w:pStyle w:val="17"/>
            </w:pPr>
            <w:r>
              <w:rPr>
                <w:rFonts w:hint="eastAsia"/>
              </w:rPr>
              <w:t>起重伤害</w:t>
            </w:r>
          </w:p>
        </w:tc>
      </w:tr>
      <w:tr w14:paraId="3823B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0E3F499">
            <w:pPr>
              <w:pStyle w:val="17"/>
              <w:numPr>
                <w:ilvl w:val="0"/>
                <w:numId w:val="33"/>
              </w:numPr>
              <w:tabs>
                <w:tab w:val="clear" w:pos="0"/>
              </w:tabs>
            </w:pPr>
          </w:p>
        </w:tc>
        <w:tc>
          <w:tcPr>
            <w:tcW w:w="504" w:type="pct"/>
            <w:vMerge w:val="continue"/>
            <w:tcBorders>
              <w:tl2br w:val="nil"/>
              <w:tr2bl w:val="nil"/>
            </w:tcBorders>
            <w:vAlign w:val="center"/>
          </w:tcPr>
          <w:p w14:paraId="0F3DF7DB">
            <w:pPr>
              <w:pStyle w:val="17"/>
            </w:pPr>
          </w:p>
        </w:tc>
        <w:tc>
          <w:tcPr>
            <w:tcW w:w="3596" w:type="pct"/>
            <w:tcBorders>
              <w:tl2br w:val="nil"/>
              <w:tr2bl w:val="nil"/>
            </w:tcBorders>
            <w:vAlign w:val="center"/>
          </w:tcPr>
          <w:p w14:paraId="5A2F3509">
            <w:pPr>
              <w:pStyle w:val="17"/>
            </w:pPr>
            <w:r>
              <w:rPr>
                <w:rFonts w:hint="eastAsia"/>
              </w:rPr>
              <w:t>平衡重未安装在后部规定位置，未使用专用钢销将平衡重支持在平衡臂上</w:t>
            </w:r>
          </w:p>
        </w:tc>
        <w:tc>
          <w:tcPr>
            <w:tcW w:w="641" w:type="pct"/>
            <w:tcBorders>
              <w:tl2br w:val="nil"/>
              <w:tr2bl w:val="nil"/>
            </w:tcBorders>
            <w:vAlign w:val="center"/>
          </w:tcPr>
          <w:p w14:paraId="5606CEE5">
            <w:pPr>
              <w:pStyle w:val="17"/>
            </w:pPr>
            <w:r>
              <w:rPr>
                <w:rFonts w:hint="eastAsia"/>
              </w:rPr>
              <w:t>起重伤害</w:t>
            </w:r>
          </w:p>
        </w:tc>
      </w:tr>
      <w:tr w14:paraId="1AB90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8AFC7D8">
            <w:pPr>
              <w:pStyle w:val="17"/>
              <w:numPr>
                <w:ilvl w:val="0"/>
                <w:numId w:val="33"/>
              </w:numPr>
              <w:tabs>
                <w:tab w:val="clear" w:pos="0"/>
              </w:tabs>
            </w:pPr>
          </w:p>
        </w:tc>
        <w:tc>
          <w:tcPr>
            <w:tcW w:w="504" w:type="pct"/>
            <w:vMerge w:val="continue"/>
            <w:tcBorders>
              <w:tl2br w:val="nil"/>
              <w:tr2bl w:val="nil"/>
            </w:tcBorders>
            <w:vAlign w:val="center"/>
          </w:tcPr>
          <w:p w14:paraId="75EA54B0">
            <w:pPr>
              <w:pStyle w:val="17"/>
            </w:pPr>
          </w:p>
        </w:tc>
        <w:tc>
          <w:tcPr>
            <w:tcW w:w="3596" w:type="pct"/>
            <w:tcBorders>
              <w:tl2br w:val="nil"/>
              <w:tr2bl w:val="nil"/>
            </w:tcBorders>
            <w:vAlign w:val="center"/>
          </w:tcPr>
          <w:p w14:paraId="4550898F">
            <w:pPr>
              <w:pStyle w:val="17"/>
            </w:pPr>
            <w:r>
              <w:rPr>
                <w:rFonts w:hint="eastAsia"/>
              </w:rPr>
              <w:t>未在变幅小车上安装检修平台</w:t>
            </w:r>
          </w:p>
        </w:tc>
        <w:tc>
          <w:tcPr>
            <w:tcW w:w="641" w:type="pct"/>
            <w:tcBorders>
              <w:tl2br w:val="nil"/>
              <w:tr2bl w:val="nil"/>
            </w:tcBorders>
            <w:vAlign w:val="center"/>
          </w:tcPr>
          <w:p w14:paraId="2C221180">
            <w:pPr>
              <w:pStyle w:val="17"/>
            </w:pPr>
            <w:r>
              <w:rPr>
                <w:rFonts w:hint="eastAsia"/>
              </w:rPr>
              <w:t>起重伤害</w:t>
            </w:r>
          </w:p>
        </w:tc>
      </w:tr>
      <w:tr w14:paraId="470F4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514128E">
            <w:pPr>
              <w:pStyle w:val="17"/>
              <w:numPr>
                <w:ilvl w:val="0"/>
                <w:numId w:val="33"/>
              </w:numPr>
              <w:tabs>
                <w:tab w:val="clear" w:pos="0"/>
              </w:tabs>
            </w:pPr>
          </w:p>
        </w:tc>
        <w:tc>
          <w:tcPr>
            <w:tcW w:w="504" w:type="pct"/>
            <w:vMerge w:val="continue"/>
            <w:tcBorders>
              <w:tl2br w:val="nil"/>
              <w:tr2bl w:val="nil"/>
            </w:tcBorders>
            <w:vAlign w:val="center"/>
          </w:tcPr>
          <w:p w14:paraId="03233581">
            <w:pPr>
              <w:pStyle w:val="17"/>
            </w:pPr>
          </w:p>
        </w:tc>
        <w:tc>
          <w:tcPr>
            <w:tcW w:w="3596" w:type="pct"/>
            <w:tcBorders>
              <w:tl2br w:val="nil"/>
              <w:tr2bl w:val="nil"/>
            </w:tcBorders>
            <w:vAlign w:val="center"/>
          </w:tcPr>
          <w:p w14:paraId="2E2FBD72">
            <w:pPr>
              <w:pStyle w:val="17"/>
            </w:pPr>
            <w:r>
              <w:rPr>
                <w:rFonts w:hint="eastAsia"/>
              </w:rPr>
              <w:t>未用特制销轴将起重臂与回转塔身耳板铰接好、并未穿好开口销</w:t>
            </w:r>
          </w:p>
        </w:tc>
        <w:tc>
          <w:tcPr>
            <w:tcW w:w="641" w:type="pct"/>
            <w:tcBorders>
              <w:tl2br w:val="nil"/>
              <w:tr2bl w:val="nil"/>
            </w:tcBorders>
            <w:vAlign w:val="center"/>
          </w:tcPr>
          <w:p w14:paraId="51BAB047">
            <w:pPr>
              <w:pStyle w:val="17"/>
            </w:pPr>
            <w:r>
              <w:rPr>
                <w:rFonts w:hint="eastAsia"/>
              </w:rPr>
              <w:t>起重伤害</w:t>
            </w:r>
          </w:p>
        </w:tc>
      </w:tr>
      <w:tr w14:paraId="4192E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553CE99">
            <w:pPr>
              <w:pStyle w:val="17"/>
              <w:numPr>
                <w:ilvl w:val="0"/>
                <w:numId w:val="33"/>
              </w:numPr>
              <w:tabs>
                <w:tab w:val="clear" w:pos="0"/>
              </w:tabs>
            </w:pPr>
          </w:p>
        </w:tc>
        <w:tc>
          <w:tcPr>
            <w:tcW w:w="504" w:type="pct"/>
            <w:vMerge w:val="continue"/>
            <w:tcBorders>
              <w:tl2br w:val="nil"/>
              <w:tr2bl w:val="nil"/>
            </w:tcBorders>
            <w:vAlign w:val="center"/>
          </w:tcPr>
          <w:p w14:paraId="0B0ED0DC">
            <w:pPr>
              <w:pStyle w:val="17"/>
            </w:pPr>
          </w:p>
        </w:tc>
        <w:tc>
          <w:tcPr>
            <w:tcW w:w="3596" w:type="pct"/>
            <w:tcBorders>
              <w:tl2br w:val="nil"/>
              <w:tr2bl w:val="nil"/>
            </w:tcBorders>
            <w:vAlign w:val="center"/>
          </w:tcPr>
          <w:p w14:paraId="4E39BADB">
            <w:pPr>
              <w:pStyle w:val="17"/>
            </w:pPr>
            <w:r>
              <w:rPr>
                <w:rFonts w:hint="eastAsia"/>
              </w:rPr>
              <w:t>配重重量与大臂长度不匹配</w:t>
            </w:r>
          </w:p>
        </w:tc>
        <w:tc>
          <w:tcPr>
            <w:tcW w:w="641" w:type="pct"/>
            <w:tcBorders>
              <w:tl2br w:val="nil"/>
              <w:tr2bl w:val="nil"/>
            </w:tcBorders>
            <w:vAlign w:val="center"/>
          </w:tcPr>
          <w:p w14:paraId="1E9DEA1C">
            <w:pPr>
              <w:pStyle w:val="17"/>
            </w:pPr>
            <w:r>
              <w:rPr>
                <w:rFonts w:hint="eastAsia"/>
              </w:rPr>
              <w:t>起重伤害</w:t>
            </w:r>
          </w:p>
        </w:tc>
      </w:tr>
      <w:tr w14:paraId="0303F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8BA2FAB">
            <w:pPr>
              <w:pStyle w:val="17"/>
              <w:numPr>
                <w:ilvl w:val="0"/>
                <w:numId w:val="33"/>
              </w:numPr>
              <w:tabs>
                <w:tab w:val="clear" w:pos="0"/>
              </w:tabs>
            </w:pPr>
          </w:p>
        </w:tc>
        <w:tc>
          <w:tcPr>
            <w:tcW w:w="504" w:type="pct"/>
            <w:vMerge w:val="continue"/>
            <w:tcBorders>
              <w:tl2br w:val="nil"/>
              <w:tr2bl w:val="nil"/>
            </w:tcBorders>
            <w:vAlign w:val="center"/>
          </w:tcPr>
          <w:p w14:paraId="2BED2BAA">
            <w:pPr>
              <w:pStyle w:val="17"/>
            </w:pPr>
          </w:p>
        </w:tc>
        <w:tc>
          <w:tcPr>
            <w:tcW w:w="3596" w:type="pct"/>
            <w:tcBorders>
              <w:tl2br w:val="nil"/>
              <w:tr2bl w:val="nil"/>
            </w:tcBorders>
            <w:vAlign w:val="center"/>
          </w:tcPr>
          <w:p w14:paraId="5FDC982A">
            <w:pPr>
              <w:pStyle w:val="17"/>
            </w:pPr>
            <w:r>
              <w:rPr>
                <w:rFonts w:hint="eastAsia"/>
              </w:rPr>
              <w:t>未使用链条葫芦或未利用起升钢丝绳提升起重臂拉杆</w:t>
            </w:r>
          </w:p>
        </w:tc>
        <w:tc>
          <w:tcPr>
            <w:tcW w:w="641" w:type="pct"/>
            <w:tcBorders>
              <w:tl2br w:val="nil"/>
              <w:tr2bl w:val="nil"/>
            </w:tcBorders>
            <w:vAlign w:val="center"/>
          </w:tcPr>
          <w:p w14:paraId="60972F71">
            <w:pPr>
              <w:pStyle w:val="17"/>
            </w:pPr>
            <w:r>
              <w:rPr>
                <w:rFonts w:hint="eastAsia"/>
              </w:rPr>
              <w:t>起重伤害</w:t>
            </w:r>
          </w:p>
        </w:tc>
      </w:tr>
      <w:tr w14:paraId="5F415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1581BE0">
            <w:pPr>
              <w:pStyle w:val="17"/>
              <w:numPr>
                <w:ilvl w:val="0"/>
                <w:numId w:val="33"/>
              </w:numPr>
              <w:tabs>
                <w:tab w:val="clear" w:pos="0"/>
              </w:tabs>
            </w:pPr>
          </w:p>
        </w:tc>
        <w:tc>
          <w:tcPr>
            <w:tcW w:w="504" w:type="pct"/>
            <w:vMerge w:val="restart"/>
            <w:tcBorders>
              <w:tl2br w:val="nil"/>
              <w:tr2bl w:val="nil"/>
            </w:tcBorders>
            <w:vAlign w:val="center"/>
          </w:tcPr>
          <w:p w14:paraId="0A79EDE5">
            <w:pPr>
              <w:pStyle w:val="17"/>
            </w:pPr>
            <w:r>
              <w:rPr>
                <w:rFonts w:hint="eastAsia"/>
              </w:rPr>
              <w:t>顶升加节</w:t>
            </w:r>
          </w:p>
        </w:tc>
        <w:tc>
          <w:tcPr>
            <w:tcW w:w="3596" w:type="pct"/>
            <w:tcBorders>
              <w:tl2br w:val="nil"/>
              <w:tr2bl w:val="nil"/>
            </w:tcBorders>
            <w:vAlign w:val="center"/>
          </w:tcPr>
          <w:p w14:paraId="662AD2C8">
            <w:pPr>
              <w:pStyle w:val="17"/>
            </w:pPr>
            <w:r>
              <w:rPr>
                <w:rFonts w:hint="eastAsia"/>
              </w:rPr>
              <w:t>顶升加节前未检查顶升系统、结构部件是否完好</w:t>
            </w:r>
          </w:p>
        </w:tc>
        <w:tc>
          <w:tcPr>
            <w:tcW w:w="641" w:type="pct"/>
            <w:tcBorders>
              <w:tl2br w:val="nil"/>
              <w:tr2bl w:val="nil"/>
            </w:tcBorders>
            <w:vAlign w:val="center"/>
          </w:tcPr>
          <w:p w14:paraId="345BE7AD">
            <w:pPr>
              <w:pStyle w:val="17"/>
            </w:pPr>
            <w:r>
              <w:rPr>
                <w:rFonts w:hint="eastAsia"/>
              </w:rPr>
              <w:t>起重伤害</w:t>
            </w:r>
          </w:p>
        </w:tc>
      </w:tr>
      <w:tr w14:paraId="4174E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15E38C4">
            <w:pPr>
              <w:pStyle w:val="17"/>
              <w:numPr>
                <w:ilvl w:val="0"/>
                <w:numId w:val="33"/>
              </w:numPr>
              <w:tabs>
                <w:tab w:val="clear" w:pos="0"/>
              </w:tabs>
            </w:pPr>
          </w:p>
        </w:tc>
        <w:tc>
          <w:tcPr>
            <w:tcW w:w="504" w:type="pct"/>
            <w:vMerge w:val="continue"/>
            <w:tcBorders>
              <w:tl2br w:val="nil"/>
              <w:tr2bl w:val="nil"/>
            </w:tcBorders>
            <w:vAlign w:val="center"/>
          </w:tcPr>
          <w:p w14:paraId="24D50F6A">
            <w:pPr>
              <w:pStyle w:val="17"/>
            </w:pPr>
          </w:p>
        </w:tc>
        <w:tc>
          <w:tcPr>
            <w:tcW w:w="3596" w:type="pct"/>
            <w:tcBorders>
              <w:tl2br w:val="nil"/>
              <w:tr2bl w:val="nil"/>
            </w:tcBorders>
            <w:vAlign w:val="center"/>
          </w:tcPr>
          <w:p w14:paraId="75DFCDB6">
            <w:pPr>
              <w:pStyle w:val="17"/>
            </w:pPr>
            <w:r>
              <w:rPr>
                <w:rFonts w:hint="eastAsia"/>
              </w:rPr>
              <w:t>顶升前，塔机下支座与顶升套架未可靠连接</w:t>
            </w:r>
          </w:p>
        </w:tc>
        <w:tc>
          <w:tcPr>
            <w:tcW w:w="641" w:type="pct"/>
            <w:tcBorders>
              <w:tl2br w:val="nil"/>
              <w:tr2bl w:val="nil"/>
            </w:tcBorders>
            <w:vAlign w:val="center"/>
          </w:tcPr>
          <w:p w14:paraId="3F760A4B">
            <w:pPr>
              <w:pStyle w:val="17"/>
            </w:pPr>
            <w:r>
              <w:rPr>
                <w:rFonts w:hint="eastAsia"/>
              </w:rPr>
              <w:t>起重伤害</w:t>
            </w:r>
          </w:p>
        </w:tc>
      </w:tr>
      <w:tr w14:paraId="13A81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0067610">
            <w:pPr>
              <w:pStyle w:val="17"/>
              <w:numPr>
                <w:ilvl w:val="0"/>
                <w:numId w:val="33"/>
              </w:numPr>
              <w:tabs>
                <w:tab w:val="clear" w:pos="0"/>
              </w:tabs>
            </w:pPr>
          </w:p>
        </w:tc>
        <w:tc>
          <w:tcPr>
            <w:tcW w:w="504" w:type="pct"/>
            <w:vMerge w:val="continue"/>
            <w:tcBorders>
              <w:tl2br w:val="nil"/>
              <w:tr2bl w:val="nil"/>
            </w:tcBorders>
            <w:vAlign w:val="center"/>
          </w:tcPr>
          <w:p w14:paraId="04675E3C">
            <w:pPr>
              <w:pStyle w:val="17"/>
            </w:pPr>
          </w:p>
        </w:tc>
        <w:tc>
          <w:tcPr>
            <w:tcW w:w="3596" w:type="pct"/>
            <w:tcBorders>
              <w:tl2br w:val="nil"/>
              <w:tr2bl w:val="nil"/>
            </w:tcBorders>
            <w:vAlign w:val="center"/>
          </w:tcPr>
          <w:p w14:paraId="6D92C636">
            <w:pPr>
              <w:pStyle w:val="17"/>
            </w:pPr>
            <w:r>
              <w:rPr>
                <w:rFonts w:hint="eastAsia"/>
              </w:rPr>
              <w:t>顶升前，未保持顶升横梁搁置正确</w:t>
            </w:r>
          </w:p>
        </w:tc>
        <w:tc>
          <w:tcPr>
            <w:tcW w:w="641" w:type="pct"/>
            <w:tcBorders>
              <w:tl2br w:val="nil"/>
              <w:tr2bl w:val="nil"/>
            </w:tcBorders>
            <w:vAlign w:val="center"/>
          </w:tcPr>
          <w:p w14:paraId="6CC4189C">
            <w:pPr>
              <w:pStyle w:val="17"/>
            </w:pPr>
            <w:r>
              <w:rPr>
                <w:rFonts w:hint="eastAsia"/>
              </w:rPr>
              <w:t>起重伤害</w:t>
            </w:r>
          </w:p>
        </w:tc>
      </w:tr>
      <w:tr w14:paraId="3B0F1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C7C580C">
            <w:pPr>
              <w:pStyle w:val="17"/>
              <w:numPr>
                <w:ilvl w:val="0"/>
                <w:numId w:val="33"/>
              </w:numPr>
              <w:tabs>
                <w:tab w:val="clear" w:pos="0"/>
              </w:tabs>
            </w:pPr>
          </w:p>
        </w:tc>
        <w:tc>
          <w:tcPr>
            <w:tcW w:w="504" w:type="pct"/>
            <w:vMerge w:val="continue"/>
            <w:tcBorders>
              <w:tl2br w:val="nil"/>
              <w:tr2bl w:val="nil"/>
            </w:tcBorders>
            <w:vAlign w:val="center"/>
          </w:tcPr>
          <w:p w14:paraId="216EA3DF">
            <w:pPr>
              <w:pStyle w:val="17"/>
            </w:pPr>
          </w:p>
        </w:tc>
        <w:tc>
          <w:tcPr>
            <w:tcW w:w="3596" w:type="pct"/>
            <w:tcBorders>
              <w:tl2br w:val="nil"/>
              <w:tr2bl w:val="nil"/>
            </w:tcBorders>
            <w:vAlign w:val="center"/>
          </w:tcPr>
          <w:p w14:paraId="648620A2">
            <w:pPr>
              <w:pStyle w:val="17"/>
            </w:pPr>
            <w:r>
              <w:rPr>
                <w:rFonts w:hint="eastAsia"/>
              </w:rPr>
              <w:t>顶升前，未将塔机配平。顶升过程中未确保塔机的平衡</w:t>
            </w:r>
          </w:p>
        </w:tc>
        <w:tc>
          <w:tcPr>
            <w:tcW w:w="641" w:type="pct"/>
            <w:tcBorders>
              <w:tl2br w:val="nil"/>
              <w:tr2bl w:val="nil"/>
            </w:tcBorders>
            <w:vAlign w:val="center"/>
          </w:tcPr>
          <w:p w14:paraId="4483986D">
            <w:pPr>
              <w:pStyle w:val="17"/>
            </w:pPr>
            <w:r>
              <w:rPr>
                <w:rFonts w:hint="eastAsia"/>
              </w:rPr>
              <w:t>起重伤害</w:t>
            </w:r>
          </w:p>
        </w:tc>
      </w:tr>
      <w:tr w14:paraId="68073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DCC233B">
            <w:pPr>
              <w:pStyle w:val="17"/>
              <w:numPr>
                <w:ilvl w:val="0"/>
                <w:numId w:val="33"/>
              </w:numPr>
              <w:tabs>
                <w:tab w:val="clear" w:pos="0"/>
              </w:tabs>
            </w:pPr>
          </w:p>
        </w:tc>
        <w:tc>
          <w:tcPr>
            <w:tcW w:w="504" w:type="pct"/>
            <w:vMerge w:val="continue"/>
            <w:tcBorders>
              <w:tl2br w:val="nil"/>
              <w:tr2bl w:val="nil"/>
            </w:tcBorders>
            <w:vAlign w:val="center"/>
          </w:tcPr>
          <w:p w14:paraId="2D83C9F3">
            <w:pPr>
              <w:pStyle w:val="17"/>
            </w:pPr>
          </w:p>
        </w:tc>
        <w:tc>
          <w:tcPr>
            <w:tcW w:w="3596" w:type="pct"/>
            <w:tcBorders>
              <w:tl2br w:val="nil"/>
              <w:tr2bl w:val="nil"/>
            </w:tcBorders>
            <w:vAlign w:val="center"/>
          </w:tcPr>
          <w:p w14:paraId="5821F020">
            <w:pPr>
              <w:pStyle w:val="17"/>
            </w:pPr>
            <w:r>
              <w:rPr>
                <w:rFonts w:hint="eastAsia"/>
              </w:rPr>
              <w:t>顶升加节的顺序，未符合使用说明书的规定</w:t>
            </w:r>
          </w:p>
        </w:tc>
        <w:tc>
          <w:tcPr>
            <w:tcW w:w="641" w:type="pct"/>
            <w:tcBorders>
              <w:tl2br w:val="nil"/>
              <w:tr2bl w:val="nil"/>
            </w:tcBorders>
            <w:vAlign w:val="center"/>
          </w:tcPr>
          <w:p w14:paraId="47505FB4">
            <w:pPr>
              <w:pStyle w:val="17"/>
            </w:pPr>
            <w:r>
              <w:rPr>
                <w:rFonts w:hint="eastAsia"/>
              </w:rPr>
              <w:t>起重伤害</w:t>
            </w:r>
          </w:p>
        </w:tc>
      </w:tr>
      <w:tr w14:paraId="1166B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A01CCDD">
            <w:pPr>
              <w:pStyle w:val="17"/>
              <w:numPr>
                <w:ilvl w:val="0"/>
                <w:numId w:val="33"/>
              </w:numPr>
              <w:tabs>
                <w:tab w:val="clear" w:pos="0"/>
              </w:tabs>
            </w:pPr>
          </w:p>
        </w:tc>
        <w:tc>
          <w:tcPr>
            <w:tcW w:w="504" w:type="pct"/>
            <w:vMerge w:val="continue"/>
            <w:tcBorders>
              <w:tl2br w:val="nil"/>
              <w:tr2bl w:val="nil"/>
            </w:tcBorders>
            <w:vAlign w:val="center"/>
          </w:tcPr>
          <w:p w14:paraId="02FEE6F4">
            <w:pPr>
              <w:pStyle w:val="17"/>
            </w:pPr>
          </w:p>
        </w:tc>
        <w:tc>
          <w:tcPr>
            <w:tcW w:w="3596" w:type="pct"/>
            <w:tcBorders>
              <w:tl2br w:val="nil"/>
              <w:tr2bl w:val="nil"/>
            </w:tcBorders>
            <w:vAlign w:val="center"/>
          </w:tcPr>
          <w:p w14:paraId="02206415">
            <w:pPr>
              <w:pStyle w:val="17"/>
            </w:pPr>
            <w:r>
              <w:rPr>
                <w:rFonts w:hint="eastAsia"/>
              </w:rPr>
              <w:t>顶升过程中，进行起升、回转、变幅等动作</w:t>
            </w:r>
          </w:p>
        </w:tc>
        <w:tc>
          <w:tcPr>
            <w:tcW w:w="641" w:type="pct"/>
            <w:tcBorders>
              <w:tl2br w:val="nil"/>
              <w:tr2bl w:val="nil"/>
            </w:tcBorders>
            <w:vAlign w:val="center"/>
          </w:tcPr>
          <w:p w14:paraId="014A8208">
            <w:pPr>
              <w:pStyle w:val="17"/>
            </w:pPr>
            <w:r>
              <w:rPr>
                <w:rFonts w:hint="eastAsia"/>
              </w:rPr>
              <w:t>起重伤害</w:t>
            </w:r>
          </w:p>
        </w:tc>
      </w:tr>
      <w:tr w14:paraId="7CC56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75994A5">
            <w:pPr>
              <w:pStyle w:val="17"/>
              <w:numPr>
                <w:ilvl w:val="0"/>
                <w:numId w:val="33"/>
              </w:numPr>
              <w:tabs>
                <w:tab w:val="clear" w:pos="0"/>
              </w:tabs>
            </w:pPr>
          </w:p>
        </w:tc>
        <w:tc>
          <w:tcPr>
            <w:tcW w:w="504" w:type="pct"/>
            <w:vMerge w:val="continue"/>
            <w:tcBorders>
              <w:tl2br w:val="nil"/>
              <w:tr2bl w:val="nil"/>
            </w:tcBorders>
            <w:vAlign w:val="center"/>
          </w:tcPr>
          <w:p w14:paraId="37C02DB5">
            <w:pPr>
              <w:pStyle w:val="17"/>
            </w:pPr>
          </w:p>
        </w:tc>
        <w:tc>
          <w:tcPr>
            <w:tcW w:w="3596" w:type="pct"/>
            <w:tcBorders>
              <w:tl2br w:val="nil"/>
              <w:tr2bl w:val="nil"/>
            </w:tcBorders>
            <w:vAlign w:val="center"/>
          </w:tcPr>
          <w:p w14:paraId="593A3CE6">
            <w:pPr>
              <w:pStyle w:val="17"/>
            </w:pPr>
            <w:r>
              <w:rPr>
                <w:rFonts w:hint="eastAsia"/>
              </w:rPr>
              <w:t>顶升结束后，未将标准节与回转下支座可靠连接</w:t>
            </w:r>
          </w:p>
        </w:tc>
        <w:tc>
          <w:tcPr>
            <w:tcW w:w="641" w:type="pct"/>
            <w:tcBorders>
              <w:tl2br w:val="nil"/>
              <w:tr2bl w:val="nil"/>
            </w:tcBorders>
            <w:vAlign w:val="center"/>
          </w:tcPr>
          <w:p w14:paraId="2852BC4C">
            <w:pPr>
              <w:pStyle w:val="17"/>
            </w:pPr>
            <w:r>
              <w:rPr>
                <w:rFonts w:hint="eastAsia"/>
              </w:rPr>
              <w:t>起重伤害</w:t>
            </w:r>
          </w:p>
        </w:tc>
      </w:tr>
      <w:tr w14:paraId="7787A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B98744E">
            <w:pPr>
              <w:pStyle w:val="17"/>
              <w:numPr>
                <w:ilvl w:val="0"/>
                <w:numId w:val="33"/>
              </w:numPr>
              <w:tabs>
                <w:tab w:val="clear" w:pos="0"/>
              </w:tabs>
            </w:pPr>
          </w:p>
        </w:tc>
        <w:tc>
          <w:tcPr>
            <w:tcW w:w="504" w:type="pct"/>
            <w:vMerge w:val="continue"/>
            <w:tcBorders>
              <w:tl2br w:val="nil"/>
              <w:tr2bl w:val="nil"/>
            </w:tcBorders>
            <w:vAlign w:val="center"/>
          </w:tcPr>
          <w:p w14:paraId="48A69FDA">
            <w:pPr>
              <w:pStyle w:val="17"/>
            </w:pPr>
          </w:p>
        </w:tc>
        <w:tc>
          <w:tcPr>
            <w:tcW w:w="3596" w:type="pct"/>
            <w:tcBorders>
              <w:tl2br w:val="nil"/>
              <w:tr2bl w:val="nil"/>
            </w:tcBorders>
            <w:vAlign w:val="center"/>
          </w:tcPr>
          <w:p w14:paraId="188372D9">
            <w:pPr>
              <w:pStyle w:val="17"/>
            </w:pPr>
            <w:r>
              <w:rPr>
                <w:rFonts w:hint="eastAsia"/>
              </w:rPr>
              <w:t>塔机加节后需附着的，未按照先安装附着装置、后顶升加节的顺序进行，附着装置的位置和支撑点的强度未符合要求。</w:t>
            </w:r>
          </w:p>
        </w:tc>
        <w:tc>
          <w:tcPr>
            <w:tcW w:w="641" w:type="pct"/>
            <w:tcBorders>
              <w:tl2br w:val="nil"/>
              <w:tr2bl w:val="nil"/>
            </w:tcBorders>
            <w:vAlign w:val="center"/>
          </w:tcPr>
          <w:p w14:paraId="41D8B17E">
            <w:pPr>
              <w:pStyle w:val="17"/>
            </w:pPr>
            <w:r>
              <w:rPr>
                <w:rFonts w:hint="eastAsia"/>
              </w:rPr>
              <w:t>起重伤害</w:t>
            </w:r>
          </w:p>
        </w:tc>
      </w:tr>
      <w:tr w14:paraId="4AD3E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1702D49">
            <w:pPr>
              <w:pStyle w:val="17"/>
              <w:numPr>
                <w:ilvl w:val="0"/>
                <w:numId w:val="33"/>
              </w:numPr>
              <w:tabs>
                <w:tab w:val="clear" w:pos="0"/>
              </w:tabs>
            </w:pPr>
          </w:p>
        </w:tc>
        <w:tc>
          <w:tcPr>
            <w:tcW w:w="504" w:type="pct"/>
            <w:vMerge w:val="restart"/>
            <w:tcBorders>
              <w:tl2br w:val="nil"/>
              <w:tr2bl w:val="nil"/>
            </w:tcBorders>
            <w:vAlign w:val="center"/>
          </w:tcPr>
          <w:p w14:paraId="1D2ABABB">
            <w:pPr>
              <w:pStyle w:val="17"/>
            </w:pPr>
            <w:r>
              <w:rPr>
                <w:rFonts w:hint="eastAsia"/>
              </w:rPr>
              <w:t>附着装置</w:t>
            </w:r>
          </w:p>
        </w:tc>
        <w:tc>
          <w:tcPr>
            <w:tcW w:w="3596" w:type="pct"/>
            <w:tcBorders>
              <w:tl2br w:val="nil"/>
              <w:tr2bl w:val="nil"/>
            </w:tcBorders>
            <w:vAlign w:val="center"/>
          </w:tcPr>
          <w:p w14:paraId="7D39683F">
            <w:pPr>
              <w:pStyle w:val="17"/>
            </w:pPr>
            <w:r>
              <w:rPr>
                <w:rFonts w:hint="eastAsia"/>
              </w:rPr>
              <w:t>附着装置的设置和自由端高度不符合使用说明书的规定</w:t>
            </w:r>
          </w:p>
        </w:tc>
        <w:tc>
          <w:tcPr>
            <w:tcW w:w="641" w:type="pct"/>
            <w:tcBorders>
              <w:tl2br w:val="nil"/>
              <w:tr2bl w:val="nil"/>
            </w:tcBorders>
            <w:vAlign w:val="center"/>
          </w:tcPr>
          <w:p w14:paraId="3B1A749E">
            <w:pPr>
              <w:pStyle w:val="17"/>
            </w:pPr>
            <w:r>
              <w:rPr>
                <w:rFonts w:hint="eastAsia"/>
              </w:rPr>
              <w:t>起重伤害</w:t>
            </w:r>
          </w:p>
        </w:tc>
      </w:tr>
      <w:tr w14:paraId="71E4C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76F0E42">
            <w:pPr>
              <w:pStyle w:val="17"/>
              <w:numPr>
                <w:ilvl w:val="0"/>
                <w:numId w:val="33"/>
              </w:numPr>
              <w:tabs>
                <w:tab w:val="clear" w:pos="0"/>
              </w:tabs>
            </w:pPr>
          </w:p>
        </w:tc>
        <w:tc>
          <w:tcPr>
            <w:tcW w:w="504" w:type="pct"/>
            <w:vMerge w:val="continue"/>
            <w:tcBorders>
              <w:tl2br w:val="nil"/>
              <w:tr2bl w:val="nil"/>
            </w:tcBorders>
            <w:vAlign w:val="center"/>
          </w:tcPr>
          <w:p w14:paraId="215F83D7">
            <w:pPr>
              <w:pStyle w:val="17"/>
            </w:pPr>
          </w:p>
        </w:tc>
        <w:tc>
          <w:tcPr>
            <w:tcW w:w="3596" w:type="pct"/>
            <w:tcBorders>
              <w:tl2br w:val="nil"/>
              <w:tr2bl w:val="nil"/>
            </w:tcBorders>
            <w:vAlign w:val="center"/>
          </w:tcPr>
          <w:p w14:paraId="5B8BD967">
            <w:pPr>
              <w:pStyle w:val="17"/>
            </w:pPr>
            <w:r>
              <w:rPr>
                <w:rFonts w:hint="eastAsia"/>
              </w:rPr>
              <w:t>当附着水平距离、附着间距等不满足使用说明书的要求时，没有进行设计计算、绘制制作图、编写相关说明。</w:t>
            </w:r>
          </w:p>
        </w:tc>
        <w:tc>
          <w:tcPr>
            <w:tcW w:w="641" w:type="pct"/>
            <w:tcBorders>
              <w:tl2br w:val="nil"/>
              <w:tr2bl w:val="nil"/>
            </w:tcBorders>
            <w:vAlign w:val="center"/>
          </w:tcPr>
          <w:p w14:paraId="6A8B02E9">
            <w:pPr>
              <w:pStyle w:val="17"/>
            </w:pPr>
            <w:r>
              <w:rPr>
                <w:rFonts w:hint="eastAsia"/>
              </w:rPr>
              <w:t>起重伤害</w:t>
            </w:r>
          </w:p>
        </w:tc>
      </w:tr>
      <w:tr w14:paraId="59928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21D182B">
            <w:pPr>
              <w:pStyle w:val="17"/>
              <w:numPr>
                <w:ilvl w:val="0"/>
                <w:numId w:val="33"/>
              </w:numPr>
              <w:tabs>
                <w:tab w:val="clear" w:pos="0"/>
              </w:tabs>
            </w:pPr>
          </w:p>
        </w:tc>
        <w:tc>
          <w:tcPr>
            <w:tcW w:w="504" w:type="pct"/>
            <w:vMerge w:val="continue"/>
            <w:tcBorders>
              <w:tl2br w:val="nil"/>
              <w:tr2bl w:val="nil"/>
            </w:tcBorders>
            <w:vAlign w:val="center"/>
          </w:tcPr>
          <w:p w14:paraId="1E3C1ACE">
            <w:pPr>
              <w:pStyle w:val="17"/>
            </w:pPr>
          </w:p>
        </w:tc>
        <w:tc>
          <w:tcPr>
            <w:tcW w:w="3596" w:type="pct"/>
            <w:tcBorders>
              <w:tl2br w:val="nil"/>
              <w:tr2bl w:val="nil"/>
            </w:tcBorders>
            <w:vAlign w:val="center"/>
          </w:tcPr>
          <w:p w14:paraId="5F036F03">
            <w:pPr>
              <w:pStyle w:val="17"/>
            </w:pPr>
            <w:r>
              <w:rPr>
                <w:rFonts w:hint="eastAsia"/>
              </w:rPr>
              <w:t>连接件及防松脱件用其它代用品代用。</w:t>
            </w:r>
          </w:p>
        </w:tc>
        <w:tc>
          <w:tcPr>
            <w:tcW w:w="641" w:type="pct"/>
            <w:tcBorders>
              <w:tl2br w:val="nil"/>
              <w:tr2bl w:val="nil"/>
            </w:tcBorders>
            <w:vAlign w:val="center"/>
          </w:tcPr>
          <w:p w14:paraId="646F5E1B">
            <w:pPr>
              <w:pStyle w:val="17"/>
            </w:pPr>
            <w:r>
              <w:rPr>
                <w:rFonts w:hint="eastAsia"/>
              </w:rPr>
              <w:t>起重伤害</w:t>
            </w:r>
          </w:p>
        </w:tc>
      </w:tr>
      <w:tr w14:paraId="47E23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2D3DD34">
            <w:pPr>
              <w:pStyle w:val="17"/>
              <w:numPr>
                <w:ilvl w:val="0"/>
                <w:numId w:val="33"/>
              </w:numPr>
              <w:tabs>
                <w:tab w:val="clear" w:pos="0"/>
              </w:tabs>
            </w:pPr>
          </w:p>
        </w:tc>
        <w:tc>
          <w:tcPr>
            <w:tcW w:w="504" w:type="pct"/>
            <w:vMerge w:val="continue"/>
            <w:tcBorders>
              <w:tl2br w:val="nil"/>
              <w:tr2bl w:val="nil"/>
            </w:tcBorders>
            <w:vAlign w:val="center"/>
          </w:tcPr>
          <w:p w14:paraId="2AA804C8">
            <w:pPr>
              <w:pStyle w:val="17"/>
            </w:pPr>
          </w:p>
        </w:tc>
        <w:tc>
          <w:tcPr>
            <w:tcW w:w="3596" w:type="pct"/>
            <w:tcBorders>
              <w:tl2br w:val="nil"/>
              <w:tr2bl w:val="nil"/>
            </w:tcBorders>
            <w:vAlign w:val="center"/>
          </w:tcPr>
          <w:p w14:paraId="4D90EC49">
            <w:pPr>
              <w:pStyle w:val="17"/>
            </w:pPr>
            <w:r>
              <w:rPr>
                <w:rFonts w:hint="eastAsia"/>
              </w:rPr>
              <w:t>连接件及防松脱件没有用扭力扳手或专用工具紧固连接螺栓。</w:t>
            </w:r>
          </w:p>
        </w:tc>
        <w:tc>
          <w:tcPr>
            <w:tcW w:w="641" w:type="pct"/>
            <w:tcBorders>
              <w:tl2br w:val="nil"/>
              <w:tr2bl w:val="nil"/>
            </w:tcBorders>
            <w:vAlign w:val="center"/>
          </w:tcPr>
          <w:p w14:paraId="6BDDD27E">
            <w:pPr>
              <w:pStyle w:val="17"/>
            </w:pPr>
            <w:r>
              <w:rPr>
                <w:rFonts w:hint="eastAsia"/>
              </w:rPr>
              <w:t>起重伤害</w:t>
            </w:r>
          </w:p>
        </w:tc>
      </w:tr>
      <w:tr w14:paraId="5102B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97E5809">
            <w:pPr>
              <w:pStyle w:val="17"/>
              <w:numPr>
                <w:ilvl w:val="0"/>
                <w:numId w:val="33"/>
              </w:numPr>
              <w:tabs>
                <w:tab w:val="clear" w:pos="0"/>
              </w:tabs>
            </w:pPr>
          </w:p>
        </w:tc>
        <w:tc>
          <w:tcPr>
            <w:tcW w:w="504" w:type="pct"/>
            <w:vMerge w:val="continue"/>
            <w:tcBorders>
              <w:tl2br w:val="nil"/>
              <w:tr2bl w:val="nil"/>
            </w:tcBorders>
            <w:vAlign w:val="center"/>
          </w:tcPr>
          <w:p w14:paraId="18D9E1E4">
            <w:pPr>
              <w:pStyle w:val="17"/>
            </w:pPr>
          </w:p>
        </w:tc>
        <w:tc>
          <w:tcPr>
            <w:tcW w:w="3596" w:type="pct"/>
            <w:tcBorders>
              <w:tl2br w:val="nil"/>
              <w:tr2bl w:val="nil"/>
            </w:tcBorders>
            <w:vAlign w:val="center"/>
          </w:tcPr>
          <w:p w14:paraId="16445857">
            <w:pPr>
              <w:pStyle w:val="17"/>
            </w:pPr>
            <w:r>
              <w:rPr>
                <w:rFonts w:hint="eastAsia"/>
              </w:rPr>
              <w:t>附着装置设计时，没有对支承处的建筑主体结构进行验算。</w:t>
            </w:r>
          </w:p>
        </w:tc>
        <w:tc>
          <w:tcPr>
            <w:tcW w:w="641" w:type="pct"/>
            <w:tcBorders>
              <w:tl2br w:val="nil"/>
              <w:tr2bl w:val="nil"/>
            </w:tcBorders>
            <w:vAlign w:val="center"/>
          </w:tcPr>
          <w:p w14:paraId="3E4BF6F8">
            <w:pPr>
              <w:pStyle w:val="17"/>
            </w:pPr>
            <w:r>
              <w:rPr>
                <w:rFonts w:hint="eastAsia"/>
              </w:rPr>
              <w:t>起重伤害</w:t>
            </w:r>
          </w:p>
        </w:tc>
      </w:tr>
      <w:tr w14:paraId="1C44E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F34016F">
            <w:pPr>
              <w:pStyle w:val="17"/>
              <w:numPr>
                <w:ilvl w:val="0"/>
                <w:numId w:val="33"/>
              </w:numPr>
              <w:tabs>
                <w:tab w:val="clear" w:pos="0"/>
              </w:tabs>
            </w:pPr>
          </w:p>
        </w:tc>
        <w:tc>
          <w:tcPr>
            <w:tcW w:w="504" w:type="pct"/>
            <w:vMerge w:val="restart"/>
            <w:tcBorders>
              <w:tl2br w:val="nil"/>
              <w:tr2bl w:val="nil"/>
            </w:tcBorders>
            <w:vAlign w:val="center"/>
          </w:tcPr>
          <w:p w14:paraId="6B17C81C">
            <w:pPr>
              <w:pStyle w:val="17"/>
            </w:pPr>
            <w:r>
              <w:rPr>
                <w:rFonts w:hint="eastAsia"/>
              </w:rPr>
              <w:t>安装后检验</w:t>
            </w:r>
          </w:p>
        </w:tc>
        <w:tc>
          <w:tcPr>
            <w:tcW w:w="3596" w:type="pct"/>
            <w:tcBorders>
              <w:tl2br w:val="nil"/>
              <w:tr2bl w:val="nil"/>
            </w:tcBorders>
            <w:vAlign w:val="center"/>
          </w:tcPr>
          <w:p w14:paraId="4042F624">
            <w:pPr>
              <w:pStyle w:val="17"/>
            </w:pPr>
            <w:r>
              <w:rPr>
                <w:rFonts w:hint="eastAsia"/>
              </w:rPr>
              <w:t>安装完成未组织人员验收与试吊</w:t>
            </w:r>
          </w:p>
        </w:tc>
        <w:tc>
          <w:tcPr>
            <w:tcW w:w="641" w:type="pct"/>
            <w:tcBorders>
              <w:tl2br w:val="nil"/>
              <w:tr2bl w:val="nil"/>
            </w:tcBorders>
            <w:vAlign w:val="center"/>
          </w:tcPr>
          <w:p w14:paraId="1079BD7A">
            <w:pPr>
              <w:pStyle w:val="17"/>
            </w:pPr>
            <w:r>
              <w:rPr>
                <w:rFonts w:hint="eastAsia"/>
              </w:rPr>
              <w:t>起重伤害</w:t>
            </w:r>
          </w:p>
        </w:tc>
      </w:tr>
      <w:tr w14:paraId="2D3EB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BC5C885">
            <w:pPr>
              <w:pStyle w:val="17"/>
              <w:numPr>
                <w:ilvl w:val="0"/>
                <w:numId w:val="33"/>
              </w:numPr>
              <w:tabs>
                <w:tab w:val="clear" w:pos="0"/>
              </w:tabs>
            </w:pPr>
          </w:p>
        </w:tc>
        <w:tc>
          <w:tcPr>
            <w:tcW w:w="504" w:type="pct"/>
            <w:vMerge w:val="continue"/>
            <w:tcBorders>
              <w:tl2br w:val="nil"/>
              <w:tr2bl w:val="nil"/>
            </w:tcBorders>
            <w:vAlign w:val="center"/>
          </w:tcPr>
          <w:p w14:paraId="5D1F8D67">
            <w:pPr>
              <w:pStyle w:val="17"/>
            </w:pPr>
          </w:p>
        </w:tc>
        <w:tc>
          <w:tcPr>
            <w:tcW w:w="3596" w:type="pct"/>
            <w:tcBorders>
              <w:tl2br w:val="nil"/>
              <w:tr2bl w:val="nil"/>
            </w:tcBorders>
            <w:vAlign w:val="center"/>
          </w:tcPr>
          <w:p w14:paraId="24F94108">
            <w:pPr>
              <w:pStyle w:val="17"/>
            </w:pPr>
            <w:r>
              <w:rPr>
                <w:rFonts w:hint="eastAsia"/>
              </w:rPr>
              <w:t>安装单位自检合格后，没有上报有关部门检测合格。</w:t>
            </w:r>
          </w:p>
        </w:tc>
        <w:tc>
          <w:tcPr>
            <w:tcW w:w="641" w:type="pct"/>
            <w:tcBorders>
              <w:tl2br w:val="nil"/>
              <w:tr2bl w:val="nil"/>
            </w:tcBorders>
            <w:vAlign w:val="center"/>
          </w:tcPr>
          <w:p w14:paraId="300EA133">
            <w:pPr>
              <w:pStyle w:val="17"/>
            </w:pPr>
            <w:r>
              <w:rPr>
                <w:rFonts w:hint="eastAsia"/>
              </w:rPr>
              <w:t>起重伤害</w:t>
            </w:r>
          </w:p>
        </w:tc>
      </w:tr>
      <w:tr w14:paraId="4439D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3093A84">
            <w:pPr>
              <w:pStyle w:val="17"/>
              <w:numPr>
                <w:ilvl w:val="0"/>
                <w:numId w:val="33"/>
              </w:numPr>
              <w:tabs>
                <w:tab w:val="clear" w:pos="0"/>
              </w:tabs>
            </w:pPr>
          </w:p>
        </w:tc>
        <w:tc>
          <w:tcPr>
            <w:tcW w:w="504" w:type="pct"/>
            <w:vMerge w:val="restart"/>
            <w:tcBorders>
              <w:tl2br w:val="nil"/>
              <w:tr2bl w:val="nil"/>
            </w:tcBorders>
            <w:vAlign w:val="center"/>
          </w:tcPr>
          <w:p w14:paraId="1E6B37A6">
            <w:pPr>
              <w:pStyle w:val="17"/>
            </w:pPr>
            <w:r>
              <w:rPr>
                <w:rFonts w:hint="eastAsia"/>
              </w:rPr>
              <w:t>拆除</w:t>
            </w:r>
          </w:p>
        </w:tc>
        <w:tc>
          <w:tcPr>
            <w:tcW w:w="3596" w:type="pct"/>
            <w:tcBorders>
              <w:tl2br w:val="nil"/>
              <w:tr2bl w:val="nil"/>
            </w:tcBorders>
            <w:vAlign w:val="center"/>
          </w:tcPr>
          <w:p w14:paraId="78163964">
            <w:pPr>
              <w:pStyle w:val="17"/>
            </w:pPr>
            <w:r>
              <w:rPr>
                <w:rFonts w:hint="eastAsia"/>
              </w:rPr>
              <w:t>附着式塔机没有明确附着装置的拆卸顺序和方法。</w:t>
            </w:r>
          </w:p>
        </w:tc>
        <w:tc>
          <w:tcPr>
            <w:tcW w:w="641" w:type="pct"/>
            <w:tcBorders>
              <w:tl2br w:val="nil"/>
              <w:tr2bl w:val="nil"/>
            </w:tcBorders>
            <w:vAlign w:val="center"/>
          </w:tcPr>
          <w:p w14:paraId="068734C9">
            <w:pPr>
              <w:pStyle w:val="17"/>
            </w:pPr>
            <w:r>
              <w:rPr>
                <w:rFonts w:hint="eastAsia"/>
              </w:rPr>
              <w:t>起重伤害</w:t>
            </w:r>
          </w:p>
        </w:tc>
      </w:tr>
      <w:tr w14:paraId="11E24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954970C">
            <w:pPr>
              <w:pStyle w:val="17"/>
              <w:numPr>
                <w:ilvl w:val="0"/>
                <w:numId w:val="33"/>
              </w:numPr>
              <w:tabs>
                <w:tab w:val="clear" w:pos="0"/>
              </w:tabs>
            </w:pPr>
          </w:p>
        </w:tc>
        <w:tc>
          <w:tcPr>
            <w:tcW w:w="504" w:type="pct"/>
            <w:vMerge w:val="continue"/>
            <w:tcBorders>
              <w:tl2br w:val="nil"/>
              <w:tr2bl w:val="nil"/>
            </w:tcBorders>
            <w:vAlign w:val="center"/>
          </w:tcPr>
          <w:p w14:paraId="7BC3424D">
            <w:pPr>
              <w:pStyle w:val="17"/>
            </w:pPr>
          </w:p>
        </w:tc>
        <w:tc>
          <w:tcPr>
            <w:tcW w:w="3596" w:type="pct"/>
            <w:tcBorders>
              <w:tl2br w:val="nil"/>
              <w:tr2bl w:val="nil"/>
            </w:tcBorders>
            <w:vAlign w:val="center"/>
          </w:tcPr>
          <w:p w14:paraId="0D1CABFB">
            <w:pPr>
              <w:pStyle w:val="17"/>
            </w:pPr>
            <w:r>
              <w:rPr>
                <w:rFonts w:hint="eastAsia"/>
              </w:rPr>
              <w:t>当遇特殊情况拆卸作业不能继续时，没有采取措施保证塔机处于安全状态。</w:t>
            </w:r>
          </w:p>
        </w:tc>
        <w:tc>
          <w:tcPr>
            <w:tcW w:w="641" w:type="pct"/>
            <w:tcBorders>
              <w:tl2br w:val="nil"/>
              <w:tr2bl w:val="nil"/>
            </w:tcBorders>
            <w:vAlign w:val="center"/>
          </w:tcPr>
          <w:p w14:paraId="6B84733D">
            <w:pPr>
              <w:pStyle w:val="17"/>
            </w:pPr>
            <w:r>
              <w:rPr>
                <w:rFonts w:hint="eastAsia"/>
              </w:rPr>
              <w:t>起重伤害</w:t>
            </w:r>
          </w:p>
        </w:tc>
      </w:tr>
      <w:tr w14:paraId="609EB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DD5461A">
            <w:pPr>
              <w:pStyle w:val="17"/>
              <w:numPr>
                <w:ilvl w:val="0"/>
                <w:numId w:val="33"/>
              </w:numPr>
              <w:tabs>
                <w:tab w:val="clear" w:pos="0"/>
              </w:tabs>
            </w:pPr>
          </w:p>
        </w:tc>
        <w:tc>
          <w:tcPr>
            <w:tcW w:w="504" w:type="pct"/>
            <w:vMerge w:val="continue"/>
            <w:tcBorders>
              <w:tl2br w:val="nil"/>
              <w:tr2bl w:val="nil"/>
            </w:tcBorders>
            <w:vAlign w:val="center"/>
          </w:tcPr>
          <w:p w14:paraId="11D7EDDF">
            <w:pPr>
              <w:pStyle w:val="17"/>
            </w:pPr>
          </w:p>
        </w:tc>
        <w:tc>
          <w:tcPr>
            <w:tcW w:w="3596" w:type="pct"/>
            <w:tcBorders>
              <w:tl2br w:val="nil"/>
              <w:tr2bl w:val="nil"/>
            </w:tcBorders>
            <w:vAlign w:val="center"/>
          </w:tcPr>
          <w:p w14:paraId="1F1621C9">
            <w:pPr>
              <w:pStyle w:val="17"/>
            </w:pPr>
            <w:r>
              <w:rPr>
                <w:rFonts w:hint="eastAsia"/>
              </w:rPr>
              <w:t>塔式起重机每次降节前，没有检查顶升系统和附着装置的连接等。</w:t>
            </w:r>
          </w:p>
        </w:tc>
        <w:tc>
          <w:tcPr>
            <w:tcW w:w="641" w:type="pct"/>
            <w:tcBorders>
              <w:tl2br w:val="nil"/>
              <w:tr2bl w:val="nil"/>
            </w:tcBorders>
            <w:vAlign w:val="center"/>
          </w:tcPr>
          <w:p w14:paraId="1E74A4BF">
            <w:pPr>
              <w:pStyle w:val="17"/>
            </w:pPr>
            <w:r>
              <w:rPr>
                <w:rFonts w:hint="eastAsia"/>
              </w:rPr>
              <w:t>起重伤害</w:t>
            </w:r>
          </w:p>
        </w:tc>
      </w:tr>
      <w:tr w14:paraId="1F911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F364041">
            <w:pPr>
              <w:pStyle w:val="17"/>
              <w:numPr>
                <w:ilvl w:val="0"/>
                <w:numId w:val="33"/>
              </w:numPr>
              <w:tabs>
                <w:tab w:val="clear" w:pos="0"/>
              </w:tabs>
            </w:pPr>
          </w:p>
        </w:tc>
        <w:tc>
          <w:tcPr>
            <w:tcW w:w="504" w:type="pct"/>
            <w:vMerge w:val="continue"/>
            <w:tcBorders>
              <w:tl2br w:val="nil"/>
              <w:tr2bl w:val="nil"/>
            </w:tcBorders>
            <w:vAlign w:val="center"/>
          </w:tcPr>
          <w:p w14:paraId="7D2E4632">
            <w:pPr>
              <w:pStyle w:val="17"/>
            </w:pPr>
          </w:p>
        </w:tc>
        <w:tc>
          <w:tcPr>
            <w:tcW w:w="3596" w:type="pct"/>
            <w:tcBorders>
              <w:tl2br w:val="nil"/>
              <w:tr2bl w:val="nil"/>
            </w:tcBorders>
            <w:vAlign w:val="center"/>
          </w:tcPr>
          <w:p w14:paraId="1850FECF">
            <w:pPr>
              <w:pStyle w:val="17"/>
            </w:pPr>
            <w:r>
              <w:rPr>
                <w:rFonts w:hint="eastAsia"/>
              </w:rPr>
              <w:t>拆卸时没有按照先降节，后拆除附着装置的顺序施工。</w:t>
            </w:r>
          </w:p>
        </w:tc>
        <w:tc>
          <w:tcPr>
            <w:tcW w:w="641" w:type="pct"/>
            <w:tcBorders>
              <w:tl2br w:val="nil"/>
              <w:tr2bl w:val="nil"/>
            </w:tcBorders>
            <w:vAlign w:val="center"/>
          </w:tcPr>
          <w:p w14:paraId="4F7EBE5B">
            <w:pPr>
              <w:pStyle w:val="17"/>
            </w:pPr>
            <w:r>
              <w:rPr>
                <w:rFonts w:hint="eastAsia"/>
              </w:rPr>
              <w:t>起重伤害</w:t>
            </w:r>
          </w:p>
        </w:tc>
      </w:tr>
      <w:tr w14:paraId="04590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D06F187">
            <w:pPr>
              <w:pStyle w:val="17"/>
              <w:numPr>
                <w:ilvl w:val="0"/>
                <w:numId w:val="33"/>
              </w:numPr>
              <w:tabs>
                <w:tab w:val="clear" w:pos="0"/>
              </w:tabs>
            </w:pPr>
          </w:p>
        </w:tc>
        <w:tc>
          <w:tcPr>
            <w:tcW w:w="504" w:type="pct"/>
            <w:vMerge w:val="continue"/>
            <w:tcBorders>
              <w:tl2br w:val="nil"/>
              <w:tr2bl w:val="nil"/>
            </w:tcBorders>
            <w:vAlign w:val="center"/>
          </w:tcPr>
          <w:p w14:paraId="2C59E049">
            <w:pPr>
              <w:pStyle w:val="17"/>
            </w:pPr>
          </w:p>
        </w:tc>
        <w:tc>
          <w:tcPr>
            <w:tcW w:w="3596" w:type="pct"/>
            <w:tcBorders>
              <w:tl2br w:val="nil"/>
              <w:tr2bl w:val="nil"/>
            </w:tcBorders>
            <w:vAlign w:val="center"/>
          </w:tcPr>
          <w:p w14:paraId="760B3F89">
            <w:pPr>
              <w:pStyle w:val="17"/>
            </w:pPr>
            <w:r>
              <w:rPr>
                <w:rFonts w:hint="eastAsia"/>
              </w:rPr>
              <w:t>当用于拆卸作业的辅助设备设置在建筑物上时，没有对辅助起重设备的安全性及建筑物的承载能力等进行验算</w:t>
            </w:r>
          </w:p>
        </w:tc>
        <w:tc>
          <w:tcPr>
            <w:tcW w:w="641" w:type="pct"/>
            <w:tcBorders>
              <w:tl2br w:val="nil"/>
              <w:tr2bl w:val="nil"/>
            </w:tcBorders>
            <w:vAlign w:val="center"/>
          </w:tcPr>
          <w:p w14:paraId="7DC775D7">
            <w:pPr>
              <w:pStyle w:val="17"/>
            </w:pPr>
            <w:r>
              <w:rPr>
                <w:rFonts w:hint="eastAsia"/>
              </w:rPr>
              <w:t>物体打击</w:t>
            </w:r>
          </w:p>
        </w:tc>
      </w:tr>
      <w:tr w14:paraId="48F93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E8B0D2F">
            <w:pPr>
              <w:pStyle w:val="17"/>
              <w:numPr>
                <w:ilvl w:val="0"/>
                <w:numId w:val="33"/>
              </w:numPr>
              <w:tabs>
                <w:tab w:val="clear" w:pos="0"/>
              </w:tabs>
            </w:pPr>
          </w:p>
        </w:tc>
        <w:tc>
          <w:tcPr>
            <w:tcW w:w="504" w:type="pct"/>
            <w:vMerge w:val="continue"/>
            <w:tcBorders>
              <w:tl2br w:val="nil"/>
              <w:tr2bl w:val="nil"/>
            </w:tcBorders>
            <w:vAlign w:val="center"/>
          </w:tcPr>
          <w:p w14:paraId="2BD3E57D">
            <w:pPr>
              <w:pStyle w:val="17"/>
            </w:pPr>
          </w:p>
        </w:tc>
        <w:tc>
          <w:tcPr>
            <w:tcW w:w="3596" w:type="pct"/>
            <w:tcBorders>
              <w:tl2br w:val="nil"/>
              <w:tr2bl w:val="nil"/>
            </w:tcBorders>
            <w:vAlign w:val="center"/>
          </w:tcPr>
          <w:p w14:paraId="4B097F89">
            <w:pPr>
              <w:pStyle w:val="17"/>
            </w:pPr>
            <w:r>
              <w:rPr>
                <w:rFonts w:hint="eastAsia"/>
              </w:rPr>
              <w:t>拆除作业未按照专项方案要求实施。拆除前未对安装作业人员进行安全技术交底。</w:t>
            </w:r>
          </w:p>
        </w:tc>
        <w:tc>
          <w:tcPr>
            <w:tcW w:w="641" w:type="pct"/>
            <w:tcBorders>
              <w:tl2br w:val="nil"/>
              <w:tr2bl w:val="nil"/>
            </w:tcBorders>
            <w:vAlign w:val="center"/>
          </w:tcPr>
          <w:p w14:paraId="73BCC9FE">
            <w:pPr>
              <w:pStyle w:val="17"/>
            </w:pPr>
            <w:r>
              <w:rPr>
                <w:rFonts w:hint="eastAsia"/>
              </w:rPr>
              <w:t>机械伤害</w:t>
            </w:r>
          </w:p>
        </w:tc>
      </w:tr>
      <w:tr w14:paraId="13F23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D101A70">
            <w:pPr>
              <w:pStyle w:val="17"/>
              <w:numPr>
                <w:ilvl w:val="0"/>
                <w:numId w:val="33"/>
              </w:numPr>
              <w:tabs>
                <w:tab w:val="clear" w:pos="0"/>
              </w:tabs>
            </w:pPr>
          </w:p>
        </w:tc>
        <w:tc>
          <w:tcPr>
            <w:tcW w:w="504" w:type="pct"/>
            <w:vMerge w:val="continue"/>
            <w:tcBorders>
              <w:tl2br w:val="nil"/>
              <w:tr2bl w:val="nil"/>
            </w:tcBorders>
            <w:vAlign w:val="center"/>
          </w:tcPr>
          <w:p w14:paraId="18C1A833">
            <w:pPr>
              <w:pStyle w:val="17"/>
            </w:pPr>
          </w:p>
        </w:tc>
        <w:tc>
          <w:tcPr>
            <w:tcW w:w="3596" w:type="pct"/>
            <w:tcBorders>
              <w:tl2br w:val="nil"/>
              <w:tr2bl w:val="nil"/>
            </w:tcBorders>
            <w:vAlign w:val="center"/>
          </w:tcPr>
          <w:p w14:paraId="6F39FDE1">
            <w:pPr>
              <w:pStyle w:val="17"/>
            </w:pPr>
            <w:r>
              <w:rPr>
                <w:rFonts w:hint="eastAsia"/>
              </w:rPr>
              <w:t>拆除辅助设备就位后，没有对其机械和安全性能进行检验。</w:t>
            </w:r>
          </w:p>
        </w:tc>
        <w:tc>
          <w:tcPr>
            <w:tcW w:w="641" w:type="pct"/>
            <w:tcBorders>
              <w:tl2br w:val="nil"/>
              <w:tr2bl w:val="nil"/>
            </w:tcBorders>
            <w:vAlign w:val="center"/>
          </w:tcPr>
          <w:p w14:paraId="7490D2ED">
            <w:pPr>
              <w:pStyle w:val="17"/>
            </w:pPr>
            <w:r>
              <w:rPr>
                <w:rFonts w:hint="eastAsia"/>
              </w:rPr>
              <w:t>机械伤害</w:t>
            </w:r>
          </w:p>
        </w:tc>
      </w:tr>
      <w:tr w14:paraId="08161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3131683">
            <w:pPr>
              <w:pStyle w:val="17"/>
              <w:numPr>
                <w:ilvl w:val="0"/>
                <w:numId w:val="33"/>
              </w:numPr>
              <w:tabs>
                <w:tab w:val="clear" w:pos="0"/>
              </w:tabs>
            </w:pPr>
          </w:p>
        </w:tc>
        <w:tc>
          <w:tcPr>
            <w:tcW w:w="504" w:type="pct"/>
            <w:vMerge w:val="continue"/>
            <w:tcBorders>
              <w:tl2br w:val="nil"/>
              <w:tr2bl w:val="nil"/>
            </w:tcBorders>
            <w:vAlign w:val="center"/>
          </w:tcPr>
          <w:p w14:paraId="5D86BD43">
            <w:pPr>
              <w:pStyle w:val="17"/>
            </w:pPr>
          </w:p>
        </w:tc>
        <w:tc>
          <w:tcPr>
            <w:tcW w:w="3596" w:type="pct"/>
            <w:tcBorders>
              <w:tl2br w:val="nil"/>
              <w:tr2bl w:val="nil"/>
            </w:tcBorders>
            <w:vAlign w:val="center"/>
          </w:tcPr>
          <w:p w14:paraId="4CAC674B">
            <w:pPr>
              <w:pStyle w:val="17"/>
            </w:pPr>
            <w:r>
              <w:rPr>
                <w:rFonts w:hint="eastAsia"/>
              </w:rPr>
              <w:t>雨雪、浓雾天气没有停止拆除作业。</w:t>
            </w:r>
          </w:p>
        </w:tc>
        <w:tc>
          <w:tcPr>
            <w:tcW w:w="641" w:type="pct"/>
            <w:tcBorders>
              <w:tl2br w:val="nil"/>
              <w:tr2bl w:val="nil"/>
            </w:tcBorders>
            <w:vAlign w:val="center"/>
          </w:tcPr>
          <w:p w14:paraId="052622D5">
            <w:pPr>
              <w:pStyle w:val="17"/>
            </w:pPr>
            <w:r>
              <w:rPr>
                <w:rFonts w:hint="eastAsia"/>
              </w:rPr>
              <w:t>起重伤害</w:t>
            </w:r>
          </w:p>
        </w:tc>
      </w:tr>
      <w:tr w14:paraId="2CEE1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4D47EC0">
            <w:pPr>
              <w:pStyle w:val="17"/>
              <w:numPr>
                <w:ilvl w:val="0"/>
                <w:numId w:val="33"/>
              </w:numPr>
              <w:tabs>
                <w:tab w:val="clear" w:pos="0"/>
              </w:tabs>
            </w:pPr>
          </w:p>
        </w:tc>
        <w:tc>
          <w:tcPr>
            <w:tcW w:w="504" w:type="pct"/>
            <w:vMerge w:val="continue"/>
            <w:tcBorders>
              <w:tl2br w:val="nil"/>
              <w:tr2bl w:val="nil"/>
            </w:tcBorders>
            <w:vAlign w:val="center"/>
          </w:tcPr>
          <w:p w14:paraId="70B33136">
            <w:pPr>
              <w:pStyle w:val="17"/>
            </w:pPr>
          </w:p>
        </w:tc>
        <w:tc>
          <w:tcPr>
            <w:tcW w:w="3596" w:type="pct"/>
            <w:tcBorders>
              <w:tl2br w:val="nil"/>
              <w:tr2bl w:val="nil"/>
            </w:tcBorders>
            <w:vAlign w:val="center"/>
          </w:tcPr>
          <w:p w14:paraId="2CB4D77B">
            <w:pPr>
              <w:pStyle w:val="17"/>
            </w:pPr>
            <w:r>
              <w:rPr>
                <w:rFonts w:hint="eastAsia"/>
              </w:rPr>
              <w:t>当遇特殊情况拆除作业不能连续进行时，没有将已安装的部位固定牢靠并达到安全状态。</w:t>
            </w:r>
          </w:p>
        </w:tc>
        <w:tc>
          <w:tcPr>
            <w:tcW w:w="641" w:type="pct"/>
            <w:tcBorders>
              <w:tl2br w:val="nil"/>
              <w:tr2bl w:val="nil"/>
            </w:tcBorders>
            <w:vAlign w:val="center"/>
          </w:tcPr>
          <w:p w14:paraId="27AACB66">
            <w:pPr>
              <w:pStyle w:val="17"/>
            </w:pPr>
            <w:r>
              <w:rPr>
                <w:rFonts w:hint="eastAsia"/>
              </w:rPr>
              <w:t>物体打击</w:t>
            </w:r>
          </w:p>
        </w:tc>
      </w:tr>
      <w:tr w14:paraId="3CEFB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1FAEE07">
            <w:pPr>
              <w:pStyle w:val="17"/>
              <w:numPr>
                <w:ilvl w:val="0"/>
                <w:numId w:val="33"/>
              </w:numPr>
              <w:tabs>
                <w:tab w:val="clear" w:pos="0"/>
              </w:tabs>
            </w:pPr>
          </w:p>
        </w:tc>
        <w:tc>
          <w:tcPr>
            <w:tcW w:w="504" w:type="pct"/>
            <w:tcBorders>
              <w:tl2br w:val="nil"/>
              <w:tr2bl w:val="nil"/>
            </w:tcBorders>
            <w:vAlign w:val="center"/>
          </w:tcPr>
          <w:p w14:paraId="5252A7EB">
            <w:pPr>
              <w:pStyle w:val="17"/>
            </w:pPr>
            <w:r>
              <w:rPr>
                <w:rFonts w:hint="eastAsia"/>
              </w:rPr>
              <w:t>设备部件及构配件</w:t>
            </w:r>
          </w:p>
        </w:tc>
        <w:tc>
          <w:tcPr>
            <w:tcW w:w="3596" w:type="pct"/>
            <w:tcBorders>
              <w:tl2br w:val="nil"/>
              <w:tr2bl w:val="nil"/>
            </w:tcBorders>
            <w:vAlign w:val="center"/>
          </w:tcPr>
          <w:p w14:paraId="17C4951F">
            <w:pPr>
              <w:pStyle w:val="17"/>
            </w:pPr>
            <w:r>
              <w:rPr>
                <w:rFonts w:hint="eastAsia"/>
              </w:rPr>
              <w:t>施工所用设备部件及构配件使用前，未进行质量检查验收及安全评估，材料混用</w:t>
            </w:r>
          </w:p>
        </w:tc>
        <w:tc>
          <w:tcPr>
            <w:tcW w:w="641" w:type="pct"/>
            <w:tcBorders>
              <w:tl2br w:val="nil"/>
              <w:tr2bl w:val="nil"/>
            </w:tcBorders>
            <w:vAlign w:val="center"/>
          </w:tcPr>
          <w:p w14:paraId="31430567">
            <w:pPr>
              <w:pStyle w:val="17"/>
            </w:pPr>
            <w:r>
              <w:rPr>
                <w:rFonts w:hint="eastAsia"/>
              </w:rPr>
              <w:t>坍塌</w:t>
            </w:r>
          </w:p>
        </w:tc>
      </w:tr>
      <w:tr w14:paraId="12680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3F3D85E">
            <w:pPr>
              <w:pStyle w:val="17"/>
              <w:numPr>
                <w:ilvl w:val="0"/>
                <w:numId w:val="33"/>
              </w:numPr>
              <w:tabs>
                <w:tab w:val="clear" w:pos="0"/>
              </w:tabs>
            </w:pPr>
          </w:p>
        </w:tc>
        <w:tc>
          <w:tcPr>
            <w:tcW w:w="504" w:type="pct"/>
            <w:vMerge w:val="restart"/>
            <w:tcBorders>
              <w:tl2br w:val="nil"/>
              <w:tr2bl w:val="nil"/>
            </w:tcBorders>
            <w:vAlign w:val="center"/>
          </w:tcPr>
          <w:p w14:paraId="0A8969B5">
            <w:pPr>
              <w:pStyle w:val="17"/>
            </w:pPr>
            <w:r>
              <w:rPr>
                <w:rFonts w:hint="eastAsia"/>
              </w:rPr>
              <w:t>吊索具</w:t>
            </w:r>
          </w:p>
        </w:tc>
        <w:tc>
          <w:tcPr>
            <w:tcW w:w="3596" w:type="pct"/>
            <w:tcBorders>
              <w:tl2br w:val="nil"/>
              <w:tr2bl w:val="nil"/>
            </w:tcBorders>
            <w:vAlign w:val="center"/>
          </w:tcPr>
          <w:p w14:paraId="443C542E">
            <w:pPr>
              <w:pStyle w:val="17"/>
            </w:pPr>
            <w:r>
              <w:rPr>
                <w:rFonts w:hint="eastAsia"/>
              </w:rPr>
              <w:t>吊具与索具系结物品，及其连接在起重机械上的方法不可靠</w:t>
            </w:r>
          </w:p>
        </w:tc>
        <w:tc>
          <w:tcPr>
            <w:tcW w:w="641" w:type="pct"/>
            <w:tcBorders>
              <w:tl2br w:val="nil"/>
              <w:tr2bl w:val="nil"/>
            </w:tcBorders>
            <w:vAlign w:val="center"/>
          </w:tcPr>
          <w:p w14:paraId="60FE1ECB">
            <w:pPr>
              <w:pStyle w:val="17"/>
            </w:pPr>
            <w:r>
              <w:rPr>
                <w:rFonts w:hint="eastAsia"/>
              </w:rPr>
              <w:t>起重伤害</w:t>
            </w:r>
          </w:p>
        </w:tc>
      </w:tr>
      <w:tr w14:paraId="75E2A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FB42A2B">
            <w:pPr>
              <w:pStyle w:val="17"/>
              <w:numPr>
                <w:ilvl w:val="0"/>
                <w:numId w:val="33"/>
              </w:numPr>
              <w:tabs>
                <w:tab w:val="clear" w:pos="0"/>
              </w:tabs>
            </w:pPr>
          </w:p>
        </w:tc>
        <w:tc>
          <w:tcPr>
            <w:tcW w:w="504" w:type="pct"/>
            <w:vMerge w:val="continue"/>
            <w:tcBorders>
              <w:tl2br w:val="nil"/>
              <w:tr2bl w:val="nil"/>
            </w:tcBorders>
            <w:vAlign w:val="center"/>
          </w:tcPr>
          <w:p w14:paraId="1244462C">
            <w:pPr>
              <w:pStyle w:val="17"/>
            </w:pPr>
          </w:p>
        </w:tc>
        <w:tc>
          <w:tcPr>
            <w:tcW w:w="3596" w:type="pct"/>
            <w:tcBorders>
              <w:tl2br w:val="nil"/>
              <w:tr2bl w:val="nil"/>
            </w:tcBorders>
            <w:vAlign w:val="center"/>
          </w:tcPr>
          <w:p w14:paraId="09D50921">
            <w:pPr>
              <w:pStyle w:val="17"/>
            </w:pPr>
            <w:r>
              <w:rPr>
                <w:rFonts w:hint="eastAsia"/>
              </w:rPr>
              <w:t>未按照规定设置防脱钩装置，或者防脱钩装置失效。</w:t>
            </w:r>
          </w:p>
        </w:tc>
        <w:tc>
          <w:tcPr>
            <w:tcW w:w="641" w:type="pct"/>
            <w:tcBorders>
              <w:tl2br w:val="nil"/>
              <w:tr2bl w:val="nil"/>
            </w:tcBorders>
            <w:vAlign w:val="center"/>
          </w:tcPr>
          <w:p w14:paraId="06263966">
            <w:pPr>
              <w:pStyle w:val="17"/>
            </w:pPr>
            <w:r>
              <w:rPr>
                <w:rFonts w:hint="eastAsia"/>
              </w:rPr>
              <w:t>起重伤害</w:t>
            </w:r>
          </w:p>
        </w:tc>
      </w:tr>
      <w:tr w14:paraId="189FC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443BFAA">
            <w:pPr>
              <w:pStyle w:val="17"/>
              <w:numPr>
                <w:ilvl w:val="0"/>
                <w:numId w:val="33"/>
              </w:numPr>
              <w:tabs>
                <w:tab w:val="clear" w:pos="0"/>
              </w:tabs>
            </w:pPr>
          </w:p>
        </w:tc>
        <w:tc>
          <w:tcPr>
            <w:tcW w:w="504" w:type="pct"/>
            <w:vMerge w:val="continue"/>
            <w:tcBorders>
              <w:tl2br w:val="nil"/>
              <w:tr2bl w:val="nil"/>
            </w:tcBorders>
            <w:vAlign w:val="center"/>
          </w:tcPr>
          <w:p w14:paraId="696FB50E">
            <w:pPr>
              <w:pStyle w:val="17"/>
            </w:pPr>
          </w:p>
        </w:tc>
        <w:tc>
          <w:tcPr>
            <w:tcW w:w="3596" w:type="pct"/>
            <w:tcBorders>
              <w:tl2br w:val="nil"/>
              <w:tr2bl w:val="nil"/>
            </w:tcBorders>
            <w:vAlign w:val="center"/>
          </w:tcPr>
          <w:p w14:paraId="1130CC9A">
            <w:pPr>
              <w:pStyle w:val="17"/>
            </w:pPr>
            <w:r>
              <w:rPr>
                <w:rFonts w:hint="eastAsia"/>
              </w:rPr>
              <w:t>吊具悬挂不牢固可靠。</w:t>
            </w:r>
          </w:p>
        </w:tc>
        <w:tc>
          <w:tcPr>
            <w:tcW w:w="641" w:type="pct"/>
            <w:tcBorders>
              <w:tl2br w:val="nil"/>
              <w:tr2bl w:val="nil"/>
            </w:tcBorders>
            <w:vAlign w:val="center"/>
          </w:tcPr>
          <w:p w14:paraId="5AB69EA6">
            <w:pPr>
              <w:pStyle w:val="17"/>
            </w:pPr>
            <w:r>
              <w:rPr>
                <w:rFonts w:hint="eastAsia"/>
              </w:rPr>
              <w:t>起重伤害</w:t>
            </w:r>
          </w:p>
        </w:tc>
      </w:tr>
      <w:tr w14:paraId="41C4F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275593E">
            <w:pPr>
              <w:pStyle w:val="17"/>
              <w:numPr>
                <w:ilvl w:val="0"/>
                <w:numId w:val="33"/>
              </w:numPr>
              <w:tabs>
                <w:tab w:val="clear" w:pos="0"/>
              </w:tabs>
            </w:pPr>
          </w:p>
        </w:tc>
        <w:tc>
          <w:tcPr>
            <w:tcW w:w="504" w:type="pct"/>
            <w:vMerge w:val="continue"/>
            <w:tcBorders>
              <w:tl2br w:val="nil"/>
              <w:tr2bl w:val="nil"/>
            </w:tcBorders>
            <w:vAlign w:val="center"/>
          </w:tcPr>
          <w:p w14:paraId="27AA943A">
            <w:pPr>
              <w:pStyle w:val="17"/>
            </w:pPr>
          </w:p>
        </w:tc>
        <w:tc>
          <w:tcPr>
            <w:tcW w:w="3596" w:type="pct"/>
            <w:tcBorders>
              <w:tl2br w:val="nil"/>
              <w:tr2bl w:val="nil"/>
            </w:tcBorders>
            <w:vAlign w:val="center"/>
          </w:tcPr>
          <w:p w14:paraId="4166750E">
            <w:pPr>
              <w:pStyle w:val="17"/>
            </w:pPr>
            <w:r>
              <w:rPr>
                <w:rFonts w:hint="eastAsia"/>
              </w:rPr>
              <w:t>吊耳、耳轴或耳轴套，磨损减少原尺寸5％。</w:t>
            </w:r>
          </w:p>
        </w:tc>
        <w:tc>
          <w:tcPr>
            <w:tcW w:w="641" w:type="pct"/>
            <w:tcBorders>
              <w:tl2br w:val="nil"/>
              <w:tr2bl w:val="nil"/>
            </w:tcBorders>
            <w:vAlign w:val="center"/>
          </w:tcPr>
          <w:p w14:paraId="60921743">
            <w:pPr>
              <w:pStyle w:val="17"/>
            </w:pPr>
            <w:r>
              <w:rPr>
                <w:rFonts w:hint="eastAsia"/>
              </w:rPr>
              <w:t>起重伤害</w:t>
            </w:r>
          </w:p>
        </w:tc>
      </w:tr>
      <w:tr w14:paraId="59C30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62BF011">
            <w:pPr>
              <w:pStyle w:val="17"/>
              <w:numPr>
                <w:ilvl w:val="0"/>
                <w:numId w:val="33"/>
              </w:numPr>
              <w:tabs>
                <w:tab w:val="clear" w:pos="0"/>
              </w:tabs>
            </w:pPr>
          </w:p>
        </w:tc>
        <w:tc>
          <w:tcPr>
            <w:tcW w:w="504" w:type="pct"/>
            <w:vMerge w:val="restart"/>
            <w:tcBorders>
              <w:tl2br w:val="nil"/>
              <w:tr2bl w:val="nil"/>
            </w:tcBorders>
            <w:vAlign w:val="center"/>
          </w:tcPr>
          <w:p w14:paraId="0E3887B2">
            <w:pPr>
              <w:pStyle w:val="17"/>
            </w:pPr>
            <w:r>
              <w:rPr>
                <w:rFonts w:hint="eastAsia"/>
              </w:rPr>
              <w:t>操作错误，忽视安全，忽视警告</w:t>
            </w:r>
          </w:p>
        </w:tc>
        <w:tc>
          <w:tcPr>
            <w:tcW w:w="3596" w:type="pct"/>
            <w:tcBorders>
              <w:tl2br w:val="nil"/>
              <w:tr2bl w:val="nil"/>
            </w:tcBorders>
            <w:vAlign w:val="center"/>
          </w:tcPr>
          <w:p w14:paraId="5CAA0DC3">
            <w:pPr>
              <w:pStyle w:val="17"/>
            </w:pPr>
            <w:r>
              <w:rPr>
                <w:rFonts w:hint="eastAsia"/>
              </w:rPr>
              <w:t>未经许可开动、关停、移动机器</w:t>
            </w:r>
          </w:p>
        </w:tc>
        <w:tc>
          <w:tcPr>
            <w:tcW w:w="641" w:type="pct"/>
            <w:tcBorders>
              <w:tl2br w:val="nil"/>
              <w:tr2bl w:val="nil"/>
            </w:tcBorders>
            <w:vAlign w:val="center"/>
          </w:tcPr>
          <w:p w14:paraId="04F5166E">
            <w:pPr>
              <w:pStyle w:val="17"/>
            </w:pPr>
            <w:r>
              <w:rPr>
                <w:rFonts w:hint="eastAsia"/>
              </w:rPr>
              <w:t>机械伤害</w:t>
            </w:r>
          </w:p>
        </w:tc>
      </w:tr>
      <w:tr w14:paraId="7AD8C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AC3D64F">
            <w:pPr>
              <w:pStyle w:val="17"/>
              <w:numPr>
                <w:ilvl w:val="0"/>
                <w:numId w:val="33"/>
              </w:numPr>
              <w:tabs>
                <w:tab w:val="clear" w:pos="0"/>
              </w:tabs>
            </w:pPr>
          </w:p>
        </w:tc>
        <w:tc>
          <w:tcPr>
            <w:tcW w:w="504" w:type="pct"/>
            <w:vMerge w:val="continue"/>
            <w:tcBorders>
              <w:tl2br w:val="nil"/>
              <w:tr2bl w:val="nil"/>
            </w:tcBorders>
            <w:vAlign w:val="center"/>
          </w:tcPr>
          <w:p w14:paraId="520CD3DD">
            <w:pPr>
              <w:pStyle w:val="17"/>
            </w:pPr>
          </w:p>
        </w:tc>
        <w:tc>
          <w:tcPr>
            <w:tcW w:w="3596" w:type="pct"/>
            <w:tcBorders>
              <w:tl2br w:val="nil"/>
              <w:tr2bl w:val="nil"/>
            </w:tcBorders>
            <w:vAlign w:val="center"/>
          </w:tcPr>
          <w:p w14:paraId="14607DEC">
            <w:pPr>
              <w:pStyle w:val="17"/>
            </w:pPr>
            <w:r>
              <w:rPr>
                <w:rFonts w:hint="eastAsia"/>
              </w:rPr>
              <w:t>开动、关停机器时未给信号</w:t>
            </w:r>
          </w:p>
        </w:tc>
        <w:tc>
          <w:tcPr>
            <w:tcW w:w="641" w:type="pct"/>
            <w:tcBorders>
              <w:tl2br w:val="nil"/>
              <w:tr2bl w:val="nil"/>
            </w:tcBorders>
            <w:vAlign w:val="center"/>
          </w:tcPr>
          <w:p w14:paraId="0029E602">
            <w:pPr>
              <w:pStyle w:val="17"/>
            </w:pPr>
            <w:r>
              <w:rPr>
                <w:rFonts w:hint="eastAsia"/>
              </w:rPr>
              <w:t>机械伤害</w:t>
            </w:r>
          </w:p>
        </w:tc>
      </w:tr>
      <w:tr w14:paraId="5D577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0DABAA8">
            <w:pPr>
              <w:pStyle w:val="17"/>
              <w:numPr>
                <w:ilvl w:val="0"/>
                <w:numId w:val="33"/>
              </w:numPr>
              <w:tabs>
                <w:tab w:val="clear" w:pos="0"/>
              </w:tabs>
            </w:pPr>
          </w:p>
        </w:tc>
        <w:tc>
          <w:tcPr>
            <w:tcW w:w="504" w:type="pct"/>
            <w:vMerge w:val="continue"/>
            <w:tcBorders>
              <w:tl2br w:val="nil"/>
              <w:tr2bl w:val="nil"/>
            </w:tcBorders>
            <w:vAlign w:val="center"/>
          </w:tcPr>
          <w:p w14:paraId="10EDEF4F">
            <w:pPr>
              <w:pStyle w:val="17"/>
            </w:pPr>
          </w:p>
        </w:tc>
        <w:tc>
          <w:tcPr>
            <w:tcW w:w="3596" w:type="pct"/>
            <w:tcBorders>
              <w:tl2br w:val="nil"/>
              <w:tr2bl w:val="nil"/>
            </w:tcBorders>
            <w:vAlign w:val="center"/>
          </w:tcPr>
          <w:p w14:paraId="33DE07F9">
            <w:pPr>
              <w:pStyle w:val="17"/>
            </w:pPr>
            <w:r>
              <w:rPr>
                <w:rFonts w:hint="eastAsia"/>
              </w:rPr>
              <w:t>操作错误（指按钮、阀门、搬手、把柄等的操作）</w:t>
            </w:r>
          </w:p>
        </w:tc>
        <w:tc>
          <w:tcPr>
            <w:tcW w:w="641" w:type="pct"/>
            <w:tcBorders>
              <w:tl2br w:val="nil"/>
              <w:tr2bl w:val="nil"/>
            </w:tcBorders>
            <w:vAlign w:val="center"/>
          </w:tcPr>
          <w:p w14:paraId="567092EB">
            <w:pPr>
              <w:pStyle w:val="17"/>
            </w:pPr>
            <w:r>
              <w:rPr>
                <w:rFonts w:hint="eastAsia"/>
              </w:rPr>
              <w:t>机械伤害</w:t>
            </w:r>
          </w:p>
        </w:tc>
      </w:tr>
      <w:tr w14:paraId="31427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3572E1EC">
            <w:pPr>
              <w:pStyle w:val="17"/>
              <w:numPr>
                <w:ilvl w:val="0"/>
                <w:numId w:val="33"/>
              </w:numPr>
              <w:tabs>
                <w:tab w:val="clear" w:pos="0"/>
              </w:tabs>
            </w:pPr>
          </w:p>
        </w:tc>
        <w:tc>
          <w:tcPr>
            <w:tcW w:w="504" w:type="pct"/>
            <w:vMerge w:val="restart"/>
            <w:tcBorders>
              <w:tl2br w:val="nil"/>
              <w:tr2bl w:val="nil"/>
            </w:tcBorders>
            <w:vAlign w:val="center"/>
          </w:tcPr>
          <w:p w14:paraId="65578EDD">
            <w:pPr>
              <w:pStyle w:val="17"/>
            </w:pPr>
            <w:r>
              <w:rPr>
                <w:rFonts w:hint="eastAsia"/>
              </w:rPr>
              <w:t>作业现场环境</w:t>
            </w:r>
          </w:p>
        </w:tc>
        <w:tc>
          <w:tcPr>
            <w:tcW w:w="3596" w:type="pct"/>
            <w:tcBorders>
              <w:tl2br w:val="nil"/>
              <w:tr2bl w:val="nil"/>
            </w:tcBorders>
            <w:vAlign w:val="center"/>
          </w:tcPr>
          <w:p w14:paraId="1557B343">
            <w:pPr>
              <w:pStyle w:val="17"/>
            </w:pPr>
            <w:r>
              <w:rPr>
                <w:rFonts w:hint="eastAsia"/>
              </w:rPr>
              <w:t>起重机械运动部分与建筑物、设施、输电线的安全距离不够。</w:t>
            </w:r>
          </w:p>
        </w:tc>
        <w:tc>
          <w:tcPr>
            <w:tcW w:w="641" w:type="pct"/>
            <w:tcBorders>
              <w:tl2br w:val="nil"/>
              <w:tr2bl w:val="nil"/>
            </w:tcBorders>
            <w:vAlign w:val="center"/>
          </w:tcPr>
          <w:p w14:paraId="041DBB85">
            <w:pPr>
              <w:pStyle w:val="17"/>
            </w:pPr>
            <w:r>
              <w:rPr>
                <w:rFonts w:hint="eastAsia"/>
              </w:rPr>
              <w:t>起重伤害</w:t>
            </w:r>
          </w:p>
        </w:tc>
      </w:tr>
      <w:tr w14:paraId="36003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18B587C">
            <w:pPr>
              <w:pStyle w:val="17"/>
              <w:numPr>
                <w:ilvl w:val="0"/>
                <w:numId w:val="33"/>
              </w:numPr>
              <w:tabs>
                <w:tab w:val="clear" w:pos="0"/>
              </w:tabs>
            </w:pPr>
          </w:p>
        </w:tc>
        <w:tc>
          <w:tcPr>
            <w:tcW w:w="504" w:type="pct"/>
            <w:vMerge w:val="continue"/>
            <w:tcBorders>
              <w:tl2br w:val="nil"/>
              <w:tr2bl w:val="nil"/>
            </w:tcBorders>
            <w:vAlign w:val="center"/>
          </w:tcPr>
          <w:p w14:paraId="552BAAA2">
            <w:pPr>
              <w:pStyle w:val="17"/>
            </w:pPr>
          </w:p>
        </w:tc>
        <w:tc>
          <w:tcPr>
            <w:tcW w:w="3596" w:type="pct"/>
            <w:tcBorders>
              <w:tl2br w:val="nil"/>
              <w:tr2bl w:val="nil"/>
            </w:tcBorders>
            <w:vAlign w:val="center"/>
          </w:tcPr>
          <w:p w14:paraId="1A6612B1">
            <w:pPr>
              <w:pStyle w:val="17"/>
            </w:pPr>
            <w:r>
              <w:rPr>
                <w:rFonts w:hint="eastAsia"/>
              </w:rPr>
              <w:t>作业前，未检查起重吊装所使用的起重机滑轮、吊索、卡环和地锚等。</w:t>
            </w:r>
          </w:p>
        </w:tc>
        <w:tc>
          <w:tcPr>
            <w:tcW w:w="641" w:type="pct"/>
            <w:tcBorders>
              <w:tl2br w:val="nil"/>
              <w:tr2bl w:val="nil"/>
            </w:tcBorders>
            <w:vAlign w:val="center"/>
          </w:tcPr>
          <w:p w14:paraId="76E9D242">
            <w:pPr>
              <w:pStyle w:val="17"/>
            </w:pPr>
            <w:r>
              <w:rPr>
                <w:rFonts w:hint="eastAsia"/>
              </w:rPr>
              <w:t>起重伤害</w:t>
            </w:r>
          </w:p>
        </w:tc>
      </w:tr>
      <w:tr w14:paraId="2C547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B8C71BE">
            <w:pPr>
              <w:pStyle w:val="17"/>
              <w:numPr>
                <w:ilvl w:val="0"/>
                <w:numId w:val="33"/>
              </w:numPr>
              <w:tabs>
                <w:tab w:val="clear" w:pos="0"/>
              </w:tabs>
            </w:pPr>
          </w:p>
        </w:tc>
        <w:tc>
          <w:tcPr>
            <w:tcW w:w="504" w:type="pct"/>
            <w:vMerge w:val="continue"/>
            <w:tcBorders>
              <w:tl2br w:val="nil"/>
              <w:tr2bl w:val="nil"/>
            </w:tcBorders>
            <w:vAlign w:val="center"/>
          </w:tcPr>
          <w:p w14:paraId="10FEEDB1">
            <w:pPr>
              <w:pStyle w:val="17"/>
            </w:pPr>
          </w:p>
        </w:tc>
        <w:tc>
          <w:tcPr>
            <w:tcW w:w="3596" w:type="pct"/>
            <w:tcBorders>
              <w:tl2br w:val="nil"/>
              <w:tr2bl w:val="nil"/>
            </w:tcBorders>
            <w:vAlign w:val="center"/>
          </w:tcPr>
          <w:p w14:paraId="54FBB42B">
            <w:pPr>
              <w:pStyle w:val="17"/>
            </w:pPr>
            <w:r>
              <w:rPr>
                <w:rFonts w:hint="eastAsia"/>
              </w:rPr>
              <w:t>吊装业作区四周未设置明显标志或警戒区；夜间施工没有足够的照明。</w:t>
            </w:r>
          </w:p>
        </w:tc>
        <w:tc>
          <w:tcPr>
            <w:tcW w:w="641" w:type="pct"/>
            <w:tcBorders>
              <w:tl2br w:val="nil"/>
              <w:tr2bl w:val="nil"/>
            </w:tcBorders>
            <w:vAlign w:val="center"/>
          </w:tcPr>
          <w:p w14:paraId="69A78BCA">
            <w:pPr>
              <w:pStyle w:val="17"/>
            </w:pPr>
            <w:r>
              <w:rPr>
                <w:rFonts w:hint="eastAsia"/>
              </w:rPr>
              <w:t>起重伤害</w:t>
            </w:r>
          </w:p>
        </w:tc>
      </w:tr>
      <w:tr w14:paraId="7F08C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AEF4C83">
            <w:pPr>
              <w:pStyle w:val="17"/>
              <w:numPr>
                <w:ilvl w:val="0"/>
                <w:numId w:val="33"/>
              </w:numPr>
              <w:tabs>
                <w:tab w:val="clear" w:pos="0"/>
              </w:tabs>
            </w:pPr>
          </w:p>
        </w:tc>
        <w:tc>
          <w:tcPr>
            <w:tcW w:w="504" w:type="pct"/>
            <w:vMerge w:val="continue"/>
            <w:tcBorders>
              <w:tl2br w:val="nil"/>
              <w:tr2bl w:val="nil"/>
            </w:tcBorders>
            <w:vAlign w:val="center"/>
          </w:tcPr>
          <w:p w14:paraId="2A05DC37">
            <w:pPr>
              <w:pStyle w:val="17"/>
            </w:pPr>
          </w:p>
        </w:tc>
        <w:tc>
          <w:tcPr>
            <w:tcW w:w="3596" w:type="pct"/>
            <w:tcBorders>
              <w:tl2br w:val="nil"/>
              <w:tr2bl w:val="nil"/>
            </w:tcBorders>
            <w:vAlign w:val="center"/>
          </w:tcPr>
          <w:p w14:paraId="62D9F2CB">
            <w:pPr>
              <w:pStyle w:val="17"/>
            </w:pPr>
            <w:r>
              <w:rPr>
                <w:rFonts w:hint="eastAsia"/>
              </w:rPr>
              <w:t>起重设备通行道路不平整、坚实</w:t>
            </w:r>
          </w:p>
        </w:tc>
        <w:tc>
          <w:tcPr>
            <w:tcW w:w="641" w:type="pct"/>
            <w:tcBorders>
              <w:tl2br w:val="nil"/>
              <w:tr2bl w:val="nil"/>
            </w:tcBorders>
            <w:vAlign w:val="center"/>
          </w:tcPr>
          <w:p w14:paraId="73D78B40">
            <w:pPr>
              <w:pStyle w:val="17"/>
            </w:pPr>
            <w:r>
              <w:rPr>
                <w:rFonts w:hint="eastAsia"/>
              </w:rPr>
              <w:t>机械伤害</w:t>
            </w:r>
          </w:p>
        </w:tc>
      </w:tr>
      <w:tr w14:paraId="69490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8A5016D">
            <w:pPr>
              <w:pStyle w:val="17"/>
              <w:numPr>
                <w:ilvl w:val="0"/>
                <w:numId w:val="33"/>
              </w:numPr>
              <w:tabs>
                <w:tab w:val="clear" w:pos="0"/>
              </w:tabs>
            </w:pPr>
          </w:p>
        </w:tc>
        <w:tc>
          <w:tcPr>
            <w:tcW w:w="504" w:type="pct"/>
            <w:vMerge w:val="restart"/>
            <w:tcBorders>
              <w:tl2br w:val="nil"/>
              <w:tr2bl w:val="nil"/>
            </w:tcBorders>
            <w:vAlign w:val="center"/>
          </w:tcPr>
          <w:p w14:paraId="69C55E14">
            <w:pPr>
              <w:pStyle w:val="17"/>
            </w:pPr>
            <w:r>
              <w:rPr>
                <w:rFonts w:hint="eastAsia"/>
              </w:rPr>
              <w:t>起重</w:t>
            </w:r>
          </w:p>
          <w:p w14:paraId="6CE53AA5">
            <w:pPr>
              <w:pStyle w:val="17"/>
            </w:pPr>
            <w:r>
              <w:rPr>
                <w:rFonts w:hint="eastAsia"/>
              </w:rPr>
              <w:t>作业</w:t>
            </w:r>
          </w:p>
        </w:tc>
        <w:tc>
          <w:tcPr>
            <w:tcW w:w="3596" w:type="pct"/>
            <w:tcBorders>
              <w:tl2br w:val="nil"/>
              <w:tr2bl w:val="nil"/>
            </w:tcBorders>
            <w:vAlign w:val="center"/>
          </w:tcPr>
          <w:p w14:paraId="43DF7A2B">
            <w:pPr>
              <w:pStyle w:val="17"/>
            </w:pPr>
            <w:r>
              <w:rPr>
                <w:rFonts w:hint="eastAsia"/>
              </w:rPr>
              <w:t>吊装长大物件时，没有于物件两端绑扎溜绳，并且由操作人员控制物件的平衡和稳定</w:t>
            </w:r>
          </w:p>
        </w:tc>
        <w:tc>
          <w:tcPr>
            <w:tcW w:w="641" w:type="pct"/>
            <w:tcBorders>
              <w:tl2br w:val="nil"/>
              <w:tr2bl w:val="nil"/>
            </w:tcBorders>
            <w:vAlign w:val="center"/>
          </w:tcPr>
          <w:p w14:paraId="30C57BD3">
            <w:pPr>
              <w:pStyle w:val="17"/>
            </w:pPr>
            <w:r>
              <w:rPr>
                <w:rFonts w:hint="eastAsia"/>
              </w:rPr>
              <w:t>起重伤害</w:t>
            </w:r>
          </w:p>
        </w:tc>
      </w:tr>
      <w:tr w14:paraId="47D36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CAAA14C">
            <w:pPr>
              <w:pStyle w:val="17"/>
              <w:numPr>
                <w:ilvl w:val="0"/>
                <w:numId w:val="33"/>
              </w:numPr>
              <w:tabs>
                <w:tab w:val="clear" w:pos="0"/>
              </w:tabs>
            </w:pPr>
          </w:p>
        </w:tc>
        <w:tc>
          <w:tcPr>
            <w:tcW w:w="504" w:type="pct"/>
            <w:vMerge w:val="continue"/>
            <w:tcBorders>
              <w:tl2br w:val="nil"/>
              <w:tr2bl w:val="nil"/>
            </w:tcBorders>
            <w:vAlign w:val="center"/>
          </w:tcPr>
          <w:p w14:paraId="6448B542">
            <w:pPr>
              <w:pStyle w:val="17"/>
            </w:pPr>
          </w:p>
        </w:tc>
        <w:tc>
          <w:tcPr>
            <w:tcW w:w="3596" w:type="pct"/>
            <w:tcBorders>
              <w:tl2br w:val="nil"/>
              <w:tr2bl w:val="nil"/>
            </w:tcBorders>
            <w:vAlign w:val="center"/>
          </w:tcPr>
          <w:p w14:paraId="1BFBF047">
            <w:pPr>
              <w:pStyle w:val="17"/>
            </w:pPr>
            <w:r>
              <w:rPr>
                <w:rFonts w:hint="eastAsia"/>
              </w:rPr>
              <w:t>构件吊装和翻身扶直时的吊点不符合设计规定，构件起吊不平稳。</w:t>
            </w:r>
          </w:p>
        </w:tc>
        <w:tc>
          <w:tcPr>
            <w:tcW w:w="641" w:type="pct"/>
            <w:tcBorders>
              <w:tl2br w:val="nil"/>
              <w:tr2bl w:val="nil"/>
            </w:tcBorders>
            <w:vAlign w:val="center"/>
          </w:tcPr>
          <w:p w14:paraId="60DE3C78">
            <w:pPr>
              <w:pStyle w:val="17"/>
            </w:pPr>
            <w:r>
              <w:rPr>
                <w:rFonts w:hint="eastAsia"/>
              </w:rPr>
              <w:t>起重伤害</w:t>
            </w:r>
          </w:p>
        </w:tc>
      </w:tr>
      <w:tr w14:paraId="043BF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21AE823">
            <w:pPr>
              <w:pStyle w:val="17"/>
              <w:numPr>
                <w:ilvl w:val="0"/>
                <w:numId w:val="33"/>
              </w:numPr>
              <w:tabs>
                <w:tab w:val="clear" w:pos="0"/>
              </w:tabs>
            </w:pPr>
          </w:p>
        </w:tc>
        <w:tc>
          <w:tcPr>
            <w:tcW w:w="504" w:type="pct"/>
            <w:vMerge w:val="continue"/>
            <w:tcBorders>
              <w:tl2br w:val="nil"/>
              <w:tr2bl w:val="nil"/>
            </w:tcBorders>
            <w:vAlign w:val="center"/>
          </w:tcPr>
          <w:p w14:paraId="57DFBB98">
            <w:pPr>
              <w:pStyle w:val="17"/>
            </w:pPr>
          </w:p>
        </w:tc>
        <w:tc>
          <w:tcPr>
            <w:tcW w:w="3596" w:type="pct"/>
            <w:tcBorders>
              <w:tl2br w:val="nil"/>
              <w:tr2bl w:val="nil"/>
            </w:tcBorders>
            <w:vAlign w:val="center"/>
          </w:tcPr>
          <w:p w14:paraId="2988C41F">
            <w:pPr>
              <w:pStyle w:val="17"/>
            </w:pPr>
            <w:r>
              <w:rPr>
                <w:rFonts w:hint="eastAsia"/>
              </w:rPr>
              <w:t>吊装大、重构件和采用新的吊装工艺时，未进行试吊。</w:t>
            </w:r>
          </w:p>
        </w:tc>
        <w:tc>
          <w:tcPr>
            <w:tcW w:w="641" w:type="pct"/>
            <w:tcBorders>
              <w:tl2br w:val="nil"/>
              <w:tr2bl w:val="nil"/>
            </w:tcBorders>
            <w:vAlign w:val="center"/>
          </w:tcPr>
          <w:p w14:paraId="18C7BC2A">
            <w:pPr>
              <w:pStyle w:val="17"/>
            </w:pPr>
            <w:r>
              <w:rPr>
                <w:rFonts w:hint="eastAsia"/>
              </w:rPr>
              <w:t>起重伤害</w:t>
            </w:r>
          </w:p>
        </w:tc>
      </w:tr>
      <w:tr w14:paraId="34CD5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DA15EA8">
            <w:pPr>
              <w:pStyle w:val="17"/>
              <w:numPr>
                <w:ilvl w:val="0"/>
                <w:numId w:val="33"/>
              </w:numPr>
              <w:tabs>
                <w:tab w:val="clear" w:pos="0"/>
              </w:tabs>
            </w:pPr>
          </w:p>
        </w:tc>
        <w:tc>
          <w:tcPr>
            <w:tcW w:w="504" w:type="pct"/>
            <w:vMerge w:val="continue"/>
            <w:tcBorders>
              <w:tl2br w:val="nil"/>
              <w:tr2bl w:val="nil"/>
            </w:tcBorders>
            <w:vAlign w:val="center"/>
          </w:tcPr>
          <w:p w14:paraId="39932972">
            <w:pPr>
              <w:pStyle w:val="17"/>
            </w:pPr>
          </w:p>
        </w:tc>
        <w:tc>
          <w:tcPr>
            <w:tcW w:w="3596" w:type="pct"/>
            <w:tcBorders>
              <w:tl2br w:val="nil"/>
              <w:tr2bl w:val="nil"/>
            </w:tcBorders>
            <w:vAlign w:val="center"/>
          </w:tcPr>
          <w:p w14:paraId="380FFD4E">
            <w:pPr>
              <w:pStyle w:val="17"/>
            </w:pPr>
            <w:r>
              <w:rPr>
                <w:rFonts w:hint="eastAsia"/>
              </w:rPr>
              <w:t>大雨、雾、大雪及六级以上大风等恶劣天气进行吊装作业。</w:t>
            </w:r>
          </w:p>
        </w:tc>
        <w:tc>
          <w:tcPr>
            <w:tcW w:w="641" w:type="pct"/>
            <w:tcBorders>
              <w:tl2br w:val="nil"/>
              <w:tr2bl w:val="nil"/>
            </w:tcBorders>
            <w:vAlign w:val="center"/>
          </w:tcPr>
          <w:p w14:paraId="4B7B1D7C">
            <w:pPr>
              <w:pStyle w:val="17"/>
            </w:pPr>
            <w:r>
              <w:rPr>
                <w:rFonts w:hint="eastAsia"/>
              </w:rPr>
              <w:t>起重伤害</w:t>
            </w:r>
          </w:p>
        </w:tc>
      </w:tr>
      <w:tr w14:paraId="45492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70AC70D">
            <w:pPr>
              <w:pStyle w:val="17"/>
              <w:numPr>
                <w:ilvl w:val="0"/>
                <w:numId w:val="33"/>
              </w:numPr>
              <w:tabs>
                <w:tab w:val="clear" w:pos="0"/>
              </w:tabs>
            </w:pPr>
          </w:p>
        </w:tc>
        <w:tc>
          <w:tcPr>
            <w:tcW w:w="504" w:type="pct"/>
            <w:vMerge w:val="continue"/>
            <w:tcBorders>
              <w:tl2br w:val="nil"/>
              <w:tr2bl w:val="nil"/>
            </w:tcBorders>
            <w:vAlign w:val="center"/>
          </w:tcPr>
          <w:p w14:paraId="7783F3D9">
            <w:pPr>
              <w:pStyle w:val="17"/>
            </w:pPr>
          </w:p>
        </w:tc>
        <w:tc>
          <w:tcPr>
            <w:tcW w:w="3596" w:type="pct"/>
            <w:tcBorders>
              <w:tl2br w:val="nil"/>
              <w:tr2bl w:val="nil"/>
            </w:tcBorders>
            <w:vAlign w:val="center"/>
          </w:tcPr>
          <w:p w14:paraId="356658B4">
            <w:pPr>
              <w:pStyle w:val="17"/>
            </w:pPr>
            <w:r>
              <w:rPr>
                <w:rFonts w:hint="eastAsia"/>
              </w:rPr>
              <w:t>采用了斜拉、斜吊，或者起吊埋于地下或粘结在地面上的构件。</w:t>
            </w:r>
          </w:p>
        </w:tc>
        <w:tc>
          <w:tcPr>
            <w:tcW w:w="641" w:type="pct"/>
            <w:tcBorders>
              <w:tl2br w:val="nil"/>
              <w:tr2bl w:val="nil"/>
            </w:tcBorders>
            <w:vAlign w:val="center"/>
          </w:tcPr>
          <w:p w14:paraId="396C6AC3">
            <w:pPr>
              <w:pStyle w:val="17"/>
            </w:pPr>
            <w:r>
              <w:rPr>
                <w:rFonts w:hint="eastAsia"/>
              </w:rPr>
              <w:t>起重伤害</w:t>
            </w:r>
          </w:p>
        </w:tc>
      </w:tr>
      <w:tr w14:paraId="13995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00668B4">
            <w:pPr>
              <w:pStyle w:val="17"/>
              <w:numPr>
                <w:ilvl w:val="0"/>
                <w:numId w:val="33"/>
              </w:numPr>
              <w:tabs>
                <w:tab w:val="clear" w:pos="0"/>
              </w:tabs>
            </w:pPr>
          </w:p>
        </w:tc>
        <w:tc>
          <w:tcPr>
            <w:tcW w:w="504" w:type="pct"/>
            <w:vMerge w:val="continue"/>
            <w:tcBorders>
              <w:tl2br w:val="nil"/>
              <w:tr2bl w:val="nil"/>
            </w:tcBorders>
            <w:vAlign w:val="center"/>
          </w:tcPr>
          <w:p w14:paraId="4417EBC2">
            <w:pPr>
              <w:pStyle w:val="17"/>
            </w:pPr>
          </w:p>
        </w:tc>
        <w:tc>
          <w:tcPr>
            <w:tcW w:w="3596" w:type="pct"/>
            <w:tcBorders>
              <w:tl2br w:val="nil"/>
              <w:tr2bl w:val="nil"/>
            </w:tcBorders>
            <w:vAlign w:val="center"/>
          </w:tcPr>
          <w:p w14:paraId="2E617979">
            <w:pPr>
              <w:pStyle w:val="17"/>
            </w:pPr>
            <w:r>
              <w:rPr>
                <w:rFonts w:hint="eastAsia"/>
              </w:rPr>
              <w:t>超载吊装和起吊重量不明的重大构件和设备</w:t>
            </w:r>
          </w:p>
        </w:tc>
        <w:tc>
          <w:tcPr>
            <w:tcW w:w="641" w:type="pct"/>
            <w:tcBorders>
              <w:tl2br w:val="nil"/>
              <w:tr2bl w:val="nil"/>
            </w:tcBorders>
            <w:vAlign w:val="center"/>
          </w:tcPr>
          <w:p w14:paraId="5092923B">
            <w:pPr>
              <w:pStyle w:val="17"/>
            </w:pPr>
            <w:r>
              <w:rPr>
                <w:rFonts w:hint="eastAsia"/>
              </w:rPr>
              <w:t>起重伤害</w:t>
            </w:r>
          </w:p>
        </w:tc>
      </w:tr>
      <w:tr w14:paraId="0AF7C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868519A">
            <w:pPr>
              <w:pStyle w:val="17"/>
              <w:numPr>
                <w:ilvl w:val="0"/>
                <w:numId w:val="33"/>
              </w:numPr>
              <w:tabs>
                <w:tab w:val="clear" w:pos="0"/>
              </w:tabs>
            </w:pPr>
          </w:p>
        </w:tc>
        <w:tc>
          <w:tcPr>
            <w:tcW w:w="504" w:type="pct"/>
            <w:vMerge w:val="continue"/>
            <w:tcBorders>
              <w:tl2br w:val="nil"/>
              <w:tr2bl w:val="nil"/>
            </w:tcBorders>
            <w:vAlign w:val="center"/>
          </w:tcPr>
          <w:p w14:paraId="7714E92B">
            <w:pPr>
              <w:pStyle w:val="17"/>
            </w:pPr>
          </w:p>
        </w:tc>
        <w:tc>
          <w:tcPr>
            <w:tcW w:w="3596" w:type="pct"/>
            <w:tcBorders>
              <w:tl2br w:val="nil"/>
              <w:tr2bl w:val="nil"/>
            </w:tcBorders>
            <w:vAlign w:val="center"/>
          </w:tcPr>
          <w:p w14:paraId="12733F23">
            <w:pPr>
              <w:pStyle w:val="17"/>
            </w:pPr>
            <w:r>
              <w:rPr>
                <w:rFonts w:hint="eastAsia"/>
              </w:rPr>
              <w:t>在吊起的构件上行走或站立，或者用起重机载运人员、在构件上堆放或悬挂零星物件。</w:t>
            </w:r>
          </w:p>
        </w:tc>
        <w:tc>
          <w:tcPr>
            <w:tcW w:w="641" w:type="pct"/>
            <w:tcBorders>
              <w:tl2br w:val="nil"/>
              <w:tr2bl w:val="nil"/>
            </w:tcBorders>
            <w:vAlign w:val="center"/>
          </w:tcPr>
          <w:p w14:paraId="1E483741">
            <w:pPr>
              <w:pStyle w:val="17"/>
            </w:pPr>
            <w:r>
              <w:rPr>
                <w:rFonts w:hint="eastAsia"/>
              </w:rPr>
              <w:t>起重伤害</w:t>
            </w:r>
          </w:p>
        </w:tc>
      </w:tr>
      <w:tr w14:paraId="34B49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F1E8DBA">
            <w:pPr>
              <w:pStyle w:val="17"/>
              <w:numPr>
                <w:ilvl w:val="0"/>
                <w:numId w:val="33"/>
              </w:numPr>
              <w:tabs>
                <w:tab w:val="clear" w:pos="0"/>
              </w:tabs>
            </w:pPr>
          </w:p>
        </w:tc>
        <w:tc>
          <w:tcPr>
            <w:tcW w:w="504" w:type="pct"/>
            <w:vMerge w:val="restart"/>
            <w:tcBorders>
              <w:tl2br w:val="nil"/>
              <w:tr2bl w:val="nil"/>
            </w:tcBorders>
            <w:vAlign w:val="center"/>
          </w:tcPr>
          <w:p w14:paraId="2CAAE888">
            <w:pPr>
              <w:pStyle w:val="17"/>
            </w:pPr>
            <w:r>
              <w:rPr>
                <w:rFonts w:hint="eastAsia"/>
              </w:rPr>
              <w:t>作业前安全条件确认</w:t>
            </w:r>
          </w:p>
        </w:tc>
        <w:tc>
          <w:tcPr>
            <w:tcW w:w="3596" w:type="pct"/>
            <w:tcBorders>
              <w:tl2br w:val="nil"/>
              <w:tr2bl w:val="nil"/>
            </w:tcBorders>
            <w:vAlign w:val="center"/>
          </w:tcPr>
          <w:p w14:paraId="230D241F">
            <w:pPr>
              <w:pStyle w:val="17"/>
            </w:pPr>
            <w:r>
              <w:rPr>
                <w:rFonts w:hint="eastAsia"/>
              </w:rPr>
              <w:t>高处作业前，没有对安全防护设施进行检查、验收</w:t>
            </w:r>
          </w:p>
        </w:tc>
        <w:tc>
          <w:tcPr>
            <w:tcW w:w="641" w:type="pct"/>
            <w:tcBorders>
              <w:tl2br w:val="nil"/>
              <w:tr2bl w:val="nil"/>
            </w:tcBorders>
            <w:vAlign w:val="center"/>
          </w:tcPr>
          <w:p w14:paraId="2192FB44">
            <w:pPr>
              <w:pStyle w:val="17"/>
            </w:pPr>
            <w:r>
              <w:rPr>
                <w:rFonts w:hint="eastAsia"/>
              </w:rPr>
              <w:t>高处坠落</w:t>
            </w:r>
          </w:p>
        </w:tc>
      </w:tr>
      <w:tr w14:paraId="02CA6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D0577A0">
            <w:pPr>
              <w:pStyle w:val="17"/>
              <w:numPr>
                <w:ilvl w:val="0"/>
                <w:numId w:val="33"/>
              </w:numPr>
              <w:tabs>
                <w:tab w:val="clear" w:pos="0"/>
              </w:tabs>
            </w:pPr>
          </w:p>
        </w:tc>
        <w:tc>
          <w:tcPr>
            <w:tcW w:w="504" w:type="pct"/>
            <w:vMerge w:val="continue"/>
            <w:tcBorders>
              <w:tl2br w:val="nil"/>
              <w:tr2bl w:val="nil"/>
            </w:tcBorders>
            <w:vAlign w:val="center"/>
          </w:tcPr>
          <w:p w14:paraId="081363CB">
            <w:pPr>
              <w:pStyle w:val="17"/>
            </w:pPr>
          </w:p>
        </w:tc>
        <w:tc>
          <w:tcPr>
            <w:tcW w:w="3596" w:type="pct"/>
            <w:tcBorders>
              <w:tl2br w:val="nil"/>
              <w:tr2bl w:val="nil"/>
            </w:tcBorders>
            <w:vAlign w:val="center"/>
          </w:tcPr>
          <w:p w14:paraId="5BF68330">
            <w:pPr>
              <w:pStyle w:val="17"/>
            </w:pPr>
            <w:r>
              <w:rPr>
                <w:rFonts w:hint="eastAsia"/>
              </w:rPr>
              <w:t>高处作业施工没有对作业人员进行安全教育和交底</w:t>
            </w:r>
          </w:p>
        </w:tc>
        <w:tc>
          <w:tcPr>
            <w:tcW w:w="641" w:type="pct"/>
            <w:tcBorders>
              <w:tl2br w:val="nil"/>
              <w:tr2bl w:val="nil"/>
            </w:tcBorders>
            <w:vAlign w:val="center"/>
          </w:tcPr>
          <w:p w14:paraId="27291FA9">
            <w:pPr>
              <w:pStyle w:val="17"/>
            </w:pPr>
            <w:r>
              <w:rPr>
                <w:rFonts w:hint="eastAsia"/>
              </w:rPr>
              <w:t>高处坠落</w:t>
            </w:r>
          </w:p>
        </w:tc>
      </w:tr>
      <w:tr w14:paraId="446D2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78CE357">
            <w:pPr>
              <w:pStyle w:val="17"/>
              <w:numPr>
                <w:ilvl w:val="0"/>
                <w:numId w:val="33"/>
              </w:numPr>
              <w:tabs>
                <w:tab w:val="clear" w:pos="0"/>
              </w:tabs>
            </w:pPr>
          </w:p>
        </w:tc>
        <w:tc>
          <w:tcPr>
            <w:tcW w:w="504" w:type="pct"/>
            <w:vMerge w:val="restart"/>
            <w:tcBorders>
              <w:tl2br w:val="nil"/>
              <w:tr2bl w:val="nil"/>
            </w:tcBorders>
            <w:vAlign w:val="center"/>
          </w:tcPr>
          <w:p w14:paraId="50F88911">
            <w:pPr>
              <w:pStyle w:val="17"/>
            </w:pPr>
            <w:r>
              <w:rPr>
                <w:rFonts w:hint="eastAsia"/>
              </w:rPr>
              <w:t>攀登作业</w:t>
            </w:r>
          </w:p>
        </w:tc>
        <w:tc>
          <w:tcPr>
            <w:tcW w:w="3596" w:type="pct"/>
            <w:tcBorders>
              <w:tl2br w:val="nil"/>
              <w:tr2bl w:val="nil"/>
            </w:tcBorders>
            <w:vAlign w:val="center"/>
          </w:tcPr>
          <w:p w14:paraId="5663D25F">
            <w:pPr>
              <w:pStyle w:val="17"/>
            </w:pPr>
            <w:r>
              <w:rPr>
                <w:rFonts w:hint="eastAsia"/>
              </w:rPr>
              <w:t>人员登高无施工通道、梯子及其它攀登设施和用具</w:t>
            </w:r>
          </w:p>
        </w:tc>
        <w:tc>
          <w:tcPr>
            <w:tcW w:w="641" w:type="pct"/>
            <w:tcBorders>
              <w:tl2br w:val="nil"/>
              <w:tr2bl w:val="nil"/>
            </w:tcBorders>
            <w:vAlign w:val="center"/>
          </w:tcPr>
          <w:p w14:paraId="790FF6ED">
            <w:pPr>
              <w:pStyle w:val="17"/>
            </w:pPr>
            <w:r>
              <w:rPr>
                <w:rFonts w:hint="eastAsia"/>
              </w:rPr>
              <w:t>高处坠落</w:t>
            </w:r>
          </w:p>
        </w:tc>
      </w:tr>
      <w:tr w14:paraId="6A9E3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3DE200F">
            <w:pPr>
              <w:pStyle w:val="17"/>
              <w:numPr>
                <w:ilvl w:val="0"/>
                <w:numId w:val="33"/>
              </w:numPr>
              <w:tabs>
                <w:tab w:val="clear" w:pos="0"/>
              </w:tabs>
            </w:pPr>
          </w:p>
        </w:tc>
        <w:tc>
          <w:tcPr>
            <w:tcW w:w="504" w:type="pct"/>
            <w:vMerge w:val="continue"/>
            <w:tcBorders>
              <w:tl2br w:val="nil"/>
              <w:tr2bl w:val="nil"/>
            </w:tcBorders>
            <w:vAlign w:val="center"/>
          </w:tcPr>
          <w:p w14:paraId="6954F7C0">
            <w:pPr>
              <w:pStyle w:val="17"/>
            </w:pPr>
          </w:p>
        </w:tc>
        <w:tc>
          <w:tcPr>
            <w:tcW w:w="3596" w:type="pct"/>
            <w:tcBorders>
              <w:tl2br w:val="nil"/>
              <w:tr2bl w:val="nil"/>
            </w:tcBorders>
            <w:vAlign w:val="center"/>
          </w:tcPr>
          <w:p w14:paraId="3FC12438">
            <w:pPr>
              <w:pStyle w:val="17"/>
            </w:pPr>
            <w:r>
              <w:rPr>
                <w:rFonts w:hint="eastAsia"/>
              </w:rPr>
              <w:t>高处作业人员正确佩戴安全带，未高挂低用</w:t>
            </w:r>
          </w:p>
        </w:tc>
        <w:tc>
          <w:tcPr>
            <w:tcW w:w="641" w:type="pct"/>
            <w:tcBorders>
              <w:tl2br w:val="nil"/>
              <w:tr2bl w:val="nil"/>
            </w:tcBorders>
            <w:vAlign w:val="center"/>
          </w:tcPr>
          <w:p w14:paraId="269F2098">
            <w:pPr>
              <w:pStyle w:val="17"/>
            </w:pPr>
            <w:r>
              <w:rPr>
                <w:rFonts w:hint="eastAsia"/>
              </w:rPr>
              <w:t>高处坠落</w:t>
            </w:r>
          </w:p>
        </w:tc>
      </w:tr>
      <w:tr w14:paraId="73C16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843B60A">
            <w:pPr>
              <w:pStyle w:val="17"/>
              <w:numPr>
                <w:ilvl w:val="0"/>
                <w:numId w:val="33"/>
              </w:numPr>
              <w:tabs>
                <w:tab w:val="clear" w:pos="0"/>
              </w:tabs>
            </w:pPr>
          </w:p>
        </w:tc>
        <w:tc>
          <w:tcPr>
            <w:tcW w:w="504" w:type="pct"/>
            <w:vMerge w:val="continue"/>
            <w:tcBorders>
              <w:tl2br w:val="nil"/>
              <w:tr2bl w:val="nil"/>
            </w:tcBorders>
            <w:vAlign w:val="center"/>
          </w:tcPr>
          <w:p w14:paraId="5BD6C187">
            <w:pPr>
              <w:pStyle w:val="17"/>
            </w:pPr>
          </w:p>
        </w:tc>
        <w:tc>
          <w:tcPr>
            <w:tcW w:w="3596" w:type="pct"/>
            <w:tcBorders>
              <w:tl2br w:val="nil"/>
              <w:tr2bl w:val="nil"/>
            </w:tcBorders>
            <w:vAlign w:val="center"/>
          </w:tcPr>
          <w:p w14:paraId="1C435A26">
            <w:pPr>
              <w:pStyle w:val="17"/>
            </w:pPr>
            <w:r>
              <w:rPr>
                <w:rFonts w:hint="eastAsia"/>
              </w:rPr>
              <w:t>工具（扳手、手锤等）未系安全绳或未放专用工具背包</w:t>
            </w:r>
          </w:p>
        </w:tc>
        <w:tc>
          <w:tcPr>
            <w:tcW w:w="641" w:type="pct"/>
            <w:tcBorders>
              <w:tl2br w:val="nil"/>
              <w:tr2bl w:val="nil"/>
            </w:tcBorders>
            <w:vAlign w:val="center"/>
          </w:tcPr>
          <w:p w14:paraId="50F90362">
            <w:pPr>
              <w:pStyle w:val="17"/>
            </w:pPr>
            <w:r>
              <w:rPr>
                <w:rFonts w:hint="eastAsia"/>
              </w:rPr>
              <w:t>物体打击</w:t>
            </w:r>
          </w:p>
        </w:tc>
      </w:tr>
      <w:tr w14:paraId="2752F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19705CCD">
            <w:pPr>
              <w:pStyle w:val="17"/>
              <w:numPr>
                <w:ilvl w:val="0"/>
                <w:numId w:val="33"/>
              </w:numPr>
              <w:tabs>
                <w:tab w:val="clear" w:pos="0"/>
              </w:tabs>
            </w:pPr>
          </w:p>
        </w:tc>
        <w:tc>
          <w:tcPr>
            <w:tcW w:w="504" w:type="pct"/>
            <w:vMerge w:val="continue"/>
            <w:tcBorders>
              <w:tl2br w:val="nil"/>
              <w:tr2bl w:val="nil"/>
            </w:tcBorders>
            <w:vAlign w:val="center"/>
          </w:tcPr>
          <w:p w14:paraId="2A019124">
            <w:pPr>
              <w:pStyle w:val="17"/>
            </w:pPr>
          </w:p>
        </w:tc>
        <w:tc>
          <w:tcPr>
            <w:tcW w:w="3596" w:type="pct"/>
            <w:tcBorders>
              <w:tl2br w:val="nil"/>
              <w:tr2bl w:val="nil"/>
            </w:tcBorders>
            <w:vAlign w:val="center"/>
          </w:tcPr>
          <w:p w14:paraId="1B4747B0">
            <w:pPr>
              <w:pStyle w:val="17"/>
            </w:pPr>
            <w:r>
              <w:rPr>
                <w:rFonts w:hint="eastAsia"/>
              </w:rPr>
              <w:t>攀登作业所用设施和用具的结构构造不牢固可靠</w:t>
            </w:r>
          </w:p>
        </w:tc>
        <w:tc>
          <w:tcPr>
            <w:tcW w:w="641" w:type="pct"/>
            <w:tcBorders>
              <w:tl2br w:val="nil"/>
              <w:tr2bl w:val="nil"/>
            </w:tcBorders>
            <w:vAlign w:val="center"/>
          </w:tcPr>
          <w:p w14:paraId="308FC71C">
            <w:pPr>
              <w:pStyle w:val="17"/>
            </w:pPr>
            <w:r>
              <w:rPr>
                <w:rFonts w:hint="eastAsia"/>
              </w:rPr>
              <w:t>高处坠落</w:t>
            </w:r>
          </w:p>
        </w:tc>
      </w:tr>
      <w:tr w14:paraId="600E0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089D1BD">
            <w:pPr>
              <w:pStyle w:val="17"/>
              <w:numPr>
                <w:ilvl w:val="0"/>
                <w:numId w:val="33"/>
              </w:numPr>
              <w:tabs>
                <w:tab w:val="clear" w:pos="0"/>
              </w:tabs>
            </w:pPr>
          </w:p>
        </w:tc>
        <w:tc>
          <w:tcPr>
            <w:tcW w:w="504" w:type="pct"/>
            <w:tcBorders>
              <w:tl2br w:val="nil"/>
              <w:tr2bl w:val="nil"/>
            </w:tcBorders>
            <w:vAlign w:val="center"/>
          </w:tcPr>
          <w:p w14:paraId="0B195DFD">
            <w:pPr>
              <w:pStyle w:val="17"/>
            </w:pPr>
            <w:r>
              <w:rPr>
                <w:rFonts w:hint="eastAsia"/>
              </w:rPr>
              <w:t>保护接零</w:t>
            </w:r>
          </w:p>
        </w:tc>
        <w:tc>
          <w:tcPr>
            <w:tcW w:w="3596" w:type="pct"/>
            <w:tcBorders>
              <w:tl2br w:val="nil"/>
              <w:tr2bl w:val="nil"/>
            </w:tcBorders>
            <w:vAlign w:val="center"/>
          </w:tcPr>
          <w:p w14:paraId="0D86C047">
            <w:pPr>
              <w:pStyle w:val="17"/>
            </w:pPr>
            <w:r>
              <w:rPr>
                <w:rFonts w:hint="eastAsia"/>
              </w:rPr>
              <w:t>防雷接地装置损坏或不合规，或者未进行接地电阻值的检测</w:t>
            </w:r>
          </w:p>
        </w:tc>
        <w:tc>
          <w:tcPr>
            <w:tcW w:w="641" w:type="pct"/>
            <w:tcBorders>
              <w:tl2br w:val="nil"/>
              <w:tr2bl w:val="nil"/>
            </w:tcBorders>
            <w:vAlign w:val="center"/>
          </w:tcPr>
          <w:p w14:paraId="3B62AC8D">
            <w:pPr>
              <w:pStyle w:val="17"/>
            </w:pPr>
            <w:r>
              <w:rPr>
                <w:rFonts w:hint="eastAsia"/>
              </w:rPr>
              <w:t>触电</w:t>
            </w:r>
          </w:p>
        </w:tc>
      </w:tr>
      <w:tr w14:paraId="2B16A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295CBFE">
            <w:pPr>
              <w:pStyle w:val="17"/>
              <w:numPr>
                <w:ilvl w:val="0"/>
                <w:numId w:val="33"/>
              </w:numPr>
              <w:tabs>
                <w:tab w:val="clear" w:pos="0"/>
              </w:tabs>
            </w:pPr>
          </w:p>
        </w:tc>
        <w:tc>
          <w:tcPr>
            <w:tcW w:w="504" w:type="pct"/>
            <w:tcBorders>
              <w:tl2br w:val="nil"/>
              <w:tr2bl w:val="nil"/>
            </w:tcBorders>
            <w:vAlign w:val="center"/>
          </w:tcPr>
          <w:p w14:paraId="23EA321E">
            <w:pPr>
              <w:pStyle w:val="17"/>
            </w:pPr>
            <w:r>
              <w:rPr>
                <w:rFonts w:hint="eastAsia"/>
              </w:rPr>
              <w:t>其他</w:t>
            </w:r>
          </w:p>
        </w:tc>
        <w:tc>
          <w:tcPr>
            <w:tcW w:w="3596" w:type="pct"/>
            <w:tcBorders>
              <w:tl2br w:val="nil"/>
              <w:tr2bl w:val="nil"/>
            </w:tcBorders>
            <w:vAlign w:val="center"/>
          </w:tcPr>
          <w:p w14:paraId="75EF8398">
            <w:pPr>
              <w:pStyle w:val="17"/>
            </w:pPr>
            <w:r>
              <w:rPr>
                <w:rFonts w:hint="eastAsia"/>
              </w:rPr>
              <w:t>塔身的电缆线未固定牢固，塔式起重机开关箱未单独设置或离塔身大于3米</w:t>
            </w:r>
          </w:p>
        </w:tc>
        <w:tc>
          <w:tcPr>
            <w:tcW w:w="641" w:type="pct"/>
            <w:tcBorders>
              <w:tl2br w:val="nil"/>
              <w:tr2bl w:val="nil"/>
            </w:tcBorders>
            <w:vAlign w:val="center"/>
          </w:tcPr>
          <w:p w14:paraId="131B9C4A">
            <w:pPr>
              <w:pStyle w:val="17"/>
            </w:pPr>
            <w:r>
              <w:rPr>
                <w:rFonts w:hint="eastAsia"/>
              </w:rPr>
              <w:t>触电</w:t>
            </w:r>
          </w:p>
        </w:tc>
      </w:tr>
      <w:tr w14:paraId="30CD9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49AA884">
            <w:pPr>
              <w:pStyle w:val="17"/>
              <w:numPr>
                <w:ilvl w:val="0"/>
                <w:numId w:val="33"/>
              </w:numPr>
              <w:tabs>
                <w:tab w:val="clear" w:pos="0"/>
              </w:tabs>
            </w:pPr>
          </w:p>
        </w:tc>
        <w:tc>
          <w:tcPr>
            <w:tcW w:w="504" w:type="pct"/>
            <w:tcBorders>
              <w:tl2br w:val="nil"/>
              <w:tr2bl w:val="nil"/>
            </w:tcBorders>
            <w:vAlign w:val="center"/>
          </w:tcPr>
          <w:p w14:paraId="12E0E35B">
            <w:pPr>
              <w:pStyle w:val="17"/>
            </w:pPr>
            <w:r>
              <w:rPr>
                <w:rFonts w:hint="eastAsia"/>
              </w:rPr>
              <w:t>绝缘保护</w:t>
            </w:r>
          </w:p>
        </w:tc>
        <w:tc>
          <w:tcPr>
            <w:tcW w:w="3596" w:type="pct"/>
            <w:tcBorders>
              <w:tl2br w:val="nil"/>
              <w:tr2bl w:val="nil"/>
            </w:tcBorders>
            <w:vAlign w:val="center"/>
          </w:tcPr>
          <w:p w14:paraId="7B82E252">
            <w:pPr>
              <w:pStyle w:val="17"/>
            </w:pPr>
            <w:r>
              <w:rPr>
                <w:rFonts w:hint="eastAsia"/>
              </w:rPr>
              <w:t>外露线路未进行绝缘保护</w:t>
            </w:r>
          </w:p>
        </w:tc>
        <w:tc>
          <w:tcPr>
            <w:tcW w:w="641" w:type="pct"/>
            <w:tcBorders>
              <w:tl2br w:val="nil"/>
              <w:tr2bl w:val="nil"/>
            </w:tcBorders>
            <w:vAlign w:val="center"/>
          </w:tcPr>
          <w:p w14:paraId="34A1DFC9">
            <w:pPr>
              <w:pStyle w:val="17"/>
            </w:pPr>
            <w:r>
              <w:rPr>
                <w:rFonts w:hint="eastAsia"/>
              </w:rPr>
              <w:t>触电</w:t>
            </w:r>
          </w:p>
        </w:tc>
      </w:tr>
      <w:tr w14:paraId="66B75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572767F">
            <w:pPr>
              <w:pStyle w:val="17"/>
              <w:numPr>
                <w:ilvl w:val="0"/>
                <w:numId w:val="33"/>
              </w:numPr>
              <w:tabs>
                <w:tab w:val="clear" w:pos="0"/>
              </w:tabs>
            </w:pPr>
          </w:p>
        </w:tc>
        <w:tc>
          <w:tcPr>
            <w:tcW w:w="504" w:type="pct"/>
            <w:vMerge w:val="restart"/>
            <w:tcBorders>
              <w:tl2br w:val="nil"/>
              <w:tr2bl w:val="nil"/>
            </w:tcBorders>
            <w:vAlign w:val="center"/>
          </w:tcPr>
          <w:p w14:paraId="3DDA9C10">
            <w:pPr>
              <w:pStyle w:val="17"/>
            </w:pPr>
            <w:r>
              <w:rPr>
                <w:rFonts w:hint="eastAsia"/>
              </w:rPr>
              <w:t>焊接切割</w:t>
            </w:r>
          </w:p>
        </w:tc>
        <w:tc>
          <w:tcPr>
            <w:tcW w:w="3596" w:type="pct"/>
            <w:tcBorders>
              <w:tl2br w:val="nil"/>
              <w:tr2bl w:val="nil"/>
            </w:tcBorders>
            <w:vAlign w:val="center"/>
          </w:tcPr>
          <w:p w14:paraId="2993DC2C">
            <w:pPr>
              <w:pStyle w:val="17"/>
            </w:pPr>
            <w:r>
              <w:rPr>
                <w:rFonts w:hint="eastAsia"/>
              </w:rPr>
              <w:t>焊接和切割未采用不可燃或耐火屏板(或屏罩)加以隔离保护</w:t>
            </w:r>
          </w:p>
        </w:tc>
        <w:tc>
          <w:tcPr>
            <w:tcW w:w="641" w:type="pct"/>
            <w:tcBorders>
              <w:tl2br w:val="nil"/>
              <w:tr2bl w:val="nil"/>
            </w:tcBorders>
            <w:vAlign w:val="center"/>
          </w:tcPr>
          <w:p w14:paraId="00FB2B2A">
            <w:pPr>
              <w:pStyle w:val="17"/>
            </w:pPr>
            <w:r>
              <w:rPr>
                <w:rFonts w:hint="eastAsia"/>
              </w:rPr>
              <w:t>火灾</w:t>
            </w:r>
          </w:p>
        </w:tc>
      </w:tr>
      <w:tr w14:paraId="43AD2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35BC4D7">
            <w:pPr>
              <w:pStyle w:val="17"/>
              <w:numPr>
                <w:ilvl w:val="0"/>
                <w:numId w:val="33"/>
              </w:numPr>
              <w:tabs>
                <w:tab w:val="clear" w:pos="0"/>
              </w:tabs>
            </w:pPr>
          </w:p>
        </w:tc>
        <w:tc>
          <w:tcPr>
            <w:tcW w:w="504" w:type="pct"/>
            <w:vMerge w:val="continue"/>
            <w:tcBorders>
              <w:tl2br w:val="nil"/>
              <w:tr2bl w:val="nil"/>
            </w:tcBorders>
            <w:vAlign w:val="center"/>
          </w:tcPr>
          <w:p w14:paraId="7300466B">
            <w:pPr>
              <w:pStyle w:val="17"/>
            </w:pPr>
          </w:p>
        </w:tc>
        <w:tc>
          <w:tcPr>
            <w:tcW w:w="3596" w:type="pct"/>
            <w:tcBorders>
              <w:tl2br w:val="nil"/>
              <w:tr2bl w:val="nil"/>
            </w:tcBorders>
            <w:vAlign w:val="center"/>
          </w:tcPr>
          <w:p w14:paraId="592FBDDF">
            <w:pPr>
              <w:pStyle w:val="17"/>
            </w:pPr>
            <w:r>
              <w:rPr>
                <w:rFonts w:hint="eastAsia"/>
              </w:rPr>
              <w:t>电焊机未配置防触电保护器，外壳未接零或接地保护</w:t>
            </w:r>
          </w:p>
        </w:tc>
        <w:tc>
          <w:tcPr>
            <w:tcW w:w="641" w:type="pct"/>
            <w:tcBorders>
              <w:tl2br w:val="nil"/>
              <w:tr2bl w:val="nil"/>
            </w:tcBorders>
            <w:vAlign w:val="center"/>
          </w:tcPr>
          <w:p w14:paraId="4BBDE7C9">
            <w:pPr>
              <w:pStyle w:val="17"/>
            </w:pPr>
            <w:r>
              <w:rPr>
                <w:rFonts w:hint="eastAsia"/>
              </w:rPr>
              <w:t>触电</w:t>
            </w:r>
          </w:p>
        </w:tc>
      </w:tr>
      <w:tr w14:paraId="225C6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465B22D">
            <w:pPr>
              <w:pStyle w:val="17"/>
              <w:numPr>
                <w:ilvl w:val="0"/>
                <w:numId w:val="33"/>
              </w:numPr>
              <w:tabs>
                <w:tab w:val="clear" w:pos="0"/>
              </w:tabs>
            </w:pPr>
          </w:p>
        </w:tc>
        <w:tc>
          <w:tcPr>
            <w:tcW w:w="504" w:type="pct"/>
            <w:vMerge w:val="continue"/>
            <w:tcBorders>
              <w:tl2br w:val="nil"/>
              <w:tr2bl w:val="nil"/>
            </w:tcBorders>
            <w:vAlign w:val="center"/>
          </w:tcPr>
          <w:p w14:paraId="365600C1">
            <w:pPr>
              <w:pStyle w:val="17"/>
            </w:pPr>
          </w:p>
        </w:tc>
        <w:tc>
          <w:tcPr>
            <w:tcW w:w="3596" w:type="pct"/>
            <w:tcBorders>
              <w:tl2br w:val="nil"/>
              <w:tr2bl w:val="nil"/>
            </w:tcBorders>
            <w:vAlign w:val="center"/>
          </w:tcPr>
          <w:p w14:paraId="1808F904">
            <w:pPr>
              <w:pStyle w:val="17"/>
            </w:pPr>
            <w:r>
              <w:rPr>
                <w:rFonts w:hint="eastAsia"/>
              </w:rPr>
              <w:t>焊接作业场地周围未清除易燃易爆物品或未进行覆盖、隔离</w:t>
            </w:r>
          </w:p>
        </w:tc>
        <w:tc>
          <w:tcPr>
            <w:tcW w:w="641" w:type="pct"/>
            <w:tcBorders>
              <w:tl2br w:val="nil"/>
              <w:tr2bl w:val="nil"/>
            </w:tcBorders>
            <w:vAlign w:val="center"/>
          </w:tcPr>
          <w:p w14:paraId="19A021E8">
            <w:pPr>
              <w:pStyle w:val="17"/>
            </w:pPr>
            <w:r>
              <w:rPr>
                <w:rFonts w:hint="eastAsia"/>
              </w:rPr>
              <w:t>触电</w:t>
            </w:r>
          </w:p>
        </w:tc>
      </w:tr>
      <w:tr w14:paraId="6E83B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86B53CA">
            <w:pPr>
              <w:pStyle w:val="17"/>
              <w:numPr>
                <w:ilvl w:val="0"/>
                <w:numId w:val="33"/>
              </w:numPr>
              <w:tabs>
                <w:tab w:val="clear" w:pos="0"/>
              </w:tabs>
            </w:pPr>
          </w:p>
        </w:tc>
        <w:tc>
          <w:tcPr>
            <w:tcW w:w="504" w:type="pct"/>
            <w:vMerge w:val="continue"/>
            <w:tcBorders>
              <w:tl2br w:val="nil"/>
              <w:tr2bl w:val="nil"/>
            </w:tcBorders>
            <w:vAlign w:val="center"/>
          </w:tcPr>
          <w:p w14:paraId="49D037EE">
            <w:pPr>
              <w:pStyle w:val="17"/>
            </w:pPr>
          </w:p>
        </w:tc>
        <w:tc>
          <w:tcPr>
            <w:tcW w:w="3596" w:type="pct"/>
            <w:tcBorders>
              <w:tl2br w:val="nil"/>
              <w:tr2bl w:val="nil"/>
            </w:tcBorders>
            <w:vAlign w:val="center"/>
          </w:tcPr>
          <w:p w14:paraId="0E38DD31">
            <w:pPr>
              <w:pStyle w:val="17"/>
            </w:pPr>
            <w:r>
              <w:rPr>
                <w:rFonts w:hint="eastAsia"/>
              </w:rPr>
              <w:t>电焊机未按照“一机一闸”的原则设置开关箱</w:t>
            </w:r>
          </w:p>
        </w:tc>
        <w:tc>
          <w:tcPr>
            <w:tcW w:w="641" w:type="pct"/>
            <w:tcBorders>
              <w:tl2br w:val="nil"/>
              <w:tr2bl w:val="nil"/>
            </w:tcBorders>
            <w:vAlign w:val="center"/>
          </w:tcPr>
          <w:p w14:paraId="204818F5">
            <w:pPr>
              <w:pStyle w:val="17"/>
            </w:pPr>
            <w:r>
              <w:rPr>
                <w:rFonts w:hint="eastAsia"/>
              </w:rPr>
              <w:t>触电</w:t>
            </w:r>
          </w:p>
        </w:tc>
      </w:tr>
      <w:tr w14:paraId="02149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242F228F">
            <w:pPr>
              <w:pStyle w:val="17"/>
              <w:numPr>
                <w:ilvl w:val="0"/>
                <w:numId w:val="33"/>
              </w:numPr>
              <w:tabs>
                <w:tab w:val="clear" w:pos="0"/>
              </w:tabs>
            </w:pPr>
          </w:p>
        </w:tc>
        <w:tc>
          <w:tcPr>
            <w:tcW w:w="504" w:type="pct"/>
            <w:vMerge w:val="continue"/>
            <w:tcBorders>
              <w:tl2br w:val="nil"/>
              <w:tr2bl w:val="nil"/>
            </w:tcBorders>
            <w:vAlign w:val="center"/>
          </w:tcPr>
          <w:p w14:paraId="6A5E1FA2">
            <w:pPr>
              <w:pStyle w:val="17"/>
            </w:pPr>
          </w:p>
        </w:tc>
        <w:tc>
          <w:tcPr>
            <w:tcW w:w="3596" w:type="pct"/>
            <w:tcBorders>
              <w:tl2br w:val="nil"/>
              <w:tr2bl w:val="nil"/>
            </w:tcBorders>
            <w:vAlign w:val="center"/>
          </w:tcPr>
          <w:p w14:paraId="028C6BAB">
            <w:pPr>
              <w:pStyle w:val="17"/>
            </w:pPr>
            <w:r>
              <w:rPr>
                <w:rFonts w:hint="eastAsia"/>
              </w:rPr>
              <w:t>氧气瓶、气瓶阀、接头、减压阀、软管及设备没有与油、脂及其它可燃物或爆炸物相隔离</w:t>
            </w:r>
          </w:p>
        </w:tc>
        <w:tc>
          <w:tcPr>
            <w:tcW w:w="641" w:type="pct"/>
            <w:tcBorders>
              <w:tl2br w:val="nil"/>
              <w:tr2bl w:val="nil"/>
            </w:tcBorders>
            <w:vAlign w:val="center"/>
          </w:tcPr>
          <w:p w14:paraId="57CE7954">
            <w:pPr>
              <w:pStyle w:val="17"/>
            </w:pPr>
            <w:r>
              <w:rPr>
                <w:rFonts w:hint="eastAsia"/>
              </w:rPr>
              <w:t>火灾等</w:t>
            </w:r>
          </w:p>
        </w:tc>
      </w:tr>
      <w:tr w14:paraId="7133D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46F36B15">
            <w:pPr>
              <w:pStyle w:val="17"/>
              <w:numPr>
                <w:ilvl w:val="0"/>
                <w:numId w:val="33"/>
              </w:numPr>
              <w:tabs>
                <w:tab w:val="clear" w:pos="0"/>
              </w:tabs>
            </w:pPr>
          </w:p>
        </w:tc>
        <w:tc>
          <w:tcPr>
            <w:tcW w:w="504" w:type="pct"/>
            <w:vMerge w:val="continue"/>
            <w:tcBorders>
              <w:tl2br w:val="nil"/>
              <w:tr2bl w:val="nil"/>
            </w:tcBorders>
            <w:vAlign w:val="center"/>
          </w:tcPr>
          <w:p w14:paraId="0ADF4152">
            <w:pPr>
              <w:pStyle w:val="17"/>
            </w:pPr>
          </w:p>
        </w:tc>
        <w:tc>
          <w:tcPr>
            <w:tcW w:w="3596" w:type="pct"/>
            <w:tcBorders>
              <w:tl2br w:val="nil"/>
              <w:tr2bl w:val="nil"/>
            </w:tcBorders>
            <w:vAlign w:val="center"/>
          </w:tcPr>
          <w:p w14:paraId="32A68E15">
            <w:pPr>
              <w:pStyle w:val="17"/>
            </w:pPr>
            <w:r>
              <w:rPr>
                <w:rFonts w:hint="eastAsia"/>
              </w:rPr>
              <w:t>气瓶未直立安放牢固（乙炔瓶禁止卧放或倾倒）。</w:t>
            </w:r>
          </w:p>
        </w:tc>
        <w:tc>
          <w:tcPr>
            <w:tcW w:w="641" w:type="pct"/>
            <w:tcBorders>
              <w:tl2br w:val="nil"/>
              <w:tr2bl w:val="nil"/>
            </w:tcBorders>
            <w:vAlign w:val="center"/>
          </w:tcPr>
          <w:p w14:paraId="46798F78">
            <w:pPr>
              <w:pStyle w:val="17"/>
            </w:pPr>
            <w:r>
              <w:rPr>
                <w:rFonts w:hint="eastAsia"/>
              </w:rPr>
              <w:t>容器爆炸</w:t>
            </w:r>
          </w:p>
        </w:tc>
      </w:tr>
      <w:tr w14:paraId="5523B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044210E8">
            <w:pPr>
              <w:pStyle w:val="17"/>
              <w:numPr>
                <w:ilvl w:val="0"/>
                <w:numId w:val="33"/>
              </w:numPr>
              <w:tabs>
                <w:tab w:val="clear" w:pos="0"/>
              </w:tabs>
            </w:pPr>
          </w:p>
        </w:tc>
        <w:tc>
          <w:tcPr>
            <w:tcW w:w="504" w:type="pct"/>
            <w:vMerge w:val="continue"/>
            <w:tcBorders>
              <w:tl2br w:val="nil"/>
              <w:tr2bl w:val="nil"/>
            </w:tcBorders>
            <w:vAlign w:val="center"/>
          </w:tcPr>
          <w:p w14:paraId="26EB3BA6">
            <w:pPr>
              <w:pStyle w:val="17"/>
            </w:pPr>
          </w:p>
        </w:tc>
        <w:tc>
          <w:tcPr>
            <w:tcW w:w="3596" w:type="pct"/>
            <w:tcBorders>
              <w:tl2br w:val="nil"/>
              <w:tr2bl w:val="nil"/>
            </w:tcBorders>
            <w:vAlign w:val="center"/>
          </w:tcPr>
          <w:p w14:paraId="77A0942E">
            <w:pPr>
              <w:pStyle w:val="17"/>
            </w:pPr>
            <w:r>
              <w:rPr>
                <w:rFonts w:hint="eastAsia"/>
              </w:rPr>
              <w:t>氧气瓶、乙炔瓶未分开存放</w:t>
            </w:r>
          </w:p>
        </w:tc>
        <w:tc>
          <w:tcPr>
            <w:tcW w:w="641" w:type="pct"/>
            <w:tcBorders>
              <w:tl2br w:val="nil"/>
              <w:tr2bl w:val="nil"/>
            </w:tcBorders>
            <w:vAlign w:val="center"/>
          </w:tcPr>
          <w:p w14:paraId="4229DC56">
            <w:pPr>
              <w:pStyle w:val="17"/>
            </w:pPr>
            <w:r>
              <w:rPr>
                <w:rFonts w:hint="eastAsia"/>
              </w:rPr>
              <w:t>火灾</w:t>
            </w:r>
          </w:p>
        </w:tc>
      </w:tr>
      <w:tr w14:paraId="14771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78F8A412">
            <w:pPr>
              <w:pStyle w:val="17"/>
              <w:numPr>
                <w:ilvl w:val="0"/>
                <w:numId w:val="33"/>
              </w:numPr>
              <w:tabs>
                <w:tab w:val="clear" w:pos="0"/>
              </w:tabs>
            </w:pPr>
          </w:p>
        </w:tc>
        <w:tc>
          <w:tcPr>
            <w:tcW w:w="504" w:type="pct"/>
            <w:vMerge w:val="continue"/>
            <w:tcBorders>
              <w:tl2br w:val="nil"/>
              <w:tr2bl w:val="nil"/>
            </w:tcBorders>
            <w:vAlign w:val="center"/>
          </w:tcPr>
          <w:p w14:paraId="5EAAB5A1">
            <w:pPr>
              <w:pStyle w:val="17"/>
            </w:pPr>
          </w:p>
        </w:tc>
        <w:tc>
          <w:tcPr>
            <w:tcW w:w="3596" w:type="pct"/>
            <w:tcBorders>
              <w:tl2br w:val="nil"/>
              <w:tr2bl w:val="nil"/>
            </w:tcBorders>
            <w:vAlign w:val="center"/>
          </w:tcPr>
          <w:p w14:paraId="31EF5EE5">
            <w:pPr>
              <w:pStyle w:val="17"/>
            </w:pPr>
            <w:r>
              <w:rPr>
                <w:rFonts w:hint="eastAsia"/>
              </w:rPr>
              <w:t>氧气瓶、乙炔瓶存放处无禁火标志，未配备消防器材。</w:t>
            </w:r>
          </w:p>
        </w:tc>
        <w:tc>
          <w:tcPr>
            <w:tcW w:w="641" w:type="pct"/>
            <w:tcBorders>
              <w:tl2br w:val="nil"/>
              <w:tr2bl w:val="nil"/>
            </w:tcBorders>
            <w:vAlign w:val="center"/>
          </w:tcPr>
          <w:p w14:paraId="2FED4579">
            <w:pPr>
              <w:pStyle w:val="17"/>
            </w:pPr>
            <w:r>
              <w:rPr>
                <w:rFonts w:hint="eastAsia"/>
              </w:rPr>
              <w:t>火灾</w:t>
            </w:r>
          </w:p>
        </w:tc>
      </w:tr>
      <w:tr w14:paraId="47BA3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68669422">
            <w:pPr>
              <w:pStyle w:val="17"/>
              <w:numPr>
                <w:ilvl w:val="0"/>
                <w:numId w:val="33"/>
              </w:numPr>
              <w:tabs>
                <w:tab w:val="clear" w:pos="0"/>
              </w:tabs>
            </w:pPr>
          </w:p>
        </w:tc>
        <w:tc>
          <w:tcPr>
            <w:tcW w:w="504" w:type="pct"/>
            <w:tcBorders>
              <w:tl2br w:val="nil"/>
              <w:tr2bl w:val="nil"/>
            </w:tcBorders>
            <w:vAlign w:val="center"/>
          </w:tcPr>
          <w:p w14:paraId="2C0D05FF">
            <w:pPr>
              <w:pStyle w:val="17"/>
            </w:pPr>
            <w:r>
              <w:rPr>
                <w:rFonts w:hint="eastAsia"/>
              </w:rPr>
              <w:t>电焊</w:t>
            </w:r>
          </w:p>
        </w:tc>
        <w:tc>
          <w:tcPr>
            <w:tcW w:w="3596" w:type="pct"/>
            <w:tcBorders>
              <w:tl2br w:val="nil"/>
              <w:tr2bl w:val="nil"/>
            </w:tcBorders>
            <w:vAlign w:val="center"/>
          </w:tcPr>
          <w:p w14:paraId="22D055CC">
            <w:pPr>
              <w:pStyle w:val="17"/>
            </w:pPr>
            <w:r>
              <w:rPr>
                <w:rFonts w:hint="eastAsia"/>
              </w:rPr>
              <w:t>未佩戴面罩或护目镜</w:t>
            </w:r>
          </w:p>
        </w:tc>
        <w:tc>
          <w:tcPr>
            <w:tcW w:w="641" w:type="pct"/>
            <w:tcBorders>
              <w:tl2br w:val="nil"/>
              <w:tr2bl w:val="nil"/>
            </w:tcBorders>
            <w:vAlign w:val="center"/>
          </w:tcPr>
          <w:p w14:paraId="02872AFC">
            <w:pPr>
              <w:pStyle w:val="17"/>
            </w:pPr>
            <w:r>
              <w:rPr>
                <w:rFonts w:hint="eastAsia"/>
              </w:rPr>
              <w:t>其他</w:t>
            </w:r>
          </w:p>
        </w:tc>
      </w:tr>
      <w:tr w14:paraId="1E62C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14:paraId="59545324">
            <w:pPr>
              <w:pStyle w:val="17"/>
              <w:numPr>
                <w:ilvl w:val="0"/>
                <w:numId w:val="33"/>
              </w:numPr>
              <w:tabs>
                <w:tab w:val="clear" w:pos="0"/>
              </w:tabs>
            </w:pPr>
          </w:p>
        </w:tc>
        <w:tc>
          <w:tcPr>
            <w:tcW w:w="504" w:type="pct"/>
            <w:tcBorders>
              <w:tl2br w:val="nil"/>
              <w:tr2bl w:val="nil"/>
            </w:tcBorders>
            <w:vAlign w:val="center"/>
          </w:tcPr>
          <w:p w14:paraId="7465DA11">
            <w:pPr>
              <w:pStyle w:val="17"/>
            </w:pPr>
            <w:r>
              <w:rPr>
                <w:rFonts w:hint="eastAsia"/>
              </w:rPr>
              <w:t>劳保</w:t>
            </w:r>
          </w:p>
        </w:tc>
        <w:tc>
          <w:tcPr>
            <w:tcW w:w="3596" w:type="pct"/>
            <w:tcBorders>
              <w:tl2br w:val="nil"/>
              <w:tr2bl w:val="nil"/>
            </w:tcBorders>
            <w:vAlign w:val="center"/>
          </w:tcPr>
          <w:p w14:paraId="100B1B89">
            <w:pPr>
              <w:pStyle w:val="17"/>
            </w:pPr>
            <w:r>
              <w:rPr>
                <w:rFonts w:hint="eastAsia"/>
              </w:rPr>
              <w:t>攀登作业未穿防滑鞋</w:t>
            </w:r>
          </w:p>
        </w:tc>
        <w:tc>
          <w:tcPr>
            <w:tcW w:w="641" w:type="pct"/>
            <w:tcBorders>
              <w:tl2br w:val="nil"/>
              <w:tr2bl w:val="nil"/>
            </w:tcBorders>
            <w:vAlign w:val="center"/>
          </w:tcPr>
          <w:p w14:paraId="4F512043">
            <w:pPr>
              <w:pStyle w:val="17"/>
            </w:pPr>
            <w:r>
              <w:rPr>
                <w:rFonts w:hint="eastAsia"/>
              </w:rPr>
              <w:t>其他</w:t>
            </w:r>
          </w:p>
        </w:tc>
      </w:tr>
    </w:tbl>
    <w:p w14:paraId="3AAEAD16">
      <w:pPr>
        <w:pStyle w:val="4"/>
        <w:numPr>
          <w:ilvl w:val="2"/>
          <w:numId w:val="1"/>
        </w:numPr>
        <w:bidi w:val="0"/>
      </w:pPr>
      <w:r>
        <w:rPr>
          <w:rFonts w:hint="eastAsia"/>
        </w:rPr>
        <w:t>风险分析结论</w:t>
      </w:r>
    </w:p>
    <w:p w14:paraId="7A5324C2">
      <w:pPr>
        <w:ind w:firstLine="480"/>
      </w:pPr>
      <w:r>
        <w:rPr>
          <w:rFonts w:hint="eastAsia"/>
        </w:rPr>
        <w:t>根据风险因素分析、识别表，显著危险的有</w:t>
      </w:r>
      <w:r>
        <w:t>89</w:t>
      </w:r>
      <w:r>
        <w:rPr>
          <w:rFonts w:hint="eastAsia"/>
        </w:rPr>
        <w:t>项：包括高处坠落、起重伤害、物体打击、触电、机械伤害、火灾、坍塌和容器爆炸，需要制定针对性安全措施，具体措施详见6</w:t>
      </w:r>
      <w:r>
        <w:t>.3</w:t>
      </w:r>
      <w:r>
        <w:rPr>
          <w:rFonts w:hint="eastAsia"/>
        </w:rPr>
        <w:t>节。</w:t>
      </w:r>
    </w:p>
    <w:bookmarkEnd w:id="131"/>
    <w:p w14:paraId="326B0DFC">
      <w:pPr>
        <w:pStyle w:val="3"/>
      </w:pPr>
      <w:bookmarkStart w:id="133" w:name="_Toc20558"/>
      <w:bookmarkStart w:id="134" w:name="_Toc1775"/>
      <w:bookmarkStart w:id="135" w:name="_Toc903"/>
      <w:r>
        <w:rPr>
          <w:rFonts w:hint="eastAsia"/>
        </w:rPr>
        <w:t>组织保障措施</w:t>
      </w:r>
      <w:bookmarkEnd w:id="133"/>
    </w:p>
    <w:p w14:paraId="27AF49F5">
      <w:pPr>
        <w:pStyle w:val="4"/>
        <w:numPr>
          <w:ilvl w:val="2"/>
          <w:numId w:val="1"/>
        </w:numPr>
        <w:bidi w:val="0"/>
      </w:pPr>
      <w:r>
        <w:rPr>
          <w:rFonts w:hint="eastAsia"/>
        </w:rPr>
        <w:t>安全管理组织结构</w:t>
      </w:r>
    </w:p>
    <w:p w14:paraId="69D84E2E">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14:paraId="117191CF">
      <w:pPr>
        <w:pStyle w:val="16"/>
      </w:pPr>
      <w:bookmarkStart w:id="136"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lang w:val="en-US" w:eastAsia="zh-CN"/>
        </w:rPr>
        <w:t>.1</w:t>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36"/>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14:paraId="0784B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5B26C391">
            <w:pPr>
              <w:pStyle w:val="17"/>
              <w:rPr>
                <w:b/>
              </w:rPr>
            </w:pPr>
            <w:r>
              <w:rPr>
                <w:rFonts w:hint="eastAsia"/>
                <w:b/>
              </w:rPr>
              <w:t>序号</w:t>
            </w:r>
          </w:p>
        </w:tc>
        <w:tc>
          <w:tcPr>
            <w:tcW w:w="770" w:type="pct"/>
            <w:shd w:val="clear" w:color="auto" w:fill="auto"/>
            <w:vAlign w:val="center"/>
          </w:tcPr>
          <w:p w14:paraId="191FA1BF">
            <w:pPr>
              <w:pStyle w:val="17"/>
              <w:rPr>
                <w:b/>
              </w:rPr>
            </w:pPr>
            <w:r>
              <w:rPr>
                <w:rFonts w:hint="eastAsia"/>
                <w:b/>
              </w:rPr>
              <w:t>岗位</w:t>
            </w:r>
          </w:p>
        </w:tc>
        <w:tc>
          <w:tcPr>
            <w:tcW w:w="514" w:type="pct"/>
            <w:shd w:val="clear" w:color="auto" w:fill="auto"/>
            <w:vAlign w:val="center"/>
          </w:tcPr>
          <w:p w14:paraId="00712351">
            <w:pPr>
              <w:pStyle w:val="17"/>
              <w:rPr>
                <w:b/>
              </w:rPr>
            </w:pPr>
            <w:r>
              <w:rPr>
                <w:rFonts w:hint="eastAsia"/>
                <w:b/>
              </w:rPr>
              <w:t>姓名</w:t>
            </w:r>
          </w:p>
        </w:tc>
        <w:tc>
          <w:tcPr>
            <w:tcW w:w="2827" w:type="pct"/>
            <w:shd w:val="clear" w:color="auto" w:fill="auto"/>
            <w:vAlign w:val="center"/>
          </w:tcPr>
          <w:p w14:paraId="7EA45B1E">
            <w:pPr>
              <w:pStyle w:val="17"/>
              <w:rPr>
                <w:b/>
              </w:rPr>
            </w:pPr>
            <w:r>
              <w:rPr>
                <w:rFonts w:hint="eastAsia"/>
                <w:b/>
              </w:rPr>
              <w:t>工作职责</w:t>
            </w:r>
          </w:p>
        </w:tc>
        <w:tc>
          <w:tcPr>
            <w:tcW w:w="470" w:type="pct"/>
            <w:shd w:val="clear" w:color="auto" w:fill="auto"/>
            <w:vAlign w:val="center"/>
          </w:tcPr>
          <w:p w14:paraId="1A5E01DF">
            <w:pPr>
              <w:pStyle w:val="17"/>
              <w:rPr>
                <w:b/>
              </w:rPr>
            </w:pPr>
            <w:r>
              <w:rPr>
                <w:rFonts w:hint="eastAsia"/>
                <w:b/>
              </w:rPr>
              <w:t>备注</w:t>
            </w:r>
          </w:p>
        </w:tc>
      </w:tr>
      <w:tr w14:paraId="416571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DCECDF5">
            <w:pPr>
              <w:pStyle w:val="17"/>
              <w:numPr>
                <w:ilvl w:val="0"/>
                <w:numId w:val="34"/>
              </w:numPr>
            </w:pPr>
          </w:p>
        </w:tc>
        <w:tc>
          <w:tcPr>
            <w:tcW w:w="770" w:type="pct"/>
            <w:shd w:val="clear" w:color="auto" w:fill="auto"/>
            <w:vAlign w:val="center"/>
          </w:tcPr>
          <w:p w14:paraId="077D69FA">
            <w:pPr>
              <w:pStyle w:val="17"/>
            </w:pPr>
            <w:r>
              <w:rPr>
                <w:rFonts w:hint="eastAsia"/>
              </w:rPr>
              <w:t>现场负责人</w:t>
            </w:r>
          </w:p>
        </w:tc>
        <w:tc>
          <w:tcPr>
            <w:tcW w:w="1011" w:type="dxa"/>
            <w:shd w:val="clear" w:color="auto" w:fill="auto"/>
            <w:vAlign w:val="center"/>
          </w:tcPr>
          <w:p w14:paraId="1822DDC7">
            <w:pPr>
              <w:pStyle w:val="17"/>
              <w:ind w:firstLine="0" w:firstLineChars="0"/>
            </w:pPr>
            <w:r>
              <w:rPr>
                <w:rFonts w:hint="eastAsia"/>
                <w:lang w:val="en-US" w:eastAsia="zh-CN"/>
              </w:rPr>
              <w:t>吕仕昌</w:t>
            </w:r>
          </w:p>
        </w:tc>
        <w:tc>
          <w:tcPr>
            <w:tcW w:w="2827" w:type="pct"/>
            <w:shd w:val="clear" w:color="auto" w:fill="auto"/>
            <w:vAlign w:val="center"/>
          </w:tcPr>
          <w:p w14:paraId="6C74A96A">
            <w:pPr>
              <w:pStyle w:val="17"/>
              <w:jc w:val="left"/>
            </w:pPr>
            <w:r>
              <w:rPr>
                <w:rFonts w:hint="eastAsia"/>
              </w:rPr>
              <w:t>负责设备安装组织、实施及安全</w:t>
            </w:r>
          </w:p>
        </w:tc>
        <w:tc>
          <w:tcPr>
            <w:tcW w:w="470" w:type="pct"/>
            <w:shd w:val="clear" w:color="auto" w:fill="auto"/>
            <w:vAlign w:val="center"/>
          </w:tcPr>
          <w:p w14:paraId="46E62DD1">
            <w:pPr>
              <w:pStyle w:val="17"/>
            </w:pPr>
          </w:p>
        </w:tc>
      </w:tr>
      <w:tr w14:paraId="09AD7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1E14B51">
            <w:pPr>
              <w:pStyle w:val="17"/>
              <w:numPr>
                <w:ilvl w:val="0"/>
                <w:numId w:val="34"/>
              </w:numPr>
            </w:pPr>
          </w:p>
        </w:tc>
        <w:tc>
          <w:tcPr>
            <w:tcW w:w="770" w:type="pct"/>
            <w:shd w:val="clear" w:color="auto" w:fill="auto"/>
            <w:vAlign w:val="center"/>
          </w:tcPr>
          <w:p w14:paraId="6EF4605D">
            <w:pPr>
              <w:pStyle w:val="17"/>
            </w:pPr>
            <w:r>
              <w:rPr>
                <w:rFonts w:hint="eastAsia"/>
              </w:rPr>
              <w:t>设备安拆工</w:t>
            </w:r>
          </w:p>
        </w:tc>
        <w:tc>
          <w:tcPr>
            <w:tcW w:w="1011" w:type="dxa"/>
            <w:shd w:val="clear" w:color="auto" w:fill="auto"/>
            <w:vAlign w:val="center"/>
          </w:tcPr>
          <w:p w14:paraId="052707BC">
            <w:pPr>
              <w:pStyle w:val="17"/>
              <w:ind w:firstLine="0" w:firstLineChars="0"/>
            </w:pPr>
            <w:r>
              <w:rPr>
                <w:rFonts w:hint="eastAsia"/>
                <w:lang w:val="en-US" w:eastAsia="zh-CN"/>
              </w:rPr>
              <w:t>吴强</w:t>
            </w:r>
          </w:p>
        </w:tc>
        <w:tc>
          <w:tcPr>
            <w:tcW w:w="2827" w:type="pct"/>
            <w:shd w:val="clear" w:color="auto" w:fill="auto"/>
            <w:vAlign w:val="center"/>
          </w:tcPr>
          <w:p w14:paraId="0B8C94F3">
            <w:pPr>
              <w:pStyle w:val="17"/>
              <w:jc w:val="left"/>
            </w:pPr>
            <w:r>
              <w:rPr>
                <w:rFonts w:hint="eastAsia"/>
              </w:rPr>
              <w:t>负责设备安装技术工作以及安全工作</w:t>
            </w:r>
          </w:p>
        </w:tc>
        <w:tc>
          <w:tcPr>
            <w:tcW w:w="470" w:type="pct"/>
            <w:shd w:val="clear" w:color="auto" w:fill="auto"/>
            <w:vAlign w:val="center"/>
          </w:tcPr>
          <w:p w14:paraId="11D1A46C">
            <w:pPr>
              <w:pStyle w:val="17"/>
            </w:pPr>
          </w:p>
        </w:tc>
      </w:tr>
      <w:tr w14:paraId="74B94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EF1F17E">
            <w:pPr>
              <w:pStyle w:val="17"/>
              <w:numPr>
                <w:ilvl w:val="0"/>
                <w:numId w:val="34"/>
              </w:numPr>
            </w:pPr>
          </w:p>
        </w:tc>
        <w:tc>
          <w:tcPr>
            <w:tcW w:w="770" w:type="pct"/>
            <w:shd w:val="clear" w:color="auto" w:fill="auto"/>
            <w:vAlign w:val="center"/>
          </w:tcPr>
          <w:p w14:paraId="5D33D688">
            <w:pPr>
              <w:pStyle w:val="17"/>
            </w:pPr>
            <w:r>
              <w:rPr>
                <w:rFonts w:hint="eastAsia"/>
              </w:rPr>
              <w:t>设备安拆工</w:t>
            </w:r>
          </w:p>
        </w:tc>
        <w:tc>
          <w:tcPr>
            <w:tcW w:w="1011" w:type="dxa"/>
            <w:shd w:val="clear" w:color="auto" w:fill="auto"/>
            <w:vAlign w:val="center"/>
          </w:tcPr>
          <w:p w14:paraId="55A704C7">
            <w:pPr>
              <w:pStyle w:val="17"/>
              <w:ind w:firstLine="0" w:firstLineChars="0"/>
            </w:pPr>
            <w:r>
              <w:rPr>
                <w:rFonts w:hint="eastAsia"/>
                <w:lang w:val="en-US" w:eastAsia="zh-CN"/>
              </w:rPr>
              <w:t>周清云</w:t>
            </w:r>
          </w:p>
        </w:tc>
        <w:tc>
          <w:tcPr>
            <w:tcW w:w="2827" w:type="pct"/>
            <w:shd w:val="clear" w:color="auto" w:fill="auto"/>
            <w:vAlign w:val="center"/>
          </w:tcPr>
          <w:p w14:paraId="3D30A7E5">
            <w:pPr>
              <w:pStyle w:val="17"/>
              <w:jc w:val="left"/>
            </w:pPr>
            <w:r>
              <w:rPr>
                <w:rFonts w:hint="eastAsia"/>
              </w:rPr>
              <w:t>负责现场的安全组织、检查、监督、纠正</w:t>
            </w:r>
          </w:p>
        </w:tc>
        <w:tc>
          <w:tcPr>
            <w:tcW w:w="470" w:type="pct"/>
            <w:shd w:val="clear" w:color="auto" w:fill="auto"/>
            <w:vAlign w:val="center"/>
          </w:tcPr>
          <w:p w14:paraId="081144F9">
            <w:pPr>
              <w:pStyle w:val="17"/>
            </w:pPr>
          </w:p>
        </w:tc>
      </w:tr>
      <w:tr w14:paraId="05206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E326AB6">
            <w:pPr>
              <w:pStyle w:val="17"/>
              <w:numPr>
                <w:ilvl w:val="0"/>
                <w:numId w:val="34"/>
              </w:numPr>
            </w:pPr>
          </w:p>
        </w:tc>
        <w:tc>
          <w:tcPr>
            <w:tcW w:w="770" w:type="pct"/>
            <w:shd w:val="clear" w:color="auto" w:fill="auto"/>
            <w:vAlign w:val="center"/>
          </w:tcPr>
          <w:p w14:paraId="44952691">
            <w:pPr>
              <w:pStyle w:val="17"/>
            </w:pPr>
            <w:r>
              <w:rPr>
                <w:rFonts w:hint="eastAsia"/>
              </w:rPr>
              <w:t>设备安拆工</w:t>
            </w:r>
          </w:p>
        </w:tc>
        <w:tc>
          <w:tcPr>
            <w:tcW w:w="1011" w:type="dxa"/>
            <w:shd w:val="clear" w:color="auto" w:fill="auto"/>
            <w:vAlign w:val="center"/>
          </w:tcPr>
          <w:p w14:paraId="2331F87C">
            <w:pPr>
              <w:pStyle w:val="17"/>
              <w:ind w:firstLine="0" w:firstLineChars="0"/>
            </w:pPr>
            <w:r>
              <w:rPr>
                <w:rFonts w:hint="eastAsia"/>
                <w:lang w:val="en-US" w:eastAsia="zh-CN"/>
              </w:rPr>
              <w:t>匡彬</w:t>
            </w:r>
          </w:p>
        </w:tc>
        <w:tc>
          <w:tcPr>
            <w:tcW w:w="2827" w:type="pct"/>
            <w:shd w:val="clear" w:color="auto" w:fill="auto"/>
            <w:vAlign w:val="center"/>
          </w:tcPr>
          <w:p w14:paraId="1C428490">
            <w:pPr>
              <w:pStyle w:val="17"/>
              <w:jc w:val="left"/>
            </w:pPr>
            <w:r>
              <w:rPr>
                <w:rFonts w:hint="eastAsia"/>
              </w:rPr>
              <w:t>负责设备安装的人员设备组织、协调</w:t>
            </w:r>
          </w:p>
          <w:p w14:paraId="717E5982">
            <w:pPr>
              <w:pStyle w:val="17"/>
              <w:jc w:val="left"/>
            </w:pPr>
            <w:r>
              <w:rPr>
                <w:rFonts w:hint="eastAsia"/>
              </w:rPr>
              <w:t>检查吊具、索具安全性，保证吊点正确，物件平稳，指挥信号清晰、明确。</w:t>
            </w:r>
          </w:p>
        </w:tc>
        <w:tc>
          <w:tcPr>
            <w:tcW w:w="470" w:type="pct"/>
            <w:shd w:val="clear" w:color="auto" w:fill="auto"/>
            <w:vAlign w:val="center"/>
          </w:tcPr>
          <w:p w14:paraId="30F9F5A4">
            <w:pPr>
              <w:pStyle w:val="17"/>
            </w:pPr>
          </w:p>
        </w:tc>
      </w:tr>
      <w:tr w14:paraId="484A2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8F67565">
            <w:pPr>
              <w:pStyle w:val="17"/>
              <w:numPr>
                <w:ilvl w:val="0"/>
                <w:numId w:val="34"/>
              </w:numPr>
            </w:pPr>
          </w:p>
        </w:tc>
        <w:tc>
          <w:tcPr>
            <w:tcW w:w="770" w:type="pct"/>
            <w:shd w:val="clear" w:color="auto" w:fill="auto"/>
            <w:vAlign w:val="center"/>
          </w:tcPr>
          <w:p w14:paraId="11BC9557">
            <w:pPr>
              <w:pStyle w:val="17"/>
            </w:pPr>
            <w:r>
              <w:rPr>
                <w:rFonts w:hint="eastAsia"/>
              </w:rPr>
              <w:t>电工</w:t>
            </w:r>
          </w:p>
        </w:tc>
        <w:tc>
          <w:tcPr>
            <w:tcW w:w="1011" w:type="dxa"/>
            <w:shd w:val="clear" w:color="auto" w:fill="auto"/>
            <w:vAlign w:val="center"/>
          </w:tcPr>
          <w:p w14:paraId="70ACAD01">
            <w:pPr>
              <w:pStyle w:val="17"/>
              <w:ind w:firstLine="0" w:firstLineChars="0"/>
            </w:pPr>
            <w:r>
              <w:rPr>
                <w:rFonts w:hint="eastAsia"/>
                <w:lang w:val="en-US" w:eastAsia="zh-CN"/>
              </w:rPr>
              <w:t>章增云</w:t>
            </w:r>
          </w:p>
        </w:tc>
        <w:tc>
          <w:tcPr>
            <w:tcW w:w="2827" w:type="pct"/>
            <w:shd w:val="clear" w:color="auto" w:fill="auto"/>
            <w:vAlign w:val="center"/>
          </w:tcPr>
          <w:p w14:paraId="5765AF60">
            <w:pPr>
              <w:pStyle w:val="17"/>
              <w:jc w:val="left"/>
            </w:pPr>
            <w:r>
              <w:rPr>
                <w:rFonts w:hint="eastAsia"/>
              </w:rPr>
              <w:t>负责现场设备的电气安装、恢复、调试</w:t>
            </w:r>
          </w:p>
        </w:tc>
        <w:tc>
          <w:tcPr>
            <w:tcW w:w="470" w:type="pct"/>
            <w:shd w:val="clear" w:color="auto" w:fill="auto"/>
            <w:vAlign w:val="center"/>
          </w:tcPr>
          <w:p w14:paraId="0264C863">
            <w:pPr>
              <w:pStyle w:val="17"/>
            </w:pPr>
          </w:p>
        </w:tc>
      </w:tr>
    </w:tbl>
    <w:p w14:paraId="47AA1E33">
      <w:pPr>
        <w:pStyle w:val="3"/>
        <w:bidi w:val="0"/>
        <w:ind w:left="0" w:leftChars="0" w:firstLine="0" w:firstLineChars="0"/>
      </w:pPr>
      <w:bookmarkStart w:id="137" w:name="_Toc21350"/>
      <w:r>
        <w:rPr>
          <w:rFonts w:hint="eastAsia"/>
        </w:rPr>
        <w:t>安全管理保证措施</w:t>
      </w:r>
      <w:bookmarkEnd w:id="137"/>
    </w:p>
    <w:p w14:paraId="148C1B59">
      <w:pPr>
        <w:pStyle w:val="4"/>
        <w:numPr>
          <w:ilvl w:val="2"/>
          <w:numId w:val="1"/>
        </w:numPr>
        <w:bidi w:val="0"/>
      </w:pPr>
      <w:r>
        <w:rPr>
          <w:rFonts w:hint="eastAsia"/>
        </w:rPr>
        <w:t>思想保证</w:t>
      </w:r>
    </w:p>
    <w:p w14:paraId="03E2F51D">
      <w:pPr>
        <w:pStyle w:val="78"/>
        <w:numPr>
          <w:ilvl w:val="1"/>
          <w:numId w:val="35"/>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4C690137">
      <w:pPr>
        <w:pStyle w:val="78"/>
        <w:numPr>
          <w:ilvl w:val="1"/>
          <w:numId w:val="35"/>
        </w:numPr>
        <w:ind w:firstLineChars="0"/>
      </w:pPr>
      <w:r>
        <w:rPr>
          <w:rFonts w:hint="eastAsia"/>
        </w:rPr>
        <w:t>安拆施工开工前，对所有上岗人员进行安全教育培训，使全员都能遵守生产必须安全，安全才能生产的原则，严格执行安全操作规程，持证上岗；</w:t>
      </w:r>
    </w:p>
    <w:p w14:paraId="69B8E6C4">
      <w:pPr>
        <w:pStyle w:val="78"/>
        <w:numPr>
          <w:ilvl w:val="1"/>
          <w:numId w:val="35"/>
        </w:numPr>
        <w:ind w:firstLineChars="0"/>
      </w:pPr>
      <w:r>
        <w:rPr>
          <w:rFonts w:hint="eastAsia"/>
        </w:rPr>
        <w:t>定期组织安全宣传活动，对全体参建人员进行安全警示教育；</w:t>
      </w:r>
    </w:p>
    <w:p w14:paraId="25FFE805">
      <w:pPr>
        <w:pStyle w:val="78"/>
        <w:numPr>
          <w:ilvl w:val="1"/>
          <w:numId w:val="35"/>
        </w:numPr>
        <w:ind w:firstLineChars="0"/>
      </w:pPr>
      <w:r>
        <w:rPr>
          <w:rFonts w:hint="eastAsia"/>
        </w:rPr>
        <w:t>随时接受业主及监理单位对安全生产的督促、检查、考评，对提出的问题，立即落实方案组织实施，确保安全生产。</w:t>
      </w:r>
    </w:p>
    <w:p w14:paraId="69A47170">
      <w:pPr>
        <w:pStyle w:val="4"/>
        <w:numPr>
          <w:ilvl w:val="2"/>
          <w:numId w:val="1"/>
        </w:numPr>
        <w:bidi w:val="0"/>
      </w:pPr>
      <w:r>
        <w:rPr>
          <w:rFonts w:hint="eastAsia"/>
        </w:rPr>
        <w:t>组织保证</w:t>
      </w:r>
    </w:p>
    <w:p w14:paraId="28F71FA2">
      <w:pPr>
        <w:pStyle w:val="78"/>
        <w:numPr>
          <w:ilvl w:val="1"/>
          <w:numId w:val="36"/>
        </w:numPr>
        <w:ind w:firstLineChars="0"/>
      </w:pPr>
      <w:r>
        <w:rPr>
          <w:rFonts w:hint="eastAsia"/>
        </w:rPr>
        <w:t>将项目的安全管理全面纳入公司安全管理体系，在公司安全主管部门的管理下展开工作，执行公司的安全管理制度，并在项目管理过程中寻求公司主管部门的支持；</w:t>
      </w:r>
    </w:p>
    <w:p w14:paraId="176825CC">
      <w:pPr>
        <w:pStyle w:val="78"/>
        <w:numPr>
          <w:ilvl w:val="1"/>
          <w:numId w:val="36"/>
        </w:numPr>
        <w:ind w:firstLineChars="0"/>
      </w:pPr>
      <w:r>
        <w:rPr>
          <w:rFonts w:hint="eastAsia"/>
        </w:rPr>
        <w:t>成立项目安全生产工作小组，设立项目专职安全总监，全面执行项目的安全管理；</w:t>
      </w:r>
    </w:p>
    <w:p w14:paraId="4B0509C4">
      <w:pPr>
        <w:pStyle w:val="78"/>
        <w:numPr>
          <w:ilvl w:val="1"/>
          <w:numId w:val="36"/>
        </w:numPr>
        <w:ind w:firstLineChars="0"/>
      </w:pPr>
      <w:r>
        <w:rPr>
          <w:rFonts w:hint="eastAsia"/>
        </w:rPr>
        <w:t>全面落实安全责任制度，项目经理为安全的第一责任人，其他安全责任落实到部门及相关个人；</w:t>
      </w:r>
    </w:p>
    <w:p w14:paraId="4BCEF123">
      <w:pPr>
        <w:pStyle w:val="78"/>
        <w:numPr>
          <w:ilvl w:val="1"/>
          <w:numId w:val="36"/>
        </w:numPr>
        <w:ind w:firstLineChars="0"/>
      </w:pPr>
      <w:r>
        <w:rPr>
          <w:rFonts w:hint="eastAsia"/>
        </w:rPr>
        <w:t>执行项目三级管理制度，分别是以安全生产工作小组做为项目安全管理的决策层，以安全职能部门为主的管理层及以作业班组为主体的作业层；</w:t>
      </w:r>
    </w:p>
    <w:p w14:paraId="33C10578">
      <w:pPr>
        <w:pStyle w:val="78"/>
        <w:numPr>
          <w:ilvl w:val="1"/>
          <w:numId w:val="36"/>
        </w:numPr>
        <w:ind w:firstLineChars="0"/>
      </w:pPr>
      <w:r>
        <w:rPr>
          <w:rFonts w:hint="eastAsia"/>
        </w:rPr>
        <w:t>安全总监选派具有专业知识和丰富现场安全管理的人员担任，配足配齐各现场安全管理人员；</w:t>
      </w:r>
    </w:p>
    <w:p w14:paraId="66AB330E">
      <w:pPr>
        <w:pStyle w:val="78"/>
        <w:numPr>
          <w:ilvl w:val="1"/>
          <w:numId w:val="36"/>
        </w:numPr>
        <w:ind w:firstLineChars="0"/>
      </w:pPr>
      <w:r>
        <w:rPr>
          <w:rFonts w:hint="eastAsia"/>
        </w:rPr>
        <w:t>选择安全意识强、安全措施充足、服从项目安全管理的作业班组进行现场施工，加强对作业班组的安全管理。</w:t>
      </w:r>
    </w:p>
    <w:p w14:paraId="0E858713">
      <w:pPr>
        <w:pStyle w:val="4"/>
        <w:numPr>
          <w:ilvl w:val="2"/>
          <w:numId w:val="1"/>
        </w:numPr>
        <w:bidi w:val="0"/>
      </w:pPr>
      <w:r>
        <w:rPr>
          <w:rFonts w:hint="eastAsia"/>
        </w:rPr>
        <w:t>制度保证</w:t>
      </w:r>
    </w:p>
    <w:p w14:paraId="7C428E34">
      <w:pPr>
        <w:pStyle w:val="78"/>
        <w:numPr>
          <w:ilvl w:val="1"/>
          <w:numId w:val="37"/>
        </w:numPr>
        <w:ind w:firstLineChars="0"/>
      </w:pPr>
      <w:r>
        <w:rPr>
          <w:rFonts w:hint="eastAsia"/>
        </w:rPr>
        <w:t>全体参建人员严格执行党和国家有关安全生产法律、法规和安全生产规程，自觉遵守国家、行业、地方及业主的有关安全生产管理规定；</w:t>
      </w:r>
    </w:p>
    <w:p w14:paraId="3AF1140E">
      <w:pPr>
        <w:pStyle w:val="78"/>
        <w:numPr>
          <w:ilvl w:val="1"/>
          <w:numId w:val="37"/>
        </w:numPr>
        <w:ind w:firstLineChars="0"/>
      </w:pPr>
      <w:r>
        <w:rPr>
          <w:rFonts w:hint="eastAsia"/>
        </w:rPr>
        <w:t>严格执行公司的安全生产管理相关的制度和文件；</w:t>
      </w:r>
    </w:p>
    <w:p w14:paraId="4E154CD0">
      <w:pPr>
        <w:pStyle w:val="78"/>
        <w:numPr>
          <w:ilvl w:val="1"/>
          <w:numId w:val="37"/>
        </w:numPr>
        <w:ind w:firstLineChars="0"/>
      </w:pPr>
      <w:r>
        <w:rPr>
          <w:rFonts w:hint="eastAsia"/>
        </w:rPr>
        <w:t>严格执行安全生产教育与培训制度，安拆施工开工前，对参建人员进行岗前安全教育培训，经培训考试合格后方可上岗；</w:t>
      </w:r>
    </w:p>
    <w:p w14:paraId="2A69DD7A">
      <w:pPr>
        <w:pStyle w:val="78"/>
        <w:numPr>
          <w:ilvl w:val="1"/>
          <w:numId w:val="37"/>
        </w:numPr>
        <w:ind w:firstLineChars="0"/>
      </w:pPr>
      <w:r>
        <w:rPr>
          <w:rFonts w:hint="eastAsia"/>
        </w:rPr>
        <w:t>严格执行特殊工种持证上岗制度，安拆施工开工前，对特种作业人员进行专业安全培训，取得《安全操作合格证》后，持证上岗；</w:t>
      </w:r>
    </w:p>
    <w:p w14:paraId="1A14EE42">
      <w:pPr>
        <w:pStyle w:val="78"/>
        <w:numPr>
          <w:ilvl w:val="1"/>
          <w:numId w:val="37"/>
        </w:numPr>
        <w:ind w:firstLineChars="0"/>
      </w:pPr>
      <w:r>
        <w:rPr>
          <w:rFonts w:hint="eastAsia"/>
        </w:rPr>
        <w:t>严格执行安全技术交底制度，使作业人员能了解作业过程中可能存在的事故隐患，交底采用书面安全交底和现场安全交底相结合的方式；</w:t>
      </w:r>
    </w:p>
    <w:p w14:paraId="78363E0C">
      <w:pPr>
        <w:pStyle w:val="78"/>
        <w:numPr>
          <w:ilvl w:val="1"/>
          <w:numId w:val="37"/>
        </w:numPr>
        <w:ind w:firstLineChars="0"/>
      </w:pPr>
      <w:r>
        <w:rPr>
          <w:rFonts w:hint="eastAsia"/>
        </w:rPr>
        <w:t>项目部专职安全员负责日常安全管理工作，班组设兼职安全员，进行现场安全管理、指导、监督、制止违章，在危险时采取紧急措施。专职安全员持证上岗，在现场均配戴好工作标志；</w:t>
      </w:r>
    </w:p>
    <w:p w14:paraId="62A4B4DA">
      <w:pPr>
        <w:pStyle w:val="78"/>
        <w:numPr>
          <w:ilvl w:val="1"/>
          <w:numId w:val="37"/>
        </w:numPr>
        <w:ind w:firstLineChars="0"/>
      </w:pPr>
      <w:r>
        <w:rPr>
          <w:rFonts w:hint="eastAsia"/>
        </w:rPr>
        <w:t>安拆施工开工前，针对工程实际编制切实可行的安全措施计划，并限期实施，没有安全保障措施时工程不得开工；</w:t>
      </w:r>
    </w:p>
    <w:p w14:paraId="0FD2F548">
      <w:pPr>
        <w:pStyle w:val="78"/>
        <w:numPr>
          <w:ilvl w:val="1"/>
          <w:numId w:val="37"/>
        </w:numPr>
        <w:ind w:firstLineChars="0"/>
      </w:pPr>
      <w:r>
        <w:rPr>
          <w:rFonts w:hint="eastAsia"/>
        </w:rPr>
        <w:t>完善并执行安全目标管理制度，其中包括：禁酒令，安全生产带班管理制度，事故报告制度等；</w:t>
      </w:r>
    </w:p>
    <w:p w14:paraId="4B7B0FF4">
      <w:pPr>
        <w:pStyle w:val="78"/>
        <w:numPr>
          <w:ilvl w:val="1"/>
          <w:numId w:val="37"/>
        </w:numPr>
        <w:ind w:firstLineChars="0"/>
      </w:pPr>
      <w:r>
        <w:rPr>
          <w:rFonts w:hint="eastAsia"/>
        </w:rPr>
        <w:t>实行安全目标管理，层层分解落实安全指标，严格执行与经济挂钩的奖惩制度，坚决实施安全一票否决权制度。</w:t>
      </w:r>
    </w:p>
    <w:p w14:paraId="0F6BE3CC">
      <w:pPr>
        <w:pStyle w:val="4"/>
        <w:numPr>
          <w:ilvl w:val="2"/>
          <w:numId w:val="1"/>
        </w:numPr>
        <w:bidi w:val="0"/>
      </w:pPr>
      <w:r>
        <w:t>技术保证</w:t>
      </w:r>
    </w:p>
    <w:p w14:paraId="52D9E4D4">
      <w:pPr>
        <w:pStyle w:val="78"/>
        <w:numPr>
          <w:ilvl w:val="1"/>
          <w:numId w:val="38"/>
        </w:numPr>
        <w:ind w:firstLineChars="0"/>
      </w:pPr>
      <w:r>
        <w:rPr>
          <w:rFonts w:hint="eastAsia"/>
        </w:rPr>
        <w:t>项目总工要及时组织做施工组织设计、专项施工方案的编制、报批，超过一定规模的分部安拆施工要组织专家进行研究论证；</w:t>
      </w:r>
    </w:p>
    <w:p w14:paraId="73AD8932">
      <w:pPr>
        <w:pStyle w:val="78"/>
        <w:numPr>
          <w:ilvl w:val="1"/>
          <w:numId w:val="38"/>
        </w:numPr>
        <w:ind w:firstLineChars="0"/>
      </w:pPr>
      <w:r>
        <w:rPr>
          <w:rFonts w:hint="eastAsia"/>
        </w:rPr>
        <w:t>项目工程技术部人员及时针对施工方案做好施工作业指导书的编制、审核、报批，编制过程中需对风险进行识别与评估并提出对应的安全保证措施，并及时开展施工技术交底工作，在施工全过程中做好技术落实的监督指导；</w:t>
      </w:r>
    </w:p>
    <w:p w14:paraId="350632E2">
      <w:pPr>
        <w:pStyle w:val="78"/>
        <w:numPr>
          <w:ilvl w:val="1"/>
          <w:numId w:val="38"/>
        </w:numPr>
        <w:ind w:firstLineChars="0"/>
      </w:pPr>
      <w:r>
        <w:rPr>
          <w:rFonts w:hint="eastAsia"/>
        </w:rPr>
        <w:t>完善并执行安全目标管理制度，其中包括：机械设备安全操作规程，安全用电制度，水上作业安全制度，工索具专项验收、使用及维保管理制度，特殊工种安全制度等。</w:t>
      </w:r>
    </w:p>
    <w:p w14:paraId="1786F17D">
      <w:pPr>
        <w:pStyle w:val="4"/>
        <w:numPr>
          <w:ilvl w:val="2"/>
          <w:numId w:val="1"/>
        </w:numPr>
        <w:bidi w:val="0"/>
      </w:pPr>
      <w:r>
        <w:rPr>
          <w:rFonts w:hint="eastAsia"/>
        </w:rPr>
        <w:t>资源保证</w:t>
      </w:r>
    </w:p>
    <w:p w14:paraId="2BC64556">
      <w:pPr>
        <w:pStyle w:val="78"/>
        <w:numPr>
          <w:ilvl w:val="1"/>
          <w:numId w:val="39"/>
        </w:numPr>
        <w:ind w:firstLineChars="0"/>
      </w:pPr>
      <w:r>
        <w:rPr>
          <w:rFonts w:hint="eastAsia"/>
        </w:rPr>
        <w:t>施工现场需配备足够的安全设施，必须具有安全的施工性能，并取得国家相关资质证明，不得带病作业，不得以次充好，防止出现二次伤害；</w:t>
      </w:r>
    </w:p>
    <w:p w14:paraId="495EFB23">
      <w:pPr>
        <w:pStyle w:val="78"/>
        <w:numPr>
          <w:ilvl w:val="1"/>
          <w:numId w:val="39"/>
        </w:numPr>
        <w:ind w:firstLineChars="0"/>
      </w:pPr>
      <w:r>
        <w:rPr>
          <w:rFonts w:hint="eastAsia"/>
        </w:rPr>
        <w:t>安全设施设备必须要有明确的标示，具有专业的操作人员和指挥人员，做到特种作业人员持证上岗；</w:t>
      </w:r>
    </w:p>
    <w:p w14:paraId="5323EFB3">
      <w:pPr>
        <w:pStyle w:val="78"/>
        <w:numPr>
          <w:ilvl w:val="1"/>
          <w:numId w:val="39"/>
        </w:numPr>
        <w:ind w:firstLineChars="0"/>
      </w:pPr>
      <w:r>
        <w:rPr>
          <w:rFonts w:hint="eastAsia"/>
        </w:rPr>
        <w:t>各项设施设备的投入必须满足现场施工需求和应急要求；</w:t>
      </w:r>
    </w:p>
    <w:p w14:paraId="02B43291">
      <w:pPr>
        <w:pStyle w:val="78"/>
        <w:numPr>
          <w:ilvl w:val="1"/>
          <w:numId w:val="39"/>
        </w:numPr>
        <w:ind w:firstLineChars="0"/>
      </w:pPr>
      <w:r>
        <w:rPr>
          <w:rFonts w:hint="eastAsia"/>
        </w:rPr>
        <w:t>项目部物资设备部必须定期对安全设施设备进行安全检查，确保投入的安全设施设备的安全可靠性；</w:t>
      </w:r>
    </w:p>
    <w:p w14:paraId="1AB0142B">
      <w:pPr>
        <w:pStyle w:val="78"/>
        <w:numPr>
          <w:ilvl w:val="1"/>
          <w:numId w:val="39"/>
        </w:numPr>
        <w:ind w:firstLineChars="0"/>
      </w:pPr>
      <w:r>
        <w:rPr>
          <w:rFonts w:hint="eastAsia"/>
        </w:rPr>
        <w:t>施工现场需在具有安全风险隐患的区域设置明显安全警示牌和标识；</w:t>
      </w:r>
    </w:p>
    <w:p w14:paraId="4098CAC9">
      <w:pPr>
        <w:pStyle w:val="78"/>
        <w:numPr>
          <w:ilvl w:val="1"/>
          <w:numId w:val="39"/>
        </w:numPr>
        <w:ind w:firstLineChars="0"/>
      </w:pPr>
      <w:r>
        <w:rPr>
          <w:rFonts w:hint="eastAsia"/>
        </w:rPr>
        <w:t>所有进入现场的施工作业人员必须配置充足的劳保用品，劳保用品必须选择具备资质厂家的产品，且产品应附有合格证、检验证书及有关文件；</w:t>
      </w:r>
    </w:p>
    <w:p w14:paraId="71FFE1DD">
      <w:pPr>
        <w:pStyle w:val="78"/>
        <w:numPr>
          <w:ilvl w:val="1"/>
          <w:numId w:val="39"/>
        </w:numPr>
        <w:ind w:firstLineChars="0"/>
      </w:pPr>
      <w:r>
        <w:rPr>
          <w:rFonts w:hint="eastAsia"/>
        </w:rPr>
        <w:t>劳保用品破损和已丧失其使用功能的应坚决更换或不许使用。</w:t>
      </w:r>
    </w:p>
    <w:bookmarkEnd w:id="134"/>
    <w:bookmarkEnd w:id="135"/>
    <w:p w14:paraId="4030DFDF">
      <w:pPr>
        <w:pStyle w:val="3"/>
        <w:rPr>
          <w:shd w:val="clear" w:color="auto" w:fill="FFFFFF" w:themeFill="background1"/>
        </w:rPr>
      </w:pPr>
      <w:bookmarkStart w:id="138" w:name="_Toc131174056"/>
      <w:bookmarkStart w:id="139" w:name="_Toc24084"/>
      <w:bookmarkStart w:id="140" w:name="_Toc14971"/>
      <w:bookmarkStart w:id="141" w:name="_Toc5668"/>
      <w:bookmarkStart w:id="142" w:name="_Toc40778445"/>
      <w:bookmarkStart w:id="143" w:name="_Toc6917"/>
      <w:bookmarkStart w:id="144" w:name="_Toc17347"/>
      <w:bookmarkStart w:id="145" w:name="_Toc11379"/>
      <w:r>
        <w:rPr>
          <w:rFonts w:hint="eastAsia"/>
          <w:shd w:val="clear" w:color="auto" w:fill="FFFFFF" w:themeFill="background1"/>
        </w:rPr>
        <w:t>施工安全技术控制措施</w:t>
      </w:r>
      <w:bookmarkEnd w:id="138"/>
      <w:bookmarkEnd w:id="139"/>
    </w:p>
    <w:p w14:paraId="756B7EBE">
      <w:pPr>
        <w:pStyle w:val="4"/>
        <w:numPr>
          <w:ilvl w:val="2"/>
          <w:numId w:val="1"/>
        </w:numPr>
        <w:bidi w:val="0"/>
      </w:pPr>
      <w:r>
        <w:rPr>
          <w:rFonts w:hint="eastAsia"/>
        </w:rPr>
        <w:t>塔式起重机安拆安全技术措施</w:t>
      </w:r>
    </w:p>
    <w:p w14:paraId="57450863">
      <w:pPr>
        <w:numPr>
          <w:ilvl w:val="0"/>
          <w:numId w:val="40"/>
        </w:numPr>
        <w:ind w:firstLineChars="0"/>
      </w:pPr>
      <w:r>
        <w:rPr>
          <w:rFonts w:hint="eastAsia"/>
        </w:rPr>
        <w:t>安装前应根据专项施工方案，对塔式起重机基础的下列项目进行检查。确认合格后方可实施：</w:t>
      </w:r>
    </w:p>
    <w:p w14:paraId="5C7E9557">
      <w:pPr>
        <w:numPr>
          <w:ilvl w:val="0"/>
          <w:numId w:val="41"/>
        </w:numPr>
        <w:ind w:firstLineChars="0"/>
      </w:pPr>
      <w:r>
        <w:rPr>
          <w:rFonts w:hint="eastAsia"/>
        </w:rPr>
        <w:t>基础的位置、高程、尺寸；</w:t>
      </w:r>
    </w:p>
    <w:p w14:paraId="026A7F76">
      <w:pPr>
        <w:numPr>
          <w:ilvl w:val="0"/>
          <w:numId w:val="41"/>
        </w:numPr>
        <w:ind w:firstLineChars="0"/>
      </w:pPr>
      <w:r>
        <w:rPr>
          <w:rFonts w:hint="eastAsia"/>
        </w:rPr>
        <w:t>安装辅助设备的基础、地基承载力、预埋件等；</w:t>
      </w:r>
    </w:p>
    <w:p w14:paraId="5621B97E">
      <w:pPr>
        <w:numPr>
          <w:ilvl w:val="0"/>
          <w:numId w:val="41"/>
        </w:numPr>
        <w:ind w:firstLineChars="0"/>
      </w:pPr>
      <w:r>
        <w:rPr>
          <w:rFonts w:hint="eastAsia"/>
        </w:rPr>
        <w:t>基础的排水措施。</w:t>
      </w:r>
    </w:p>
    <w:p w14:paraId="12ADE24D">
      <w:pPr>
        <w:numPr>
          <w:ilvl w:val="0"/>
          <w:numId w:val="40"/>
        </w:numPr>
        <w:ind w:firstLineChars="0"/>
      </w:pPr>
      <w:r>
        <w:rPr>
          <w:rFonts w:hint="eastAsia"/>
        </w:rPr>
        <w:t>安装或拆除作业应根据专项施工方案要求实施。安装或拆除作业人员应分工明确、职责清楚、安装前应对安装或拆除作业人员进行安全技术交底；</w:t>
      </w:r>
    </w:p>
    <w:p w14:paraId="089E1F9D">
      <w:pPr>
        <w:numPr>
          <w:ilvl w:val="0"/>
          <w:numId w:val="40"/>
        </w:numPr>
        <w:ind w:firstLineChars="0"/>
      </w:pPr>
      <w:r>
        <w:rPr>
          <w:rFonts w:hint="eastAsia"/>
        </w:rPr>
        <w:t>安装或拆除辅助设备就位后，应对其机械和安全性能进行检验，合格后方可作业；</w:t>
      </w:r>
    </w:p>
    <w:p w14:paraId="5C2A5D7B">
      <w:pPr>
        <w:numPr>
          <w:ilvl w:val="0"/>
          <w:numId w:val="40"/>
        </w:numPr>
        <w:ind w:firstLineChars="0"/>
      </w:pPr>
      <w:r>
        <w:rPr>
          <w:rFonts w:hint="eastAsia"/>
        </w:rPr>
        <w:t>安装或拆除作业中应统一指挥，明确指挥信号。当视线受阻，距离过远时应采用对讲机或多级指挥；</w:t>
      </w:r>
    </w:p>
    <w:p w14:paraId="6B576185">
      <w:pPr>
        <w:numPr>
          <w:ilvl w:val="0"/>
          <w:numId w:val="40"/>
        </w:numPr>
        <w:ind w:firstLineChars="0"/>
      </w:pPr>
      <w:r>
        <w:rPr>
          <w:rFonts w:hint="eastAsia"/>
        </w:rPr>
        <w:t>塔式起重机的独立高度、悬臂高度应符合使用说明书的要求；</w:t>
      </w:r>
    </w:p>
    <w:p w14:paraId="2C1F9647">
      <w:pPr>
        <w:numPr>
          <w:ilvl w:val="0"/>
          <w:numId w:val="40"/>
        </w:numPr>
        <w:ind w:firstLineChars="0"/>
      </w:pPr>
      <w:r>
        <w:rPr>
          <w:rFonts w:hint="eastAsia"/>
        </w:rPr>
        <w:t>雨雪、浓雾天气严禁进行安装作业。安装或拆除时塔式起重机最大高度处的风速应符合使用说明书的要求，且风速不得超过12m/s；</w:t>
      </w:r>
    </w:p>
    <w:p w14:paraId="61E25C6F">
      <w:pPr>
        <w:numPr>
          <w:ilvl w:val="0"/>
          <w:numId w:val="40"/>
        </w:numPr>
        <w:ind w:firstLineChars="0"/>
      </w:pPr>
      <w:r>
        <w:rPr>
          <w:rFonts w:hint="eastAsia"/>
        </w:rPr>
        <w:t>塔式起重机不宜在夜间进行安装作业；当需在夜间进行塔式起重机安装和拆卸作业时，应保证提供足够的照明；</w:t>
      </w:r>
    </w:p>
    <w:p w14:paraId="0B63BA2B">
      <w:pPr>
        <w:numPr>
          <w:ilvl w:val="0"/>
          <w:numId w:val="40"/>
        </w:numPr>
        <w:ind w:firstLineChars="0"/>
      </w:pPr>
      <w:r>
        <w:rPr>
          <w:rFonts w:hint="eastAsia"/>
        </w:rPr>
        <w:t>当遇特殊情况安装作业不能连续进行时，必须将已安装的部位固定牢靠并达到安全状态，经检查确认无隐患后，方可停止作业；</w:t>
      </w:r>
    </w:p>
    <w:p w14:paraId="51B935F3">
      <w:pPr>
        <w:numPr>
          <w:ilvl w:val="0"/>
          <w:numId w:val="40"/>
        </w:numPr>
        <w:ind w:firstLineChars="0"/>
      </w:pPr>
      <w:r>
        <w:rPr>
          <w:rFonts w:hint="eastAsia"/>
        </w:rPr>
        <w:t>塔式起重机的安全装置必须齐全，并应按程序进行调试合格；</w:t>
      </w:r>
    </w:p>
    <w:p w14:paraId="37787BAE">
      <w:pPr>
        <w:numPr>
          <w:ilvl w:val="0"/>
          <w:numId w:val="40"/>
        </w:numPr>
        <w:ind w:firstLineChars="0"/>
      </w:pPr>
      <w:r>
        <w:rPr>
          <w:rFonts w:hint="eastAsia"/>
        </w:rPr>
        <w:t>连接件及其防松防脱件严禁用其他代用品代用。连接件及其防松防脱件应使用力矩扳手或专用工具紧固连接螺栓；</w:t>
      </w:r>
    </w:p>
    <w:p w14:paraId="4A48393E">
      <w:pPr>
        <w:numPr>
          <w:ilvl w:val="0"/>
          <w:numId w:val="40"/>
        </w:numPr>
        <w:ind w:firstLineChars="0"/>
      </w:pPr>
      <w:r>
        <w:rPr>
          <w:rFonts w:hint="eastAsia"/>
        </w:rPr>
        <w:t>安装单位自检合格后，应委托有相应资质的检验检测机构进行检测，检验检测机构应出具检测报告书；</w:t>
      </w:r>
    </w:p>
    <w:p w14:paraId="2DDBD396">
      <w:pPr>
        <w:numPr>
          <w:ilvl w:val="0"/>
          <w:numId w:val="40"/>
        </w:numPr>
        <w:ind w:firstLineChars="0"/>
      </w:pPr>
      <w:r>
        <w:rPr>
          <w:rFonts w:hint="eastAsia"/>
        </w:rPr>
        <w:t>安装质量的自检报告书和检测报告书应存入设备档案。</w:t>
      </w:r>
    </w:p>
    <w:p w14:paraId="4D17EE37">
      <w:pPr>
        <w:pStyle w:val="4"/>
        <w:numPr>
          <w:ilvl w:val="2"/>
          <w:numId w:val="1"/>
        </w:numPr>
        <w:bidi w:val="0"/>
      </w:pPr>
      <w:r>
        <w:rPr>
          <w:rFonts w:hint="eastAsia"/>
        </w:rPr>
        <w:t>试验安全技术措施</w:t>
      </w:r>
    </w:p>
    <w:p w14:paraId="01BFC4DC">
      <w:pPr>
        <w:numPr>
          <w:ilvl w:val="0"/>
          <w:numId w:val="40"/>
        </w:numPr>
        <w:ind w:firstLineChars="0"/>
      </w:pPr>
      <w:r>
        <w:rPr>
          <w:rFonts w:hint="eastAsia"/>
        </w:rPr>
        <w:t>试运行要求风速在规定的范围内，6级以上大风禁止起重吊装；</w:t>
      </w:r>
    </w:p>
    <w:p w14:paraId="49FAB601">
      <w:pPr>
        <w:numPr>
          <w:ilvl w:val="0"/>
          <w:numId w:val="40"/>
        </w:numPr>
        <w:ind w:firstLineChars="0"/>
      </w:pPr>
      <w:r>
        <w:rPr>
          <w:rFonts w:hint="eastAsia"/>
        </w:rPr>
        <w:t>设备试运行前，对电气设备的连接做全面检查，检查合格后方可进行试运行；</w:t>
      </w:r>
    </w:p>
    <w:p w14:paraId="5CFE2ED6">
      <w:pPr>
        <w:numPr>
          <w:ilvl w:val="0"/>
          <w:numId w:val="40"/>
        </w:numPr>
        <w:ind w:firstLineChars="0"/>
      </w:pPr>
      <w:r>
        <w:rPr>
          <w:rFonts w:hint="eastAsia"/>
        </w:rPr>
        <w:t>设备试运行前，进行一般技术检查如检查调试好各部位限位器等；</w:t>
      </w:r>
    </w:p>
    <w:p w14:paraId="76136915">
      <w:pPr>
        <w:numPr>
          <w:ilvl w:val="0"/>
          <w:numId w:val="40"/>
        </w:numPr>
        <w:ind w:firstLineChars="0"/>
      </w:pPr>
      <w:r>
        <w:rPr>
          <w:rFonts w:hint="eastAsia"/>
        </w:rPr>
        <w:t>设备试运行需依次进行空负荷试验→静负荷试验→动负荷试验，并逐级进行加载；</w:t>
      </w:r>
    </w:p>
    <w:p w14:paraId="17B4286C">
      <w:pPr>
        <w:numPr>
          <w:ilvl w:val="0"/>
          <w:numId w:val="40"/>
        </w:numPr>
        <w:ind w:firstLineChars="0"/>
      </w:pPr>
      <w:r>
        <w:rPr>
          <w:rFonts w:hint="eastAsia"/>
        </w:rPr>
        <w:t>试运行期间形成试运行验收记录。</w:t>
      </w:r>
    </w:p>
    <w:p w14:paraId="35B1669B">
      <w:pPr>
        <w:pStyle w:val="4"/>
        <w:numPr>
          <w:ilvl w:val="2"/>
          <w:numId w:val="1"/>
        </w:numPr>
        <w:bidi w:val="0"/>
      </w:pPr>
      <w:r>
        <w:rPr>
          <w:rFonts w:hint="eastAsia"/>
        </w:rPr>
        <w:t>起重作业安全技术措施</w:t>
      </w:r>
    </w:p>
    <w:p w14:paraId="3CBD6039">
      <w:pPr>
        <w:numPr>
          <w:ilvl w:val="0"/>
          <w:numId w:val="42"/>
        </w:numPr>
        <w:ind w:firstLineChars="0"/>
      </w:pPr>
      <w:r>
        <w:rPr>
          <w:rFonts w:hint="eastAsia"/>
        </w:rPr>
        <w:t>作业人员的安全规章制度的学习，提高安全防范意识；</w:t>
      </w:r>
    </w:p>
    <w:p w14:paraId="7332048C">
      <w:pPr>
        <w:numPr>
          <w:ilvl w:val="0"/>
          <w:numId w:val="42"/>
        </w:numPr>
        <w:ind w:firstLineChars="0"/>
      </w:pPr>
      <w:r>
        <w:rPr>
          <w:rFonts w:hint="eastAsia"/>
        </w:rPr>
        <w:t>严禁酒后作业，严格遵守项目部相关规定安全施工；</w:t>
      </w:r>
    </w:p>
    <w:p w14:paraId="168BB63F">
      <w:pPr>
        <w:numPr>
          <w:ilvl w:val="0"/>
          <w:numId w:val="42"/>
        </w:numPr>
        <w:ind w:firstLineChars="0"/>
      </w:pPr>
      <w:r>
        <w:rPr>
          <w:rFonts w:hint="eastAsia"/>
        </w:rPr>
        <w:t>吊装作业人员统一配戴我项目部的安全帽，进入施工现场遵守我公司的规定；</w:t>
      </w:r>
    </w:p>
    <w:p w14:paraId="60DC0B5B">
      <w:pPr>
        <w:numPr>
          <w:ilvl w:val="0"/>
          <w:numId w:val="42"/>
        </w:numPr>
        <w:ind w:firstLineChars="0"/>
      </w:pPr>
      <w:r>
        <w:rPr>
          <w:rFonts w:hint="eastAsia"/>
        </w:rPr>
        <w:t>作业时必须执行安全技术交底，听从统一指挥；</w:t>
      </w:r>
    </w:p>
    <w:p w14:paraId="3AE45313">
      <w:pPr>
        <w:numPr>
          <w:ilvl w:val="0"/>
          <w:numId w:val="42"/>
        </w:numPr>
        <w:ind w:firstLineChars="0"/>
      </w:pPr>
      <w:r>
        <w:rPr>
          <w:rFonts w:hint="eastAsia"/>
        </w:rPr>
        <w:t>起重工、信号工必须经专门安全技术培训，持证上岗；</w:t>
      </w:r>
    </w:p>
    <w:p w14:paraId="0D4981B0">
      <w:pPr>
        <w:numPr>
          <w:ilvl w:val="0"/>
          <w:numId w:val="42"/>
        </w:numPr>
        <w:ind w:firstLineChars="0"/>
      </w:pPr>
      <w:r>
        <w:rPr>
          <w:rFonts w:hint="eastAsia"/>
        </w:rPr>
        <w:t>信号工要穿有明显标识的衣服，两眼视力不得低于1.0，无色盲、听力障碍、高血压、心脏病等生理缺陷；</w:t>
      </w:r>
    </w:p>
    <w:p w14:paraId="5C48DFF3">
      <w:pPr>
        <w:numPr>
          <w:ilvl w:val="0"/>
          <w:numId w:val="42"/>
        </w:numPr>
        <w:ind w:firstLineChars="0"/>
      </w:pPr>
      <w:r>
        <w:rPr>
          <w:rFonts w:hint="eastAsia"/>
        </w:rPr>
        <w:t>信号工高空指挥时，需戴安全带，脚穿防滑鞋；</w:t>
      </w:r>
    </w:p>
    <w:p w14:paraId="46D19105">
      <w:pPr>
        <w:numPr>
          <w:ilvl w:val="0"/>
          <w:numId w:val="42"/>
        </w:numPr>
        <w:ind w:firstLineChars="0"/>
      </w:pPr>
      <w:r>
        <w:rPr>
          <w:rFonts w:hint="eastAsia"/>
        </w:rPr>
        <w:t>吊车尾部为司机盲区，工作人员注意吊车尾部的旋转动态；</w:t>
      </w:r>
    </w:p>
    <w:p w14:paraId="4661F545">
      <w:pPr>
        <w:numPr>
          <w:ilvl w:val="0"/>
          <w:numId w:val="42"/>
        </w:numPr>
        <w:ind w:firstLineChars="0"/>
      </w:pPr>
      <w:r>
        <w:rPr>
          <w:rFonts w:hint="eastAsia"/>
        </w:rPr>
        <w:t>起重大件时，严禁任何人员乘坐大件；</w:t>
      </w:r>
    </w:p>
    <w:p w14:paraId="04C072B0">
      <w:pPr>
        <w:numPr>
          <w:ilvl w:val="0"/>
          <w:numId w:val="42"/>
        </w:numPr>
        <w:ind w:firstLineChars="0"/>
      </w:pPr>
      <w:r>
        <w:rPr>
          <w:rFonts w:hint="eastAsia"/>
        </w:rPr>
        <w:t>司机作业时，严禁收听任何有声电器及电话（除指挥使用对讲机除外），严禁和其他人员交谈；</w:t>
      </w:r>
    </w:p>
    <w:p w14:paraId="55E6ABDB">
      <w:pPr>
        <w:numPr>
          <w:ilvl w:val="0"/>
          <w:numId w:val="42"/>
        </w:numPr>
        <w:ind w:firstLineChars="0"/>
      </w:pPr>
      <w:r>
        <w:rPr>
          <w:rFonts w:hint="eastAsia"/>
        </w:rPr>
        <w:t>司机和信号工必须使用对讲机进行指令的接受和发出，确保对讲机的音质清晰，调频无干扰；</w:t>
      </w:r>
    </w:p>
    <w:p w14:paraId="416410D2">
      <w:pPr>
        <w:numPr>
          <w:ilvl w:val="0"/>
          <w:numId w:val="42"/>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7900BC9A">
      <w:pPr>
        <w:numPr>
          <w:ilvl w:val="0"/>
          <w:numId w:val="42"/>
        </w:numPr>
        <w:ind w:firstLineChars="0"/>
      </w:pPr>
      <w:r>
        <w:rPr>
          <w:rFonts w:hint="eastAsia"/>
        </w:rPr>
        <w:t>起重作业时，必须正确选择吊点的位置，合理穿挂索具，试吊；</w:t>
      </w:r>
    </w:p>
    <w:p w14:paraId="06CA094A">
      <w:pPr>
        <w:numPr>
          <w:ilvl w:val="0"/>
          <w:numId w:val="42"/>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510CD4F">
      <w:pPr>
        <w:numPr>
          <w:ilvl w:val="0"/>
          <w:numId w:val="42"/>
        </w:numPr>
        <w:ind w:firstLineChars="0"/>
      </w:pPr>
      <w:r>
        <w:rPr>
          <w:rFonts w:hint="eastAsia"/>
        </w:rPr>
        <w:t>大雨、风力在6级以上等恶劣天气，必须停止露天起重吊装作业。严禁在带电的高压线或一侧作业；</w:t>
      </w:r>
    </w:p>
    <w:p w14:paraId="5DABDD20">
      <w:pPr>
        <w:numPr>
          <w:ilvl w:val="0"/>
          <w:numId w:val="42"/>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5D1626EB">
      <w:pPr>
        <w:numPr>
          <w:ilvl w:val="0"/>
          <w:numId w:val="42"/>
        </w:numPr>
        <w:ind w:firstLineChars="0"/>
      </w:pPr>
      <w:r>
        <w:rPr>
          <w:rFonts w:hint="eastAsia"/>
        </w:rPr>
        <w:t>使用起重作业时，必须正确选择吊点的位置，合理穿挂索具，试吊；</w:t>
      </w:r>
    </w:p>
    <w:p w14:paraId="7106DDE2">
      <w:pPr>
        <w:numPr>
          <w:ilvl w:val="0"/>
          <w:numId w:val="42"/>
        </w:numPr>
        <w:ind w:firstLineChars="0"/>
      </w:pPr>
      <w:r>
        <w:rPr>
          <w:rFonts w:hint="eastAsia"/>
        </w:rPr>
        <w:t>机械设备要摆放整齐，用倒链拴牢固。放在高处的货物要有防护措施。</w:t>
      </w:r>
    </w:p>
    <w:p w14:paraId="14AC5D3B">
      <w:pPr>
        <w:numPr>
          <w:ilvl w:val="0"/>
          <w:numId w:val="42"/>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03D9CE35">
      <w:pPr>
        <w:pStyle w:val="4"/>
        <w:numPr>
          <w:ilvl w:val="2"/>
          <w:numId w:val="1"/>
        </w:numPr>
        <w:bidi w:val="0"/>
      </w:pPr>
      <w:r>
        <w:rPr>
          <w:rFonts w:hint="eastAsia"/>
        </w:rPr>
        <w:t>高处作业安全技术措施</w:t>
      </w:r>
    </w:p>
    <w:p w14:paraId="2FA7696F">
      <w:pPr>
        <w:numPr>
          <w:ilvl w:val="0"/>
          <w:numId w:val="43"/>
        </w:numPr>
      </w:pPr>
      <w:r>
        <w:rPr>
          <w:rFonts w:hint="eastAsia"/>
        </w:rPr>
        <w:t>高空作业人员必须正确佩带安全帽，必须系好安全带，并挂在牢固处（高挂低用）；</w:t>
      </w:r>
    </w:p>
    <w:p w14:paraId="7D933480">
      <w:pPr>
        <w:numPr>
          <w:ilvl w:val="0"/>
          <w:numId w:val="43"/>
        </w:numPr>
      </w:pPr>
      <w:r>
        <w:rPr>
          <w:rFonts w:hint="eastAsia"/>
        </w:rPr>
        <w:t>高处作业使用的吊架、平台、脚手板、梯子、护栏、索具（钢丝绳、麻绳、化学纤维绳）等料具和安全带、安全网等安全防护用品的质量都必须符合国家规范的要求；</w:t>
      </w:r>
    </w:p>
    <w:p w14:paraId="7191D85C">
      <w:pPr>
        <w:numPr>
          <w:ilvl w:val="0"/>
          <w:numId w:val="43"/>
        </w:numPr>
      </w:pPr>
      <w:r>
        <w:rPr>
          <w:rFonts w:hint="eastAsia"/>
        </w:rPr>
        <w:t>高处施工作业前，应进行针对性的书面安全交底，要被交底人的签字，同时必须落实所有的安全技术措施和个人防护用品，未经落实时不得进行施工作业；</w:t>
      </w:r>
    </w:p>
    <w:p w14:paraId="3C1411F5">
      <w:pPr>
        <w:numPr>
          <w:ilvl w:val="0"/>
          <w:numId w:val="43"/>
        </w:numPr>
      </w:pPr>
      <w:r>
        <w:rPr>
          <w:rFonts w:hint="eastAsia"/>
        </w:rPr>
        <w:t>从事高处作业的人员，必须定期体检。凡患有高血压、心脏病、贫血、癫痫症、严重近视及患有其他不适应高处作业病症的人员，均不得登高作业；</w:t>
      </w:r>
    </w:p>
    <w:p w14:paraId="0D5E53CB">
      <w:pPr>
        <w:numPr>
          <w:ilvl w:val="0"/>
          <w:numId w:val="43"/>
        </w:numPr>
      </w:pPr>
      <w:r>
        <w:rPr>
          <w:rFonts w:hint="eastAsia"/>
        </w:rPr>
        <w:t>攀登和悬空高处作业人员以及搭设高处作业安全设施的人员，必须经过专业技术培训及专业考试合格，持证上岗；</w:t>
      </w:r>
    </w:p>
    <w:p w14:paraId="059B3A71">
      <w:pPr>
        <w:numPr>
          <w:ilvl w:val="0"/>
          <w:numId w:val="43"/>
        </w:numPr>
      </w:pPr>
      <w:r>
        <w:rPr>
          <w:rFonts w:hint="eastAsia"/>
        </w:rPr>
        <w:t>施工中，对高处作业的安全技术设施，使用中发生损坏，必须及时解决，危及人身安全的，必须立即停止作业，排除险情或隐患后，方准作业；</w:t>
      </w:r>
    </w:p>
    <w:p w14:paraId="4167ACD6">
      <w:pPr>
        <w:numPr>
          <w:ilvl w:val="0"/>
          <w:numId w:val="43"/>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176E766">
      <w:pPr>
        <w:numPr>
          <w:ilvl w:val="0"/>
          <w:numId w:val="43"/>
        </w:numPr>
      </w:pPr>
      <w:r>
        <w:rPr>
          <w:rFonts w:hint="eastAsia"/>
        </w:rPr>
        <w:t>高处作业无法搭设严密的防护设施的，必须使用安全带。安全带必须系挂在施工作业上方牢固的物体上，并高挂低用，禁止低挂高用；</w:t>
      </w:r>
    </w:p>
    <w:p w14:paraId="4AD6F31E">
      <w:pPr>
        <w:numPr>
          <w:ilvl w:val="0"/>
          <w:numId w:val="43"/>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110D21CB">
      <w:pPr>
        <w:numPr>
          <w:ilvl w:val="0"/>
          <w:numId w:val="43"/>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65CEAF1B">
      <w:pPr>
        <w:numPr>
          <w:ilvl w:val="0"/>
          <w:numId w:val="43"/>
        </w:numPr>
      </w:pPr>
      <w:r>
        <w:rPr>
          <w:rFonts w:hint="eastAsia"/>
        </w:rPr>
        <w:t>因作业需要，临时拆除或变动安全防护设施的，必须经施工负责人同意，并采取相应的可靠措施，作业后立即恢复；</w:t>
      </w:r>
    </w:p>
    <w:p w14:paraId="49EB86BF">
      <w:pPr>
        <w:numPr>
          <w:ilvl w:val="0"/>
          <w:numId w:val="43"/>
        </w:numPr>
      </w:pPr>
      <w:r>
        <w:rPr>
          <w:rFonts w:hint="eastAsia"/>
        </w:rPr>
        <w:t>高处作业人员应沿着斜道、梯子上下，严禁沿着绳索、立杆、井架或栏杆等攀登；</w:t>
      </w:r>
    </w:p>
    <w:p w14:paraId="1C5C62DA">
      <w:pPr>
        <w:numPr>
          <w:ilvl w:val="0"/>
          <w:numId w:val="43"/>
        </w:numPr>
      </w:pPr>
      <w:r>
        <w:rPr>
          <w:rFonts w:hint="eastAsia"/>
        </w:rPr>
        <w:t>人字梯的使用：</w:t>
      </w:r>
    </w:p>
    <w:p w14:paraId="274E6F9B">
      <w:pPr>
        <w:numPr>
          <w:ilvl w:val="0"/>
          <w:numId w:val="44"/>
        </w:numPr>
      </w:pPr>
      <w:r>
        <w:rPr>
          <w:rFonts w:hint="eastAsia"/>
        </w:rPr>
        <w:t>使用前检查该梯子是否安全，即检查梯子的铆钉是否松动，焊接是否开裂；</w:t>
      </w:r>
    </w:p>
    <w:p w14:paraId="1DE91D01">
      <w:pPr>
        <w:numPr>
          <w:ilvl w:val="0"/>
          <w:numId w:val="44"/>
        </w:numPr>
      </w:pPr>
      <w:r>
        <w:rPr>
          <w:rFonts w:hint="eastAsia"/>
        </w:rPr>
        <w:t>用结实的绳索将两边拉住、拴紧、绷直；</w:t>
      </w:r>
    </w:p>
    <w:p w14:paraId="425D19F3">
      <w:pPr>
        <w:numPr>
          <w:ilvl w:val="0"/>
          <w:numId w:val="44"/>
        </w:numPr>
      </w:pPr>
      <w:r>
        <w:rPr>
          <w:rFonts w:hint="eastAsia"/>
        </w:rPr>
        <w:t>梯子须安放稳固，使用材料需经人传递或用小桶吊放，严禁上下抛物；</w:t>
      </w:r>
    </w:p>
    <w:p w14:paraId="3AC0D2B5">
      <w:pPr>
        <w:numPr>
          <w:ilvl w:val="0"/>
          <w:numId w:val="44"/>
        </w:numPr>
      </w:pPr>
      <w:r>
        <w:rPr>
          <w:rFonts w:hint="eastAsia"/>
        </w:rPr>
        <w:t>使用梯子时至少两人一组，有专人扶梯；</w:t>
      </w:r>
    </w:p>
    <w:p w14:paraId="5E8C20A2">
      <w:pPr>
        <w:numPr>
          <w:ilvl w:val="0"/>
          <w:numId w:val="44"/>
        </w:numPr>
      </w:pPr>
      <w:r>
        <w:rPr>
          <w:rFonts w:hint="eastAsia"/>
        </w:rPr>
        <w:t>严禁使用梯子最上面两格；</w:t>
      </w:r>
    </w:p>
    <w:p w14:paraId="3DF07A26">
      <w:pPr>
        <w:numPr>
          <w:ilvl w:val="0"/>
          <w:numId w:val="44"/>
        </w:numPr>
      </w:pPr>
      <w:r>
        <w:rPr>
          <w:rFonts w:hint="eastAsia"/>
        </w:rPr>
        <w:t>严禁背对梯子作业；</w:t>
      </w:r>
    </w:p>
    <w:p w14:paraId="67F967CF">
      <w:pPr>
        <w:numPr>
          <w:ilvl w:val="0"/>
          <w:numId w:val="44"/>
        </w:numPr>
      </w:pPr>
      <w:r>
        <w:rPr>
          <w:rFonts w:hint="eastAsia"/>
        </w:rPr>
        <w:t>超过2m以上的作业，且安全带无挂点时，除扶梯人外，须再设置一名监护人；</w:t>
      </w:r>
    </w:p>
    <w:p w14:paraId="785A6C6C">
      <w:pPr>
        <w:numPr>
          <w:ilvl w:val="0"/>
          <w:numId w:val="44"/>
        </w:numPr>
      </w:pPr>
      <w:r>
        <w:rPr>
          <w:rFonts w:hint="eastAsia"/>
        </w:rPr>
        <w:t>严禁交叉作业；</w:t>
      </w:r>
    </w:p>
    <w:p w14:paraId="6B200891">
      <w:pPr>
        <w:numPr>
          <w:ilvl w:val="0"/>
          <w:numId w:val="44"/>
        </w:numPr>
      </w:pPr>
      <w:r>
        <w:rPr>
          <w:rFonts w:hint="eastAsia"/>
        </w:rPr>
        <w:t>作业区域应用警示带围好、设置监护人，严禁非作业人员入内；</w:t>
      </w:r>
    </w:p>
    <w:p w14:paraId="2401D2FA">
      <w:pPr>
        <w:numPr>
          <w:ilvl w:val="0"/>
          <w:numId w:val="43"/>
        </w:numPr>
      </w:pPr>
      <w:r>
        <w:rPr>
          <w:rFonts w:hint="eastAsia"/>
        </w:rPr>
        <w:t>高温季节必须按照防暑降温的要求合理安排工作时间，配备充足的饮用水，采取必要的防暑降温措施；</w:t>
      </w:r>
    </w:p>
    <w:p w14:paraId="07298E06">
      <w:pPr>
        <w:numPr>
          <w:ilvl w:val="0"/>
          <w:numId w:val="43"/>
        </w:numPr>
      </w:pPr>
      <w:r>
        <w:rPr>
          <w:rFonts w:hint="eastAsia"/>
        </w:rPr>
        <w:t>临近傍晚及气候突变等照明不良的情况下，必须确保人员和各类构件的安全。</w:t>
      </w:r>
    </w:p>
    <w:p w14:paraId="022AB307">
      <w:pPr>
        <w:pStyle w:val="4"/>
        <w:numPr>
          <w:ilvl w:val="2"/>
          <w:numId w:val="1"/>
        </w:numPr>
        <w:bidi w:val="0"/>
      </w:pPr>
      <w:r>
        <w:rPr>
          <w:rFonts w:hint="eastAsia"/>
        </w:rPr>
        <w:t>焊接与切割安全技术措施</w:t>
      </w:r>
    </w:p>
    <w:p w14:paraId="59BC562B">
      <w:pPr>
        <w:numPr>
          <w:ilvl w:val="0"/>
          <w:numId w:val="45"/>
        </w:numPr>
        <w:ind w:firstLineChars="0"/>
      </w:pPr>
      <w:r>
        <w:rPr>
          <w:rFonts w:hint="eastAsia"/>
        </w:rPr>
        <w:t>电源端接线必须由专业电工进行，焊机或供电线路出现故障，焊工要及时联系动力电工进行处理；</w:t>
      </w:r>
    </w:p>
    <w:p w14:paraId="76C15721">
      <w:pPr>
        <w:numPr>
          <w:ilvl w:val="0"/>
          <w:numId w:val="45"/>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6BEC6885">
      <w:pPr>
        <w:numPr>
          <w:ilvl w:val="0"/>
          <w:numId w:val="45"/>
        </w:numPr>
        <w:ind w:firstLineChars="0"/>
      </w:pPr>
      <w:r>
        <w:rPr>
          <w:rFonts w:hint="eastAsia"/>
        </w:rPr>
        <w:t>检查作场所周围是否有易燃物，如有，应清除或采取可靠的隔离、防护措施，并设专人监护；</w:t>
      </w:r>
    </w:p>
    <w:p w14:paraId="79568231">
      <w:pPr>
        <w:numPr>
          <w:ilvl w:val="0"/>
          <w:numId w:val="45"/>
        </w:numPr>
        <w:ind w:firstLineChars="0"/>
      </w:pPr>
      <w:r>
        <w:rPr>
          <w:rFonts w:hint="eastAsia"/>
        </w:rPr>
        <w:t>不宜在雨、雪及大风天气进行露天焊接作业。如确实需要时，应采取遮蔽雨雪、防止触电和火花飞溅等措施；</w:t>
      </w:r>
    </w:p>
    <w:p w14:paraId="44FF3494">
      <w:pPr>
        <w:numPr>
          <w:ilvl w:val="0"/>
          <w:numId w:val="45"/>
        </w:numPr>
        <w:ind w:firstLineChars="0"/>
      </w:pPr>
      <w:r>
        <w:rPr>
          <w:rFonts w:hint="eastAsia"/>
        </w:rPr>
        <w:t>焊接时，焊工不要接触焊接物件或其它导电物件；</w:t>
      </w:r>
    </w:p>
    <w:p w14:paraId="1C841D34">
      <w:pPr>
        <w:numPr>
          <w:ilvl w:val="0"/>
          <w:numId w:val="45"/>
        </w:numPr>
        <w:ind w:firstLineChars="0"/>
      </w:pPr>
      <w:r>
        <w:rPr>
          <w:rFonts w:hint="eastAsia"/>
        </w:rPr>
        <w:t>焊接完工后，焊接位置应予以隔离或设专人监护，防止烫伤其他人员及火灾事故发生；</w:t>
      </w:r>
    </w:p>
    <w:p w14:paraId="5E509D54">
      <w:pPr>
        <w:numPr>
          <w:ilvl w:val="0"/>
          <w:numId w:val="45"/>
        </w:numPr>
        <w:ind w:firstLineChars="0"/>
      </w:pPr>
      <w:r>
        <w:rPr>
          <w:rFonts w:hint="eastAsia"/>
        </w:rPr>
        <w:t>工作结束后，检查地面，灭绝火种，切断电源，方可离开；</w:t>
      </w:r>
    </w:p>
    <w:p w14:paraId="066C4738">
      <w:pPr>
        <w:numPr>
          <w:ilvl w:val="0"/>
          <w:numId w:val="45"/>
        </w:numPr>
        <w:ind w:firstLineChars="0"/>
      </w:pPr>
      <w:r>
        <w:rPr>
          <w:rFonts w:hint="eastAsia"/>
        </w:rPr>
        <w:t>焊工在工作前必须检查好回火防止器及一切工具是否良好；</w:t>
      </w:r>
    </w:p>
    <w:p w14:paraId="043EDBC3">
      <w:pPr>
        <w:numPr>
          <w:ilvl w:val="0"/>
          <w:numId w:val="45"/>
        </w:numPr>
        <w:ind w:firstLineChars="0"/>
      </w:pPr>
      <w:r>
        <w:rPr>
          <w:rFonts w:hint="eastAsia"/>
        </w:rPr>
        <w:t>乙炔瓶、氧气瓶、胶管接头、阀门的紧固件应坚固牢靠，不准有松动、破损和漏气。氧气瓶及其附件以及胶管工具上禁止沾油；</w:t>
      </w:r>
    </w:p>
    <w:p w14:paraId="34293924">
      <w:pPr>
        <w:numPr>
          <w:ilvl w:val="0"/>
          <w:numId w:val="45"/>
        </w:numPr>
        <w:ind w:firstLineChars="0"/>
      </w:pPr>
      <w:r>
        <w:rPr>
          <w:rFonts w:hint="eastAsia"/>
        </w:rPr>
        <w:t>工作前必须检查氧气管、乙炔管，如有漏气、老化、鼓包和变质时，不准使用，管内应保持清洁，不得有异物，氧气管、乙炔管不得互换使用；</w:t>
      </w:r>
    </w:p>
    <w:p w14:paraId="6EC52005">
      <w:pPr>
        <w:numPr>
          <w:ilvl w:val="0"/>
          <w:numId w:val="45"/>
        </w:numPr>
        <w:ind w:firstLineChars="0"/>
      </w:pPr>
      <w:r>
        <w:rPr>
          <w:rFonts w:hint="eastAsia"/>
        </w:rPr>
        <w:t>工作前应检查作场所周围是否有易燃物，如有，应清除或采取可靠的隔离、防护措施，并设专人监护；</w:t>
      </w:r>
    </w:p>
    <w:p w14:paraId="7B707829">
      <w:pPr>
        <w:numPr>
          <w:ilvl w:val="0"/>
          <w:numId w:val="45"/>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20A138C2">
      <w:pPr>
        <w:numPr>
          <w:ilvl w:val="0"/>
          <w:numId w:val="45"/>
        </w:numPr>
        <w:ind w:firstLineChars="0"/>
      </w:pPr>
      <w:r>
        <w:rPr>
          <w:rFonts w:hint="eastAsia"/>
        </w:rPr>
        <w:t>乙炔、氧气瓶应垂直放置，防止倾倒，严禁与氧气瓶等易燃品同时存放；</w:t>
      </w:r>
    </w:p>
    <w:p w14:paraId="6A619E6F">
      <w:pPr>
        <w:numPr>
          <w:ilvl w:val="0"/>
          <w:numId w:val="45"/>
        </w:numPr>
        <w:ind w:firstLineChars="0"/>
      </w:pPr>
      <w:r>
        <w:rPr>
          <w:rFonts w:hint="eastAsia"/>
        </w:rPr>
        <w:t>开启氧气或乙炔瓶阀门时，禁止用铁器敲击，应用专用工具，动作要缓慢，防止产生火花，严禁面对减压器站立；</w:t>
      </w:r>
    </w:p>
    <w:p w14:paraId="3B334C8A">
      <w:pPr>
        <w:numPr>
          <w:ilvl w:val="0"/>
          <w:numId w:val="45"/>
        </w:numPr>
        <w:ind w:firstLineChars="0"/>
      </w:pPr>
      <w:r>
        <w:rPr>
          <w:rFonts w:hint="eastAsia"/>
        </w:rPr>
        <w:t>在机械上（或高处）作业时，应在切割部件下部搭设安全保护装置以防金属溶液落下引起火灾或烧伤其他人员；</w:t>
      </w:r>
    </w:p>
    <w:p w14:paraId="131EFB46">
      <w:pPr>
        <w:numPr>
          <w:ilvl w:val="0"/>
          <w:numId w:val="45"/>
        </w:numPr>
        <w:ind w:firstLineChars="0"/>
      </w:pPr>
      <w:r>
        <w:rPr>
          <w:rFonts w:hint="eastAsia"/>
        </w:rPr>
        <w:t>了解设备的消防器材状况，并保证在焊接地点周围有2个以上干粉灭火器；切割工作结束后，应检查地面，灭绝火种；</w:t>
      </w:r>
    </w:p>
    <w:p w14:paraId="5EBBC20E">
      <w:pPr>
        <w:numPr>
          <w:ilvl w:val="0"/>
          <w:numId w:val="45"/>
        </w:numPr>
        <w:ind w:firstLineChars="0"/>
      </w:pPr>
      <w:r>
        <w:rPr>
          <w:rFonts w:hint="eastAsia"/>
        </w:rPr>
        <w:t>使用时，必须保证氧气瓶、乙炔瓶距明火不得小于10m。</w:t>
      </w:r>
    </w:p>
    <w:p w14:paraId="30C7FB10">
      <w:pPr>
        <w:numPr>
          <w:ilvl w:val="0"/>
          <w:numId w:val="45"/>
        </w:numPr>
        <w:ind w:firstLineChars="0"/>
      </w:pPr>
      <w:r>
        <w:rPr>
          <w:rFonts w:hint="eastAsia"/>
        </w:rPr>
        <w:t>工作地点不固定、移动较频繁时，应装在专用小车上，严禁将乙炔瓶和氧气瓶放在一起。</w:t>
      </w:r>
    </w:p>
    <w:p w14:paraId="72055D67">
      <w:pPr>
        <w:pStyle w:val="4"/>
        <w:numPr>
          <w:ilvl w:val="2"/>
          <w:numId w:val="1"/>
        </w:numPr>
        <w:bidi w:val="0"/>
      </w:pPr>
      <w:r>
        <w:rPr>
          <w:rFonts w:hint="eastAsia"/>
        </w:rPr>
        <w:t>临时用电安全措施</w:t>
      </w:r>
    </w:p>
    <w:p w14:paraId="292E7C61">
      <w:pPr>
        <w:numPr>
          <w:ilvl w:val="0"/>
          <w:numId w:val="46"/>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31DA5521">
      <w:pPr>
        <w:numPr>
          <w:ilvl w:val="0"/>
          <w:numId w:val="46"/>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505BA5AA">
      <w:pPr>
        <w:numPr>
          <w:ilvl w:val="0"/>
          <w:numId w:val="46"/>
        </w:numPr>
        <w:ind w:firstLineChars="0"/>
      </w:pPr>
      <w:r>
        <w:t>临时用电施工组织设计和临时安全用电技术措施及电气防火措施，必须由电气工程技术人员编制，技术负责人审核，经主管部门批准后实施；</w:t>
      </w:r>
    </w:p>
    <w:p w14:paraId="45C724B0">
      <w:pPr>
        <w:numPr>
          <w:ilvl w:val="0"/>
          <w:numId w:val="46"/>
        </w:numPr>
        <w:ind w:firstLineChars="0"/>
      </w:pPr>
      <w:r>
        <w:t>安装、维修或拆除临时用电工程，必须由持证电工完成，无证人员禁止上岗。电工等级应同工程的难易程度和技术复杂性相适应；</w:t>
      </w:r>
    </w:p>
    <w:p w14:paraId="209D7752">
      <w:pPr>
        <w:numPr>
          <w:ilvl w:val="0"/>
          <w:numId w:val="46"/>
        </w:numPr>
        <w:ind w:firstLineChars="0"/>
      </w:pPr>
      <w:r>
        <w:t>使用设备必须按规定穿戴和配备好相应的劳动保护用品，并应检查电气装置和保护设施是否完好，严禁设备带病运转和进行运转中维修；</w:t>
      </w:r>
    </w:p>
    <w:p w14:paraId="1360A9C6">
      <w:pPr>
        <w:numPr>
          <w:ilvl w:val="0"/>
          <w:numId w:val="46"/>
        </w:numPr>
        <w:ind w:firstLineChars="0"/>
      </w:pPr>
      <w:r>
        <w:t>停用的设备必须拉闸断电，锁好开关箱。负载线、保护零线和开关箱发现问题应及时报告解决。搬迁或移动的用电设备，必须由专业电工切断电源并作妥善处理；</w:t>
      </w:r>
    </w:p>
    <w:p w14:paraId="6FEA85D3">
      <w:pPr>
        <w:numPr>
          <w:ilvl w:val="0"/>
          <w:numId w:val="46"/>
        </w:numPr>
        <w:ind w:firstLineChars="0"/>
      </w:pPr>
      <w:r>
        <w:t>按规范做好施工现场临时安全用电的安全技术档案；</w:t>
      </w:r>
    </w:p>
    <w:p w14:paraId="330044D0">
      <w:pPr>
        <w:numPr>
          <w:ilvl w:val="0"/>
          <w:numId w:val="46"/>
        </w:numPr>
        <w:ind w:firstLineChars="0"/>
      </w:pPr>
      <w:r>
        <w:t>在建工程与外电线路的安全距离及外电防护和接地与防雷等应严格按规范执行；</w:t>
      </w:r>
    </w:p>
    <w:p w14:paraId="53D97D46">
      <w:pPr>
        <w:numPr>
          <w:ilvl w:val="0"/>
          <w:numId w:val="46"/>
        </w:numPr>
        <w:ind w:firstLineChars="0"/>
      </w:pPr>
      <w:r>
        <w:t>配电线路的架空线必须采用绝缘铜线和绝缘铝线。架空线必须设置在专用电杆上；</w:t>
      </w:r>
    </w:p>
    <w:p w14:paraId="7BE8B6AF">
      <w:pPr>
        <w:numPr>
          <w:ilvl w:val="0"/>
          <w:numId w:val="46"/>
        </w:numPr>
        <w:ind w:firstLineChars="0"/>
      </w:pPr>
      <w:r>
        <w:t>空线的接头、相序排列、档距、线间距离及横担的垂直距离和横担的选择及规格，严格执行规范规定；</w:t>
      </w:r>
    </w:p>
    <w:p w14:paraId="7FC2B6D9">
      <w:pPr>
        <w:numPr>
          <w:ilvl w:val="0"/>
          <w:numId w:val="46"/>
        </w:numPr>
        <w:ind w:firstLineChars="0"/>
      </w:pPr>
      <w:r>
        <w:t>动力配电箱与照明配电箱应分别设置，如合置在同一配电箱内，动力和照明线路应分路设置；</w:t>
      </w:r>
    </w:p>
    <w:p w14:paraId="41A55249">
      <w:pPr>
        <w:numPr>
          <w:ilvl w:val="0"/>
          <w:numId w:val="46"/>
        </w:numPr>
        <w:ind w:firstLineChars="0"/>
      </w:pPr>
      <w:r>
        <w:t>开关箱应由末级配电箱配电，配电箱、开关箱制作所用的材料、箱的规格设置要求及安装技术应按规范执行。配电箱、开关箱最好购合格的成品使用；</w:t>
      </w:r>
    </w:p>
    <w:p w14:paraId="6F924E32">
      <w:pPr>
        <w:numPr>
          <w:ilvl w:val="0"/>
          <w:numId w:val="46"/>
        </w:numPr>
        <w:ind w:firstLineChars="0"/>
      </w:pPr>
      <w:r>
        <w:t>配电箱、开关箱内的开关电器安装，绝缘要求和箱壳保护接零应按规范执行；</w:t>
      </w:r>
    </w:p>
    <w:p w14:paraId="1E90BB4B">
      <w:pPr>
        <w:numPr>
          <w:ilvl w:val="0"/>
          <w:numId w:val="46"/>
        </w:numPr>
        <w:ind w:firstLineChars="0"/>
      </w:pPr>
      <w:r>
        <w:t>严禁用同一个开关电器直接控制2台及2台以上用电设备（含插座）；</w:t>
      </w:r>
    </w:p>
    <w:p w14:paraId="17A5CDB3">
      <w:pPr>
        <w:numPr>
          <w:ilvl w:val="0"/>
          <w:numId w:val="46"/>
        </w:numPr>
        <w:ind w:firstLineChars="0"/>
      </w:pPr>
      <w:r>
        <w:t>开关箱内必须装设漏电保护器，漏电保护器的选择应符合要求。漏电保护器的安装要求和额定漏电动作应符合规范要求；</w:t>
      </w:r>
    </w:p>
    <w:p w14:paraId="5B76D9D0">
      <w:pPr>
        <w:numPr>
          <w:ilvl w:val="0"/>
          <w:numId w:val="46"/>
        </w:numPr>
        <w:ind w:firstLineChars="0"/>
      </w:pPr>
      <w:r>
        <w:t>配电箱和开关箱中两级漏电保护器的额定漏电动作时间作合理配合，使之具有分段保护的功能；</w:t>
      </w:r>
    </w:p>
    <w:p w14:paraId="0120C2AC">
      <w:pPr>
        <w:numPr>
          <w:ilvl w:val="0"/>
          <w:numId w:val="46"/>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156165CC">
      <w:pPr>
        <w:numPr>
          <w:ilvl w:val="0"/>
          <w:numId w:val="46"/>
        </w:numPr>
        <w:ind w:firstLineChars="0"/>
      </w:pPr>
      <w:r>
        <w:t>对配电箱、开关箱进行检查、维修时，必须将其前一级相应的电源开关分闸断电，并悬挂停电检修标志牌，严禁带电作业；</w:t>
      </w:r>
    </w:p>
    <w:p w14:paraId="3FB17F10">
      <w:pPr>
        <w:numPr>
          <w:ilvl w:val="0"/>
          <w:numId w:val="46"/>
        </w:numPr>
        <w:ind w:firstLineChars="0"/>
      </w:pPr>
      <w:r>
        <w:t>移动的用电设备使用的电源线路，必须使用绝缘胶套管式电缆；</w:t>
      </w:r>
    </w:p>
    <w:p w14:paraId="3790AAA7">
      <w:pPr>
        <w:numPr>
          <w:ilvl w:val="0"/>
          <w:numId w:val="46"/>
        </w:numPr>
        <w:ind w:firstLineChars="0"/>
      </w:pPr>
      <w:r>
        <w:t>用电设备和电气线路必须有保护接零；</w:t>
      </w:r>
    </w:p>
    <w:p w14:paraId="2BBF15DC">
      <w:pPr>
        <w:numPr>
          <w:ilvl w:val="0"/>
          <w:numId w:val="46"/>
        </w:numPr>
        <w:ind w:firstLineChars="0"/>
      </w:pPr>
      <w:r>
        <w:t>电动工具、机械设备有良好的接地装置，所用电源有可靠的触电保护器。阴雨天气及在潮湿部位工作所使用的电动工机具、机械、工作人员的劳保用品必须符合有关的要求；</w:t>
      </w:r>
    </w:p>
    <w:p w14:paraId="12855595">
      <w:pPr>
        <w:numPr>
          <w:ilvl w:val="0"/>
          <w:numId w:val="46"/>
        </w:numPr>
        <w:ind w:firstLineChars="0"/>
      </w:pPr>
      <w:r>
        <w:t>严禁施工现场非正式电工乱接用电线和安装用电开关；</w:t>
      </w:r>
    </w:p>
    <w:p w14:paraId="07F4D666">
      <w:pPr>
        <w:numPr>
          <w:ilvl w:val="0"/>
          <w:numId w:val="46"/>
        </w:numPr>
        <w:ind w:firstLineChars="0"/>
      </w:pPr>
      <w:r>
        <w:t>残缺绝缘盖的闸刀开关禁止使用，开关不得采用铜、铁、铝线作熔断保险丝；</w:t>
      </w:r>
    </w:p>
    <w:p w14:paraId="1BA0D2D3">
      <w:pPr>
        <w:numPr>
          <w:ilvl w:val="0"/>
          <w:numId w:val="46"/>
        </w:numPr>
        <w:ind w:firstLineChars="0"/>
      </w:pPr>
      <w:r>
        <w:t>在施工现场设置围栏、警示牌、夜间警示灯，以告示行人。</w:t>
      </w:r>
    </w:p>
    <w:p w14:paraId="0830C3A8">
      <w:pPr>
        <w:pStyle w:val="4"/>
        <w:numPr>
          <w:ilvl w:val="2"/>
          <w:numId w:val="1"/>
        </w:numPr>
        <w:bidi w:val="0"/>
      </w:pPr>
      <w:r>
        <w:t>交叉作业安全措施</w:t>
      </w:r>
    </w:p>
    <w:p w14:paraId="7C193E83">
      <w:pPr>
        <w:numPr>
          <w:ilvl w:val="0"/>
          <w:numId w:val="47"/>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16A00057">
      <w:pPr>
        <w:numPr>
          <w:ilvl w:val="0"/>
          <w:numId w:val="47"/>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76D9F21E">
      <w:pPr>
        <w:numPr>
          <w:ilvl w:val="0"/>
          <w:numId w:val="47"/>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37C69405">
      <w:pPr>
        <w:numPr>
          <w:ilvl w:val="0"/>
          <w:numId w:val="47"/>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06757F29">
      <w:pPr>
        <w:numPr>
          <w:ilvl w:val="0"/>
          <w:numId w:val="47"/>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14:paraId="53760A11">
      <w:pPr>
        <w:pStyle w:val="3"/>
      </w:pPr>
      <w:bookmarkStart w:id="146" w:name="_Toc5017"/>
      <w:r>
        <w:rPr>
          <w:rFonts w:hint="eastAsia"/>
        </w:rPr>
        <w:t>监测监控措施</w:t>
      </w:r>
      <w:bookmarkEnd w:id="146"/>
    </w:p>
    <w:p w14:paraId="4E476448">
      <w:pPr>
        <w:pStyle w:val="78"/>
        <w:numPr>
          <w:ilvl w:val="0"/>
          <w:numId w:val="48"/>
        </w:numPr>
        <w:ind w:firstLineChars="0"/>
      </w:pPr>
      <w:r>
        <w:rPr>
          <w:rFonts w:hint="eastAsia"/>
        </w:rPr>
        <w:t>安拆过程中持续搜集影响设备安拆施工的天气信息，当遇到6级及以上大风时应停止施工；</w:t>
      </w:r>
    </w:p>
    <w:p w14:paraId="7F63B2E1">
      <w:pPr>
        <w:pStyle w:val="78"/>
        <w:numPr>
          <w:ilvl w:val="0"/>
          <w:numId w:val="48"/>
        </w:numPr>
        <w:ind w:firstLineChars="0"/>
      </w:pPr>
      <w:r>
        <w:rPr>
          <w:rFonts w:hint="eastAsia"/>
        </w:rPr>
        <w:t>持续监控测量侧向垂直度等，确保</w:t>
      </w:r>
      <w:r>
        <w:fldChar w:fldCharType="begin"/>
      </w:r>
      <w:r>
        <w:instrText xml:space="preserve"> REF 设备类型 \h  \* MERGEFORMAT </w:instrText>
      </w:r>
      <w:r>
        <w:fldChar w:fldCharType="separate"/>
      </w:r>
      <w:r>
        <w:rPr>
          <w:rFonts w:hint="eastAsia"/>
        </w:rPr>
        <w:t>塔式起重机</w:t>
      </w:r>
      <w:r>
        <w:fldChar w:fldCharType="end"/>
      </w:r>
      <w:r>
        <w:rPr>
          <w:rFonts w:hint="eastAsia"/>
        </w:rPr>
        <w:t>满足要求。</w:t>
      </w:r>
    </w:p>
    <w:p w14:paraId="54EA5041">
      <w:pPr>
        <w:pStyle w:val="3"/>
      </w:pPr>
      <w:bookmarkStart w:id="147" w:name="_Toc32267"/>
      <w:r>
        <w:rPr>
          <w:rFonts w:hint="eastAsia"/>
        </w:rPr>
        <w:t>特殊季节保证措施</w:t>
      </w:r>
      <w:bookmarkEnd w:id="147"/>
    </w:p>
    <w:p w14:paraId="5634CF59">
      <w:pPr>
        <w:pStyle w:val="4"/>
        <w:numPr>
          <w:ilvl w:val="2"/>
          <w:numId w:val="1"/>
        </w:numPr>
        <w:bidi w:val="0"/>
      </w:pPr>
      <w:r>
        <w:rPr>
          <w:rFonts w:hint="eastAsia"/>
        </w:rPr>
        <w:t>雨季施工保证措施</w:t>
      </w:r>
    </w:p>
    <w:p w14:paraId="2E510B78">
      <w:pPr>
        <w:pStyle w:val="78"/>
        <w:numPr>
          <w:ilvl w:val="0"/>
          <w:numId w:val="49"/>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7062C069">
      <w:pPr>
        <w:pStyle w:val="78"/>
        <w:numPr>
          <w:ilvl w:val="0"/>
          <w:numId w:val="49"/>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5ED25C74">
      <w:pPr>
        <w:pStyle w:val="78"/>
        <w:numPr>
          <w:ilvl w:val="0"/>
          <w:numId w:val="49"/>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4D55CB2B">
      <w:pPr>
        <w:pStyle w:val="78"/>
        <w:numPr>
          <w:ilvl w:val="0"/>
          <w:numId w:val="49"/>
        </w:numPr>
        <w:ind w:firstLineChars="0"/>
      </w:pPr>
      <w:r>
        <w:rPr>
          <w:rFonts w:hint="eastAsia"/>
        </w:rPr>
        <w:t>施工场地和生活区要设置排水设施；施工现场应及时排除积水，并采取防滑措施。同时制定安全用电规程，严防漏电、触电；雷区应有防雷措施。</w:t>
      </w:r>
    </w:p>
    <w:p w14:paraId="34DC3BA6">
      <w:pPr>
        <w:pStyle w:val="78"/>
        <w:numPr>
          <w:ilvl w:val="0"/>
          <w:numId w:val="49"/>
        </w:numPr>
        <w:ind w:firstLineChars="0"/>
      </w:pPr>
      <w:r>
        <w:rPr>
          <w:rFonts w:hint="eastAsia"/>
        </w:rPr>
        <w:t>雨季施工要避开大风大雨天气，遇暴风雨或受洪水危害时要停止施工作业。</w:t>
      </w:r>
    </w:p>
    <w:p w14:paraId="51D69091">
      <w:pPr>
        <w:pStyle w:val="78"/>
        <w:numPr>
          <w:ilvl w:val="0"/>
          <w:numId w:val="49"/>
        </w:numPr>
        <w:ind w:firstLineChars="0"/>
      </w:pPr>
      <w:r>
        <w:rPr>
          <w:rFonts w:hint="eastAsia"/>
        </w:rPr>
        <w:t>加强与气象部门的沟通，提前掌握天气变化趋势，对可能到来的大范围强降水要早知道、早预防、早准备，做到有备无患，最大程度地减小对施工的影响。</w:t>
      </w:r>
    </w:p>
    <w:p w14:paraId="48A6C383">
      <w:pPr>
        <w:pStyle w:val="78"/>
        <w:numPr>
          <w:ilvl w:val="0"/>
          <w:numId w:val="49"/>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48DC1CF9">
      <w:pPr>
        <w:pStyle w:val="78"/>
        <w:numPr>
          <w:ilvl w:val="0"/>
          <w:numId w:val="49"/>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6998ED47">
      <w:pPr>
        <w:pStyle w:val="78"/>
        <w:numPr>
          <w:ilvl w:val="0"/>
          <w:numId w:val="49"/>
        </w:numPr>
        <w:ind w:firstLineChars="0"/>
      </w:pPr>
      <w:r>
        <w:rPr>
          <w:rFonts w:hint="eastAsia"/>
        </w:rPr>
        <w:t>注意安全用电，以防止漏电、触电。加强施工用电安全防护工作，机电设备的电闸箱采取防雨、防潮等措施，并安装好接地保护装置。</w:t>
      </w:r>
    </w:p>
    <w:p w14:paraId="1EBA6225">
      <w:pPr>
        <w:pStyle w:val="78"/>
        <w:numPr>
          <w:ilvl w:val="0"/>
          <w:numId w:val="49"/>
        </w:numPr>
        <w:ind w:firstLineChars="0"/>
      </w:pPr>
      <w:r>
        <w:rPr>
          <w:rFonts w:hint="eastAsia"/>
        </w:rPr>
        <w:t>现场钢筋原材堆场要有良好的排水设施，钢筋原材堆放要用枕木垫起，以防止钢筋泡水生锈，在下雨前，要对所有钢筋原材、半成品钢筋加以覆盖，避免雨淋。</w:t>
      </w:r>
    </w:p>
    <w:p w14:paraId="15DEB1D4">
      <w:pPr>
        <w:pStyle w:val="78"/>
        <w:numPr>
          <w:ilvl w:val="0"/>
          <w:numId w:val="49"/>
        </w:numPr>
        <w:ind w:firstLineChars="0"/>
      </w:pPr>
      <w:r>
        <w:rPr>
          <w:rFonts w:hint="eastAsia"/>
        </w:rPr>
        <w:t>当钢筋受雨淋而生锈时，应进行除锈处理后才能使用到工程中。若钢筋锈蚀严重，当视情况进行退场处理或降级使用。</w:t>
      </w:r>
    </w:p>
    <w:p w14:paraId="015A9A25">
      <w:pPr>
        <w:pStyle w:val="78"/>
        <w:numPr>
          <w:ilvl w:val="0"/>
          <w:numId w:val="49"/>
        </w:numPr>
        <w:ind w:firstLineChars="0"/>
      </w:pPr>
      <w:r>
        <w:rPr>
          <w:rFonts w:hint="eastAsia"/>
        </w:rPr>
        <w:t>在雨季施工期间，项目所有员工均要配备雨鞋、雨衣。员工在雨天进行施工时，必须要穿好雨衣、雨鞋，防止因淋雨而生病。</w:t>
      </w:r>
    </w:p>
    <w:p w14:paraId="761DB742">
      <w:pPr>
        <w:pStyle w:val="78"/>
        <w:numPr>
          <w:ilvl w:val="0"/>
          <w:numId w:val="49"/>
        </w:numPr>
        <w:ind w:firstLineChars="0"/>
      </w:pPr>
      <w:r>
        <w:rPr>
          <w:rFonts w:hint="eastAsia"/>
        </w:rPr>
        <w:t>雨天不要进行钢筋焊接作业，预防施工漏电及雷电对人身安全造成伤害。</w:t>
      </w:r>
    </w:p>
    <w:p w14:paraId="7A0530B1">
      <w:pPr>
        <w:pStyle w:val="4"/>
        <w:numPr>
          <w:ilvl w:val="2"/>
          <w:numId w:val="1"/>
        </w:numPr>
        <w:bidi w:val="0"/>
      </w:pPr>
      <w:r>
        <w:rPr>
          <w:rFonts w:hint="eastAsia"/>
        </w:rPr>
        <w:t>大风天气施工保证措施</w:t>
      </w:r>
    </w:p>
    <w:p w14:paraId="2188748B">
      <w:pPr>
        <w:pStyle w:val="78"/>
        <w:numPr>
          <w:ilvl w:val="0"/>
          <w:numId w:val="50"/>
        </w:numPr>
        <w:ind w:firstLineChars="0"/>
      </w:pPr>
      <w:r>
        <w:rPr>
          <w:rFonts w:hint="eastAsia"/>
        </w:rPr>
        <w:t>加强当地气象网站的监听，随时通告有关大风信息，起重吊装作业要求在风力六级以下施工。</w:t>
      </w:r>
    </w:p>
    <w:p w14:paraId="18DABD1B">
      <w:pPr>
        <w:pStyle w:val="78"/>
        <w:numPr>
          <w:ilvl w:val="0"/>
          <w:numId w:val="50"/>
        </w:numPr>
        <w:ind w:firstLineChars="0"/>
      </w:pPr>
      <w:r>
        <w:rPr>
          <w:rFonts w:hint="eastAsia"/>
        </w:rPr>
        <w:t>若遇六级以上大风时，及时停止起重吊装作业，并采取有效的防风措施。</w:t>
      </w:r>
    </w:p>
    <w:p w14:paraId="4D161BA3">
      <w:pPr>
        <w:pStyle w:val="78"/>
        <w:numPr>
          <w:ilvl w:val="0"/>
          <w:numId w:val="50"/>
        </w:numPr>
        <w:ind w:firstLineChars="0"/>
      </w:pPr>
      <w:r>
        <w:rPr>
          <w:rFonts w:hint="eastAsia"/>
        </w:rPr>
        <w:t>针对季风期内突发风以及大风等天气，对现场机械设备、临时设施采取加固措施。</w:t>
      </w:r>
    </w:p>
    <w:p w14:paraId="242D7FCA">
      <w:pPr>
        <w:pStyle w:val="78"/>
        <w:numPr>
          <w:ilvl w:val="0"/>
          <w:numId w:val="50"/>
        </w:numPr>
        <w:ind w:firstLineChars="0"/>
      </w:pPr>
      <w:r>
        <w:rPr>
          <w:rFonts w:hint="eastAsia"/>
        </w:rPr>
        <w:t>季风期施工时，将高空作业平台上小型物件及不稳定物体进行绑牢、安装稳定，防止物件掉落。</w:t>
      </w:r>
    </w:p>
    <w:p w14:paraId="6357B5B9">
      <w:pPr>
        <w:pStyle w:val="78"/>
        <w:numPr>
          <w:ilvl w:val="0"/>
          <w:numId w:val="50"/>
        </w:numPr>
        <w:ind w:firstLineChars="0"/>
      </w:pPr>
      <w:r>
        <w:rPr>
          <w:rFonts w:hint="eastAsia"/>
        </w:rPr>
        <w:t>积极与当地相关部门联系，服从其统一领导和调度，努力配合工作。</w:t>
      </w:r>
    </w:p>
    <w:p w14:paraId="7AF64E9B">
      <w:pPr>
        <w:pStyle w:val="78"/>
        <w:numPr>
          <w:ilvl w:val="0"/>
          <w:numId w:val="50"/>
        </w:numPr>
        <w:ind w:firstLineChars="0"/>
      </w:pPr>
      <w:r>
        <w:rPr>
          <w:rFonts w:hint="eastAsia"/>
        </w:rPr>
        <w:t>有关人员配备通讯设备（如对讲机），加强联系，互通情况。</w:t>
      </w:r>
    </w:p>
    <w:bookmarkEnd w:id="140"/>
    <w:bookmarkEnd w:id="141"/>
    <w:bookmarkEnd w:id="142"/>
    <w:bookmarkEnd w:id="143"/>
    <w:bookmarkEnd w:id="144"/>
    <w:bookmarkEnd w:id="145"/>
    <w:p w14:paraId="211BD685">
      <w:pPr>
        <w:pStyle w:val="78"/>
        <w:numPr>
          <w:ilvl w:val="0"/>
          <w:numId w:val="50"/>
        </w:numPr>
        <w:ind w:firstLineChars="0"/>
      </w:pPr>
      <w:bookmarkStart w:id="148" w:name="_Toc40778447"/>
      <w:bookmarkStart w:id="149" w:name="_Toc5858"/>
      <w:bookmarkStart w:id="150" w:name="_Toc2870"/>
      <w:r>
        <w:rPr>
          <w:color w:val="000000" w:themeColor="text1"/>
          <w14:textFill>
            <w14:solidFill>
              <w14:schemeClr w14:val="tx1"/>
            </w14:solidFill>
          </w14:textFill>
        </w:rPr>
        <w:br w:type="page"/>
      </w:r>
    </w:p>
    <w:bookmarkEnd w:id="148"/>
    <w:bookmarkEnd w:id="149"/>
    <w:bookmarkEnd w:id="150"/>
    <w:p w14:paraId="00B360CF">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151" w:name="_Toc15006"/>
      <w:bookmarkStart w:id="152" w:name="_Toc131174059"/>
      <w:r>
        <w:rPr>
          <w:rFonts w:hint="eastAsia"/>
        </w:rPr>
        <w:t>施工管理及作业人员配备和分工</w:t>
      </w:r>
      <w:bookmarkEnd w:id="151"/>
      <w:bookmarkEnd w:id="152"/>
    </w:p>
    <w:p w14:paraId="4199533D">
      <w:pPr>
        <w:pStyle w:val="3"/>
      </w:pPr>
      <w:bookmarkStart w:id="153" w:name="_Toc131174060"/>
      <w:bookmarkStart w:id="154" w:name="_Toc31324"/>
      <w:r>
        <w:rPr>
          <w:rFonts w:hint="eastAsia"/>
        </w:rPr>
        <w:t>施工管理人员配备和分工</w:t>
      </w:r>
      <w:bookmarkEnd w:id="153"/>
      <w:bookmarkEnd w:id="154"/>
    </w:p>
    <w:p w14:paraId="255EEB51">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14:paraId="30F359E0">
      <w:pPr>
        <w:pStyle w:val="16"/>
      </w:pPr>
      <w:bookmarkStart w:id="155"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55"/>
      <w:r>
        <w:rPr>
          <w:rFonts w:hint="eastAsia"/>
        </w:rPr>
        <w:t xml:space="preserve"> 施工管理人员配备和分工表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5"/>
        <w:gridCol w:w="528"/>
        <w:gridCol w:w="427"/>
        <w:gridCol w:w="2145"/>
        <w:gridCol w:w="2091"/>
        <w:gridCol w:w="1672"/>
        <w:gridCol w:w="427"/>
      </w:tblGrid>
      <w:tr w14:paraId="25484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0" w:type="pct"/>
            <w:vAlign w:val="center"/>
          </w:tcPr>
          <w:p w14:paraId="48EA66D1">
            <w:pPr>
              <w:pStyle w:val="17"/>
              <w:rPr>
                <w:b/>
              </w:rPr>
            </w:pPr>
            <w:r>
              <w:rPr>
                <w:rFonts w:hint="eastAsia"/>
                <w:b/>
              </w:rPr>
              <w:t>序号</w:t>
            </w:r>
          </w:p>
        </w:tc>
        <w:tc>
          <w:tcPr>
            <w:tcW w:w="605" w:type="pct"/>
            <w:vAlign w:val="center"/>
          </w:tcPr>
          <w:p w14:paraId="74F0DF26">
            <w:pPr>
              <w:pStyle w:val="17"/>
              <w:rPr>
                <w:b/>
              </w:rPr>
            </w:pPr>
            <w:r>
              <w:rPr>
                <w:rFonts w:hint="eastAsia"/>
                <w:b/>
              </w:rPr>
              <w:t>职务</w:t>
            </w:r>
          </w:p>
        </w:tc>
        <w:tc>
          <w:tcPr>
            <w:tcW w:w="401" w:type="pct"/>
            <w:vAlign w:val="center"/>
          </w:tcPr>
          <w:p w14:paraId="26A8616E">
            <w:pPr>
              <w:pStyle w:val="17"/>
              <w:rPr>
                <w:rFonts w:hint="eastAsia" w:eastAsia="宋体"/>
                <w:b/>
                <w:lang w:val="en-US" w:eastAsia="zh-CN"/>
              </w:rPr>
            </w:pPr>
            <w:r>
              <w:rPr>
                <w:rFonts w:hint="eastAsia"/>
                <w:b/>
                <w:lang w:val="en-US" w:eastAsia="zh-CN"/>
              </w:rPr>
              <w:t>姓名</w:t>
            </w:r>
          </w:p>
        </w:tc>
        <w:tc>
          <w:tcPr>
            <w:tcW w:w="218" w:type="pct"/>
            <w:vAlign w:val="center"/>
          </w:tcPr>
          <w:p w14:paraId="3A6CE36E">
            <w:pPr>
              <w:pStyle w:val="17"/>
              <w:rPr>
                <w:b/>
              </w:rPr>
            </w:pPr>
            <w:r>
              <w:rPr>
                <w:rFonts w:hint="eastAsia"/>
                <w:b/>
              </w:rPr>
              <w:t>人数</w:t>
            </w:r>
          </w:p>
        </w:tc>
        <w:tc>
          <w:tcPr>
            <w:tcW w:w="1058" w:type="pct"/>
            <w:vAlign w:val="center"/>
          </w:tcPr>
          <w:p w14:paraId="731F37C8">
            <w:pPr>
              <w:pStyle w:val="17"/>
              <w:rPr>
                <w:rFonts w:hint="eastAsia" w:eastAsia="宋体"/>
                <w:b/>
                <w:lang w:val="en-US" w:eastAsia="zh-CN"/>
              </w:rPr>
            </w:pPr>
            <w:r>
              <w:rPr>
                <w:rFonts w:hint="eastAsia"/>
                <w:b/>
                <w:lang w:val="en-US" w:eastAsia="zh-CN"/>
              </w:rPr>
              <w:t>身份证号</w:t>
            </w:r>
          </w:p>
        </w:tc>
        <w:tc>
          <w:tcPr>
            <w:tcW w:w="1058" w:type="pct"/>
            <w:vAlign w:val="center"/>
          </w:tcPr>
          <w:p w14:paraId="4134BDDD">
            <w:pPr>
              <w:pStyle w:val="17"/>
              <w:rPr>
                <w:rFonts w:hint="eastAsia" w:eastAsia="宋体"/>
                <w:b/>
                <w:lang w:val="en-US" w:eastAsia="zh-CN"/>
              </w:rPr>
            </w:pPr>
            <w:r>
              <w:rPr>
                <w:rFonts w:hint="eastAsia"/>
                <w:b/>
                <w:lang w:val="en-US" w:eastAsia="zh-CN"/>
              </w:rPr>
              <w:t>证件号</w:t>
            </w:r>
          </w:p>
        </w:tc>
        <w:tc>
          <w:tcPr>
            <w:tcW w:w="1073" w:type="pct"/>
            <w:vAlign w:val="center"/>
          </w:tcPr>
          <w:p w14:paraId="04E24C98">
            <w:pPr>
              <w:pStyle w:val="17"/>
              <w:rPr>
                <w:b/>
              </w:rPr>
            </w:pPr>
            <w:r>
              <w:rPr>
                <w:rFonts w:hint="eastAsia"/>
                <w:b/>
              </w:rPr>
              <w:t>工作职责</w:t>
            </w:r>
          </w:p>
        </w:tc>
        <w:tc>
          <w:tcPr>
            <w:tcW w:w="293" w:type="pct"/>
            <w:vAlign w:val="center"/>
          </w:tcPr>
          <w:p w14:paraId="527A26EE">
            <w:pPr>
              <w:pStyle w:val="17"/>
              <w:rPr>
                <w:b/>
              </w:rPr>
            </w:pPr>
            <w:r>
              <w:rPr>
                <w:rFonts w:hint="eastAsia"/>
                <w:b/>
              </w:rPr>
              <w:t>备注</w:t>
            </w:r>
          </w:p>
        </w:tc>
      </w:tr>
      <w:tr w14:paraId="36B5E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0" w:type="pct"/>
            <w:shd w:val="clear" w:color="auto" w:fill="auto"/>
            <w:vAlign w:val="center"/>
          </w:tcPr>
          <w:p w14:paraId="45B9B61E">
            <w:pPr>
              <w:pStyle w:val="17"/>
              <w:numPr>
                <w:ilvl w:val="0"/>
                <w:numId w:val="51"/>
              </w:numPr>
            </w:pPr>
          </w:p>
        </w:tc>
        <w:tc>
          <w:tcPr>
            <w:tcW w:w="605" w:type="pct"/>
            <w:shd w:val="clear" w:color="auto" w:fill="auto"/>
            <w:vAlign w:val="center"/>
          </w:tcPr>
          <w:p w14:paraId="732842EC">
            <w:pPr>
              <w:pStyle w:val="17"/>
              <w:rPr>
                <w:rFonts w:hint="eastAsia"/>
                <w:lang w:val="en-US" w:eastAsia="zh-CN"/>
              </w:rPr>
            </w:pPr>
            <w:r>
              <w:rPr>
                <w:rFonts w:hint="eastAsia"/>
                <w:lang w:val="en-US" w:eastAsia="zh-CN"/>
              </w:rPr>
              <w:t>项目负责人</w:t>
            </w:r>
          </w:p>
        </w:tc>
        <w:tc>
          <w:tcPr>
            <w:tcW w:w="401" w:type="pct"/>
            <w:shd w:val="clear" w:color="auto" w:fill="auto"/>
            <w:vAlign w:val="center"/>
          </w:tcPr>
          <w:p w14:paraId="214590AD">
            <w:pPr>
              <w:pStyle w:val="17"/>
              <w:rPr>
                <w:rFonts w:hint="default"/>
                <w:lang w:val="en-US" w:eastAsia="zh-CN"/>
              </w:rPr>
            </w:pPr>
            <w:r>
              <w:rPr>
                <w:rFonts w:hint="eastAsia"/>
                <w:lang w:val="en-US" w:eastAsia="zh-CN"/>
              </w:rPr>
              <w:t>吕仕昌</w:t>
            </w:r>
          </w:p>
        </w:tc>
        <w:tc>
          <w:tcPr>
            <w:tcW w:w="218" w:type="pct"/>
            <w:shd w:val="clear" w:color="auto" w:fill="auto"/>
            <w:vAlign w:val="center"/>
          </w:tcPr>
          <w:p w14:paraId="0152FFB5">
            <w:pPr>
              <w:pStyle w:val="17"/>
              <w:rPr>
                <w:rFonts w:hint="eastAsia"/>
                <w:lang w:val="en-US" w:eastAsia="zh-CN"/>
              </w:rPr>
            </w:pPr>
            <w:r>
              <w:rPr>
                <w:rFonts w:hint="eastAsia"/>
                <w:lang w:val="en-US" w:eastAsia="zh-CN"/>
              </w:rPr>
              <w:t>1</w:t>
            </w:r>
          </w:p>
        </w:tc>
        <w:tc>
          <w:tcPr>
            <w:tcW w:w="1058" w:type="pct"/>
            <w:shd w:val="clear" w:color="auto" w:fill="auto"/>
            <w:vAlign w:val="center"/>
          </w:tcPr>
          <w:p w14:paraId="30352A1F">
            <w:pPr>
              <w:pStyle w:val="17"/>
              <w:rPr>
                <w:rFonts w:hint="eastAsia"/>
                <w:lang w:val="en-US" w:eastAsia="zh-CN"/>
              </w:rPr>
            </w:pPr>
            <w:r>
              <w:rPr>
                <w:rFonts w:hint="eastAsia"/>
                <w:lang w:val="en-US" w:eastAsia="zh-CN"/>
              </w:rPr>
              <w:t>500381198606081511</w:t>
            </w:r>
          </w:p>
        </w:tc>
        <w:tc>
          <w:tcPr>
            <w:tcW w:w="1058" w:type="pct"/>
            <w:shd w:val="clear" w:color="auto" w:fill="auto"/>
            <w:vAlign w:val="center"/>
          </w:tcPr>
          <w:p w14:paraId="5B58E933">
            <w:pPr>
              <w:pStyle w:val="17"/>
              <w:rPr>
                <w:rFonts w:hint="eastAsia"/>
                <w:lang w:val="en-US" w:eastAsia="zh-CN"/>
              </w:rPr>
            </w:pPr>
            <w:r>
              <w:rPr>
                <w:rFonts w:hint="eastAsia"/>
                <w:lang w:val="en-US" w:eastAsia="zh-CN"/>
              </w:rPr>
              <w:t>500381198606081511</w:t>
            </w:r>
          </w:p>
        </w:tc>
        <w:tc>
          <w:tcPr>
            <w:tcW w:w="1073" w:type="pct"/>
            <w:shd w:val="clear" w:color="auto" w:fill="auto"/>
            <w:vAlign w:val="center"/>
          </w:tcPr>
          <w:p w14:paraId="081D1039">
            <w:pPr>
              <w:pStyle w:val="17"/>
              <w:rPr>
                <w:rFonts w:hint="eastAsia"/>
                <w:lang w:val="en-US" w:eastAsia="zh-CN"/>
              </w:rPr>
            </w:pPr>
            <w:r>
              <w:rPr>
                <w:rFonts w:hint="eastAsia"/>
                <w:lang w:val="en-US" w:eastAsia="zh-CN"/>
              </w:rPr>
              <w:t>安装项目总负责</w:t>
            </w:r>
          </w:p>
        </w:tc>
        <w:tc>
          <w:tcPr>
            <w:tcW w:w="293" w:type="pct"/>
            <w:shd w:val="clear" w:color="auto" w:fill="auto"/>
            <w:vAlign w:val="center"/>
          </w:tcPr>
          <w:p w14:paraId="7D050615">
            <w:pPr>
              <w:pStyle w:val="17"/>
            </w:pPr>
          </w:p>
        </w:tc>
      </w:tr>
      <w:tr w14:paraId="32509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0" w:type="pct"/>
            <w:shd w:val="clear" w:color="auto" w:fill="auto"/>
            <w:vAlign w:val="center"/>
          </w:tcPr>
          <w:p w14:paraId="32B6AC77">
            <w:pPr>
              <w:pStyle w:val="17"/>
              <w:numPr>
                <w:ilvl w:val="0"/>
                <w:numId w:val="51"/>
              </w:numPr>
            </w:pPr>
          </w:p>
        </w:tc>
        <w:tc>
          <w:tcPr>
            <w:tcW w:w="605" w:type="pct"/>
            <w:shd w:val="clear" w:color="auto" w:fill="auto"/>
            <w:vAlign w:val="center"/>
          </w:tcPr>
          <w:p w14:paraId="5167BBE9">
            <w:pPr>
              <w:pStyle w:val="17"/>
              <w:rPr>
                <w:rFonts w:hint="eastAsia"/>
                <w:lang w:val="en-US" w:eastAsia="zh-CN"/>
              </w:rPr>
            </w:pPr>
            <w:r>
              <w:rPr>
                <w:rFonts w:hint="eastAsia"/>
                <w:lang w:val="en-US" w:eastAsia="zh-CN"/>
              </w:rPr>
              <w:t>技术负责人</w:t>
            </w:r>
          </w:p>
        </w:tc>
        <w:tc>
          <w:tcPr>
            <w:tcW w:w="401" w:type="pct"/>
            <w:shd w:val="clear" w:color="auto" w:fill="auto"/>
            <w:vAlign w:val="center"/>
          </w:tcPr>
          <w:p w14:paraId="4122C8B3">
            <w:pPr>
              <w:pStyle w:val="17"/>
              <w:rPr>
                <w:rFonts w:hint="eastAsia"/>
                <w:lang w:val="en-US" w:eastAsia="zh-CN"/>
              </w:rPr>
            </w:pPr>
            <w:r>
              <w:rPr>
                <w:rFonts w:hint="eastAsia"/>
                <w:lang w:val="en-US" w:eastAsia="zh-CN"/>
              </w:rPr>
              <w:t>温涛</w:t>
            </w:r>
          </w:p>
        </w:tc>
        <w:tc>
          <w:tcPr>
            <w:tcW w:w="218" w:type="pct"/>
            <w:shd w:val="clear" w:color="auto" w:fill="auto"/>
            <w:vAlign w:val="center"/>
          </w:tcPr>
          <w:p w14:paraId="40119969">
            <w:pPr>
              <w:pStyle w:val="17"/>
              <w:rPr>
                <w:rFonts w:hint="eastAsia"/>
                <w:lang w:val="en-US" w:eastAsia="zh-CN"/>
              </w:rPr>
            </w:pPr>
            <w:r>
              <w:rPr>
                <w:rFonts w:hint="eastAsia"/>
                <w:lang w:val="en-US" w:eastAsia="zh-CN"/>
              </w:rPr>
              <w:t>1</w:t>
            </w:r>
          </w:p>
        </w:tc>
        <w:tc>
          <w:tcPr>
            <w:tcW w:w="1058" w:type="pct"/>
            <w:shd w:val="clear" w:color="auto" w:fill="auto"/>
            <w:vAlign w:val="center"/>
          </w:tcPr>
          <w:p w14:paraId="737C5E3A">
            <w:pPr>
              <w:pStyle w:val="17"/>
              <w:rPr>
                <w:rFonts w:hint="eastAsia"/>
                <w:lang w:val="en-US" w:eastAsia="zh-CN"/>
              </w:rPr>
            </w:pPr>
            <w:r>
              <w:rPr>
                <w:rFonts w:hint="eastAsia"/>
                <w:lang w:val="en-US" w:eastAsia="zh-CN"/>
              </w:rPr>
              <w:t>412801198705060316</w:t>
            </w:r>
          </w:p>
        </w:tc>
        <w:tc>
          <w:tcPr>
            <w:tcW w:w="1058" w:type="pct"/>
            <w:shd w:val="clear" w:color="auto" w:fill="auto"/>
            <w:vAlign w:val="center"/>
          </w:tcPr>
          <w:p w14:paraId="27049424">
            <w:pPr>
              <w:pStyle w:val="17"/>
              <w:rPr>
                <w:rFonts w:hint="eastAsia"/>
                <w:lang w:val="en-US" w:eastAsia="zh-CN"/>
              </w:rPr>
            </w:pPr>
            <w:r>
              <w:rPr>
                <w:rFonts w:hint="eastAsia"/>
                <w:lang w:val="en-US" w:eastAsia="zh-CN"/>
              </w:rPr>
              <w:t>鲁 200100033201097</w:t>
            </w:r>
          </w:p>
        </w:tc>
        <w:tc>
          <w:tcPr>
            <w:tcW w:w="1073" w:type="pct"/>
            <w:shd w:val="clear" w:color="auto" w:fill="auto"/>
            <w:vAlign w:val="center"/>
          </w:tcPr>
          <w:p w14:paraId="6B3278FD">
            <w:pPr>
              <w:pStyle w:val="17"/>
              <w:rPr>
                <w:rFonts w:hint="eastAsia"/>
                <w:lang w:val="en-US" w:eastAsia="zh-CN"/>
              </w:rPr>
            </w:pPr>
            <w:r>
              <w:rPr>
                <w:rFonts w:hint="eastAsia"/>
                <w:lang w:val="en-US" w:eastAsia="zh-CN"/>
              </w:rPr>
              <w:t>工程项目的技术管理工作</w:t>
            </w:r>
          </w:p>
        </w:tc>
        <w:tc>
          <w:tcPr>
            <w:tcW w:w="293" w:type="pct"/>
            <w:shd w:val="clear" w:color="auto" w:fill="auto"/>
            <w:vAlign w:val="center"/>
          </w:tcPr>
          <w:p w14:paraId="06F421CF">
            <w:pPr>
              <w:pStyle w:val="17"/>
            </w:pPr>
          </w:p>
        </w:tc>
      </w:tr>
      <w:tr w14:paraId="5E6D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0" w:type="pct"/>
            <w:shd w:val="clear" w:color="auto" w:fill="auto"/>
            <w:vAlign w:val="center"/>
          </w:tcPr>
          <w:p w14:paraId="0FB75BAA">
            <w:pPr>
              <w:pStyle w:val="17"/>
              <w:numPr>
                <w:ilvl w:val="0"/>
                <w:numId w:val="51"/>
              </w:numPr>
            </w:pPr>
          </w:p>
        </w:tc>
        <w:tc>
          <w:tcPr>
            <w:tcW w:w="605" w:type="pct"/>
            <w:shd w:val="clear" w:color="auto" w:fill="auto"/>
            <w:vAlign w:val="center"/>
          </w:tcPr>
          <w:p w14:paraId="6F07A24C">
            <w:pPr>
              <w:pStyle w:val="17"/>
              <w:rPr>
                <w:rFonts w:hint="eastAsia"/>
                <w:lang w:val="en-US" w:eastAsia="zh-CN"/>
              </w:rPr>
            </w:pPr>
            <w:r>
              <w:rPr>
                <w:rFonts w:hint="eastAsia"/>
                <w:lang w:val="en-US" w:eastAsia="zh-CN"/>
              </w:rPr>
              <w:t>现场负责人</w:t>
            </w:r>
          </w:p>
        </w:tc>
        <w:tc>
          <w:tcPr>
            <w:tcW w:w="401" w:type="pct"/>
            <w:shd w:val="clear" w:color="auto" w:fill="auto"/>
            <w:vAlign w:val="center"/>
          </w:tcPr>
          <w:p w14:paraId="09074DCC">
            <w:pPr>
              <w:pStyle w:val="17"/>
              <w:rPr>
                <w:rFonts w:hint="eastAsia"/>
                <w:lang w:val="en-US" w:eastAsia="zh-CN"/>
              </w:rPr>
            </w:pPr>
            <w:r>
              <w:rPr>
                <w:rFonts w:hint="eastAsia"/>
                <w:lang w:val="en-US" w:eastAsia="zh-CN"/>
              </w:rPr>
              <w:t>张腾万</w:t>
            </w:r>
          </w:p>
        </w:tc>
        <w:tc>
          <w:tcPr>
            <w:tcW w:w="218" w:type="pct"/>
            <w:shd w:val="clear" w:color="auto" w:fill="auto"/>
            <w:vAlign w:val="center"/>
          </w:tcPr>
          <w:p w14:paraId="76128C81">
            <w:pPr>
              <w:pStyle w:val="17"/>
              <w:rPr>
                <w:rFonts w:hint="eastAsia"/>
                <w:lang w:val="en-US" w:eastAsia="zh-CN"/>
              </w:rPr>
            </w:pPr>
            <w:r>
              <w:rPr>
                <w:rFonts w:hint="eastAsia"/>
                <w:lang w:val="en-US" w:eastAsia="zh-CN"/>
              </w:rPr>
              <w:t>1</w:t>
            </w:r>
          </w:p>
        </w:tc>
        <w:tc>
          <w:tcPr>
            <w:tcW w:w="1058" w:type="pct"/>
            <w:shd w:val="clear" w:color="auto" w:fill="auto"/>
            <w:vAlign w:val="center"/>
          </w:tcPr>
          <w:p w14:paraId="5C578681">
            <w:pPr>
              <w:pStyle w:val="17"/>
              <w:rPr>
                <w:rFonts w:hint="default"/>
                <w:lang w:val="en-US" w:eastAsia="zh-CN"/>
              </w:rPr>
            </w:pPr>
            <w:r>
              <w:rPr>
                <w:rFonts w:hint="eastAsia"/>
                <w:lang w:val="en-US" w:eastAsia="zh-CN"/>
              </w:rPr>
              <w:t>511324199311134276</w:t>
            </w:r>
          </w:p>
        </w:tc>
        <w:tc>
          <w:tcPr>
            <w:tcW w:w="1058" w:type="pct"/>
            <w:shd w:val="clear" w:color="auto" w:fill="auto"/>
            <w:vAlign w:val="center"/>
          </w:tcPr>
          <w:p w14:paraId="6F65A780">
            <w:pPr>
              <w:pStyle w:val="17"/>
              <w:rPr>
                <w:rFonts w:hint="eastAsia"/>
                <w:lang w:val="en-US" w:eastAsia="zh-CN"/>
              </w:rPr>
            </w:pPr>
            <w:r>
              <w:rPr>
                <w:rFonts w:hint="eastAsia"/>
                <w:lang w:val="en-US" w:eastAsia="zh-CN"/>
              </w:rPr>
              <w:t>511324199311134276</w:t>
            </w:r>
          </w:p>
        </w:tc>
        <w:tc>
          <w:tcPr>
            <w:tcW w:w="1073" w:type="pct"/>
            <w:shd w:val="clear" w:color="auto" w:fill="auto"/>
            <w:vAlign w:val="center"/>
          </w:tcPr>
          <w:p w14:paraId="0A304BD8">
            <w:pPr>
              <w:pStyle w:val="17"/>
              <w:rPr>
                <w:rFonts w:hint="eastAsia"/>
                <w:lang w:val="en-US" w:eastAsia="zh-CN"/>
              </w:rPr>
            </w:pPr>
            <w:r>
              <w:rPr>
                <w:rFonts w:hint="eastAsia"/>
                <w:lang w:val="en-US" w:eastAsia="zh-CN"/>
              </w:rPr>
              <w:t>工程项目的安全工作</w:t>
            </w:r>
          </w:p>
        </w:tc>
        <w:tc>
          <w:tcPr>
            <w:tcW w:w="293" w:type="pct"/>
            <w:shd w:val="clear" w:color="auto" w:fill="auto"/>
            <w:vAlign w:val="center"/>
          </w:tcPr>
          <w:p w14:paraId="405739C8">
            <w:pPr>
              <w:pStyle w:val="17"/>
            </w:pPr>
          </w:p>
        </w:tc>
      </w:tr>
      <w:tr w14:paraId="23189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0" w:type="pct"/>
            <w:shd w:val="clear" w:color="auto" w:fill="auto"/>
            <w:vAlign w:val="center"/>
          </w:tcPr>
          <w:p w14:paraId="54B137CA">
            <w:pPr>
              <w:pStyle w:val="17"/>
              <w:numPr>
                <w:ilvl w:val="0"/>
                <w:numId w:val="51"/>
              </w:numPr>
            </w:pPr>
          </w:p>
        </w:tc>
        <w:tc>
          <w:tcPr>
            <w:tcW w:w="605" w:type="pct"/>
            <w:shd w:val="clear" w:color="auto" w:fill="auto"/>
            <w:vAlign w:val="center"/>
          </w:tcPr>
          <w:p w14:paraId="7AC1E54E">
            <w:pPr>
              <w:pStyle w:val="17"/>
              <w:rPr>
                <w:rFonts w:hint="eastAsia"/>
                <w:lang w:val="en-US" w:eastAsia="zh-CN"/>
              </w:rPr>
            </w:pPr>
            <w:r>
              <w:rPr>
                <w:rFonts w:hint="eastAsia"/>
                <w:lang w:val="en-US" w:eastAsia="zh-CN"/>
              </w:rPr>
              <w:t>安全员</w:t>
            </w:r>
          </w:p>
        </w:tc>
        <w:tc>
          <w:tcPr>
            <w:tcW w:w="401" w:type="pct"/>
            <w:shd w:val="clear" w:color="auto" w:fill="auto"/>
            <w:vAlign w:val="center"/>
          </w:tcPr>
          <w:p w14:paraId="5B44E264">
            <w:pPr>
              <w:pStyle w:val="17"/>
              <w:rPr>
                <w:rFonts w:hint="eastAsia"/>
                <w:lang w:val="en-US" w:eastAsia="zh-CN"/>
              </w:rPr>
            </w:pPr>
            <w:r>
              <w:rPr>
                <w:rFonts w:hint="eastAsia"/>
                <w:lang w:val="en-US" w:eastAsia="zh-CN"/>
              </w:rPr>
              <w:t>黄教亮</w:t>
            </w:r>
          </w:p>
        </w:tc>
        <w:tc>
          <w:tcPr>
            <w:tcW w:w="218" w:type="pct"/>
            <w:shd w:val="clear" w:color="auto" w:fill="auto"/>
            <w:vAlign w:val="center"/>
          </w:tcPr>
          <w:p w14:paraId="50ECE3E8">
            <w:pPr>
              <w:pStyle w:val="17"/>
              <w:rPr>
                <w:rFonts w:hint="eastAsia"/>
                <w:lang w:val="en-US" w:eastAsia="zh-CN"/>
              </w:rPr>
            </w:pPr>
            <w:r>
              <w:rPr>
                <w:rFonts w:hint="eastAsia"/>
                <w:lang w:val="en-US" w:eastAsia="zh-CN"/>
              </w:rPr>
              <w:t>1</w:t>
            </w:r>
          </w:p>
        </w:tc>
        <w:tc>
          <w:tcPr>
            <w:tcW w:w="1058" w:type="pct"/>
            <w:shd w:val="clear" w:color="auto" w:fill="auto"/>
            <w:vAlign w:val="center"/>
          </w:tcPr>
          <w:p w14:paraId="3A9F9951">
            <w:pPr>
              <w:pStyle w:val="17"/>
              <w:rPr>
                <w:rFonts w:hint="default"/>
                <w:lang w:val="en-US" w:eastAsia="zh-CN"/>
              </w:rPr>
            </w:pPr>
            <w:r>
              <w:rPr>
                <w:rFonts w:hint="eastAsia"/>
                <w:lang w:val="en-US" w:eastAsia="zh-CN"/>
              </w:rPr>
              <w:t>50038119870308591X</w:t>
            </w:r>
          </w:p>
        </w:tc>
        <w:tc>
          <w:tcPr>
            <w:tcW w:w="1058" w:type="pct"/>
            <w:shd w:val="clear" w:color="auto" w:fill="auto"/>
            <w:vAlign w:val="center"/>
          </w:tcPr>
          <w:p w14:paraId="0E458964">
            <w:pPr>
              <w:pStyle w:val="17"/>
              <w:rPr>
                <w:rFonts w:hint="default"/>
                <w:lang w:val="en-US" w:eastAsia="zh-CN"/>
              </w:rPr>
            </w:pPr>
            <w:r>
              <w:rPr>
                <w:rFonts w:hint="eastAsia"/>
                <w:lang w:val="en-US" w:eastAsia="zh-CN"/>
              </w:rPr>
              <w:t>渝建安C1（2023）0005028</w:t>
            </w:r>
          </w:p>
        </w:tc>
        <w:tc>
          <w:tcPr>
            <w:tcW w:w="1073" w:type="pct"/>
            <w:shd w:val="clear" w:color="auto" w:fill="auto"/>
            <w:vAlign w:val="center"/>
          </w:tcPr>
          <w:p w14:paraId="1763F0E4">
            <w:pPr>
              <w:pStyle w:val="17"/>
              <w:rPr>
                <w:rFonts w:hint="eastAsia"/>
                <w:lang w:val="en-US" w:eastAsia="zh-CN"/>
              </w:rPr>
            </w:pPr>
            <w:r>
              <w:rPr>
                <w:rFonts w:hint="eastAsia"/>
                <w:lang w:val="en-US" w:eastAsia="zh-CN"/>
              </w:rPr>
              <w:t>工程项目的质量管理工作</w:t>
            </w:r>
          </w:p>
        </w:tc>
        <w:tc>
          <w:tcPr>
            <w:tcW w:w="293" w:type="pct"/>
            <w:shd w:val="clear" w:color="auto" w:fill="auto"/>
            <w:vAlign w:val="center"/>
          </w:tcPr>
          <w:p w14:paraId="4DD86AF7">
            <w:pPr>
              <w:pStyle w:val="17"/>
            </w:pPr>
          </w:p>
        </w:tc>
      </w:tr>
      <w:tr w14:paraId="64A86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7" w:type="pct"/>
            <w:gridSpan w:val="3"/>
            <w:vAlign w:val="center"/>
          </w:tcPr>
          <w:p w14:paraId="56F4198C">
            <w:pPr>
              <w:pStyle w:val="17"/>
              <w:rPr>
                <w:rFonts w:hint="eastAsia"/>
              </w:rPr>
            </w:pPr>
            <w:r>
              <w:rPr>
                <w:rFonts w:hint="eastAsia"/>
              </w:rPr>
              <w:t>总计</w:t>
            </w:r>
          </w:p>
        </w:tc>
        <w:tc>
          <w:tcPr>
            <w:tcW w:w="218" w:type="pct"/>
            <w:vAlign w:val="center"/>
          </w:tcPr>
          <w:p w14:paraId="40E27588">
            <w:pPr>
              <w:pStyle w:val="17"/>
            </w:pPr>
            <w:r>
              <w:fldChar w:fldCharType="begin"/>
            </w:r>
            <w:r>
              <w:instrText xml:space="preserve"> =SUM(ABOVE) </w:instrText>
            </w:r>
            <w:r>
              <w:fldChar w:fldCharType="separate"/>
            </w:r>
            <w:r>
              <w:t>4</w:t>
            </w:r>
            <w:r>
              <w:fldChar w:fldCharType="end"/>
            </w:r>
          </w:p>
        </w:tc>
        <w:tc>
          <w:tcPr>
            <w:tcW w:w="1058" w:type="pct"/>
            <w:vAlign w:val="center"/>
          </w:tcPr>
          <w:p w14:paraId="4CDC7347">
            <w:pPr>
              <w:pStyle w:val="17"/>
            </w:pPr>
          </w:p>
        </w:tc>
        <w:tc>
          <w:tcPr>
            <w:tcW w:w="1058" w:type="pct"/>
            <w:vAlign w:val="center"/>
          </w:tcPr>
          <w:p w14:paraId="5A138530">
            <w:pPr>
              <w:pStyle w:val="17"/>
            </w:pPr>
          </w:p>
        </w:tc>
        <w:tc>
          <w:tcPr>
            <w:tcW w:w="1073" w:type="pct"/>
            <w:vAlign w:val="center"/>
          </w:tcPr>
          <w:p w14:paraId="50A3C181">
            <w:pPr>
              <w:pStyle w:val="17"/>
            </w:pPr>
          </w:p>
        </w:tc>
        <w:tc>
          <w:tcPr>
            <w:tcW w:w="293" w:type="pct"/>
            <w:vAlign w:val="center"/>
          </w:tcPr>
          <w:p w14:paraId="0D8EA859">
            <w:pPr>
              <w:pStyle w:val="17"/>
            </w:pPr>
          </w:p>
        </w:tc>
      </w:tr>
    </w:tbl>
    <w:p w14:paraId="0942CB0A">
      <w:pPr>
        <w:pStyle w:val="3"/>
        <w:rPr>
          <w:color w:val="000000" w:themeColor="text1"/>
          <w14:textFill>
            <w14:solidFill>
              <w14:schemeClr w14:val="tx1"/>
            </w14:solidFill>
          </w14:textFill>
        </w:rPr>
      </w:pPr>
      <w:bookmarkStart w:id="156" w:name="_Toc131174061"/>
      <w:bookmarkStart w:id="157" w:name="_Toc119416154"/>
      <w:bookmarkStart w:id="158" w:name="_Toc24367"/>
      <w:bookmarkStart w:id="159" w:name="_Toc9891"/>
      <w:bookmarkStart w:id="160" w:name="_Toc103688655"/>
      <w:bookmarkStart w:id="161" w:name="_Toc103689365"/>
      <w:r>
        <w:rPr>
          <w:rFonts w:hint="eastAsia"/>
          <w:color w:val="000000" w:themeColor="text1"/>
          <w14:textFill>
            <w14:solidFill>
              <w14:schemeClr w14:val="tx1"/>
            </w14:solidFill>
          </w14:textFill>
        </w:rPr>
        <w:t>施工作业人员配备及分工</w:t>
      </w:r>
      <w:bookmarkEnd w:id="156"/>
      <w:bookmarkEnd w:id="157"/>
      <w:bookmarkEnd w:id="158"/>
      <w:bookmarkEnd w:id="159"/>
      <w:bookmarkEnd w:id="160"/>
      <w:bookmarkEnd w:id="161"/>
    </w:p>
    <w:p w14:paraId="789A2A4C">
      <w:pPr>
        <w:ind w:firstLine="480"/>
      </w:pPr>
      <w:r>
        <w:rPr>
          <w:rFonts w:hint="eastAsia"/>
        </w:rPr>
        <w:t>设备安拆施工特种作业人员配备和分工详见。</w:t>
      </w:r>
    </w:p>
    <w:p w14:paraId="5BECA5A8">
      <w:pPr>
        <w:pStyle w:val="16"/>
      </w:pPr>
      <w:bookmarkStart w:id="162" w:name="_Toc14865"/>
      <w:bookmarkStart w:id="163" w:name="_Toc103688656"/>
      <w:bookmarkStart w:id="164" w:name="_Toc119416155"/>
      <w:bookmarkStart w:id="165" w:name="_Toc1036893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53"/>
        <w:gridCol w:w="442"/>
        <w:gridCol w:w="427"/>
        <w:gridCol w:w="2106"/>
        <w:gridCol w:w="2106"/>
        <w:gridCol w:w="1955"/>
        <w:gridCol w:w="606"/>
      </w:tblGrid>
      <w:tr w14:paraId="3748B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Align w:val="center"/>
          </w:tcPr>
          <w:p w14:paraId="551E5331">
            <w:pPr>
              <w:pStyle w:val="17"/>
              <w:rPr>
                <w:b/>
              </w:rPr>
            </w:pPr>
            <w:r>
              <w:rPr>
                <w:rFonts w:hint="eastAsia"/>
                <w:b/>
              </w:rPr>
              <w:t>序号</w:t>
            </w:r>
          </w:p>
        </w:tc>
        <w:tc>
          <w:tcPr>
            <w:tcW w:w="361" w:type="pct"/>
            <w:vAlign w:val="center"/>
          </w:tcPr>
          <w:p w14:paraId="31119F48">
            <w:pPr>
              <w:pStyle w:val="17"/>
              <w:rPr>
                <w:b/>
              </w:rPr>
            </w:pPr>
            <w:r>
              <w:rPr>
                <w:rFonts w:hint="eastAsia"/>
                <w:b/>
              </w:rPr>
              <w:t>工种</w:t>
            </w:r>
          </w:p>
        </w:tc>
        <w:tc>
          <w:tcPr>
            <w:tcW w:w="313" w:type="pct"/>
            <w:vAlign w:val="center"/>
          </w:tcPr>
          <w:p w14:paraId="7FB8CA57">
            <w:pPr>
              <w:pStyle w:val="17"/>
              <w:rPr>
                <w:rFonts w:hint="eastAsia" w:eastAsia="宋体"/>
                <w:b/>
                <w:lang w:val="en-US" w:eastAsia="zh-CN"/>
              </w:rPr>
            </w:pPr>
            <w:r>
              <w:rPr>
                <w:rFonts w:hint="eastAsia"/>
                <w:b/>
                <w:lang w:val="en-US" w:eastAsia="zh-CN"/>
              </w:rPr>
              <w:t>姓名</w:t>
            </w:r>
          </w:p>
        </w:tc>
        <w:tc>
          <w:tcPr>
            <w:tcW w:w="265" w:type="pct"/>
            <w:vAlign w:val="center"/>
          </w:tcPr>
          <w:p w14:paraId="09E64C59">
            <w:pPr>
              <w:pStyle w:val="17"/>
              <w:rPr>
                <w:b/>
              </w:rPr>
            </w:pPr>
            <w:r>
              <w:rPr>
                <w:rFonts w:hint="eastAsia"/>
                <w:b/>
              </w:rPr>
              <w:t>人数</w:t>
            </w:r>
          </w:p>
        </w:tc>
        <w:tc>
          <w:tcPr>
            <w:tcW w:w="1070" w:type="pct"/>
            <w:vAlign w:val="center"/>
          </w:tcPr>
          <w:p w14:paraId="2ADB847D">
            <w:pPr>
              <w:pStyle w:val="17"/>
              <w:ind w:firstLine="0" w:firstLineChars="0"/>
              <w:rPr>
                <w:rFonts w:hint="eastAsia" w:ascii="Times New Roman" w:hAnsi="Times New Roman" w:eastAsia="宋体" w:cs="Times New Roman"/>
                <w:b/>
                <w:kern w:val="2"/>
                <w:sz w:val="21"/>
                <w:szCs w:val="21"/>
                <w:lang w:val="en-US" w:eastAsia="zh-CN" w:bidi="ar-SA"/>
              </w:rPr>
            </w:pPr>
            <w:r>
              <w:rPr>
                <w:rFonts w:hint="eastAsia"/>
                <w:b/>
                <w:lang w:val="en-US" w:eastAsia="zh-CN"/>
              </w:rPr>
              <w:t>身份证号</w:t>
            </w:r>
          </w:p>
        </w:tc>
        <w:tc>
          <w:tcPr>
            <w:tcW w:w="1070" w:type="pct"/>
            <w:vAlign w:val="center"/>
          </w:tcPr>
          <w:p w14:paraId="70BCFA58">
            <w:pPr>
              <w:pStyle w:val="17"/>
              <w:ind w:firstLine="0" w:firstLineChars="0"/>
              <w:rPr>
                <w:rFonts w:hint="eastAsia" w:ascii="Times New Roman" w:hAnsi="Times New Roman" w:eastAsia="宋体" w:cs="Times New Roman"/>
                <w:b/>
                <w:kern w:val="2"/>
                <w:sz w:val="21"/>
                <w:szCs w:val="21"/>
                <w:lang w:val="en-US" w:eastAsia="zh-CN" w:bidi="ar-SA"/>
              </w:rPr>
            </w:pPr>
            <w:r>
              <w:rPr>
                <w:rFonts w:hint="eastAsia"/>
                <w:b/>
                <w:lang w:val="en-US" w:eastAsia="zh-CN"/>
              </w:rPr>
              <w:t>证件号</w:t>
            </w:r>
          </w:p>
        </w:tc>
        <w:tc>
          <w:tcPr>
            <w:tcW w:w="1241" w:type="pct"/>
            <w:vAlign w:val="center"/>
          </w:tcPr>
          <w:p w14:paraId="5E5DA6F6">
            <w:pPr>
              <w:pStyle w:val="17"/>
              <w:rPr>
                <w:b/>
              </w:rPr>
            </w:pPr>
            <w:r>
              <w:rPr>
                <w:rFonts w:hint="eastAsia"/>
                <w:b/>
              </w:rPr>
              <w:t>工作职责</w:t>
            </w:r>
          </w:p>
        </w:tc>
        <w:tc>
          <w:tcPr>
            <w:tcW w:w="410" w:type="pct"/>
            <w:vAlign w:val="center"/>
          </w:tcPr>
          <w:p w14:paraId="65A9DEB5">
            <w:pPr>
              <w:pStyle w:val="17"/>
              <w:rPr>
                <w:b/>
              </w:rPr>
            </w:pPr>
            <w:r>
              <w:rPr>
                <w:rFonts w:hint="eastAsia"/>
                <w:b/>
              </w:rPr>
              <w:t>备注</w:t>
            </w:r>
          </w:p>
        </w:tc>
      </w:tr>
      <w:tr w14:paraId="29A37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shd w:val="clear" w:color="auto" w:fill="auto"/>
            <w:vAlign w:val="center"/>
          </w:tcPr>
          <w:p w14:paraId="3206248E">
            <w:pPr>
              <w:pStyle w:val="17"/>
              <w:numPr>
                <w:ilvl w:val="0"/>
                <w:numId w:val="52"/>
              </w:numPr>
            </w:pPr>
          </w:p>
        </w:tc>
        <w:tc>
          <w:tcPr>
            <w:tcW w:w="361" w:type="pct"/>
            <w:shd w:val="clear" w:color="auto" w:fill="auto"/>
            <w:vAlign w:val="center"/>
          </w:tcPr>
          <w:p w14:paraId="6D0CD8CC">
            <w:pPr>
              <w:pStyle w:val="17"/>
              <w:rPr>
                <w:rFonts w:hint="eastAsia"/>
                <w:lang w:val="en-US" w:eastAsia="zh-CN"/>
              </w:rPr>
            </w:pPr>
            <w:r>
              <w:rPr>
                <w:rFonts w:hint="eastAsia"/>
                <w:lang w:val="en-US" w:eastAsia="zh-CN"/>
              </w:rPr>
              <w:t>起重指挥</w:t>
            </w:r>
          </w:p>
        </w:tc>
        <w:tc>
          <w:tcPr>
            <w:tcW w:w="313" w:type="pct"/>
            <w:shd w:val="clear" w:color="auto" w:fill="auto"/>
            <w:vAlign w:val="center"/>
          </w:tcPr>
          <w:p w14:paraId="4F95D9EE">
            <w:pPr>
              <w:pStyle w:val="17"/>
              <w:rPr>
                <w:rFonts w:hint="eastAsia"/>
                <w:lang w:val="en-US" w:eastAsia="zh-CN"/>
              </w:rPr>
            </w:pPr>
            <w:r>
              <w:rPr>
                <w:rFonts w:hint="eastAsia"/>
                <w:lang w:val="en-US" w:eastAsia="zh-CN"/>
              </w:rPr>
              <w:t>向杰</w:t>
            </w:r>
          </w:p>
        </w:tc>
        <w:tc>
          <w:tcPr>
            <w:tcW w:w="265" w:type="pct"/>
            <w:shd w:val="clear" w:color="auto" w:fill="auto"/>
            <w:vAlign w:val="center"/>
          </w:tcPr>
          <w:p w14:paraId="490B5882">
            <w:pPr>
              <w:pStyle w:val="17"/>
              <w:rPr>
                <w:rFonts w:hint="eastAsia"/>
                <w:lang w:val="en-US" w:eastAsia="zh-CN"/>
              </w:rPr>
            </w:pPr>
            <w:r>
              <w:rPr>
                <w:rFonts w:hint="eastAsia"/>
                <w:lang w:val="en-US" w:eastAsia="zh-CN"/>
              </w:rPr>
              <w:t>1</w:t>
            </w:r>
          </w:p>
        </w:tc>
        <w:tc>
          <w:tcPr>
            <w:tcW w:w="1070" w:type="pct"/>
            <w:shd w:val="clear" w:color="auto" w:fill="auto"/>
            <w:vAlign w:val="center"/>
          </w:tcPr>
          <w:p w14:paraId="4ACDE354">
            <w:pPr>
              <w:pStyle w:val="17"/>
              <w:rPr>
                <w:rFonts w:hint="eastAsia"/>
                <w:lang w:val="en-US" w:eastAsia="zh-CN"/>
              </w:rPr>
            </w:pPr>
            <w:r>
              <w:rPr>
                <w:rFonts w:hint="eastAsia"/>
                <w:lang w:val="en-US" w:eastAsia="zh-CN"/>
              </w:rPr>
              <w:t>510525199407268857</w:t>
            </w:r>
          </w:p>
        </w:tc>
        <w:tc>
          <w:tcPr>
            <w:tcW w:w="1070" w:type="pct"/>
            <w:shd w:val="clear" w:color="auto" w:fill="auto"/>
            <w:vAlign w:val="center"/>
          </w:tcPr>
          <w:p w14:paraId="3D4DC312">
            <w:pPr>
              <w:pStyle w:val="17"/>
              <w:rPr>
                <w:rFonts w:hint="default"/>
                <w:lang w:val="en-US" w:eastAsia="zh-CN"/>
              </w:rPr>
            </w:pPr>
            <w:r>
              <w:rPr>
                <w:rFonts w:hint="eastAsia"/>
                <w:lang w:val="en-US" w:eastAsia="zh-CN"/>
              </w:rPr>
              <w:t>510525199407268857</w:t>
            </w:r>
          </w:p>
        </w:tc>
        <w:tc>
          <w:tcPr>
            <w:tcW w:w="1241" w:type="pct"/>
            <w:shd w:val="clear" w:color="auto" w:fill="auto"/>
            <w:vAlign w:val="center"/>
          </w:tcPr>
          <w:p w14:paraId="70917061">
            <w:pPr>
              <w:pStyle w:val="17"/>
              <w:rPr>
                <w:rFonts w:hint="eastAsia"/>
                <w:lang w:val="en-US" w:eastAsia="zh-CN"/>
              </w:rPr>
            </w:pPr>
            <w:r>
              <w:rPr>
                <w:rFonts w:hint="eastAsia"/>
                <w:lang w:val="en-US" w:eastAsia="zh-CN"/>
              </w:rPr>
              <w:t>负责现场起重作业的指挥与协调</w:t>
            </w:r>
          </w:p>
        </w:tc>
        <w:tc>
          <w:tcPr>
            <w:tcW w:w="410" w:type="pct"/>
            <w:shd w:val="clear" w:color="auto" w:fill="auto"/>
            <w:vAlign w:val="center"/>
          </w:tcPr>
          <w:p w14:paraId="4274DF75">
            <w:pPr>
              <w:pStyle w:val="17"/>
            </w:pPr>
            <w:r>
              <w:rPr>
                <w:rFonts w:hint="eastAsia"/>
              </w:rPr>
              <w:t>本单位人员</w:t>
            </w:r>
          </w:p>
        </w:tc>
      </w:tr>
      <w:tr w14:paraId="336B9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shd w:val="clear" w:color="auto" w:fill="auto"/>
            <w:vAlign w:val="center"/>
          </w:tcPr>
          <w:p w14:paraId="13F1687D">
            <w:pPr>
              <w:pStyle w:val="17"/>
              <w:numPr>
                <w:ilvl w:val="0"/>
                <w:numId w:val="52"/>
              </w:numPr>
            </w:pPr>
          </w:p>
        </w:tc>
        <w:tc>
          <w:tcPr>
            <w:tcW w:w="361" w:type="pct"/>
            <w:shd w:val="clear" w:color="auto" w:fill="auto"/>
            <w:vAlign w:val="center"/>
          </w:tcPr>
          <w:p w14:paraId="3759B0EE">
            <w:pPr>
              <w:pStyle w:val="17"/>
              <w:rPr>
                <w:rFonts w:hint="eastAsia"/>
                <w:lang w:val="en-US" w:eastAsia="zh-CN"/>
              </w:rPr>
            </w:pPr>
            <w:r>
              <w:rPr>
                <w:rFonts w:hint="eastAsia"/>
                <w:lang w:val="en-US" w:eastAsia="zh-CN"/>
              </w:rPr>
              <w:t>起重司机</w:t>
            </w:r>
          </w:p>
        </w:tc>
        <w:tc>
          <w:tcPr>
            <w:tcW w:w="313" w:type="pct"/>
            <w:shd w:val="clear" w:color="auto" w:fill="auto"/>
            <w:vAlign w:val="center"/>
          </w:tcPr>
          <w:p w14:paraId="7668D349">
            <w:pPr>
              <w:pStyle w:val="17"/>
              <w:rPr>
                <w:rFonts w:hint="eastAsia"/>
                <w:lang w:val="en-US" w:eastAsia="zh-CN"/>
              </w:rPr>
            </w:pPr>
            <w:r>
              <w:rPr>
                <w:rFonts w:hint="eastAsia"/>
                <w:lang w:val="en-US" w:eastAsia="zh-CN"/>
              </w:rPr>
              <w:t>张云桥</w:t>
            </w:r>
          </w:p>
        </w:tc>
        <w:tc>
          <w:tcPr>
            <w:tcW w:w="265" w:type="pct"/>
            <w:shd w:val="clear" w:color="auto" w:fill="auto"/>
            <w:vAlign w:val="center"/>
          </w:tcPr>
          <w:p w14:paraId="688943D1">
            <w:pPr>
              <w:pStyle w:val="17"/>
              <w:rPr>
                <w:rFonts w:hint="eastAsia"/>
                <w:lang w:val="en-US" w:eastAsia="zh-CN"/>
              </w:rPr>
            </w:pPr>
            <w:r>
              <w:rPr>
                <w:rFonts w:hint="eastAsia"/>
                <w:lang w:val="en-US" w:eastAsia="zh-CN"/>
              </w:rPr>
              <w:t>1</w:t>
            </w:r>
          </w:p>
        </w:tc>
        <w:tc>
          <w:tcPr>
            <w:tcW w:w="1070" w:type="pct"/>
            <w:shd w:val="clear" w:color="auto" w:fill="auto"/>
            <w:vAlign w:val="center"/>
          </w:tcPr>
          <w:p w14:paraId="7513A0F0">
            <w:pPr>
              <w:pStyle w:val="17"/>
              <w:rPr>
                <w:rFonts w:hint="default"/>
                <w:lang w:val="en-US" w:eastAsia="zh-CN"/>
              </w:rPr>
            </w:pPr>
            <w:r>
              <w:rPr>
                <w:rFonts w:hint="eastAsia"/>
                <w:lang w:val="en-US" w:eastAsia="zh-CN"/>
              </w:rPr>
              <w:t>511524198803036070</w:t>
            </w:r>
          </w:p>
        </w:tc>
        <w:tc>
          <w:tcPr>
            <w:tcW w:w="1070" w:type="pct"/>
            <w:shd w:val="clear" w:color="auto" w:fill="auto"/>
            <w:vAlign w:val="center"/>
          </w:tcPr>
          <w:p w14:paraId="60E1119D">
            <w:pPr>
              <w:pStyle w:val="17"/>
              <w:rPr>
                <w:rFonts w:hint="default"/>
                <w:lang w:val="en-US" w:eastAsia="zh-CN"/>
              </w:rPr>
            </w:pPr>
            <w:r>
              <w:rPr>
                <w:rFonts w:hint="eastAsia"/>
                <w:lang w:val="en-US" w:eastAsia="zh-CN"/>
              </w:rPr>
              <w:t>川A052021703645</w:t>
            </w:r>
          </w:p>
        </w:tc>
        <w:tc>
          <w:tcPr>
            <w:tcW w:w="1241" w:type="pct"/>
            <w:shd w:val="clear" w:color="auto" w:fill="auto"/>
            <w:vAlign w:val="center"/>
          </w:tcPr>
          <w:p w14:paraId="09AB183D">
            <w:pPr>
              <w:pStyle w:val="17"/>
              <w:rPr>
                <w:rFonts w:hint="eastAsia"/>
                <w:lang w:val="en-US" w:eastAsia="zh-CN"/>
              </w:rPr>
            </w:pPr>
            <w:r>
              <w:rPr>
                <w:rFonts w:hint="eastAsia"/>
                <w:lang w:val="en-US" w:eastAsia="zh-CN"/>
              </w:rPr>
              <w:t>负责设备安装作业过程中的起重操作</w:t>
            </w:r>
          </w:p>
        </w:tc>
        <w:tc>
          <w:tcPr>
            <w:tcW w:w="410" w:type="pct"/>
            <w:shd w:val="clear" w:color="auto" w:fill="auto"/>
            <w:vAlign w:val="center"/>
          </w:tcPr>
          <w:p w14:paraId="012E2146">
            <w:pPr>
              <w:pStyle w:val="17"/>
            </w:pPr>
            <w:r>
              <w:rPr>
                <w:rFonts w:hint="eastAsia"/>
              </w:rPr>
              <w:t>本单位人员</w:t>
            </w:r>
          </w:p>
        </w:tc>
      </w:tr>
      <w:tr w14:paraId="560CC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shd w:val="clear" w:color="auto" w:fill="auto"/>
            <w:vAlign w:val="center"/>
          </w:tcPr>
          <w:p w14:paraId="10FC9EDE">
            <w:pPr>
              <w:pStyle w:val="17"/>
              <w:numPr>
                <w:ilvl w:val="0"/>
                <w:numId w:val="52"/>
              </w:numPr>
            </w:pPr>
          </w:p>
        </w:tc>
        <w:tc>
          <w:tcPr>
            <w:tcW w:w="361" w:type="pct"/>
            <w:shd w:val="clear" w:color="auto" w:fill="auto"/>
            <w:vAlign w:val="center"/>
          </w:tcPr>
          <w:p w14:paraId="52D9EBB3">
            <w:pPr>
              <w:pStyle w:val="17"/>
              <w:rPr>
                <w:rFonts w:hint="eastAsia"/>
                <w:lang w:val="en-US" w:eastAsia="zh-CN"/>
              </w:rPr>
            </w:pPr>
            <w:r>
              <w:rPr>
                <w:rFonts w:hint="eastAsia"/>
                <w:lang w:val="en-US" w:eastAsia="zh-CN"/>
              </w:rPr>
              <w:t>司索工</w:t>
            </w:r>
          </w:p>
        </w:tc>
        <w:tc>
          <w:tcPr>
            <w:tcW w:w="313" w:type="pct"/>
            <w:shd w:val="clear" w:color="auto" w:fill="auto"/>
            <w:vAlign w:val="center"/>
          </w:tcPr>
          <w:p w14:paraId="4D551C1E">
            <w:pPr>
              <w:pStyle w:val="17"/>
              <w:rPr>
                <w:rFonts w:hint="eastAsia"/>
                <w:lang w:val="en-US" w:eastAsia="zh-CN"/>
              </w:rPr>
            </w:pPr>
            <w:r>
              <w:rPr>
                <w:rFonts w:hint="eastAsia"/>
                <w:lang w:val="en-US" w:eastAsia="zh-CN"/>
              </w:rPr>
              <w:t>罗乾龙</w:t>
            </w:r>
          </w:p>
        </w:tc>
        <w:tc>
          <w:tcPr>
            <w:tcW w:w="265" w:type="pct"/>
            <w:shd w:val="clear" w:color="auto" w:fill="auto"/>
            <w:vAlign w:val="center"/>
          </w:tcPr>
          <w:p w14:paraId="3BBE8301">
            <w:pPr>
              <w:pStyle w:val="17"/>
              <w:rPr>
                <w:rFonts w:hint="eastAsia"/>
                <w:lang w:val="en-US" w:eastAsia="zh-CN"/>
              </w:rPr>
            </w:pPr>
            <w:r>
              <w:rPr>
                <w:rFonts w:hint="eastAsia"/>
                <w:lang w:val="en-US" w:eastAsia="zh-CN"/>
              </w:rPr>
              <w:t>1</w:t>
            </w:r>
          </w:p>
        </w:tc>
        <w:tc>
          <w:tcPr>
            <w:tcW w:w="1070" w:type="pct"/>
            <w:shd w:val="clear" w:color="auto" w:fill="auto"/>
            <w:vAlign w:val="center"/>
          </w:tcPr>
          <w:p w14:paraId="51615C47">
            <w:pPr>
              <w:pStyle w:val="17"/>
              <w:rPr>
                <w:rFonts w:hint="eastAsia"/>
                <w:lang w:val="en-US" w:eastAsia="zh-CN"/>
              </w:rPr>
            </w:pPr>
            <w:r>
              <w:rPr>
                <w:rFonts w:hint="eastAsia"/>
                <w:lang w:val="en-US" w:eastAsia="zh-CN"/>
              </w:rPr>
              <w:t>500240198909025231</w:t>
            </w:r>
          </w:p>
        </w:tc>
        <w:tc>
          <w:tcPr>
            <w:tcW w:w="1070" w:type="pct"/>
            <w:shd w:val="clear" w:color="auto" w:fill="auto"/>
            <w:vAlign w:val="center"/>
          </w:tcPr>
          <w:p w14:paraId="7AA55FF7">
            <w:pPr>
              <w:pStyle w:val="17"/>
              <w:rPr>
                <w:rFonts w:hint="default"/>
                <w:lang w:val="en-US" w:eastAsia="zh-CN"/>
              </w:rPr>
            </w:pPr>
            <w:r>
              <w:rPr>
                <w:rFonts w:hint="eastAsia"/>
                <w:lang w:val="en-US" w:eastAsia="zh-CN"/>
              </w:rPr>
              <w:t>500240198909025231</w:t>
            </w:r>
          </w:p>
        </w:tc>
        <w:tc>
          <w:tcPr>
            <w:tcW w:w="1241" w:type="pct"/>
            <w:shd w:val="clear" w:color="auto" w:fill="auto"/>
            <w:vAlign w:val="center"/>
          </w:tcPr>
          <w:p w14:paraId="6C241F62">
            <w:pPr>
              <w:pStyle w:val="17"/>
              <w:rPr>
                <w:rFonts w:hint="eastAsia"/>
                <w:lang w:val="en-US" w:eastAsia="zh-CN"/>
              </w:rPr>
            </w:pPr>
            <w:r>
              <w:rPr>
                <w:rFonts w:hint="eastAsia"/>
                <w:lang w:val="en-US" w:eastAsia="zh-CN"/>
              </w:rPr>
              <w:t>负责现场吊装作业钢丝绳挂钩作业</w:t>
            </w:r>
          </w:p>
        </w:tc>
        <w:tc>
          <w:tcPr>
            <w:tcW w:w="410" w:type="pct"/>
            <w:shd w:val="clear" w:color="auto" w:fill="auto"/>
            <w:vAlign w:val="center"/>
          </w:tcPr>
          <w:p w14:paraId="3126B0ED">
            <w:pPr>
              <w:pStyle w:val="17"/>
            </w:pPr>
            <w:r>
              <w:rPr>
                <w:rFonts w:hint="eastAsia"/>
              </w:rPr>
              <w:t>本单位人员</w:t>
            </w:r>
          </w:p>
        </w:tc>
      </w:tr>
      <w:tr w14:paraId="0C9AB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shd w:val="clear" w:color="auto" w:fill="auto"/>
            <w:vAlign w:val="center"/>
          </w:tcPr>
          <w:p w14:paraId="1D7431D7">
            <w:pPr>
              <w:pStyle w:val="17"/>
              <w:numPr>
                <w:ilvl w:val="0"/>
                <w:numId w:val="52"/>
              </w:numPr>
            </w:pPr>
          </w:p>
        </w:tc>
        <w:tc>
          <w:tcPr>
            <w:tcW w:w="361" w:type="pct"/>
            <w:shd w:val="clear" w:color="auto" w:fill="auto"/>
            <w:vAlign w:val="center"/>
          </w:tcPr>
          <w:p w14:paraId="2B2E431C">
            <w:pPr>
              <w:pStyle w:val="17"/>
              <w:rPr>
                <w:rFonts w:hint="eastAsia"/>
                <w:lang w:val="en-US" w:eastAsia="zh-CN"/>
              </w:rPr>
            </w:pPr>
            <w:r>
              <w:rPr>
                <w:rFonts w:hint="eastAsia"/>
                <w:lang w:val="en-US" w:eastAsia="zh-CN"/>
              </w:rPr>
              <w:t>电工</w:t>
            </w:r>
          </w:p>
        </w:tc>
        <w:tc>
          <w:tcPr>
            <w:tcW w:w="313" w:type="pct"/>
            <w:shd w:val="clear" w:color="auto" w:fill="auto"/>
            <w:vAlign w:val="center"/>
          </w:tcPr>
          <w:p w14:paraId="22344C83">
            <w:pPr>
              <w:pStyle w:val="17"/>
              <w:rPr>
                <w:rFonts w:hint="eastAsia"/>
                <w:lang w:val="en-US" w:eastAsia="zh-CN"/>
              </w:rPr>
            </w:pPr>
            <w:r>
              <w:rPr>
                <w:rFonts w:hint="eastAsia"/>
                <w:lang w:val="en-US" w:eastAsia="zh-CN"/>
              </w:rPr>
              <w:t>吴强</w:t>
            </w:r>
          </w:p>
        </w:tc>
        <w:tc>
          <w:tcPr>
            <w:tcW w:w="265" w:type="pct"/>
            <w:shd w:val="clear" w:color="auto" w:fill="auto"/>
            <w:vAlign w:val="center"/>
          </w:tcPr>
          <w:p w14:paraId="4E4F870C">
            <w:pPr>
              <w:pStyle w:val="17"/>
              <w:rPr>
                <w:rFonts w:hint="eastAsia"/>
                <w:lang w:val="en-US" w:eastAsia="zh-CN"/>
              </w:rPr>
            </w:pPr>
            <w:r>
              <w:rPr>
                <w:rFonts w:hint="eastAsia"/>
                <w:lang w:val="en-US" w:eastAsia="zh-CN"/>
              </w:rPr>
              <w:t>1</w:t>
            </w:r>
          </w:p>
        </w:tc>
        <w:tc>
          <w:tcPr>
            <w:tcW w:w="1070" w:type="pct"/>
            <w:shd w:val="clear" w:color="auto" w:fill="auto"/>
            <w:vAlign w:val="center"/>
          </w:tcPr>
          <w:p w14:paraId="49DE243D">
            <w:pPr>
              <w:pStyle w:val="17"/>
              <w:rPr>
                <w:rFonts w:hint="default"/>
                <w:lang w:val="en-US" w:eastAsia="zh-CN"/>
              </w:rPr>
            </w:pPr>
            <w:r>
              <w:rPr>
                <w:rFonts w:hint="eastAsia"/>
                <w:lang w:val="en-US" w:eastAsia="zh-CN"/>
              </w:rPr>
              <w:t>510525198702278850</w:t>
            </w:r>
          </w:p>
        </w:tc>
        <w:tc>
          <w:tcPr>
            <w:tcW w:w="1070" w:type="pct"/>
            <w:shd w:val="clear" w:color="auto" w:fill="auto"/>
            <w:vAlign w:val="center"/>
          </w:tcPr>
          <w:p w14:paraId="2C77EEBA">
            <w:pPr>
              <w:pStyle w:val="17"/>
              <w:rPr>
                <w:rFonts w:hint="default"/>
                <w:lang w:val="en-US" w:eastAsia="zh-CN"/>
              </w:rPr>
            </w:pPr>
            <w:r>
              <w:rPr>
                <w:rFonts w:hint="eastAsia"/>
                <w:lang w:val="en-US" w:eastAsia="zh-CN"/>
              </w:rPr>
              <w:t>琼D012023039814</w:t>
            </w:r>
          </w:p>
        </w:tc>
        <w:tc>
          <w:tcPr>
            <w:tcW w:w="1241" w:type="pct"/>
            <w:shd w:val="clear" w:color="auto" w:fill="auto"/>
            <w:vAlign w:val="center"/>
          </w:tcPr>
          <w:p w14:paraId="5A81E81F">
            <w:pPr>
              <w:pStyle w:val="17"/>
              <w:rPr>
                <w:rFonts w:hint="eastAsia"/>
                <w:lang w:val="en-US" w:eastAsia="zh-CN"/>
              </w:rPr>
            </w:pPr>
            <w:r>
              <w:rPr>
                <w:rFonts w:hint="eastAsia"/>
                <w:lang w:val="en-US" w:eastAsia="zh-CN"/>
              </w:rPr>
              <w:t>负责设备的电气检查、安装拆除方案中电气安装</w:t>
            </w:r>
          </w:p>
        </w:tc>
        <w:tc>
          <w:tcPr>
            <w:tcW w:w="410" w:type="pct"/>
            <w:shd w:val="clear" w:color="auto" w:fill="auto"/>
            <w:vAlign w:val="center"/>
          </w:tcPr>
          <w:p w14:paraId="034238BB">
            <w:pPr>
              <w:pStyle w:val="17"/>
            </w:pPr>
            <w:r>
              <w:rPr>
                <w:rFonts w:hint="eastAsia"/>
              </w:rPr>
              <w:t>本单位人员</w:t>
            </w:r>
          </w:p>
        </w:tc>
      </w:tr>
      <w:tr w14:paraId="77F0D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0" w:type="pct"/>
            <w:gridSpan w:val="3"/>
            <w:vAlign w:val="center"/>
          </w:tcPr>
          <w:p w14:paraId="64BAA274">
            <w:pPr>
              <w:pStyle w:val="17"/>
              <w:rPr>
                <w:rFonts w:hint="eastAsia"/>
              </w:rPr>
            </w:pPr>
            <w:r>
              <w:rPr>
                <w:rFonts w:hint="eastAsia"/>
              </w:rPr>
              <w:t>总计</w:t>
            </w:r>
          </w:p>
        </w:tc>
        <w:tc>
          <w:tcPr>
            <w:tcW w:w="265" w:type="pct"/>
            <w:vAlign w:val="center"/>
          </w:tcPr>
          <w:p w14:paraId="251DEEC5">
            <w:pPr>
              <w:pStyle w:val="17"/>
            </w:pPr>
            <w:r>
              <w:t>4</w:t>
            </w:r>
          </w:p>
        </w:tc>
        <w:tc>
          <w:tcPr>
            <w:tcW w:w="1070" w:type="pct"/>
            <w:vAlign w:val="center"/>
          </w:tcPr>
          <w:p w14:paraId="6774B02B">
            <w:pPr>
              <w:pStyle w:val="17"/>
            </w:pPr>
          </w:p>
        </w:tc>
        <w:tc>
          <w:tcPr>
            <w:tcW w:w="1070" w:type="pct"/>
            <w:vAlign w:val="center"/>
          </w:tcPr>
          <w:p w14:paraId="551D86AE">
            <w:pPr>
              <w:pStyle w:val="17"/>
            </w:pPr>
          </w:p>
        </w:tc>
        <w:tc>
          <w:tcPr>
            <w:tcW w:w="1241" w:type="pct"/>
            <w:vAlign w:val="center"/>
          </w:tcPr>
          <w:p w14:paraId="647FA448">
            <w:pPr>
              <w:pStyle w:val="17"/>
            </w:pPr>
          </w:p>
        </w:tc>
        <w:tc>
          <w:tcPr>
            <w:tcW w:w="410" w:type="pct"/>
            <w:vAlign w:val="center"/>
          </w:tcPr>
          <w:p w14:paraId="14ED76BD">
            <w:pPr>
              <w:pStyle w:val="17"/>
            </w:pPr>
          </w:p>
        </w:tc>
      </w:tr>
      <w:bookmarkEnd w:id="162"/>
      <w:bookmarkEnd w:id="163"/>
      <w:bookmarkEnd w:id="164"/>
      <w:bookmarkEnd w:id="165"/>
    </w:tbl>
    <w:p w14:paraId="0B1A1686">
      <w:pPr>
        <w:ind w:firstLine="480"/>
      </w:pPr>
      <w:r>
        <w:rPr>
          <w:rFonts w:hint="eastAsia"/>
        </w:rPr>
        <w:t>设备安拆施工其他作业人员配备和分工详见。</w:t>
      </w:r>
    </w:p>
    <w:p w14:paraId="75C0A15A">
      <w:pPr>
        <w:pStyle w:val="16"/>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759"/>
        <w:gridCol w:w="593"/>
        <w:gridCol w:w="511"/>
        <w:gridCol w:w="2106"/>
        <w:gridCol w:w="1732"/>
        <w:gridCol w:w="1551"/>
        <w:gridCol w:w="759"/>
      </w:tblGrid>
      <w:tr w14:paraId="43DF7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74DB6861">
            <w:pPr>
              <w:pStyle w:val="17"/>
              <w:rPr>
                <w:b/>
              </w:rPr>
            </w:pPr>
            <w:r>
              <w:rPr>
                <w:rFonts w:hint="eastAsia"/>
                <w:b/>
              </w:rPr>
              <w:t>序号</w:t>
            </w:r>
          </w:p>
        </w:tc>
        <w:tc>
          <w:tcPr>
            <w:tcW w:w="0" w:type="auto"/>
            <w:vAlign w:val="center"/>
          </w:tcPr>
          <w:p w14:paraId="76491857">
            <w:pPr>
              <w:pStyle w:val="17"/>
              <w:rPr>
                <w:b/>
              </w:rPr>
            </w:pPr>
            <w:r>
              <w:rPr>
                <w:rFonts w:hint="eastAsia"/>
                <w:b/>
              </w:rPr>
              <w:t>工种</w:t>
            </w:r>
          </w:p>
        </w:tc>
        <w:tc>
          <w:tcPr>
            <w:tcW w:w="0" w:type="auto"/>
            <w:vAlign w:val="center"/>
          </w:tcPr>
          <w:p w14:paraId="0584095B">
            <w:pPr>
              <w:pStyle w:val="17"/>
              <w:rPr>
                <w:rFonts w:hint="eastAsia" w:eastAsia="宋体"/>
                <w:b/>
                <w:lang w:val="en-US" w:eastAsia="zh-CN"/>
              </w:rPr>
            </w:pPr>
            <w:r>
              <w:rPr>
                <w:rFonts w:hint="eastAsia"/>
                <w:b/>
                <w:lang w:val="en-US" w:eastAsia="zh-CN"/>
              </w:rPr>
              <w:t>姓名</w:t>
            </w:r>
          </w:p>
        </w:tc>
        <w:tc>
          <w:tcPr>
            <w:tcW w:w="0" w:type="auto"/>
            <w:vAlign w:val="center"/>
          </w:tcPr>
          <w:p w14:paraId="698AE681">
            <w:pPr>
              <w:pStyle w:val="17"/>
              <w:rPr>
                <w:b/>
              </w:rPr>
            </w:pPr>
            <w:r>
              <w:rPr>
                <w:rFonts w:hint="eastAsia"/>
                <w:b/>
              </w:rPr>
              <w:t>人数</w:t>
            </w:r>
          </w:p>
        </w:tc>
        <w:tc>
          <w:tcPr>
            <w:tcW w:w="0" w:type="auto"/>
            <w:vAlign w:val="center"/>
          </w:tcPr>
          <w:p w14:paraId="65EBEE9F">
            <w:pPr>
              <w:pStyle w:val="17"/>
              <w:ind w:firstLine="0" w:firstLineChars="0"/>
              <w:rPr>
                <w:rFonts w:hint="eastAsia" w:ascii="Times New Roman" w:hAnsi="Times New Roman" w:eastAsia="宋体" w:cs="Times New Roman"/>
                <w:b/>
                <w:kern w:val="2"/>
                <w:sz w:val="21"/>
                <w:szCs w:val="21"/>
                <w:lang w:val="en-US" w:eastAsia="zh-CN" w:bidi="ar-SA"/>
              </w:rPr>
            </w:pPr>
            <w:r>
              <w:rPr>
                <w:rFonts w:hint="eastAsia"/>
                <w:b/>
                <w:lang w:val="en-US" w:eastAsia="zh-CN"/>
              </w:rPr>
              <w:t>身份证号</w:t>
            </w:r>
          </w:p>
        </w:tc>
        <w:tc>
          <w:tcPr>
            <w:tcW w:w="0" w:type="auto"/>
            <w:vAlign w:val="center"/>
          </w:tcPr>
          <w:p w14:paraId="4A8FC7D0">
            <w:pPr>
              <w:pStyle w:val="17"/>
              <w:ind w:firstLine="0" w:firstLineChars="0"/>
              <w:rPr>
                <w:rFonts w:hint="eastAsia" w:ascii="Times New Roman" w:hAnsi="Times New Roman" w:eastAsia="宋体" w:cs="Times New Roman"/>
                <w:b/>
                <w:kern w:val="2"/>
                <w:sz w:val="21"/>
                <w:szCs w:val="21"/>
                <w:lang w:val="en-US" w:eastAsia="zh-CN" w:bidi="ar-SA"/>
              </w:rPr>
            </w:pPr>
            <w:r>
              <w:rPr>
                <w:rFonts w:hint="eastAsia"/>
                <w:b/>
                <w:lang w:val="en-US" w:eastAsia="zh-CN"/>
              </w:rPr>
              <w:t>证件号</w:t>
            </w:r>
          </w:p>
        </w:tc>
        <w:tc>
          <w:tcPr>
            <w:tcW w:w="0" w:type="auto"/>
            <w:vAlign w:val="center"/>
          </w:tcPr>
          <w:p w14:paraId="386AEA12">
            <w:pPr>
              <w:pStyle w:val="17"/>
              <w:rPr>
                <w:b/>
              </w:rPr>
            </w:pPr>
            <w:r>
              <w:rPr>
                <w:rFonts w:hint="eastAsia"/>
                <w:b/>
              </w:rPr>
              <w:t>工作职责</w:t>
            </w:r>
          </w:p>
        </w:tc>
        <w:tc>
          <w:tcPr>
            <w:tcW w:w="0" w:type="auto"/>
            <w:vAlign w:val="center"/>
          </w:tcPr>
          <w:p w14:paraId="4BC2A504">
            <w:pPr>
              <w:pStyle w:val="17"/>
              <w:rPr>
                <w:b/>
              </w:rPr>
            </w:pPr>
            <w:r>
              <w:rPr>
                <w:rFonts w:hint="eastAsia"/>
                <w:b/>
              </w:rPr>
              <w:t>备注</w:t>
            </w:r>
          </w:p>
        </w:tc>
      </w:tr>
      <w:tr w14:paraId="0458A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522A5DEA">
            <w:pPr>
              <w:pStyle w:val="17"/>
              <w:numPr>
                <w:ilvl w:val="0"/>
                <w:numId w:val="53"/>
              </w:numPr>
            </w:pPr>
          </w:p>
        </w:tc>
        <w:tc>
          <w:tcPr>
            <w:tcW w:w="0" w:type="auto"/>
            <w:shd w:val="clear" w:color="auto" w:fill="auto"/>
            <w:vAlign w:val="center"/>
          </w:tcPr>
          <w:p w14:paraId="5386A711">
            <w:pPr>
              <w:pStyle w:val="17"/>
              <w:rPr>
                <w:rFonts w:hint="eastAsia"/>
                <w:lang w:val="en-US" w:eastAsia="zh-CN"/>
              </w:rPr>
            </w:pPr>
            <w:r>
              <w:rPr>
                <w:rFonts w:hint="eastAsia"/>
                <w:lang w:val="en-US" w:eastAsia="zh-CN"/>
              </w:rPr>
              <w:t>设备安拆工</w:t>
            </w:r>
          </w:p>
        </w:tc>
        <w:tc>
          <w:tcPr>
            <w:tcW w:w="0" w:type="auto"/>
            <w:shd w:val="clear" w:color="auto" w:fill="auto"/>
            <w:vAlign w:val="center"/>
          </w:tcPr>
          <w:p w14:paraId="0E8C40FB">
            <w:pPr>
              <w:pStyle w:val="17"/>
              <w:rPr>
                <w:rFonts w:hint="eastAsia"/>
                <w:lang w:val="en-US" w:eastAsia="zh-CN"/>
              </w:rPr>
            </w:pPr>
            <w:r>
              <w:rPr>
                <w:rFonts w:hint="eastAsia"/>
                <w:lang w:val="en-US" w:eastAsia="zh-CN"/>
              </w:rPr>
              <w:t>匡彬</w:t>
            </w:r>
          </w:p>
        </w:tc>
        <w:tc>
          <w:tcPr>
            <w:tcW w:w="0" w:type="auto"/>
            <w:shd w:val="clear" w:color="auto" w:fill="auto"/>
            <w:vAlign w:val="center"/>
          </w:tcPr>
          <w:p w14:paraId="43B7386D">
            <w:pPr>
              <w:pStyle w:val="17"/>
              <w:rPr>
                <w:rFonts w:hint="eastAsia"/>
                <w:lang w:val="en-US" w:eastAsia="zh-CN"/>
              </w:rPr>
            </w:pPr>
            <w:r>
              <w:rPr>
                <w:rFonts w:hint="eastAsia"/>
                <w:lang w:val="en-US" w:eastAsia="zh-CN"/>
              </w:rPr>
              <w:t>1</w:t>
            </w:r>
          </w:p>
        </w:tc>
        <w:tc>
          <w:tcPr>
            <w:tcW w:w="0" w:type="auto"/>
            <w:shd w:val="clear" w:color="auto" w:fill="auto"/>
            <w:vAlign w:val="center"/>
          </w:tcPr>
          <w:p w14:paraId="2B71FD91">
            <w:pPr>
              <w:pStyle w:val="17"/>
              <w:rPr>
                <w:rFonts w:hint="default"/>
                <w:lang w:val="en-US" w:eastAsia="zh-CN"/>
              </w:rPr>
            </w:pPr>
            <w:r>
              <w:rPr>
                <w:rFonts w:hint="eastAsia"/>
                <w:lang w:val="en-US" w:eastAsia="zh-CN"/>
              </w:rPr>
              <w:t>522131197411106674</w:t>
            </w:r>
          </w:p>
        </w:tc>
        <w:tc>
          <w:tcPr>
            <w:tcW w:w="0" w:type="auto"/>
            <w:shd w:val="clear" w:color="auto" w:fill="auto"/>
            <w:vAlign w:val="center"/>
          </w:tcPr>
          <w:p w14:paraId="1F33A085">
            <w:pPr>
              <w:pStyle w:val="17"/>
              <w:rPr>
                <w:rFonts w:hint="default"/>
                <w:lang w:val="en-US" w:eastAsia="zh-CN"/>
              </w:rPr>
            </w:pPr>
            <w:r>
              <w:rPr>
                <w:rFonts w:hint="eastAsia"/>
                <w:lang w:val="en-US" w:eastAsia="zh-CN"/>
              </w:rPr>
              <w:t>琼D082023038341</w:t>
            </w:r>
          </w:p>
        </w:tc>
        <w:tc>
          <w:tcPr>
            <w:tcW w:w="0" w:type="auto"/>
            <w:shd w:val="clear" w:color="auto" w:fill="auto"/>
            <w:vAlign w:val="center"/>
          </w:tcPr>
          <w:p w14:paraId="68C8F806">
            <w:pPr>
              <w:pStyle w:val="17"/>
              <w:rPr>
                <w:rFonts w:hint="eastAsia"/>
                <w:lang w:val="en-US" w:eastAsia="zh-CN"/>
              </w:rPr>
            </w:pPr>
            <w:r>
              <w:rPr>
                <w:rFonts w:hint="eastAsia"/>
                <w:lang w:val="en-US" w:eastAsia="zh-CN"/>
              </w:rPr>
              <w:t>负责安装拆除作业具体实施</w:t>
            </w:r>
          </w:p>
        </w:tc>
        <w:tc>
          <w:tcPr>
            <w:tcW w:w="0" w:type="auto"/>
            <w:shd w:val="clear" w:color="auto" w:fill="auto"/>
            <w:vAlign w:val="center"/>
          </w:tcPr>
          <w:p w14:paraId="548F1A02">
            <w:pPr>
              <w:pStyle w:val="17"/>
            </w:pPr>
            <w:r>
              <w:rPr>
                <w:rFonts w:hint="eastAsia"/>
              </w:rPr>
              <w:t>本单位人员</w:t>
            </w:r>
          </w:p>
        </w:tc>
      </w:tr>
      <w:tr w14:paraId="015DE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5B3D491B">
            <w:pPr>
              <w:pStyle w:val="17"/>
              <w:numPr>
                <w:ilvl w:val="0"/>
                <w:numId w:val="53"/>
              </w:numPr>
            </w:pPr>
          </w:p>
        </w:tc>
        <w:tc>
          <w:tcPr>
            <w:tcW w:w="0" w:type="auto"/>
            <w:shd w:val="clear" w:color="auto" w:fill="auto"/>
            <w:vAlign w:val="center"/>
          </w:tcPr>
          <w:p w14:paraId="68DE5B5C">
            <w:pPr>
              <w:pStyle w:val="17"/>
              <w:rPr>
                <w:rFonts w:hint="eastAsia"/>
                <w:lang w:val="en-US" w:eastAsia="zh-CN"/>
              </w:rPr>
            </w:pPr>
            <w:r>
              <w:rPr>
                <w:rFonts w:hint="eastAsia"/>
                <w:lang w:val="en-US" w:eastAsia="zh-CN"/>
              </w:rPr>
              <w:t>设备安拆工</w:t>
            </w:r>
          </w:p>
        </w:tc>
        <w:tc>
          <w:tcPr>
            <w:tcW w:w="0" w:type="auto"/>
            <w:shd w:val="clear" w:color="auto" w:fill="auto"/>
            <w:vAlign w:val="center"/>
          </w:tcPr>
          <w:p w14:paraId="2DF4E22C">
            <w:pPr>
              <w:pStyle w:val="17"/>
              <w:rPr>
                <w:rFonts w:hint="eastAsia"/>
                <w:lang w:val="en-US" w:eastAsia="zh-CN"/>
              </w:rPr>
            </w:pPr>
            <w:r>
              <w:rPr>
                <w:rFonts w:hint="eastAsia"/>
                <w:lang w:val="en-US" w:eastAsia="zh-CN"/>
              </w:rPr>
              <w:t>何小兵</w:t>
            </w:r>
          </w:p>
        </w:tc>
        <w:tc>
          <w:tcPr>
            <w:tcW w:w="0" w:type="auto"/>
            <w:shd w:val="clear" w:color="auto" w:fill="auto"/>
            <w:vAlign w:val="center"/>
          </w:tcPr>
          <w:p w14:paraId="407BBDE8">
            <w:pPr>
              <w:pStyle w:val="17"/>
              <w:rPr>
                <w:rFonts w:hint="eastAsia"/>
                <w:lang w:val="en-US" w:eastAsia="zh-CN"/>
              </w:rPr>
            </w:pPr>
            <w:r>
              <w:rPr>
                <w:rFonts w:hint="eastAsia"/>
                <w:lang w:val="en-US" w:eastAsia="zh-CN"/>
              </w:rPr>
              <w:t>1</w:t>
            </w:r>
          </w:p>
        </w:tc>
        <w:tc>
          <w:tcPr>
            <w:tcW w:w="0" w:type="auto"/>
            <w:shd w:val="clear" w:color="auto" w:fill="auto"/>
            <w:vAlign w:val="center"/>
          </w:tcPr>
          <w:p w14:paraId="2D764E38">
            <w:pPr>
              <w:pStyle w:val="17"/>
              <w:rPr>
                <w:rFonts w:hint="default"/>
                <w:lang w:val="en-US" w:eastAsia="zh-CN"/>
              </w:rPr>
            </w:pPr>
            <w:r>
              <w:rPr>
                <w:rFonts w:hint="eastAsia"/>
                <w:lang w:val="en-US" w:eastAsia="zh-CN"/>
              </w:rPr>
              <w:t>513723198610154237</w:t>
            </w:r>
          </w:p>
        </w:tc>
        <w:tc>
          <w:tcPr>
            <w:tcW w:w="0" w:type="auto"/>
            <w:shd w:val="clear" w:color="auto" w:fill="auto"/>
            <w:vAlign w:val="center"/>
          </w:tcPr>
          <w:p w14:paraId="329D3428">
            <w:pPr>
              <w:pStyle w:val="17"/>
              <w:rPr>
                <w:rFonts w:hint="default"/>
                <w:lang w:val="en-US" w:eastAsia="zh-CN"/>
              </w:rPr>
            </w:pPr>
            <w:r>
              <w:rPr>
                <w:rFonts w:hint="eastAsia"/>
                <w:lang w:val="en-US" w:eastAsia="zh-CN"/>
              </w:rPr>
              <w:t>川Y082020508699</w:t>
            </w:r>
          </w:p>
        </w:tc>
        <w:tc>
          <w:tcPr>
            <w:tcW w:w="0" w:type="auto"/>
            <w:shd w:val="clear" w:color="auto" w:fill="auto"/>
            <w:vAlign w:val="center"/>
          </w:tcPr>
          <w:p w14:paraId="014AD976">
            <w:pPr>
              <w:pStyle w:val="17"/>
              <w:rPr>
                <w:rFonts w:hint="eastAsia"/>
                <w:lang w:val="en-US" w:eastAsia="zh-CN"/>
              </w:rPr>
            </w:pPr>
            <w:r>
              <w:rPr>
                <w:rFonts w:hint="eastAsia"/>
                <w:lang w:val="en-US" w:eastAsia="zh-CN"/>
              </w:rPr>
              <w:t>负责安装拆除作业具体实施</w:t>
            </w:r>
          </w:p>
        </w:tc>
        <w:tc>
          <w:tcPr>
            <w:tcW w:w="0" w:type="auto"/>
            <w:shd w:val="clear" w:color="auto" w:fill="auto"/>
            <w:vAlign w:val="center"/>
          </w:tcPr>
          <w:p w14:paraId="4734EB7C">
            <w:pPr>
              <w:pStyle w:val="17"/>
              <w:rPr>
                <w:rFonts w:hint="eastAsia"/>
              </w:rPr>
            </w:pPr>
            <w:r>
              <w:rPr>
                <w:rFonts w:hint="eastAsia"/>
              </w:rPr>
              <w:t>本单位人员</w:t>
            </w:r>
          </w:p>
        </w:tc>
      </w:tr>
      <w:tr w14:paraId="0E03D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7A3EE332">
            <w:pPr>
              <w:pStyle w:val="17"/>
              <w:numPr>
                <w:ilvl w:val="0"/>
                <w:numId w:val="53"/>
              </w:numPr>
            </w:pPr>
          </w:p>
        </w:tc>
        <w:tc>
          <w:tcPr>
            <w:tcW w:w="0" w:type="auto"/>
            <w:shd w:val="clear" w:color="auto" w:fill="auto"/>
            <w:vAlign w:val="center"/>
          </w:tcPr>
          <w:p w14:paraId="721B80B8">
            <w:pPr>
              <w:pStyle w:val="17"/>
              <w:rPr>
                <w:rFonts w:hint="eastAsia"/>
                <w:lang w:val="en-US" w:eastAsia="zh-CN"/>
              </w:rPr>
            </w:pPr>
            <w:r>
              <w:rPr>
                <w:rFonts w:hint="eastAsia"/>
                <w:lang w:val="en-US" w:eastAsia="zh-CN"/>
              </w:rPr>
              <w:t>设备安拆工</w:t>
            </w:r>
          </w:p>
        </w:tc>
        <w:tc>
          <w:tcPr>
            <w:tcW w:w="0" w:type="auto"/>
            <w:shd w:val="clear" w:color="auto" w:fill="auto"/>
            <w:vAlign w:val="center"/>
          </w:tcPr>
          <w:p w14:paraId="2DD120AD">
            <w:pPr>
              <w:pStyle w:val="17"/>
              <w:rPr>
                <w:rFonts w:hint="eastAsia"/>
                <w:lang w:val="en-US" w:eastAsia="zh-CN"/>
              </w:rPr>
            </w:pPr>
            <w:r>
              <w:rPr>
                <w:rFonts w:hint="eastAsia"/>
                <w:lang w:val="en-US" w:eastAsia="zh-CN"/>
              </w:rPr>
              <w:t>胡杰</w:t>
            </w:r>
          </w:p>
        </w:tc>
        <w:tc>
          <w:tcPr>
            <w:tcW w:w="0" w:type="auto"/>
            <w:shd w:val="clear" w:color="auto" w:fill="auto"/>
            <w:vAlign w:val="center"/>
          </w:tcPr>
          <w:p w14:paraId="51B88604">
            <w:pPr>
              <w:pStyle w:val="17"/>
              <w:rPr>
                <w:rFonts w:hint="eastAsia"/>
                <w:lang w:val="en-US" w:eastAsia="zh-CN"/>
              </w:rPr>
            </w:pPr>
            <w:r>
              <w:rPr>
                <w:rFonts w:hint="eastAsia"/>
                <w:lang w:val="en-US" w:eastAsia="zh-CN"/>
              </w:rPr>
              <w:t>1</w:t>
            </w:r>
          </w:p>
        </w:tc>
        <w:tc>
          <w:tcPr>
            <w:tcW w:w="0" w:type="auto"/>
            <w:shd w:val="clear" w:color="auto" w:fill="auto"/>
            <w:vAlign w:val="center"/>
          </w:tcPr>
          <w:p w14:paraId="5F9BEA70">
            <w:pPr>
              <w:pStyle w:val="17"/>
              <w:rPr>
                <w:rFonts w:hint="default"/>
                <w:lang w:val="en-US" w:eastAsia="zh-CN"/>
              </w:rPr>
            </w:pPr>
            <w:r>
              <w:rPr>
                <w:rFonts w:hint="eastAsia"/>
                <w:lang w:val="en-US" w:eastAsia="zh-CN"/>
              </w:rPr>
              <w:t>500384199202280315</w:t>
            </w:r>
          </w:p>
        </w:tc>
        <w:tc>
          <w:tcPr>
            <w:tcW w:w="0" w:type="auto"/>
            <w:shd w:val="clear" w:color="auto" w:fill="auto"/>
            <w:vAlign w:val="center"/>
          </w:tcPr>
          <w:p w14:paraId="5351B188">
            <w:pPr>
              <w:pStyle w:val="17"/>
              <w:rPr>
                <w:rFonts w:hint="default"/>
                <w:lang w:val="en-US" w:eastAsia="zh-CN"/>
              </w:rPr>
            </w:pPr>
            <w:r>
              <w:rPr>
                <w:rFonts w:hint="eastAsia"/>
                <w:lang w:val="en-US" w:eastAsia="zh-CN"/>
              </w:rPr>
              <w:t>渝A082019011037</w:t>
            </w:r>
          </w:p>
        </w:tc>
        <w:tc>
          <w:tcPr>
            <w:tcW w:w="0" w:type="auto"/>
            <w:shd w:val="clear" w:color="auto" w:fill="auto"/>
            <w:vAlign w:val="center"/>
          </w:tcPr>
          <w:p w14:paraId="468EA5B9">
            <w:pPr>
              <w:pStyle w:val="17"/>
              <w:rPr>
                <w:rFonts w:hint="eastAsia"/>
                <w:lang w:val="en-US" w:eastAsia="zh-CN"/>
              </w:rPr>
            </w:pPr>
            <w:r>
              <w:rPr>
                <w:rFonts w:hint="eastAsia"/>
                <w:lang w:val="en-US" w:eastAsia="zh-CN"/>
              </w:rPr>
              <w:t>负责安装拆除作业具体实施</w:t>
            </w:r>
          </w:p>
        </w:tc>
        <w:tc>
          <w:tcPr>
            <w:tcW w:w="0" w:type="auto"/>
            <w:shd w:val="clear" w:color="auto" w:fill="auto"/>
            <w:vAlign w:val="center"/>
          </w:tcPr>
          <w:p w14:paraId="18BF51DB">
            <w:pPr>
              <w:pStyle w:val="17"/>
              <w:rPr>
                <w:rFonts w:hint="eastAsia"/>
              </w:rPr>
            </w:pPr>
            <w:r>
              <w:rPr>
                <w:rFonts w:hint="eastAsia"/>
              </w:rPr>
              <w:t>本单位人员</w:t>
            </w:r>
          </w:p>
        </w:tc>
      </w:tr>
      <w:tr w14:paraId="72672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03A195EF">
            <w:pPr>
              <w:pStyle w:val="17"/>
              <w:numPr>
                <w:ilvl w:val="0"/>
                <w:numId w:val="53"/>
              </w:numPr>
            </w:pPr>
          </w:p>
        </w:tc>
        <w:tc>
          <w:tcPr>
            <w:tcW w:w="0" w:type="auto"/>
            <w:shd w:val="clear" w:color="auto" w:fill="auto"/>
            <w:vAlign w:val="center"/>
          </w:tcPr>
          <w:p w14:paraId="37D34845">
            <w:pPr>
              <w:pStyle w:val="17"/>
              <w:rPr>
                <w:rFonts w:hint="eastAsia"/>
                <w:lang w:val="en-US" w:eastAsia="zh-CN"/>
              </w:rPr>
            </w:pPr>
            <w:r>
              <w:rPr>
                <w:rFonts w:hint="eastAsia"/>
                <w:lang w:val="en-US" w:eastAsia="zh-CN"/>
              </w:rPr>
              <w:t>设备安拆工</w:t>
            </w:r>
          </w:p>
        </w:tc>
        <w:tc>
          <w:tcPr>
            <w:tcW w:w="0" w:type="auto"/>
            <w:shd w:val="clear" w:color="auto" w:fill="auto"/>
            <w:vAlign w:val="center"/>
          </w:tcPr>
          <w:p w14:paraId="2E32EFF3">
            <w:pPr>
              <w:pStyle w:val="17"/>
              <w:rPr>
                <w:rFonts w:hint="eastAsia"/>
                <w:lang w:val="en-US" w:eastAsia="zh-CN"/>
              </w:rPr>
            </w:pPr>
            <w:r>
              <w:rPr>
                <w:rFonts w:hint="eastAsia"/>
                <w:lang w:val="en-US" w:eastAsia="zh-CN"/>
              </w:rPr>
              <w:t>吴强</w:t>
            </w:r>
          </w:p>
        </w:tc>
        <w:tc>
          <w:tcPr>
            <w:tcW w:w="0" w:type="auto"/>
            <w:shd w:val="clear" w:color="auto" w:fill="auto"/>
            <w:vAlign w:val="center"/>
          </w:tcPr>
          <w:p w14:paraId="3F5D101A">
            <w:pPr>
              <w:pStyle w:val="17"/>
              <w:rPr>
                <w:rFonts w:hint="eastAsia"/>
                <w:lang w:val="en-US" w:eastAsia="zh-CN"/>
              </w:rPr>
            </w:pPr>
            <w:r>
              <w:rPr>
                <w:rFonts w:hint="eastAsia"/>
                <w:lang w:val="en-US" w:eastAsia="zh-CN"/>
              </w:rPr>
              <w:t>1</w:t>
            </w:r>
          </w:p>
        </w:tc>
        <w:tc>
          <w:tcPr>
            <w:tcW w:w="0" w:type="auto"/>
            <w:shd w:val="clear" w:color="auto" w:fill="auto"/>
            <w:vAlign w:val="center"/>
          </w:tcPr>
          <w:p w14:paraId="5C8A70C5">
            <w:pPr>
              <w:pStyle w:val="17"/>
              <w:rPr>
                <w:rFonts w:hint="eastAsia"/>
                <w:lang w:val="en-US" w:eastAsia="zh-CN"/>
              </w:rPr>
            </w:pPr>
            <w:r>
              <w:rPr>
                <w:rFonts w:hint="eastAsia"/>
                <w:lang w:val="en-US" w:eastAsia="zh-CN"/>
              </w:rPr>
              <w:t>510525198702278850</w:t>
            </w:r>
          </w:p>
        </w:tc>
        <w:tc>
          <w:tcPr>
            <w:tcW w:w="0" w:type="auto"/>
            <w:shd w:val="clear" w:color="auto" w:fill="auto"/>
            <w:vAlign w:val="center"/>
          </w:tcPr>
          <w:p w14:paraId="62865810">
            <w:pPr>
              <w:pStyle w:val="17"/>
              <w:rPr>
                <w:rFonts w:hint="default"/>
                <w:lang w:val="en-US" w:eastAsia="zh-CN"/>
              </w:rPr>
            </w:pPr>
            <w:r>
              <w:rPr>
                <w:rFonts w:hint="eastAsia"/>
                <w:lang w:val="en-US" w:eastAsia="zh-CN"/>
              </w:rPr>
              <w:t>琼D082023045935</w:t>
            </w:r>
          </w:p>
        </w:tc>
        <w:tc>
          <w:tcPr>
            <w:tcW w:w="0" w:type="auto"/>
            <w:shd w:val="clear" w:color="auto" w:fill="auto"/>
            <w:vAlign w:val="center"/>
          </w:tcPr>
          <w:p w14:paraId="3D83872F">
            <w:pPr>
              <w:pStyle w:val="17"/>
              <w:rPr>
                <w:rFonts w:hint="eastAsia"/>
                <w:lang w:val="en-US" w:eastAsia="zh-CN"/>
              </w:rPr>
            </w:pPr>
            <w:r>
              <w:rPr>
                <w:rFonts w:hint="eastAsia"/>
                <w:lang w:val="en-US" w:eastAsia="zh-CN"/>
              </w:rPr>
              <w:t>负责安装拆除作业具体实施</w:t>
            </w:r>
          </w:p>
        </w:tc>
        <w:tc>
          <w:tcPr>
            <w:tcW w:w="0" w:type="auto"/>
            <w:shd w:val="clear" w:color="auto" w:fill="auto"/>
            <w:vAlign w:val="center"/>
          </w:tcPr>
          <w:p w14:paraId="5577BB27">
            <w:pPr>
              <w:pStyle w:val="17"/>
              <w:rPr>
                <w:rFonts w:hint="eastAsia"/>
              </w:rPr>
            </w:pPr>
            <w:r>
              <w:rPr>
                <w:rFonts w:hint="eastAsia"/>
              </w:rPr>
              <w:t>本单位人员</w:t>
            </w:r>
          </w:p>
        </w:tc>
      </w:tr>
      <w:tr w14:paraId="69A13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vAlign w:val="center"/>
          </w:tcPr>
          <w:p w14:paraId="73B1C753">
            <w:pPr>
              <w:pStyle w:val="17"/>
              <w:numPr>
                <w:ilvl w:val="0"/>
                <w:numId w:val="53"/>
              </w:numPr>
            </w:pPr>
          </w:p>
        </w:tc>
        <w:tc>
          <w:tcPr>
            <w:tcW w:w="0" w:type="auto"/>
            <w:shd w:val="clear" w:color="auto" w:fill="auto"/>
            <w:vAlign w:val="center"/>
          </w:tcPr>
          <w:p w14:paraId="799C4B55">
            <w:pPr>
              <w:pStyle w:val="17"/>
            </w:pPr>
            <w:r>
              <w:rPr>
                <w:rFonts w:hint="eastAsia"/>
              </w:rPr>
              <w:t>杂工</w:t>
            </w:r>
          </w:p>
        </w:tc>
        <w:tc>
          <w:tcPr>
            <w:tcW w:w="0" w:type="auto"/>
            <w:shd w:val="clear" w:color="auto" w:fill="auto"/>
            <w:vAlign w:val="center"/>
          </w:tcPr>
          <w:p w14:paraId="2EB9594A">
            <w:pPr>
              <w:pStyle w:val="17"/>
              <w:rPr>
                <w:rFonts w:hint="eastAsia"/>
              </w:rPr>
            </w:pPr>
          </w:p>
        </w:tc>
        <w:tc>
          <w:tcPr>
            <w:tcW w:w="0" w:type="auto"/>
            <w:shd w:val="clear" w:color="auto" w:fill="auto"/>
            <w:vAlign w:val="center"/>
          </w:tcPr>
          <w:p w14:paraId="04623A3B">
            <w:pPr>
              <w:pStyle w:val="17"/>
            </w:pPr>
            <w:r>
              <w:rPr>
                <w:rFonts w:hint="eastAsia"/>
              </w:rPr>
              <w:t>6</w:t>
            </w:r>
          </w:p>
        </w:tc>
        <w:tc>
          <w:tcPr>
            <w:tcW w:w="0" w:type="auto"/>
            <w:shd w:val="clear" w:color="auto" w:fill="auto"/>
            <w:vAlign w:val="center"/>
          </w:tcPr>
          <w:p w14:paraId="32C02ECA">
            <w:pPr>
              <w:pStyle w:val="17"/>
              <w:rPr>
                <w:rFonts w:hint="eastAsia"/>
              </w:rPr>
            </w:pPr>
          </w:p>
        </w:tc>
        <w:tc>
          <w:tcPr>
            <w:tcW w:w="0" w:type="auto"/>
            <w:shd w:val="clear" w:color="auto" w:fill="auto"/>
            <w:vAlign w:val="center"/>
          </w:tcPr>
          <w:p w14:paraId="46510030">
            <w:pPr>
              <w:pStyle w:val="17"/>
              <w:rPr>
                <w:rFonts w:hint="eastAsia"/>
              </w:rPr>
            </w:pPr>
          </w:p>
        </w:tc>
        <w:tc>
          <w:tcPr>
            <w:tcW w:w="0" w:type="auto"/>
            <w:shd w:val="clear" w:color="auto" w:fill="auto"/>
            <w:vAlign w:val="center"/>
          </w:tcPr>
          <w:p w14:paraId="4902B523">
            <w:pPr>
              <w:pStyle w:val="17"/>
            </w:pPr>
            <w:r>
              <w:rPr>
                <w:rFonts w:hint="eastAsia"/>
              </w:rPr>
              <w:t>负责地面清理、现场文明施工</w:t>
            </w:r>
          </w:p>
        </w:tc>
        <w:tc>
          <w:tcPr>
            <w:tcW w:w="0" w:type="auto"/>
            <w:shd w:val="clear" w:color="auto" w:fill="auto"/>
            <w:vAlign w:val="center"/>
          </w:tcPr>
          <w:p w14:paraId="51EAE357">
            <w:pPr>
              <w:pStyle w:val="17"/>
            </w:pPr>
            <w:r>
              <w:rPr>
                <w:rFonts w:hint="eastAsia"/>
              </w:rPr>
              <w:t>项目部人员</w:t>
            </w:r>
          </w:p>
        </w:tc>
      </w:tr>
      <w:tr w14:paraId="5A560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0" w:type="auto"/>
            <w:gridSpan w:val="3"/>
            <w:vAlign w:val="center"/>
          </w:tcPr>
          <w:p w14:paraId="2982D3FF">
            <w:pPr>
              <w:pStyle w:val="17"/>
              <w:rPr>
                <w:rFonts w:hint="eastAsia"/>
              </w:rPr>
            </w:pPr>
            <w:r>
              <w:rPr>
                <w:rFonts w:hint="eastAsia"/>
              </w:rPr>
              <w:t>总计</w:t>
            </w:r>
          </w:p>
        </w:tc>
        <w:tc>
          <w:tcPr>
            <w:tcW w:w="0" w:type="auto"/>
            <w:vAlign w:val="center"/>
          </w:tcPr>
          <w:p w14:paraId="54A2B232">
            <w:pPr>
              <w:pStyle w:val="17"/>
            </w:pPr>
            <w:r>
              <w:t>10</w:t>
            </w:r>
          </w:p>
        </w:tc>
        <w:tc>
          <w:tcPr>
            <w:tcW w:w="0" w:type="auto"/>
            <w:vAlign w:val="center"/>
          </w:tcPr>
          <w:p w14:paraId="7860B3BA">
            <w:pPr>
              <w:pStyle w:val="17"/>
            </w:pPr>
          </w:p>
        </w:tc>
        <w:tc>
          <w:tcPr>
            <w:tcW w:w="0" w:type="auto"/>
            <w:vAlign w:val="center"/>
          </w:tcPr>
          <w:p w14:paraId="301DB263">
            <w:pPr>
              <w:pStyle w:val="17"/>
            </w:pPr>
          </w:p>
        </w:tc>
        <w:tc>
          <w:tcPr>
            <w:tcW w:w="0" w:type="auto"/>
            <w:vAlign w:val="center"/>
          </w:tcPr>
          <w:p w14:paraId="1A99A1DD">
            <w:pPr>
              <w:pStyle w:val="17"/>
            </w:pPr>
          </w:p>
        </w:tc>
        <w:tc>
          <w:tcPr>
            <w:tcW w:w="0" w:type="auto"/>
            <w:vAlign w:val="center"/>
          </w:tcPr>
          <w:p w14:paraId="4CBC7492">
            <w:pPr>
              <w:pStyle w:val="17"/>
            </w:pPr>
          </w:p>
        </w:tc>
      </w:tr>
    </w:tbl>
    <w:p w14:paraId="306A7779">
      <w:pPr>
        <w:ind w:firstLine="480"/>
      </w:pPr>
      <w:r>
        <w:br w:type="page"/>
      </w:r>
    </w:p>
    <w:p w14:paraId="769BCFC0">
      <w:pPr>
        <w:pStyle w:val="2"/>
        <w:ind w:left="3840" w:leftChars="0" w:firstLineChars="0"/>
      </w:pPr>
      <w:bookmarkStart w:id="166" w:name="_Toc30527"/>
      <w:bookmarkStart w:id="167" w:name="_Toc131174062"/>
      <w:r>
        <w:rPr>
          <w:rFonts w:hint="eastAsia"/>
        </w:rPr>
        <w:t>验收要求</w:t>
      </w:r>
      <w:bookmarkEnd w:id="166"/>
      <w:bookmarkEnd w:id="167"/>
    </w:p>
    <w:p w14:paraId="29A67167">
      <w:pPr>
        <w:pStyle w:val="3"/>
      </w:pPr>
      <w:bookmarkStart w:id="168" w:name="_Toc40778449"/>
      <w:bookmarkStart w:id="169" w:name="_Toc20450"/>
      <w:bookmarkStart w:id="170" w:name="_Toc56"/>
      <w:bookmarkStart w:id="171" w:name="_Toc131174063"/>
      <w:bookmarkStart w:id="172" w:name="_Toc868"/>
      <w:r>
        <w:rPr>
          <w:rFonts w:hint="eastAsia"/>
        </w:rPr>
        <w:t>验收标准</w:t>
      </w:r>
      <w:bookmarkEnd w:id="168"/>
      <w:bookmarkEnd w:id="169"/>
      <w:bookmarkEnd w:id="170"/>
      <w:bookmarkEnd w:id="171"/>
      <w:bookmarkEnd w:id="172"/>
    </w:p>
    <w:p w14:paraId="40A79E16">
      <w:pPr>
        <w:ind w:firstLine="480"/>
      </w:pPr>
      <w:bookmarkStart w:id="173" w:name="_Toc65571555"/>
      <w:bookmarkStart w:id="174" w:name="_Toc23170"/>
      <w:r>
        <w:rPr>
          <w:rFonts w:hint="eastAsia"/>
        </w:rPr>
        <w:t>验收标准主要依据：《</w:t>
      </w:r>
      <w:r>
        <w:t>塔式起重机</w:t>
      </w:r>
      <w:r>
        <w:rPr>
          <w:rFonts w:hint="eastAsia"/>
        </w:rPr>
        <w:t>》（</w:t>
      </w:r>
      <w:r>
        <w:t>GB/T 5031-2008</w:t>
      </w:r>
      <w:r>
        <w:rPr>
          <w:rFonts w:hint="eastAsia"/>
        </w:rPr>
        <w:t>）、《施工现场临时用电安全技术规范》（JGJ46-2005）、《建筑施工起重吊装工程安全技术规范》（JGJ 276-2012）、《建筑施工高处作业安全技术规范》（JGJ 80-2016）等。</w:t>
      </w:r>
    </w:p>
    <w:p w14:paraId="26EDB3E3">
      <w:pPr>
        <w:pStyle w:val="3"/>
      </w:pPr>
      <w:bookmarkStart w:id="175" w:name="_Toc10791"/>
      <w:bookmarkStart w:id="176" w:name="_Toc131174064"/>
      <w:r>
        <w:t>验收程序</w:t>
      </w:r>
      <w:bookmarkEnd w:id="173"/>
      <w:bookmarkEnd w:id="174"/>
      <w:bookmarkEnd w:id="175"/>
      <w:bookmarkEnd w:id="176"/>
    </w:p>
    <w:p w14:paraId="1F79C8D6">
      <w:pPr>
        <w:numPr>
          <w:ilvl w:val="0"/>
          <w:numId w:val="54"/>
        </w:numPr>
        <w:ind w:firstLine="480"/>
      </w:pPr>
      <w:bookmarkStart w:id="177" w:name="_Toc27569"/>
      <w:bookmarkStart w:id="178" w:name="_Toc28613975"/>
      <w:bookmarkStart w:id="179" w:name="_Toc7965"/>
      <w:bookmarkStart w:id="180" w:name="_Toc40778451"/>
      <w:r>
        <w:rPr>
          <w:rFonts w:hint="eastAsia"/>
        </w:rPr>
        <w:t>基础施工完成后，项目部组织技术管理人员、安全管理人员、现场专监对其进行验收。</w:t>
      </w:r>
    </w:p>
    <w:p w14:paraId="695ADDD5">
      <w:pPr>
        <w:numPr>
          <w:ilvl w:val="0"/>
          <w:numId w:val="54"/>
        </w:numPr>
        <w:ind w:firstLine="480"/>
      </w:pPr>
      <w:r>
        <w:rPr>
          <w:rFonts w:hint="eastAsia"/>
        </w:rPr>
        <w:t>安装设备过程中，组织管理人员检查设备安全装置与限位装置进行验收。</w:t>
      </w:r>
    </w:p>
    <w:p w14:paraId="49EAED5C">
      <w:pPr>
        <w:numPr>
          <w:ilvl w:val="0"/>
          <w:numId w:val="54"/>
        </w:numPr>
        <w:ind w:firstLine="480"/>
      </w:pPr>
      <w:r>
        <w:rPr>
          <w:rFonts w:hint="eastAsia"/>
        </w:rPr>
        <w:t>大型机械设备经检验合格，持有效证件，组拼完毕后由项目设备管理部组织验收，验收合格后方能使用。</w:t>
      </w:r>
    </w:p>
    <w:p w14:paraId="411A2C57">
      <w:pPr>
        <w:numPr>
          <w:ilvl w:val="0"/>
          <w:numId w:val="54"/>
        </w:numPr>
        <w:ind w:firstLine="480"/>
      </w:pPr>
      <w:r>
        <w:rPr>
          <w:rFonts w:hint="eastAsia"/>
        </w:rPr>
        <w:t>小型机具使用前，由项目设备管理部组织验收，填写书面验收记录、合格后挂牌方可使用。</w:t>
      </w:r>
    </w:p>
    <w:p w14:paraId="5EC6D1C7">
      <w:pPr>
        <w:numPr>
          <w:ilvl w:val="0"/>
          <w:numId w:val="54"/>
        </w:numPr>
        <w:ind w:firstLine="480"/>
      </w:pPr>
      <w:r>
        <w:rPr>
          <w:rFonts w:hint="eastAsia"/>
        </w:rPr>
        <w:t>临时用电设施、装置通电前由项目设备管理部组织验收，验收合格后方可通电使用，并做好验收记录。</w:t>
      </w:r>
    </w:p>
    <w:p w14:paraId="08125CC2">
      <w:pPr>
        <w:numPr>
          <w:ilvl w:val="0"/>
          <w:numId w:val="54"/>
        </w:numPr>
        <w:ind w:firstLine="480"/>
      </w:pPr>
      <w:r>
        <w:rPr>
          <w:rFonts w:hint="eastAsia"/>
        </w:rPr>
        <w:t>施工现场所有的临边安全防护设施，由项目安全管理部组织验收，合格后方可投入使用，每验收一次须做好验收记录。</w:t>
      </w:r>
    </w:p>
    <w:p w14:paraId="788E124A">
      <w:pPr>
        <w:ind w:firstLine="480"/>
      </w:pPr>
      <w:r>
        <w:rPr>
          <w:rFonts w:hint="eastAsia"/>
        </w:rPr>
        <w:t>（8）起重吊装工索具由项目技术管理部组织验收，验收合格后方可投入使用。</w:t>
      </w:r>
    </w:p>
    <w:p w14:paraId="67FE7569">
      <w:pPr>
        <w:pStyle w:val="3"/>
      </w:pPr>
      <w:bookmarkStart w:id="181" w:name="_Toc15287"/>
      <w:bookmarkStart w:id="182" w:name="_Toc131174065"/>
      <w:r>
        <w:rPr>
          <w:rFonts w:hint="eastAsia"/>
        </w:rPr>
        <w:t>验收内容</w:t>
      </w:r>
      <w:bookmarkEnd w:id="177"/>
      <w:bookmarkEnd w:id="178"/>
      <w:bookmarkEnd w:id="179"/>
      <w:bookmarkEnd w:id="180"/>
      <w:bookmarkEnd w:id="181"/>
      <w:bookmarkEnd w:id="182"/>
    </w:p>
    <w:p w14:paraId="5D2E46EA">
      <w:pPr>
        <w:numPr>
          <w:ilvl w:val="0"/>
          <w:numId w:val="55"/>
        </w:numPr>
        <w:ind w:firstLine="480"/>
      </w:pPr>
      <w:r>
        <w:rPr>
          <w:rFonts w:hint="eastAsia"/>
        </w:rPr>
        <w:t>吊装区域：地基承载力、起重机支腿、起重机性能、吊点吊具、吊装区域（受限空间、高压电线、四周建筑等）、人员证件、劳保用品（安全带等）的检查。</w:t>
      </w:r>
    </w:p>
    <w:p w14:paraId="413924FE">
      <w:pPr>
        <w:numPr>
          <w:ilvl w:val="0"/>
          <w:numId w:val="55"/>
        </w:numPr>
        <w:ind w:firstLine="480"/>
      </w:pPr>
      <w:r>
        <w:rPr>
          <w:rFonts w:hint="eastAsia"/>
        </w:rPr>
        <w:t>焊接与气割：接地情况、开关箱、一机一闸、气瓶安全距离、气瓶存储方式、动火作业申请、人员证件、劳保用品、消防设施的检查。</w:t>
      </w:r>
    </w:p>
    <w:p w14:paraId="3A193211">
      <w:pPr>
        <w:numPr>
          <w:ilvl w:val="0"/>
          <w:numId w:val="55"/>
        </w:numPr>
        <w:ind w:firstLine="480"/>
      </w:pPr>
      <w:r>
        <w:rPr>
          <w:rFonts w:hint="eastAsia"/>
        </w:rPr>
        <w:t>临时用电检查：电箱、开关箱、电缆线。</w:t>
      </w:r>
    </w:p>
    <w:p w14:paraId="7D2CD7F7">
      <w:pPr>
        <w:pStyle w:val="3"/>
      </w:pPr>
      <w:bookmarkStart w:id="183" w:name="_Toc32563"/>
      <w:bookmarkStart w:id="184" w:name="_Toc131174066"/>
      <w:r>
        <w:rPr>
          <w:rFonts w:hint="eastAsia"/>
        </w:rPr>
        <w:t>验收人员</w:t>
      </w:r>
      <w:bookmarkEnd w:id="183"/>
      <w:bookmarkEnd w:id="184"/>
    </w:p>
    <w:p w14:paraId="2CC6B04E">
      <w:pPr>
        <w:ind w:firstLine="480"/>
        <w:rPr>
          <w:color w:val="000000" w:themeColor="text1"/>
          <w14:textFill>
            <w14:solidFill>
              <w14:schemeClr w14:val="tx1"/>
            </w14:solidFill>
          </w14:textFill>
        </w:rPr>
      </w:pPr>
      <w:r>
        <w:rPr>
          <w:rFonts w:hint="eastAsia"/>
        </w:rPr>
        <w:t>参与验收人员包括：安拆单位现场负责人、安拆班组长、项目部代表（含技术、安全、设备管理人员）等，需要监理验收的通知监理参与验收。</w:t>
      </w:r>
      <w:r>
        <w:rPr>
          <w:rFonts w:hint="eastAsia"/>
          <w:color w:val="000000" w:themeColor="text1"/>
          <w14:textFill>
            <w14:solidFill>
              <w14:schemeClr w14:val="tx1"/>
            </w14:solidFill>
          </w14:textFill>
        </w:rPr>
        <w:br w:type="page"/>
      </w:r>
    </w:p>
    <w:p w14:paraId="5351769D">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185" w:name="_Toc40778453"/>
      <w:bookmarkStart w:id="186" w:name="_Toc20052"/>
      <w:bookmarkStart w:id="187" w:name="_Toc28457"/>
      <w:bookmarkStart w:id="188" w:name="_Toc32680"/>
      <w:bookmarkStart w:id="189" w:name="_Toc28613976"/>
      <w:r>
        <w:rPr>
          <w:rFonts w:hint="eastAsia"/>
        </w:rPr>
        <w:t>应急处置措施</w:t>
      </w:r>
      <w:bookmarkEnd w:id="185"/>
      <w:bookmarkEnd w:id="186"/>
      <w:bookmarkEnd w:id="187"/>
      <w:bookmarkEnd w:id="188"/>
      <w:bookmarkEnd w:id="189"/>
    </w:p>
    <w:p w14:paraId="442805F8">
      <w:pPr>
        <w:pStyle w:val="3"/>
      </w:pPr>
      <w:bookmarkStart w:id="190" w:name="_Toc40778454"/>
      <w:bookmarkStart w:id="191" w:name="_Toc28613977"/>
      <w:bookmarkStart w:id="192" w:name="_Toc21328"/>
      <w:bookmarkStart w:id="193" w:name="_Toc23556"/>
      <w:bookmarkStart w:id="194" w:name="_Toc88642976"/>
      <w:bookmarkStart w:id="195" w:name="_Toc86675425"/>
      <w:bookmarkStart w:id="196" w:name="_Toc18227"/>
      <w:bookmarkStart w:id="197" w:name="_Toc40778456"/>
      <w:bookmarkStart w:id="198" w:name="_Toc22714"/>
      <w:bookmarkStart w:id="199" w:name="_Toc63185590"/>
      <w:r>
        <w:rPr>
          <w:rFonts w:hint="eastAsia"/>
        </w:rPr>
        <w:t>组织</w:t>
      </w:r>
      <w:bookmarkEnd w:id="190"/>
      <w:bookmarkEnd w:id="191"/>
      <w:bookmarkEnd w:id="192"/>
      <w:bookmarkEnd w:id="193"/>
      <w:r>
        <w:rPr>
          <w:rFonts w:hint="eastAsia"/>
        </w:rPr>
        <w:t>机构</w:t>
      </w:r>
      <w:bookmarkEnd w:id="194"/>
      <w:bookmarkEnd w:id="195"/>
      <w:bookmarkEnd w:id="196"/>
    </w:p>
    <w:p w14:paraId="766DD2F3">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14:paraId="060E4820">
      <w:pPr>
        <w:pStyle w:val="16"/>
      </w:pPr>
      <w:bookmarkStart w:id="200"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00"/>
      <w:r>
        <w:rPr>
          <w:rFonts w:hint="eastAsia"/>
        </w:rPr>
        <w:t xml:space="preserve"> 应急救援组织机构、职责及联系方式</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495"/>
        <w:gridCol w:w="990"/>
        <w:gridCol w:w="4313"/>
        <w:gridCol w:w="911"/>
      </w:tblGrid>
      <w:tr w14:paraId="138E8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477" w:type="pct"/>
            <w:shd w:val="clear" w:color="auto" w:fill="auto"/>
            <w:vAlign w:val="center"/>
          </w:tcPr>
          <w:p w14:paraId="271E198F">
            <w:pPr>
              <w:pStyle w:val="17"/>
              <w:rPr>
                <w:b/>
              </w:rPr>
            </w:pPr>
            <w:r>
              <w:rPr>
                <w:rFonts w:hint="eastAsia"/>
                <w:b/>
              </w:rPr>
              <w:t>序号</w:t>
            </w:r>
          </w:p>
        </w:tc>
        <w:tc>
          <w:tcPr>
            <w:tcW w:w="877" w:type="pct"/>
            <w:shd w:val="clear" w:color="auto" w:fill="auto"/>
            <w:vAlign w:val="center"/>
          </w:tcPr>
          <w:p w14:paraId="5076E011">
            <w:pPr>
              <w:pStyle w:val="17"/>
              <w:rPr>
                <w:b/>
              </w:rPr>
            </w:pPr>
            <w:r>
              <w:rPr>
                <w:rFonts w:hint="eastAsia"/>
                <w:b/>
              </w:rPr>
              <w:t>岗位</w:t>
            </w:r>
          </w:p>
        </w:tc>
        <w:tc>
          <w:tcPr>
            <w:tcW w:w="581" w:type="pct"/>
            <w:shd w:val="clear" w:color="auto" w:fill="auto"/>
            <w:vAlign w:val="center"/>
          </w:tcPr>
          <w:p w14:paraId="02AD97DF">
            <w:pPr>
              <w:pStyle w:val="17"/>
              <w:rPr>
                <w:b/>
              </w:rPr>
            </w:pPr>
            <w:r>
              <w:rPr>
                <w:rFonts w:hint="eastAsia"/>
                <w:b/>
              </w:rPr>
              <w:t>姓名</w:t>
            </w:r>
          </w:p>
        </w:tc>
        <w:tc>
          <w:tcPr>
            <w:tcW w:w="2530" w:type="pct"/>
            <w:shd w:val="clear" w:color="auto" w:fill="auto"/>
            <w:vAlign w:val="center"/>
          </w:tcPr>
          <w:p w14:paraId="6C4E2E29">
            <w:pPr>
              <w:pStyle w:val="17"/>
              <w:rPr>
                <w:b/>
              </w:rPr>
            </w:pPr>
            <w:r>
              <w:rPr>
                <w:rFonts w:hint="eastAsia"/>
                <w:b/>
              </w:rPr>
              <w:t>工作职责</w:t>
            </w:r>
          </w:p>
        </w:tc>
        <w:tc>
          <w:tcPr>
            <w:tcW w:w="534" w:type="pct"/>
            <w:shd w:val="clear" w:color="auto" w:fill="auto"/>
            <w:vAlign w:val="center"/>
          </w:tcPr>
          <w:p w14:paraId="5EFAEE0D">
            <w:pPr>
              <w:pStyle w:val="17"/>
              <w:rPr>
                <w:b/>
              </w:rPr>
            </w:pPr>
            <w:r>
              <w:rPr>
                <w:rFonts w:hint="eastAsia"/>
                <w:b/>
              </w:rPr>
              <w:t>备注</w:t>
            </w:r>
          </w:p>
        </w:tc>
      </w:tr>
      <w:tr w14:paraId="2FDD5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0670B55F">
            <w:pPr>
              <w:pStyle w:val="17"/>
              <w:numPr>
                <w:ilvl w:val="0"/>
                <w:numId w:val="56"/>
              </w:numPr>
            </w:pPr>
          </w:p>
        </w:tc>
        <w:tc>
          <w:tcPr>
            <w:tcW w:w="877" w:type="pct"/>
            <w:shd w:val="clear" w:color="auto" w:fill="auto"/>
            <w:vAlign w:val="center"/>
          </w:tcPr>
          <w:p w14:paraId="3637512E">
            <w:pPr>
              <w:pStyle w:val="17"/>
            </w:pPr>
            <w:r>
              <w:rPr>
                <w:rFonts w:hint="eastAsia"/>
              </w:rPr>
              <w:t>现场负责人</w:t>
            </w:r>
          </w:p>
        </w:tc>
        <w:tc>
          <w:tcPr>
            <w:tcW w:w="1143" w:type="dxa"/>
            <w:shd w:val="clear" w:color="auto" w:fill="auto"/>
            <w:vAlign w:val="center"/>
          </w:tcPr>
          <w:p w14:paraId="00467E4F">
            <w:pPr>
              <w:pStyle w:val="17"/>
              <w:ind w:firstLine="0" w:firstLineChars="0"/>
            </w:pPr>
            <w:r>
              <w:rPr>
                <w:rFonts w:hint="eastAsia"/>
                <w:lang w:val="en-US" w:eastAsia="zh-CN"/>
              </w:rPr>
              <w:t>吕仕昌</w:t>
            </w:r>
          </w:p>
        </w:tc>
        <w:tc>
          <w:tcPr>
            <w:tcW w:w="2530" w:type="pct"/>
            <w:shd w:val="clear" w:color="auto" w:fill="auto"/>
            <w:vAlign w:val="center"/>
          </w:tcPr>
          <w:p w14:paraId="1B2BDA39">
            <w:pPr>
              <w:pStyle w:val="17"/>
              <w:jc w:val="both"/>
            </w:pPr>
            <w:r>
              <w:rPr>
                <w:rFonts w:hint="eastAsia"/>
              </w:rPr>
              <w:t>负责设备安装组织、实施及安全</w:t>
            </w:r>
          </w:p>
        </w:tc>
        <w:tc>
          <w:tcPr>
            <w:tcW w:w="534" w:type="pct"/>
            <w:shd w:val="clear" w:color="auto" w:fill="auto"/>
            <w:vAlign w:val="center"/>
          </w:tcPr>
          <w:p w14:paraId="77565F11">
            <w:pPr>
              <w:pStyle w:val="17"/>
            </w:pPr>
          </w:p>
        </w:tc>
      </w:tr>
      <w:tr w14:paraId="4FB5A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36444700">
            <w:pPr>
              <w:pStyle w:val="17"/>
              <w:numPr>
                <w:ilvl w:val="0"/>
                <w:numId w:val="56"/>
              </w:numPr>
            </w:pPr>
          </w:p>
        </w:tc>
        <w:tc>
          <w:tcPr>
            <w:tcW w:w="877" w:type="pct"/>
            <w:shd w:val="clear" w:color="auto" w:fill="auto"/>
            <w:vAlign w:val="center"/>
          </w:tcPr>
          <w:p w14:paraId="24C0E0A2">
            <w:pPr>
              <w:pStyle w:val="17"/>
            </w:pPr>
            <w:r>
              <w:rPr>
                <w:rFonts w:hint="eastAsia"/>
              </w:rPr>
              <w:t>设备安拆工</w:t>
            </w:r>
          </w:p>
        </w:tc>
        <w:tc>
          <w:tcPr>
            <w:tcW w:w="1143" w:type="dxa"/>
            <w:shd w:val="clear" w:color="auto" w:fill="auto"/>
            <w:vAlign w:val="center"/>
          </w:tcPr>
          <w:p w14:paraId="11D6D7E2">
            <w:pPr>
              <w:pStyle w:val="17"/>
              <w:ind w:firstLine="0" w:firstLineChars="0"/>
            </w:pPr>
            <w:r>
              <w:rPr>
                <w:rFonts w:hint="eastAsia"/>
                <w:lang w:val="en-US" w:eastAsia="zh-CN"/>
              </w:rPr>
              <w:t>吴强</w:t>
            </w:r>
          </w:p>
        </w:tc>
        <w:tc>
          <w:tcPr>
            <w:tcW w:w="2530" w:type="pct"/>
            <w:shd w:val="clear" w:color="auto" w:fill="auto"/>
            <w:vAlign w:val="center"/>
          </w:tcPr>
          <w:p w14:paraId="70D2AC45">
            <w:pPr>
              <w:pStyle w:val="17"/>
              <w:jc w:val="both"/>
            </w:pPr>
            <w:r>
              <w:rPr>
                <w:rFonts w:hint="eastAsia"/>
              </w:rPr>
              <w:t>负责设备安装技术工作以及安全工作</w:t>
            </w:r>
          </w:p>
        </w:tc>
        <w:tc>
          <w:tcPr>
            <w:tcW w:w="534" w:type="pct"/>
            <w:shd w:val="clear" w:color="auto" w:fill="auto"/>
            <w:vAlign w:val="center"/>
          </w:tcPr>
          <w:p w14:paraId="22BBF37B">
            <w:pPr>
              <w:pStyle w:val="17"/>
            </w:pPr>
          </w:p>
        </w:tc>
      </w:tr>
      <w:tr w14:paraId="04213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5680714A">
            <w:pPr>
              <w:pStyle w:val="17"/>
              <w:numPr>
                <w:ilvl w:val="0"/>
                <w:numId w:val="56"/>
              </w:numPr>
            </w:pPr>
          </w:p>
        </w:tc>
        <w:tc>
          <w:tcPr>
            <w:tcW w:w="877" w:type="pct"/>
            <w:shd w:val="clear" w:color="auto" w:fill="auto"/>
            <w:vAlign w:val="center"/>
          </w:tcPr>
          <w:p w14:paraId="12435F31">
            <w:pPr>
              <w:pStyle w:val="17"/>
            </w:pPr>
            <w:r>
              <w:rPr>
                <w:rFonts w:hint="eastAsia"/>
              </w:rPr>
              <w:t>设备安拆工</w:t>
            </w:r>
          </w:p>
        </w:tc>
        <w:tc>
          <w:tcPr>
            <w:tcW w:w="1143" w:type="dxa"/>
            <w:shd w:val="clear" w:color="auto" w:fill="auto"/>
            <w:vAlign w:val="center"/>
          </w:tcPr>
          <w:p w14:paraId="3D40A9B6">
            <w:pPr>
              <w:pStyle w:val="17"/>
              <w:ind w:firstLine="0" w:firstLineChars="0"/>
            </w:pPr>
            <w:r>
              <w:rPr>
                <w:rFonts w:hint="eastAsia"/>
                <w:lang w:val="en-US" w:eastAsia="zh-CN"/>
              </w:rPr>
              <w:t>周清云</w:t>
            </w:r>
          </w:p>
        </w:tc>
        <w:tc>
          <w:tcPr>
            <w:tcW w:w="2530" w:type="pct"/>
            <w:shd w:val="clear" w:color="auto" w:fill="auto"/>
            <w:vAlign w:val="center"/>
          </w:tcPr>
          <w:p w14:paraId="10C05DD3">
            <w:pPr>
              <w:pStyle w:val="17"/>
              <w:jc w:val="both"/>
            </w:pPr>
            <w:r>
              <w:rPr>
                <w:rFonts w:hint="eastAsia"/>
              </w:rPr>
              <w:t>负责现场的安全组织、检查、监督、纠正</w:t>
            </w:r>
          </w:p>
        </w:tc>
        <w:tc>
          <w:tcPr>
            <w:tcW w:w="534" w:type="pct"/>
            <w:shd w:val="clear" w:color="auto" w:fill="auto"/>
            <w:vAlign w:val="center"/>
          </w:tcPr>
          <w:p w14:paraId="030CB597">
            <w:pPr>
              <w:pStyle w:val="17"/>
            </w:pPr>
          </w:p>
        </w:tc>
      </w:tr>
      <w:tr w14:paraId="348B3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3B0D7D64">
            <w:pPr>
              <w:pStyle w:val="17"/>
              <w:numPr>
                <w:ilvl w:val="0"/>
                <w:numId w:val="56"/>
              </w:numPr>
            </w:pPr>
          </w:p>
        </w:tc>
        <w:tc>
          <w:tcPr>
            <w:tcW w:w="877" w:type="pct"/>
            <w:shd w:val="clear" w:color="auto" w:fill="auto"/>
            <w:vAlign w:val="center"/>
          </w:tcPr>
          <w:p w14:paraId="5C3078EF">
            <w:pPr>
              <w:pStyle w:val="17"/>
            </w:pPr>
            <w:r>
              <w:rPr>
                <w:rFonts w:hint="eastAsia"/>
              </w:rPr>
              <w:t>设备安拆工</w:t>
            </w:r>
          </w:p>
        </w:tc>
        <w:tc>
          <w:tcPr>
            <w:tcW w:w="1143" w:type="dxa"/>
            <w:shd w:val="clear" w:color="auto" w:fill="auto"/>
            <w:vAlign w:val="center"/>
          </w:tcPr>
          <w:p w14:paraId="67E7F75B">
            <w:pPr>
              <w:pStyle w:val="17"/>
              <w:ind w:firstLine="0" w:firstLineChars="0"/>
            </w:pPr>
            <w:r>
              <w:rPr>
                <w:rFonts w:hint="eastAsia"/>
                <w:lang w:val="en-US" w:eastAsia="zh-CN"/>
              </w:rPr>
              <w:t>匡彬</w:t>
            </w:r>
          </w:p>
        </w:tc>
        <w:tc>
          <w:tcPr>
            <w:tcW w:w="2530" w:type="pct"/>
            <w:shd w:val="clear" w:color="auto" w:fill="auto"/>
            <w:vAlign w:val="center"/>
          </w:tcPr>
          <w:p w14:paraId="66B4D0BA">
            <w:pPr>
              <w:pStyle w:val="17"/>
              <w:jc w:val="both"/>
            </w:pPr>
            <w:r>
              <w:rPr>
                <w:rFonts w:hint="eastAsia"/>
              </w:rPr>
              <w:t>负责设备安装的人员设备组织、协调；</w:t>
            </w:r>
          </w:p>
          <w:p w14:paraId="681ACAF8">
            <w:pPr>
              <w:pStyle w:val="17"/>
              <w:jc w:val="both"/>
            </w:pPr>
            <w:r>
              <w:rPr>
                <w:rFonts w:hint="eastAsia"/>
              </w:rPr>
              <w:t>检查吊具、索具安全性，保证吊点正确，物件平稳，指挥信号清晰、明确。</w:t>
            </w:r>
          </w:p>
        </w:tc>
        <w:tc>
          <w:tcPr>
            <w:tcW w:w="534" w:type="pct"/>
            <w:shd w:val="clear" w:color="auto" w:fill="auto"/>
            <w:vAlign w:val="center"/>
          </w:tcPr>
          <w:p w14:paraId="3B498EE5">
            <w:pPr>
              <w:pStyle w:val="17"/>
            </w:pPr>
          </w:p>
        </w:tc>
      </w:tr>
      <w:tr w14:paraId="080F6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14:paraId="18BE3616">
            <w:pPr>
              <w:pStyle w:val="17"/>
              <w:numPr>
                <w:ilvl w:val="0"/>
                <w:numId w:val="56"/>
              </w:numPr>
            </w:pPr>
          </w:p>
        </w:tc>
        <w:tc>
          <w:tcPr>
            <w:tcW w:w="877" w:type="pct"/>
            <w:shd w:val="clear" w:color="auto" w:fill="auto"/>
            <w:vAlign w:val="center"/>
          </w:tcPr>
          <w:p w14:paraId="1F317E2A">
            <w:pPr>
              <w:pStyle w:val="17"/>
            </w:pPr>
            <w:r>
              <w:rPr>
                <w:rFonts w:hint="eastAsia"/>
              </w:rPr>
              <w:t>电工</w:t>
            </w:r>
          </w:p>
        </w:tc>
        <w:tc>
          <w:tcPr>
            <w:tcW w:w="1143" w:type="dxa"/>
            <w:shd w:val="clear" w:color="auto" w:fill="auto"/>
            <w:vAlign w:val="center"/>
          </w:tcPr>
          <w:p w14:paraId="3CD1B0AB">
            <w:pPr>
              <w:pStyle w:val="17"/>
              <w:ind w:firstLine="0" w:firstLineChars="0"/>
            </w:pPr>
            <w:r>
              <w:rPr>
                <w:rFonts w:hint="eastAsia"/>
                <w:lang w:val="en-US" w:eastAsia="zh-CN"/>
              </w:rPr>
              <w:t>章增云</w:t>
            </w:r>
          </w:p>
        </w:tc>
        <w:tc>
          <w:tcPr>
            <w:tcW w:w="2530" w:type="pct"/>
            <w:shd w:val="clear" w:color="auto" w:fill="auto"/>
            <w:vAlign w:val="center"/>
          </w:tcPr>
          <w:p w14:paraId="78CB2458">
            <w:pPr>
              <w:pStyle w:val="17"/>
              <w:jc w:val="both"/>
            </w:pPr>
            <w:r>
              <w:rPr>
                <w:rFonts w:hint="eastAsia"/>
              </w:rPr>
              <w:t>负责现场设备的电气安装、恢复、调试</w:t>
            </w:r>
          </w:p>
        </w:tc>
        <w:tc>
          <w:tcPr>
            <w:tcW w:w="534" w:type="pct"/>
            <w:shd w:val="clear" w:color="auto" w:fill="auto"/>
            <w:vAlign w:val="center"/>
          </w:tcPr>
          <w:p w14:paraId="6E24D5E9">
            <w:pPr>
              <w:pStyle w:val="17"/>
            </w:pPr>
          </w:p>
        </w:tc>
      </w:tr>
    </w:tbl>
    <w:p w14:paraId="6A632B41">
      <w:pPr>
        <w:pStyle w:val="3"/>
      </w:pPr>
      <w:bookmarkStart w:id="201" w:name="_Toc9735"/>
      <w:bookmarkStart w:id="202" w:name="_Toc450"/>
      <w:bookmarkStart w:id="203" w:name="_Toc28613979"/>
      <w:bookmarkStart w:id="204" w:name="_Toc40778455"/>
      <w:bookmarkStart w:id="205" w:name="_Toc86675426"/>
      <w:bookmarkStart w:id="206" w:name="_Toc1874"/>
      <w:bookmarkStart w:id="207" w:name="_Toc88642977"/>
      <w:r>
        <w:rPr>
          <w:rFonts w:hint="eastAsia"/>
        </w:rPr>
        <w:t>处置流程</w:t>
      </w:r>
      <w:bookmarkEnd w:id="201"/>
      <w:bookmarkEnd w:id="202"/>
      <w:bookmarkEnd w:id="203"/>
      <w:bookmarkEnd w:id="204"/>
      <w:bookmarkEnd w:id="205"/>
      <w:bookmarkEnd w:id="206"/>
      <w:bookmarkEnd w:id="207"/>
    </w:p>
    <w:p w14:paraId="15F484D4">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197"/>
    <w:bookmarkEnd w:id="198"/>
    <w:bookmarkEnd w:id="199"/>
    <w:p w14:paraId="2B381000">
      <w:pPr>
        <w:pStyle w:val="3"/>
      </w:pPr>
      <w:bookmarkStart w:id="208" w:name="_Toc131174070"/>
      <w:bookmarkStart w:id="209" w:name="_Toc6849"/>
      <w:bookmarkStart w:id="210" w:name="_Toc86675428"/>
      <w:bookmarkStart w:id="211" w:name="_Toc88642979"/>
      <w:r>
        <w:rPr>
          <w:rFonts w:hint="eastAsia"/>
        </w:rPr>
        <w:t>应急处置措施</w:t>
      </w:r>
      <w:bookmarkEnd w:id="208"/>
      <w:bookmarkEnd w:id="209"/>
    </w:p>
    <w:p w14:paraId="2590FF6C">
      <w:pPr>
        <w:pStyle w:val="4"/>
        <w:numPr>
          <w:ilvl w:val="2"/>
          <w:numId w:val="1"/>
        </w:numPr>
        <w:bidi w:val="0"/>
      </w:pPr>
      <w:r>
        <w:rPr>
          <w:rFonts w:hint="eastAsia"/>
        </w:rPr>
        <w:t>塔吊坍塌应急处置措施</w:t>
      </w:r>
    </w:p>
    <w:p w14:paraId="1AD4CD79">
      <w:pPr>
        <w:numPr>
          <w:ilvl w:val="0"/>
          <w:numId w:val="57"/>
        </w:numPr>
        <w:ind w:firstLineChars="0"/>
      </w:pPr>
      <w:r>
        <w:rPr>
          <w:rFonts w:hint="eastAsia"/>
        </w:rPr>
        <w:t>安拆现场发生设备坍塌事故，迅速确定事故发生的准确位置、可能波及的范围、损坏的程度、人员伤亡情况等，以根据不同情况进行应急处置。</w:t>
      </w:r>
    </w:p>
    <w:p w14:paraId="66D204E9">
      <w:pPr>
        <w:numPr>
          <w:ilvl w:val="0"/>
          <w:numId w:val="57"/>
        </w:numPr>
        <w:ind w:firstLineChars="0"/>
      </w:pPr>
      <w:r>
        <w:rPr>
          <w:rFonts w:hint="eastAsia"/>
        </w:rPr>
        <w:t>设置危险警戒区域，严禁与应急抢险无关的人员进入。</w:t>
      </w:r>
    </w:p>
    <w:p w14:paraId="546A8F3E">
      <w:pPr>
        <w:numPr>
          <w:ilvl w:val="0"/>
          <w:numId w:val="57"/>
        </w:numPr>
        <w:ind w:firstLineChars="0"/>
      </w:pPr>
      <w:r>
        <w:rPr>
          <w:rFonts w:hint="eastAsia"/>
        </w:rPr>
        <w:t>按着救人优先的原则，且在保障人身安全的情况下尽可能地抢救重要财产，并注意做好应急人员的自身安全。</w:t>
      </w:r>
    </w:p>
    <w:p w14:paraId="18F9EBE2">
      <w:pPr>
        <w:numPr>
          <w:ilvl w:val="0"/>
          <w:numId w:val="57"/>
        </w:numPr>
        <w:ind w:firstLineChars="0"/>
      </w:pPr>
      <w:r>
        <w:rPr>
          <w:rFonts w:hint="eastAsia"/>
        </w:rPr>
        <w:t>组织人员尽快解除重物压迫，减少伤员挤压综合症发生，并将其转移至安全地方。</w:t>
      </w:r>
    </w:p>
    <w:p w14:paraId="1004246D">
      <w:pPr>
        <w:numPr>
          <w:ilvl w:val="0"/>
          <w:numId w:val="57"/>
        </w:numPr>
        <w:ind w:firstLineChars="0"/>
      </w:pPr>
      <w:r>
        <w:rPr>
          <w:rFonts w:hint="eastAsia"/>
        </w:rPr>
        <w:t>对未坍塌部位进行抢修加固或者拆除，封锁周围危险区域，防止进一步坍塌。</w:t>
      </w:r>
    </w:p>
    <w:p w14:paraId="54A831DF">
      <w:pPr>
        <w:numPr>
          <w:ilvl w:val="0"/>
          <w:numId w:val="57"/>
        </w:numPr>
        <w:ind w:firstLineChars="0"/>
      </w:pPr>
      <w:r>
        <w:rPr>
          <w:rFonts w:hint="eastAsia"/>
        </w:rPr>
        <w:t>现场急救条件不能满足需求时，必须立即上报当地政府有关部门，并请求必要的支持和帮助。拨打急救电话时，应详细说明事故地点和人员伤害情况，并派人到路口进行接应。</w:t>
      </w:r>
    </w:p>
    <w:p w14:paraId="14E7EA55">
      <w:pPr>
        <w:numPr>
          <w:ilvl w:val="0"/>
          <w:numId w:val="57"/>
        </w:numPr>
        <w:ind w:firstLineChars="0"/>
      </w:pPr>
      <w:r>
        <w:rPr>
          <w:rFonts w:hint="eastAsia"/>
        </w:rPr>
        <w:t>在没有人员受伤的情况下，应根据实际情况对支架进行加固或拆除，在确保人员生命安全的前提下，组织恢复正常施工秩序。</w:t>
      </w:r>
    </w:p>
    <w:p w14:paraId="32BE120D">
      <w:pPr>
        <w:pStyle w:val="4"/>
        <w:numPr>
          <w:ilvl w:val="2"/>
          <w:numId w:val="1"/>
        </w:numPr>
        <w:bidi w:val="0"/>
      </w:pPr>
      <w:r>
        <w:rPr>
          <w:rFonts w:hint="eastAsia"/>
        </w:rPr>
        <w:t>起重伤害应急处置措施</w:t>
      </w:r>
    </w:p>
    <w:p w14:paraId="2F586F59">
      <w:pPr>
        <w:numPr>
          <w:ilvl w:val="0"/>
          <w:numId w:val="58"/>
        </w:numPr>
        <w:ind w:firstLine="480"/>
      </w:pPr>
      <w:r>
        <w:rPr>
          <w:rFonts w:hint="eastAsia"/>
        </w:rPr>
        <w:t>当发生起重吊装设备械倾覆事故时，首先查看起重机司机是否被困在操作室内，检查有无其他人员被砸伤或者掩埋在起重机下，相邻构筑物是否受到破坏。</w:t>
      </w:r>
    </w:p>
    <w:p w14:paraId="7CD859CC">
      <w:pPr>
        <w:numPr>
          <w:ilvl w:val="0"/>
          <w:numId w:val="58"/>
        </w:numPr>
        <w:ind w:firstLine="480"/>
      </w:pPr>
      <w:r>
        <w:rPr>
          <w:rFonts w:hint="eastAsia"/>
        </w:rPr>
        <w:t>若有人员被困，确定被埋人员的位置，立即组织现场急救。</w:t>
      </w:r>
    </w:p>
    <w:p w14:paraId="63366C85">
      <w:pPr>
        <w:numPr>
          <w:ilvl w:val="0"/>
          <w:numId w:val="58"/>
        </w:numPr>
        <w:ind w:firstLine="480"/>
      </w:pPr>
      <w:r>
        <w:rPr>
          <w:rFonts w:hint="eastAsia"/>
        </w:rPr>
        <w:t>当挖救被埋人员时，切勿使用机械挖救，以防伤人，同时调用其他起重设备将倾覆起重机缓慢拉起，设备部件固定牢固后，再组织抢救被埋人员。</w:t>
      </w:r>
    </w:p>
    <w:p w14:paraId="714D23E7">
      <w:pPr>
        <w:numPr>
          <w:ilvl w:val="0"/>
          <w:numId w:val="58"/>
        </w:numPr>
        <w:ind w:firstLine="480"/>
      </w:pPr>
      <w:r>
        <w:rPr>
          <w:rFonts w:hint="eastAsia"/>
        </w:rPr>
        <w:t>昏迷者应平卧，面部转向一侧，以防舌根下坠或分泌物、呕吐物吸入，发生喉阻塞。有骨折者，应初步固定后再搬运。</w:t>
      </w:r>
    </w:p>
    <w:p w14:paraId="1E8499AC">
      <w:pPr>
        <w:numPr>
          <w:ilvl w:val="0"/>
          <w:numId w:val="58"/>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14:paraId="3EE70B37">
      <w:pPr>
        <w:numPr>
          <w:ilvl w:val="0"/>
          <w:numId w:val="58"/>
        </w:numPr>
        <w:ind w:firstLine="420" w:firstLineChars="0"/>
      </w:pPr>
      <w:r>
        <w:rPr>
          <w:rFonts w:hint="eastAsia"/>
        </w:rPr>
        <w:t>吊装前应提前检查钢丝绳、卸扣等，发现钢丝绳存在断丝、断股、锈蚀严重等现象时必须立即更换钢丝绳。</w:t>
      </w:r>
    </w:p>
    <w:p w14:paraId="593A94B1">
      <w:pPr>
        <w:numPr>
          <w:ilvl w:val="0"/>
          <w:numId w:val="58"/>
        </w:numPr>
        <w:ind w:firstLine="420" w:firstLineChars="0"/>
      </w:pPr>
      <w:r>
        <w:rPr>
          <w:rFonts w:hint="eastAsia"/>
        </w:rPr>
        <w:t>大型构件吊装之前必须进行试吊。</w:t>
      </w:r>
    </w:p>
    <w:p w14:paraId="50C7AB02">
      <w:pPr>
        <w:numPr>
          <w:ilvl w:val="0"/>
          <w:numId w:val="58"/>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14:paraId="31D032E1">
      <w:pPr>
        <w:numPr>
          <w:ilvl w:val="0"/>
          <w:numId w:val="58"/>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BB14B19">
      <w:pPr>
        <w:pStyle w:val="4"/>
        <w:numPr>
          <w:ilvl w:val="2"/>
          <w:numId w:val="1"/>
        </w:numPr>
        <w:bidi w:val="0"/>
      </w:pPr>
      <w:r>
        <w:rPr>
          <w:rFonts w:hint="eastAsia"/>
        </w:rPr>
        <w:t>钢丝绳断裂、脱钩应急处置措施</w:t>
      </w:r>
    </w:p>
    <w:p w14:paraId="284931BE">
      <w:pPr>
        <w:numPr>
          <w:ilvl w:val="0"/>
          <w:numId w:val="59"/>
        </w:numPr>
        <w:ind w:firstLine="420" w:firstLineChars="0"/>
      </w:pPr>
      <w:r>
        <w:rPr>
          <w:rFonts w:hint="eastAsia"/>
        </w:rPr>
        <w:t>吊装前应提前检查钢丝绳、卸扣等，发现钢丝绳存在断丝、断股、锈蚀严重等现象时必须立即更换钢丝绳。</w:t>
      </w:r>
    </w:p>
    <w:p w14:paraId="55B12BDF">
      <w:pPr>
        <w:numPr>
          <w:ilvl w:val="0"/>
          <w:numId w:val="59"/>
        </w:numPr>
        <w:ind w:firstLine="420" w:firstLineChars="0"/>
      </w:pPr>
      <w:r>
        <w:rPr>
          <w:rFonts w:hint="eastAsia"/>
        </w:rPr>
        <w:t>大型构件吊装之前必须进行试吊。</w:t>
      </w:r>
    </w:p>
    <w:p w14:paraId="4ADE954E">
      <w:pPr>
        <w:numPr>
          <w:ilvl w:val="0"/>
          <w:numId w:val="59"/>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14:paraId="45B00B87">
      <w:pPr>
        <w:numPr>
          <w:ilvl w:val="0"/>
          <w:numId w:val="59"/>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5FED04B1">
      <w:pPr>
        <w:pStyle w:val="4"/>
        <w:numPr>
          <w:ilvl w:val="2"/>
          <w:numId w:val="1"/>
        </w:numPr>
        <w:bidi w:val="0"/>
      </w:pPr>
      <w:r>
        <w:rPr>
          <w:rFonts w:hint="eastAsia"/>
        </w:rPr>
        <w:t>高处坠落应急处置措施</w:t>
      </w:r>
    </w:p>
    <w:p w14:paraId="1AA1FE28">
      <w:pPr>
        <w:numPr>
          <w:ilvl w:val="0"/>
          <w:numId w:val="60"/>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6E7352B">
      <w:pPr>
        <w:numPr>
          <w:ilvl w:val="0"/>
          <w:numId w:val="61"/>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7E6A50B2">
      <w:pPr>
        <w:numPr>
          <w:ilvl w:val="0"/>
          <w:numId w:val="61"/>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14:paraId="73066EC6">
      <w:pPr>
        <w:numPr>
          <w:ilvl w:val="0"/>
          <w:numId w:val="61"/>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25FC3A67">
      <w:pPr>
        <w:numPr>
          <w:ilvl w:val="0"/>
          <w:numId w:val="61"/>
        </w:numPr>
        <w:ind w:firstLine="480"/>
      </w:pPr>
      <w:r>
        <w:rPr>
          <w:rFonts w:hint="eastAsia"/>
        </w:rPr>
        <w:t>遇有创伤性出血的伤员，应迅速包扎止血，使伤员保持在头底脚高的卧位，并注意保暖。正确的现场止血处理措施：</w:t>
      </w:r>
    </w:p>
    <w:p w14:paraId="62085453">
      <w:pPr>
        <w:numPr>
          <w:ilvl w:val="0"/>
          <w:numId w:val="62"/>
        </w:numPr>
        <w:ind w:firstLine="480"/>
      </w:pPr>
      <w:r>
        <w:rPr>
          <w:rFonts w:hint="eastAsia"/>
        </w:rPr>
        <w:t>一般伤口的止血法：先用生理盐水（0.9%Nacl溶液）冲洗伤口，涂上红汞水，然后盖上消毒纱布，用绷带较紧地包扎。</w:t>
      </w:r>
    </w:p>
    <w:p w14:paraId="4BB7F043">
      <w:pPr>
        <w:numPr>
          <w:ilvl w:val="0"/>
          <w:numId w:val="62"/>
        </w:numPr>
        <w:ind w:firstLine="480"/>
      </w:pPr>
      <w:r>
        <w:rPr>
          <w:rFonts w:hint="eastAsia"/>
        </w:rPr>
        <w:t>加压包扎止血法：用纱布、棉花等作成软件垫，放在伤口上再加包扎，来增强压力而达到止血。</w:t>
      </w:r>
    </w:p>
    <w:p w14:paraId="7E1FDE36">
      <w:pPr>
        <w:numPr>
          <w:ilvl w:val="0"/>
          <w:numId w:val="62"/>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F7EC4D">
      <w:pPr>
        <w:numPr>
          <w:ilvl w:val="0"/>
          <w:numId w:val="61"/>
        </w:numPr>
        <w:ind w:firstLine="480"/>
      </w:pPr>
      <w:r>
        <w:rPr>
          <w:rFonts w:hint="eastAsia"/>
        </w:rPr>
        <w:t>动用最快的交通工具或其他措施，及时把伤者送往邻近医院抢救，运送途中应尽量减少颠簸。同时密切注意伤者的呼吸、脉搏、血压及伤口的情况。</w:t>
      </w:r>
    </w:p>
    <w:p w14:paraId="344DA1AE">
      <w:pPr>
        <w:pStyle w:val="4"/>
        <w:numPr>
          <w:ilvl w:val="2"/>
          <w:numId w:val="1"/>
        </w:numPr>
        <w:bidi w:val="0"/>
      </w:pPr>
      <w:r>
        <w:rPr>
          <w:rFonts w:hint="eastAsia"/>
        </w:rPr>
        <w:t>物体打击应急处置措施</w:t>
      </w:r>
    </w:p>
    <w:p w14:paraId="493D94AE">
      <w:pPr>
        <w:numPr>
          <w:ilvl w:val="0"/>
          <w:numId w:val="63"/>
        </w:numPr>
        <w:ind w:firstLineChars="0"/>
      </w:pPr>
      <w:r>
        <w:rPr>
          <w:rFonts w:hint="eastAsia"/>
        </w:rPr>
        <w:t>当发生物体打击事故后，抢救的重点放在颅脑损伤、胸部骨折和出血上进行处理。</w:t>
      </w:r>
    </w:p>
    <w:p w14:paraId="663D7AA2">
      <w:pPr>
        <w:numPr>
          <w:ilvl w:val="0"/>
          <w:numId w:val="63"/>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5C31BCE">
      <w:pPr>
        <w:numPr>
          <w:ilvl w:val="0"/>
          <w:numId w:val="63"/>
        </w:numPr>
        <w:ind w:firstLineChars="0"/>
      </w:pPr>
      <w:r>
        <w:rPr>
          <w:rFonts w:hint="eastAsia"/>
        </w:rPr>
        <w:t>遇呼吸、心跳停止者，应立即进行人工呼吸，胸外心脏挤压。处于休克状态的伤员要让其安静、保暖、平卧、少动，并将下肢抬高约20度左右，尽快送医院进行抢救治疗。</w:t>
      </w:r>
    </w:p>
    <w:p w14:paraId="18EB233D">
      <w:pPr>
        <w:numPr>
          <w:ilvl w:val="0"/>
          <w:numId w:val="63"/>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2C2EFD6D">
      <w:pPr>
        <w:pStyle w:val="4"/>
        <w:numPr>
          <w:ilvl w:val="2"/>
          <w:numId w:val="1"/>
        </w:numPr>
        <w:bidi w:val="0"/>
      </w:pPr>
      <w:r>
        <w:rPr>
          <w:rFonts w:hint="eastAsia"/>
        </w:rPr>
        <w:t>机械伤害应急处置措施</w:t>
      </w:r>
    </w:p>
    <w:p w14:paraId="08624467">
      <w:pPr>
        <w:numPr>
          <w:ilvl w:val="0"/>
          <w:numId w:val="64"/>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766FF15B">
      <w:pPr>
        <w:numPr>
          <w:ilvl w:val="0"/>
          <w:numId w:val="64"/>
        </w:numPr>
        <w:ind w:firstLineChars="0"/>
      </w:pPr>
      <w:r>
        <w:rPr>
          <w:rFonts w:hint="eastAsia"/>
        </w:rPr>
        <w:t>休克、昏迷急救</w:t>
      </w:r>
    </w:p>
    <w:p w14:paraId="4964C5CC">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14:paraId="7F42000C">
      <w:pPr>
        <w:numPr>
          <w:ilvl w:val="0"/>
          <w:numId w:val="64"/>
        </w:numPr>
        <w:ind w:firstLineChars="0"/>
      </w:pPr>
      <w:r>
        <w:rPr>
          <w:rFonts w:hint="eastAsia"/>
        </w:rPr>
        <w:t>骨折急救</w:t>
      </w:r>
    </w:p>
    <w:p w14:paraId="2F76408E">
      <w:pPr>
        <w:numPr>
          <w:ilvl w:val="0"/>
          <w:numId w:val="65"/>
        </w:numPr>
        <w:ind w:firstLineChars="0"/>
      </w:pPr>
      <w:r>
        <w:rPr>
          <w:rFonts w:hint="eastAsia"/>
        </w:rPr>
        <w:t xml:space="preserve">固定断骨的材料可就地取材，如棍、木板、拐杖、硬纸板等都可作为固定材料，长短要以能固定住骨折处上下两个关节或不使断骨错动为准。 </w:t>
      </w:r>
    </w:p>
    <w:p w14:paraId="48223C79">
      <w:pPr>
        <w:numPr>
          <w:ilvl w:val="0"/>
          <w:numId w:val="65"/>
        </w:numPr>
        <w:ind w:firstLineChars="0"/>
      </w:pPr>
      <w:r>
        <w:rPr>
          <w:rFonts w:hint="eastAsia"/>
        </w:rPr>
        <w:t xml:space="preserve">脊柱骨折或骨折或颈部骨折时，除非是特殊情况如室内失火，否则应让伤者留在原地，等待携有医疗器材的医护人员来搬动。  </w:t>
      </w:r>
    </w:p>
    <w:p w14:paraId="0B5F7826">
      <w:pPr>
        <w:numPr>
          <w:ilvl w:val="0"/>
          <w:numId w:val="65"/>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14:paraId="3E434540">
      <w:pPr>
        <w:numPr>
          <w:ilvl w:val="0"/>
          <w:numId w:val="64"/>
        </w:numPr>
        <w:ind w:firstLineChars="0"/>
      </w:pPr>
      <w:r>
        <w:rPr>
          <w:rFonts w:hint="eastAsia"/>
        </w:rPr>
        <w:t>严重出血的急救</w:t>
      </w:r>
    </w:p>
    <w:p w14:paraId="31F4F986">
      <w:pPr>
        <w:ind w:firstLine="480"/>
      </w:pPr>
      <w:r>
        <w:rPr>
          <w:rFonts w:hint="eastAsia"/>
        </w:rPr>
        <w:t>止血的方法：</w:t>
      </w:r>
    </w:p>
    <w:p w14:paraId="3E19985B">
      <w:pPr>
        <w:numPr>
          <w:ilvl w:val="0"/>
          <w:numId w:val="66"/>
        </w:numPr>
        <w:ind w:firstLineChars="0"/>
      </w:pPr>
      <w:r>
        <w:rPr>
          <w:rFonts w:hint="eastAsia"/>
        </w:rPr>
        <w:t>一般止血法：一般伤口小的出血，先用生理盐水涂上红汞药水，然后盖上消毒纱布，用绷带较紧地包扎。</w:t>
      </w:r>
    </w:p>
    <w:p w14:paraId="46194AC5">
      <w:pPr>
        <w:numPr>
          <w:ilvl w:val="0"/>
          <w:numId w:val="66"/>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2E89D16B">
      <w:pPr>
        <w:numPr>
          <w:ilvl w:val="0"/>
          <w:numId w:val="64"/>
        </w:numPr>
        <w:ind w:firstLineChars="0"/>
      </w:pPr>
      <w:r>
        <w:rPr>
          <w:rFonts w:hint="eastAsia"/>
        </w:rPr>
        <w:t>肢体切断断肢（指）后，有时即刻造成伤者因流血或疼痛而发生休克，所以应设法首先止血，防止伤员休克。其急救要点为：</w:t>
      </w:r>
    </w:p>
    <w:p w14:paraId="240C6E3B">
      <w:pPr>
        <w:numPr>
          <w:ilvl w:val="0"/>
          <w:numId w:val="67"/>
        </w:numPr>
        <w:ind w:firstLineChars="0"/>
      </w:pPr>
      <w:r>
        <w:rPr>
          <w:rFonts w:hint="eastAsia"/>
        </w:rPr>
        <w:t>让伤者躺下，用一块纱布或清洁布块（如翻出干净手帕的内面），放在断肢伤口上，再用绷带固定位置。如果找不到绷带，也可用围巾包扎。</w:t>
      </w:r>
    </w:p>
    <w:p w14:paraId="2C5A26C0">
      <w:pPr>
        <w:numPr>
          <w:ilvl w:val="0"/>
          <w:numId w:val="67"/>
        </w:numPr>
        <w:ind w:firstLineChars="0"/>
      </w:pPr>
      <w:r>
        <w:rPr>
          <w:rFonts w:hint="eastAsia"/>
        </w:rPr>
        <w:t>如是手臂切断，用绷带把断臂挂在胸前，固定位置；若是一条腿断了，则与另一条腿扎在一起。</w:t>
      </w:r>
    </w:p>
    <w:p w14:paraId="77FEAD33">
      <w:pPr>
        <w:numPr>
          <w:ilvl w:val="0"/>
          <w:numId w:val="67"/>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14:paraId="204468B0">
      <w:pPr>
        <w:numPr>
          <w:ilvl w:val="0"/>
          <w:numId w:val="67"/>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40F36223">
      <w:pPr>
        <w:numPr>
          <w:ilvl w:val="0"/>
          <w:numId w:val="67"/>
        </w:numPr>
        <w:ind w:firstLineChars="0"/>
      </w:pPr>
      <w:r>
        <w:rPr>
          <w:rFonts w:hint="eastAsia"/>
        </w:rPr>
        <w:t>离断后的伤肢，如有少许皮肤或其他肌腱相连，不能将其离断，应放在夹板或阔竹片上，然后包扎，立即送到医院作紧急处理。</w:t>
      </w:r>
    </w:p>
    <w:p w14:paraId="39CAD13B">
      <w:pPr>
        <w:numPr>
          <w:ilvl w:val="0"/>
          <w:numId w:val="67"/>
        </w:numPr>
        <w:ind w:firstLineChars="0"/>
      </w:pPr>
      <w:r>
        <w:rPr>
          <w:rFonts w:hint="eastAsia"/>
        </w:rPr>
        <w:t>严禁在离断伤肢（指）的断端涂抹各种药物及药水（包括消毒剂），更不能涂抹牙膏、灶灰之类试图止血。</w:t>
      </w:r>
    </w:p>
    <w:p w14:paraId="2171E1E8">
      <w:pPr>
        <w:numPr>
          <w:ilvl w:val="0"/>
          <w:numId w:val="64"/>
        </w:numPr>
        <w:ind w:firstLineChars="0"/>
      </w:pPr>
      <w:r>
        <w:rPr>
          <w:rFonts w:hint="eastAsia"/>
        </w:rPr>
        <w:t>一般性外伤</w:t>
      </w:r>
    </w:p>
    <w:p w14:paraId="5BB44C78">
      <w:pPr>
        <w:numPr>
          <w:ilvl w:val="1"/>
          <w:numId w:val="68"/>
        </w:numPr>
        <w:ind w:firstLineChars="0"/>
      </w:pPr>
      <w:r>
        <w:rPr>
          <w:rFonts w:hint="eastAsia"/>
        </w:rPr>
        <w:t>视伤情送往医院，防止破伤风。</w:t>
      </w:r>
    </w:p>
    <w:p w14:paraId="615DE115">
      <w:pPr>
        <w:numPr>
          <w:ilvl w:val="1"/>
          <w:numId w:val="68"/>
        </w:numPr>
        <w:ind w:firstLineChars="0"/>
      </w:pPr>
      <w:r>
        <w:rPr>
          <w:rFonts w:hint="eastAsia"/>
        </w:rPr>
        <w:t>轻微内伤，送医院检查。</w:t>
      </w:r>
    </w:p>
    <w:p w14:paraId="25B39BD2">
      <w:pPr>
        <w:pStyle w:val="4"/>
        <w:numPr>
          <w:ilvl w:val="2"/>
          <w:numId w:val="1"/>
        </w:numPr>
        <w:bidi w:val="0"/>
      </w:pPr>
      <w:r>
        <w:rPr>
          <w:rFonts w:hint="eastAsia"/>
        </w:rPr>
        <w:t>触电应急处置措施</w:t>
      </w:r>
    </w:p>
    <w:p w14:paraId="01748FDC">
      <w:pPr>
        <w:numPr>
          <w:ilvl w:val="2"/>
          <w:numId w:val="69"/>
        </w:numPr>
        <w:ind w:firstLineChars="0"/>
      </w:pPr>
      <w:r>
        <w:rPr>
          <w:rFonts w:hint="eastAsia"/>
        </w:rPr>
        <w:t>迅速脱离电源</w:t>
      </w:r>
    </w:p>
    <w:p w14:paraId="023F38E0">
      <w:pPr>
        <w:ind w:firstLine="480"/>
      </w:pPr>
      <w:r>
        <w:rPr>
          <w:rFonts w:hint="eastAsia"/>
        </w:rPr>
        <w:t>人体触电以后，可能由于痉挛或失去知觉等原因而紧抓带电体，不能自己摆脱电源。抢救触电者的首要步骤就是使触电者尽快脱离电源。</w:t>
      </w:r>
    </w:p>
    <w:p w14:paraId="661FC700">
      <w:pPr>
        <w:ind w:firstLine="480"/>
      </w:pPr>
      <w:r>
        <w:rPr>
          <w:rFonts w:hint="eastAsia"/>
        </w:rPr>
        <w:t>使触电者脱离电源的方法：</w:t>
      </w:r>
    </w:p>
    <w:p w14:paraId="3B58C6F6">
      <w:pPr>
        <w:numPr>
          <w:ilvl w:val="1"/>
          <w:numId w:val="70"/>
        </w:numPr>
        <w:ind w:firstLineChars="0"/>
      </w:pPr>
      <w:r>
        <w:rPr>
          <w:rFonts w:hint="eastAsia"/>
        </w:rPr>
        <w:t>立即将闸刀打开或将插头拨掉，切断电源。要注意，普通的电灯开关（如拉线开关）只能关断一根线，有时关断的不是相线，并未真正切断电源。</w:t>
      </w:r>
    </w:p>
    <w:p w14:paraId="35B32A69">
      <w:pPr>
        <w:numPr>
          <w:ilvl w:val="1"/>
          <w:numId w:val="70"/>
        </w:numPr>
        <w:ind w:firstLineChars="0"/>
      </w:pPr>
      <w:r>
        <w:rPr>
          <w:rFonts w:hint="eastAsia"/>
        </w:rPr>
        <w:t>找不到开关或插头时，可用绝缘的物体（如干燥的木棒、竹杆、手套等）将电线拨开，使触电者脱离电源。</w:t>
      </w:r>
    </w:p>
    <w:p w14:paraId="39C251A3">
      <w:pPr>
        <w:numPr>
          <w:ilvl w:val="1"/>
          <w:numId w:val="70"/>
        </w:numPr>
        <w:ind w:firstLineChars="0"/>
      </w:pPr>
      <w:r>
        <w:rPr>
          <w:rFonts w:hint="eastAsia"/>
        </w:rPr>
        <w:t>用绝缘工具（如带绝缘的电工钳、木柄斧头以及锄头等）切断电线来切断电源。</w:t>
      </w:r>
    </w:p>
    <w:p w14:paraId="652915E9">
      <w:pPr>
        <w:numPr>
          <w:ilvl w:val="1"/>
          <w:numId w:val="70"/>
        </w:numPr>
        <w:ind w:firstLineChars="0"/>
      </w:pPr>
      <w:r>
        <w:rPr>
          <w:rFonts w:hint="eastAsia"/>
        </w:rPr>
        <w:t>遇高压触电事故，立即通过有关部门停电。</w:t>
      </w:r>
    </w:p>
    <w:p w14:paraId="20F657B3">
      <w:pPr>
        <w:ind w:firstLine="480"/>
      </w:pPr>
      <w:r>
        <w:rPr>
          <w:rFonts w:hint="eastAsia"/>
        </w:rPr>
        <w:t>总之，要因地制宜，灵活运用各种方法，快速切断电源，防止事故扩大。</w:t>
      </w:r>
    </w:p>
    <w:p w14:paraId="7BED3893">
      <w:pPr>
        <w:numPr>
          <w:ilvl w:val="2"/>
          <w:numId w:val="69"/>
        </w:numPr>
        <w:ind w:firstLineChars="0"/>
      </w:pPr>
      <w:r>
        <w:rPr>
          <w:rFonts w:hint="eastAsia"/>
        </w:rPr>
        <w:t>现场急救方法</w:t>
      </w:r>
    </w:p>
    <w:p w14:paraId="1D693922">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7163B46A">
      <w:pPr>
        <w:numPr>
          <w:ilvl w:val="1"/>
          <w:numId w:val="71"/>
        </w:numPr>
        <w:ind w:firstLineChars="0"/>
      </w:pPr>
      <w:r>
        <w:rPr>
          <w:rFonts w:hint="eastAsia"/>
        </w:rPr>
        <w:t>口对口人工呼吸法：是用人工的方法来代替肺的呼吸活动，使空气有节律地进入和排出肺脏，供给体内足够的氧气，充分排出二氧化碳，维持正常的通气功能。</w:t>
      </w:r>
    </w:p>
    <w:p w14:paraId="2E2A9860">
      <w:pPr>
        <w:numPr>
          <w:ilvl w:val="1"/>
          <w:numId w:val="71"/>
        </w:numPr>
        <w:ind w:firstLineChars="0"/>
      </w:pPr>
      <w:r>
        <w:rPr>
          <w:rFonts w:hint="eastAsia"/>
        </w:rPr>
        <w:t>体外心脏挤压法：是指有节律地对心脏挤压，用人工的方法代替心脏的自然收缩，使心脏恢复搏动功能，维持血液循环。</w:t>
      </w:r>
    </w:p>
    <w:p w14:paraId="4BCB8682">
      <w:pPr>
        <w:numPr>
          <w:ilvl w:val="2"/>
          <w:numId w:val="69"/>
        </w:numPr>
        <w:ind w:firstLineChars="0"/>
      </w:pPr>
      <w:r>
        <w:rPr>
          <w:rFonts w:hint="eastAsia"/>
        </w:rPr>
        <w:t>触电急救方法</w:t>
      </w:r>
    </w:p>
    <w:p w14:paraId="7DFD7EBD">
      <w:pPr>
        <w:ind w:firstLine="480"/>
      </w:pPr>
      <w:r>
        <w:rPr>
          <w:rFonts w:hint="eastAsia"/>
        </w:rPr>
        <w:t>触电病人一般有以下四种症状，可分别给予正确的对症救治：</w:t>
      </w:r>
    </w:p>
    <w:p w14:paraId="71FCA5E2">
      <w:pPr>
        <w:numPr>
          <w:ilvl w:val="1"/>
          <w:numId w:val="72"/>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14:paraId="5EAB5FD5">
      <w:pPr>
        <w:numPr>
          <w:ilvl w:val="1"/>
          <w:numId w:val="72"/>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14:paraId="336C9EAD">
      <w:pPr>
        <w:numPr>
          <w:ilvl w:val="1"/>
          <w:numId w:val="72"/>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14:paraId="6F365040">
      <w:pPr>
        <w:numPr>
          <w:ilvl w:val="1"/>
          <w:numId w:val="72"/>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3F689949">
      <w:pPr>
        <w:pStyle w:val="4"/>
        <w:numPr>
          <w:ilvl w:val="2"/>
          <w:numId w:val="1"/>
        </w:numPr>
        <w:bidi w:val="0"/>
      </w:pPr>
      <w:r>
        <w:rPr>
          <w:rFonts w:hint="eastAsia"/>
        </w:rPr>
        <w:t>火灾应急处置措施</w:t>
      </w:r>
    </w:p>
    <w:p w14:paraId="001BCB32">
      <w:pPr>
        <w:numPr>
          <w:ilvl w:val="2"/>
          <w:numId w:val="73"/>
        </w:numPr>
        <w:ind w:firstLineChars="0"/>
      </w:pPr>
      <w:r>
        <w:rPr>
          <w:rFonts w:hint="eastAsia"/>
        </w:rPr>
        <w:t>现场人员发现火情第一时间及时通知现场负责人，现场负责人接到报告立即联系各应急处置部门及时赶到火灾地点。</w:t>
      </w:r>
    </w:p>
    <w:p w14:paraId="0B899887">
      <w:pPr>
        <w:numPr>
          <w:ilvl w:val="2"/>
          <w:numId w:val="73"/>
        </w:numPr>
        <w:ind w:firstLineChars="0"/>
      </w:pPr>
      <w:r>
        <w:rPr>
          <w:rFonts w:hint="eastAsia"/>
        </w:rPr>
        <w:t>负责人到达现场后根据火情，按照应急处置措施组织义务消防队和现场人员进行自救。火灾事故超出应急能力时，向社会请求支援。</w:t>
      </w:r>
    </w:p>
    <w:p w14:paraId="72BA6038">
      <w:pPr>
        <w:numPr>
          <w:ilvl w:val="2"/>
          <w:numId w:val="73"/>
        </w:numPr>
        <w:ind w:firstLineChars="0"/>
      </w:pPr>
      <w:r>
        <w:rPr>
          <w:rFonts w:hint="eastAsia"/>
        </w:rPr>
        <w:t>火灾发生后，现场人员按照逃生线路图疏散至安全场所，在确保人员安全的前提下组织灭火。人员疏散要及时有序，防止次生事故发生。</w:t>
      </w:r>
    </w:p>
    <w:p w14:paraId="7D735323">
      <w:pPr>
        <w:numPr>
          <w:ilvl w:val="2"/>
          <w:numId w:val="73"/>
        </w:numPr>
        <w:ind w:firstLineChars="0"/>
      </w:pPr>
      <w:r>
        <w:rPr>
          <w:rFonts w:hint="eastAsia"/>
        </w:rPr>
        <w:t>具备救援能力时，疏散和保护物资，减少火灾损失。</w:t>
      </w:r>
    </w:p>
    <w:p w14:paraId="6FC7E516">
      <w:pPr>
        <w:numPr>
          <w:ilvl w:val="2"/>
          <w:numId w:val="73"/>
        </w:numPr>
        <w:ind w:firstLineChars="0"/>
      </w:pPr>
      <w:r>
        <w:rPr>
          <w:rFonts w:hint="eastAsia"/>
        </w:rPr>
        <w:t>当易燃易爆物品有爆炸可能时，首先疏散人员，再采取其他控制措施。</w:t>
      </w:r>
    </w:p>
    <w:p w14:paraId="4BFDAA38">
      <w:pPr>
        <w:numPr>
          <w:ilvl w:val="2"/>
          <w:numId w:val="73"/>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14:paraId="5FF27152">
      <w:pPr>
        <w:numPr>
          <w:ilvl w:val="2"/>
          <w:numId w:val="73"/>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036D3791">
      <w:pPr>
        <w:numPr>
          <w:ilvl w:val="2"/>
          <w:numId w:val="73"/>
        </w:numPr>
        <w:ind w:firstLineChars="0"/>
      </w:pPr>
      <w:r>
        <w:rPr>
          <w:rFonts w:hint="eastAsia"/>
        </w:rPr>
        <w:t>拨打报警电话时要说明详细地址和受伤人员的性别、主要受伤部位、意识是否清晰等，留下联系电话并保持畅通。报警后由熟悉路况的人到最近的路口等候。</w:t>
      </w:r>
    </w:p>
    <w:p w14:paraId="1317D3B8">
      <w:pPr>
        <w:numPr>
          <w:ilvl w:val="2"/>
          <w:numId w:val="73"/>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14:paraId="07B32699">
      <w:pPr>
        <w:pStyle w:val="4"/>
        <w:numPr>
          <w:ilvl w:val="2"/>
          <w:numId w:val="1"/>
        </w:numPr>
        <w:bidi w:val="0"/>
      </w:pPr>
      <w:r>
        <w:rPr>
          <w:rFonts w:hint="eastAsia"/>
        </w:rPr>
        <w:t>车辆伤害应急处置措施</w:t>
      </w:r>
    </w:p>
    <w:p w14:paraId="572D3C47">
      <w:pPr>
        <w:numPr>
          <w:ilvl w:val="0"/>
          <w:numId w:val="74"/>
        </w:numPr>
        <w:ind w:firstLine="480"/>
      </w:pPr>
      <w:r>
        <w:rPr>
          <w:rFonts w:hint="eastAsia"/>
        </w:rPr>
        <w:t>现场人员发现车辆伤害事故立即通知现场负责人，现场负责人接到报告后立即组织人员进行救援。</w:t>
      </w:r>
    </w:p>
    <w:p w14:paraId="5D4CFEEB">
      <w:pPr>
        <w:numPr>
          <w:ilvl w:val="0"/>
          <w:numId w:val="74"/>
        </w:numPr>
        <w:ind w:firstLine="480"/>
      </w:pPr>
      <w:r>
        <w:rPr>
          <w:rFonts w:hint="eastAsia"/>
        </w:rPr>
        <w:t>首先查看人员是否被困在驾驶室内，检查有无其他人员被砸伤或者掩埋在设备构件下，相邻构筑物是否受到破坏。</w:t>
      </w:r>
    </w:p>
    <w:p w14:paraId="4701DA07">
      <w:pPr>
        <w:numPr>
          <w:ilvl w:val="0"/>
          <w:numId w:val="74"/>
        </w:numPr>
        <w:ind w:firstLine="480"/>
      </w:pPr>
      <w:r>
        <w:rPr>
          <w:rFonts w:hint="eastAsia"/>
        </w:rPr>
        <w:t>若人员可被移动出车辆或构件外，应使用担架将伤员移动到安全区域，并立即进行止血，并固定可能骨折的部位。</w:t>
      </w:r>
    </w:p>
    <w:p w14:paraId="5C69653F">
      <w:pPr>
        <w:numPr>
          <w:ilvl w:val="0"/>
          <w:numId w:val="74"/>
        </w:numPr>
        <w:ind w:firstLine="480"/>
      </w:pPr>
      <w:r>
        <w:rPr>
          <w:rFonts w:hint="eastAsia"/>
        </w:rPr>
        <w:t>若人员被困在驾驶室内，不得盲目施救，应立即联系地方消防部门使用专用破除设备进行破除，之后进行人员救援。</w:t>
      </w:r>
    </w:p>
    <w:p w14:paraId="680469D8">
      <w:pPr>
        <w:numPr>
          <w:ilvl w:val="0"/>
          <w:numId w:val="74"/>
        </w:numPr>
        <w:ind w:firstLine="480"/>
      </w:pPr>
      <w:r>
        <w:rPr>
          <w:rFonts w:hint="eastAsia"/>
        </w:rPr>
        <w:t>若人员被掩埋在设备构件下，切勿使用机械挖救，以防伤人，调用其他起重设备将倾覆构件缓慢拉起，设备构件固定牢固后，再组织抢救被埋人员。</w:t>
      </w:r>
    </w:p>
    <w:p w14:paraId="13BF0ED6">
      <w:pPr>
        <w:pStyle w:val="4"/>
        <w:numPr>
          <w:ilvl w:val="2"/>
          <w:numId w:val="1"/>
        </w:numPr>
        <w:bidi w:val="0"/>
      </w:pPr>
      <w:r>
        <w:rPr>
          <w:rFonts w:hint="eastAsia"/>
        </w:rPr>
        <w:t>应急车辆、物资及设备</w:t>
      </w:r>
      <w:bookmarkEnd w:id="210"/>
      <w:bookmarkEnd w:id="211"/>
    </w:p>
    <w:p w14:paraId="6987C36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3674EE47">
      <w:pPr>
        <w:pStyle w:val="16"/>
      </w:pPr>
      <w:bookmarkStart w:id="212" w:name="_Ref85788245"/>
      <w:r>
        <w:rPr>
          <w:rFonts w:hint="eastAsia"/>
        </w:rPr>
        <w:t>表</w:t>
      </w:r>
      <w:r>
        <w:rPr>
          <w:rFonts w:hint="eastAsia"/>
          <w:lang w:val="en-US" w:eastAsia="zh-CN"/>
        </w:rPr>
        <w:t>9.3.10-</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12"/>
      <w:r>
        <w:t xml:space="preserve"> </w:t>
      </w:r>
      <w:r>
        <w:rPr>
          <w:rFonts w:hint="eastAsia"/>
        </w:rPr>
        <w:t>项目部应急设备</w:t>
      </w:r>
      <w:r>
        <w:t>表</w:t>
      </w:r>
    </w:p>
    <w:tbl>
      <w:tblPr>
        <w:tblStyle w:val="1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14:paraId="2D003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20103880">
            <w:pPr>
              <w:spacing w:line="240" w:lineRule="auto"/>
              <w:ind w:firstLine="0" w:firstLineChars="0"/>
              <w:jc w:val="center"/>
              <w:rPr>
                <w:b/>
                <w:bCs/>
                <w:sz w:val="21"/>
              </w:rPr>
            </w:pPr>
            <w:r>
              <w:rPr>
                <w:b/>
                <w:bCs/>
                <w:sz w:val="21"/>
              </w:rPr>
              <w:t>序号</w:t>
            </w:r>
          </w:p>
        </w:tc>
        <w:tc>
          <w:tcPr>
            <w:tcW w:w="1040" w:type="pct"/>
            <w:vAlign w:val="center"/>
          </w:tcPr>
          <w:p w14:paraId="761D7C55">
            <w:pPr>
              <w:spacing w:line="240" w:lineRule="auto"/>
              <w:ind w:firstLine="0" w:firstLineChars="0"/>
              <w:jc w:val="center"/>
              <w:rPr>
                <w:b/>
                <w:bCs/>
                <w:sz w:val="21"/>
              </w:rPr>
            </w:pPr>
            <w:r>
              <w:rPr>
                <w:rFonts w:hint="eastAsia"/>
                <w:b/>
                <w:bCs/>
                <w:sz w:val="21"/>
              </w:rPr>
              <w:t>设备名称</w:t>
            </w:r>
          </w:p>
        </w:tc>
        <w:tc>
          <w:tcPr>
            <w:tcW w:w="627" w:type="pct"/>
            <w:vAlign w:val="center"/>
          </w:tcPr>
          <w:p w14:paraId="137AE773">
            <w:pPr>
              <w:spacing w:line="240" w:lineRule="auto"/>
              <w:ind w:firstLine="0" w:firstLineChars="0"/>
              <w:jc w:val="center"/>
              <w:rPr>
                <w:b/>
                <w:bCs/>
                <w:sz w:val="21"/>
              </w:rPr>
            </w:pPr>
            <w:r>
              <w:rPr>
                <w:rFonts w:hint="eastAsia"/>
                <w:b/>
                <w:bCs/>
                <w:sz w:val="21"/>
              </w:rPr>
              <w:t>单位</w:t>
            </w:r>
          </w:p>
        </w:tc>
        <w:tc>
          <w:tcPr>
            <w:tcW w:w="1040" w:type="pct"/>
            <w:vAlign w:val="center"/>
          </w:tcPr>
          <w:p w14:paraId="69DC75ED">
            <w:pPr>
              <w:spacing w:line="240" w:lineRule="auto"/>
              <w:ind w:firstLine="0" w:firstLineChars="0"/>
              <w:jc w:val="center"/>
              <w:rPr>
                <w:b/>
                <w:bCs/>
                <w:sz w:val="21"/>
              </w:rPr>
            </w:pPr>
            <w:r>
              <w:rPr>
                <w:rFonts w:hint="eastAsia"/>
                <w:b/>
                <w:bCs/>
                <w:sz w:val="21"/>
              </w:rPr>
              <w:t>投入数量</w:t>
            </w:r>
          </w:p>
        </w:tc>
        <w:tc>
          <w:tcPr>
            <w:tcW w:w="627" w:type="pct"/>
            <w:vAlign w:val="center"/>
          </w:tcPr>
          <w:p w14:paraId="4368B252">
            <w:pPr>
              <w:spacing w:line="240" w:lineRule="auto"/>
              <w:ind w:firstLine="0" w:firstLineChars="0"/>
              <w:jc w:val="center"/>
              <w:rPr>
                <w:b/>
                <w:bCs/>
                <w:sz w:val="21"/>
              </w:rPr>
            </w:pPr>
            <w:r>
              <w:rPr>
                <w:rFonts w:hint="eastAsia"/>
                <w:b/>
                <w:bCs/>
                <w:sz w:val="21"/>
              </w:rPr>
              <w:t>性能</w:t>
            </w:r>
          </w:p>
        </w:tc>
        <w:tc>
          <w:tcPr>
            <w:tcW w:w="1040" w:type="pct"/>
            <w:vAlign w:val="center"/>
          </w:tcPr>
          <w:p w14:paraId="0B23BDDD">
            <w:pPr>
              <w:spacing w:line="240" w:lineRule="auto"/>
              <w:ind w:firstLine="0" w:firstLineChars="0"/>
              <w:jc w:val="center"/>
              <w:rPr>
                <w:b/>
                <w:bCs/>
                <w:sz w:val="21"/>
              </w:rPr>
            </w:pPr>
            <w:r>
              <w:rPr>
                <w:rFonts w:hint="eastAsia"/>
                <w:b/>
                <w:bCs/>
                <w:sz w:val="21"/>
              </w:rPr>
              <w:t>存放地点</w:t>
            </w:r>
          </w:p>
        </w:tc>
      </w:tr>
      <w:tr w14:paraId="3A242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75E89CC1">
            <w:pPr>
              <w:pStyle w:val="78"/>
              <w:numPr>
                <w:ilvl w:val="0"/>
                <w:numId w:val="75"/>
              </w:numPr>
              <w:spacing w:line="240" w:lineRule="auto"/>
              <w:ind w:firstLineChars="0"/>
              <w:jc w:val="center"/>
              <w:rPr>
                <w:sz w:val="21"/>
              </w:rPr>
            </w:pPr>
          </w:p>
        </w:tc>
        <w:tc>
          <w:tcPr>
            <w:tcW w:w="1040" w:type="pct"/>
            <w:vAlign w:val="center"/>
          </w:tcPr>
          <w:p w14:paraId="29F93186">
            <w:pPr>
              <w:spacing w:line="240" w:lineRule="auto"/>
              <w:ind w:firstLine="0" w:firstLineChars="0"/>
              <w:jc w:val="center"/>
              <w:rPr>
                <w:sz w:val="21"/>
              </w:rPr>
            </w:pPr>
            <w:r>
              <w:rPr>
                <w:rFonts w:hint="eastAsia"/>
                <w:sz w:val="21"/>
              </w:rPr>
              <w:t>轿车</w:t>
            </w:r>
          </w:p>
        </w:tc>
        <w:tc>
          <w:tcPr>
            <w:tcW w:w="627" w:type="pct"/>
            <w:vAlign w:val="center"/>
          </w:tcPr>
          <w:p w14:paraId="1844BF89">
            <w:pPr>
              <w:spacing w:line="240" w:lineRule="auto"/>
              <w:ind w:firstLine="0" w:firstLineChars="0"/>
              <w:jc w:val="center"/>
              <w:rPr>
                <w:sz w:val="21"/>
              </w:rPr>
            </w:pPr>
            <w:r>
              <w:rPr>
                <w:rFonts w:hint="eastAsia"/>
                <w:sz w:val="21"/>
              </w:rPr>
              <w:t>台</w:t>
            </w:r>
          </w:p>
        </w:tc>
        <w:tc>
          <w:tcPr>
            <w:tcW w:w="1040" w:type="pct"/>
            <w:vAlign w:val="center"/>
          </w:tcPr>
          <w:p w14:paraId="724FB238">
            <w:pPr>
              <w:spacing w:line="240" w:lineRule="auto"/>
              <w:ind w:firstLine="0" w:firstLineChars="0"/>
              <w:jc w:val="center"/>
              <w:rPr>
                <w:sz w:val="21"/>
              </w:rPr>
            </w:pPr>
            <w:r>
              <w:rPr>
                <w:sz w:val="21"/>
              </w:rPr>
              <w:t>2</w:t>
            </w:r>
          </w:p>
        </w:tc>
        <w:tc>
          <w:tcPr>
            <w:tcW w:w="627" w:type="pct"/>
            <w:vAlign w:val="center"/>
          </w:tcPr>
          <w:p w14:paraId="56780068">
            <w:pPr>
              <w:spacing w:line="240" w:lineRule="auto"/>
              <w:ind w:firstLine="0" w:firstLineChars="0"/>
              <w:jc w:val="center"/>
              <w:rPr>
                <w:sz w:val="21"/>
              </w:rPr>
            </w:pPr>
            <w:r>
              <w:rPr>
                <w:rFonts w:hint="eastAsia"/>
                <w:sz w:val="21"/>
              </w:rPr>
              <w:t>优良</w:t>
            </w:r>
          </w:p>
        </w:tc>
        <w:tc>
          <w:tcPr>
            <w:tcW w:w="1040" w:type="pct"/>
            <w:vAlign w:val="center"/>
          </w:tcPr>
          <w:p w14:paraId="4AF2FC72">
            <w:pPr>
              <w:spacing w:line="240" w:lineRule="auto"/>
              <w:ind w:firstLine="0" w:firstLineChars="0"/>
              <w:jc w:val="center"/>
              <w:rPr>
                <w:sz w:val="21"/>
              </w:rPr>
            </w:pPr>
            <w:r>
              <w:rPr>
                <w:rFonts w:hint="eastAsia"/>
                <w:sz w:val="21"/>
              </w:rPr>
              <w:t>项目部</w:t>
            </w:r>
          </w:p>
        </w:tc>
      </w:tr>
      <w:tr w14:paraId="67229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0832E722">
            <w:pPr>
              <w:pStyle w:val="78"/>
              <w:numPr>
                <w:ilvl w:val="0"/>
                <w:numId w:val="75"/>
              </w:numPr>
              <w:spacing w:line="240" w:lineRule="auto"/>
              <w:ind w:firstLineChars="0"/>
              <w:jc w:val="center"/>
              <w:rPr>
                <w:sz w:val="21"/>
              </w:rPr>
            </w:pPr>
          </w:p>
        </w:tc>
        <w:tc>
          <w:tcPr>
            <w:tcW w:w="1040" w:type="pct"/>
            <w:vAlign w:val="center"/>
          </w:tcPr>
          <w:p w14:paraId="1BC34D55">
            <w:pPr>
              <w:spacing w:line="240" w:lineRule="auto"/>
              <w:ind w:firstLine="0" w:firstLineChars="0"/>
              <w:jc w:val="center"/>
              <w:rPr>
                <w:sz w:val="21"/>
              </w:rPr>
            </w:pPr>
            <w:r>
              <w:rPr>
                <w:rFonts w:hint="eastAsia"/>
                <w:sz w:val="21"/>
              </w:rPr>
              <w:t>皮卡车</w:t>
            </w:r>
          </w:p>
        </w:tc>
        <w:tc>
          <w:tcPr>
            <w:tcW w:w="627" w:type="pct"/>
            <w:vAlign w:val="center"/>
          </w:tcPr>
          <w:p w14:paraId="29E07E6B">
            <w:pPr>
              <w:spacing w:line="240" w:lineRule="auto"/>
              <w:ind w:firstLine="0" w:firstLineChars="0"/>
              <w:jc w:val="center"/>
              <w:rPr>
                <w:sz w:val="21"/>
              </w:rPr>
            </w:pPr>
            <w:r>
              <w:rPr>
                <w:rFonts w:hint="eastAsia"/>
                <w:sz w:val="21"/>
              </w:rPr>
              <w:t>台</w:t>
            </w:r>
          </w:p>
        </w:tc>
        <w:tc>
          <w:tcPr>
            <w:tcW w:w="1040" w:type="pct"/>
            <w:vAlign w:val="center"/>
          </w:tcPr>
          <w:p w14:paraId="589E850B">
            <w:pPr>
              <w:spacing w:line="240" w:lineRule="auto"/>
              <w:ind w:firstLine="0" w:firstLineChars="0"/>
              <w:jc w:val="center"/>
              <w:rPr>
                <w:sz w:val="21"/>
              </w:rPr>
            </w:pPr>
            <w:r>
              <w:rPr>
                <w:rFonts w:hint="eastAsia"/>
                <w:sz w:val="21"/>
              </w:rPr>
              <w:t>1</w:t>
            </w:r>
          </w:p>
        </w:tc>
        <w:tc>
          <w:tcPr>
            <w:tcW w:w="627" w:type="pct"/>
            <w:vAlign w:val="center"/>
          </w:tcPr>
          <w:p w14:paraId="1AFE057D">
            <w:pPr>
              <w:spacing w:line="240" w:lineRule="auto"/>
              <w:ind w:firstLine="0" w:firstLineChars="0"/>
              <w:jc w:val="center"/>
              <w:rPr>
                <w:sz w:val="21"/>
              </w:rPr>
            </w:pPr>
            <w:r>
              <w:rPr>
                <w:rFonts w:hint="eastAsia"/>
                <w:sz w:val="21"/>
              </w:rPr>
              <w:t>优良</w:t>
            </w:r>
          </w:p>
        </w:tc>
        <w:tc>
          <w:tcPr>
            <w:tcW w:w="1040" w:type="pct"/>
            <w:vAlign w:val="center"/>
          </w:tcPr>
          <w:p w14:paraId="679A52B1">
            <w:pPr>
              <w:spacing w:line="240" w:lineRule="auto"/>
              <w:ind w:firstLine="0" w:firstLineChars="0"/>
              <w:jc w:val="center"/>
              <w:rPr>
                <w:sz w:val="21"/>
              </w:rPr>
            </w:pPr>
            <w:r>
              <w:rPr>
                <w:rFonts w:hint="eastAsia"/>
                <w:sz w:val="21"/>
              </w:rPr>
              <w:t>项目部</w:t>
            </w:r>
          </w:p>
        </w:tc>
      </w:tr>
    </w:tbl>
    <w:p w14:paraId="086B31A5">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14:paraId="75710008">
      <w:pPr>
        <w:pStyle w:val="16"/>
      </w:pPr>
      <w:bookmarkStart w:id="213" w:name="_Ref85788153"/>
      <w:r>
        <w:rPr>
          <w:rFonts w:hint="eastAsia"/>
        </w:rPr>
        <w:t>表</w:t>
      </w:r>
      <w:bookmarkEnd w:id="213"/>
      <w:r>
        <w:rPr>
          <w:rFonts w:hint="eastAsia"/>
          <w:lang w:val="en-US" w:eastAsia="zh-CN"/>
        </w:rPr>
        <w:t>9.3.10-2</w:t>
      </w:r>
      <w:r>
        <w:t xml:space="preserve"> 施工</w:t>
      </w:r>
      <w:r>
        <w:rPr>
          <w:rFonts w:hint="eastAsia"/>
        </w:rPr>
        <w:t>应急物资及设备</w:t>
      </w:r>
      <w:r>
        <w:t>表</w:t>
      </w:r>
    </w:p>
    <w:tbl>
      <w:tblPr>
        <w:tblStyle w:val="14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14:paraId="16586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16B02F12">
            <w:pPr>
              <w:spacing w:line="240" w:lineRule="auto"/>
              <w:ind w:firstLine="0" w:firstLineChars="0"/>
              <w:jc w:val="center"/>
              <w:rPr>
                <w:b/>
                <w:bCs/>
                <w:sz w:val="21"/>
              </w:rPr>
            </w:pPr>
            <w:r>
              <w:rPr>
                <w:b/>
                <w:bCs/>
                <w:sz w:val="21"/>
              </w:rPr>
              <w:t>序号</w:t>
            </w:r>
          </w:p>
        </w:tc>
        <w:tc>
          <w:tcPr>
            <w:tcW w:w="733" w:type="pct"/>
            <w:vAlign w:val="center"/>
          </w:tcPr>
          <w:p w14:paraId="522A5165">
            <w:pPr>
              <w:spacing w:line="240" w:lineRule="auto"/>
              <w:ind w:firstLine="0" w:firstLineChars="0"/>
              <w:jc w:val="center"/>
              <w:rPr>
                <w:b/>
                <w:bCs/>
                <w:sz w:val="21"/>
              </w:rPr>
            </w:pPr>
            <w:r>
              <w:rPr>
                <w:b/>
                <w:bCs/>
                <w:sz w:val="21"/>
              </w:rPr>
              <w:t>类别</w:t>
            </w:r>
          </w:p>
        </w:tc>
        <w:tc>
          <w:tcPr>
            <w:tcW w:w="1024" w:type="pct"/>
            <w:vAlign w:val="center"/>
          </w:tcPr>
          <w:p w14:paraId="44B8CC64">
            <w:pPr>
              <w:spacing w:line="240" w:lineRule="auto"/>
              <w:ind w:firstLine="0" w:firstLineChars="0"/>
              <w:jc w:val="center"/>
              <w:rPr>
                <w:b/>
                <w:bCs/>
                <w:sz w:val="21"/>
              </w:rPr>
            </w:pPr>
            <w:r>
              <w:rPr>
                <w:b/>
                <w:bCs/>
                <w:sz w:val="21"/>
              </w:rPr>
              <w:t>物品名称</w:t>
            </w:r>
          </w:p>
        </w:tc>
        <w:tc>
          <w:tcPr>
            <w:tcW w:w="443" w:type="pct"/>
            <w:vAlign w:val="center"/>
          </w:tcPr>
          <w:p w14:paraId="3D424471">
            <w:pPr>
              <w:spacing w:line="240" w:lineRule="auto"/>
              <w:ind w:firstLine="0" w:firstLineChars="0"/>
              <w:jc w:val="center"/>
              <w:rPr>
                <w:b/>
                <w:bCs/>
                <w:sz w:val="21"/>
              </w:rPr>
            </w:pPr>
            <w:r>
              <w:rPr>
                <w:b/>
                <w:bCs/>
                <w:sz w:val="21"/>
              </w:rPr>
              <w:t>单位</w:t>
            </w:r>
          </w:p>
        </w:tc>
        <w:tc>
          <w:tcPr>
            <w:tcW w:w="443" w:type="pct"/>
            <w:vAlign w:val="center"/>
          </w:tcPr>
          <w:p w14:paraId="39E1810E">
            <w:pPr>
              <w:spacing w:line="240" w:lineRule="auto"/>
              <w:ind w:firstLine="0" w:firstLineChars="0"/>
              <w:jc w:val="center"/>
              <w:rPr>
                <w:b/>
                <w:bCs/>
                <w:sz w:val="21"/>
              </w:rPr>
            </w:pPr>
            <w:r>
              <w:rPr>
                <w:b/>
                <w:bCs/>
                <w:sz w:val="21"/>
              </w:rPr>
              <w:t>数量</w:t>
            </w:r>
          </w:p>
        </w:tc>
        <w:tc>
          <w:tcPr>
            <w:tcW w:w="736" w:type="pct"/>
            <w:vAlign w:val="center"/>
          </w:tcPr>
          <w:p w14:paraId="40059AA5">
            <w:pPr>
              <w:spacing w:line="240" w:lineRule="auto"/>
              <w:ind w:firstLine="0" w:firstLineChars="0"/>
              <w:jc w:val="center"/>
              <w:rPr>
                <w:b/>
                <w:bCs/>
                <w:sz w:val="21"/>
              </w:rPr>
            </w:pPr>
            <w:r>
              <w:rPr>
                <w:b/>
                <w:bCs/>
                <w:sz w:val="21"/>
              </w:rPr>
              <w:t>存放位置</w:t>
            </w:r>
          </w:p>
        </w:tc>
        <w:tc>
          <w:tcPr>
            <w:tcW w:w="736" w:type="pct"/>
            <w:vAlign w:val="center"/>
          </w:tcPr>
          <w:p w14:paraId="120BF8B3">
            <w:pPr>
              <w:spacing w:line="240" w:lineRule="auto"/>
              <w:ind w:firstLine="0" w:firstLineChars="0"/>
              <w:jc w:val="center"/>
              <w:rPr>
                <w:b/>
                <w:bCs/>
                <w:sz w:val="21"/>
              </w:rPr>
            </w:pPr>
            <w:r>
              <w:rPr>
                <w:b/>
                <w:bCs/>
                <w:sz w:val="21"/>
              </w:rPr>
              <w:t>储备状态</w:t>
            </w:r>
          </w:p>
        </w:tc>
        <w:tc>
          <w:tcPr>
            <w:tcW w:w="443" w:type="pct"/>
            <w:vAlign w:val="center"/>
          </w:tcPr>
          <w:p w14:paraId="64E37D12">
            <w:pPr>
              <w:spacing w:line="240" w:lineRule="auto"/>
              <w:ind w:firstLine="0" w:firstLineChars="0"/>
              <w:jc w:val="center"/>
              <w:rPr>
                <w:b/>
                <w:bCs/>
                <w:sz w:val="21"/>
              </w:rPr>
            </w:pPr>
            <w:r>
              <w:rPr>
                <w:b/>
                <w:bCs/>
                <w:sz w:val="21"/>
              </w:rPr>
              <w:t>备注</w:t>
            </w:r>
          </w:p>
        </w:tc>
      </w:tr>
      <w:tr w14:paraId="49D81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8166660">
            <w:pPr>
              <w:pStyle w:val="78"/>
              <w:numPr>
                <w:ilvl w:val="0"/>
                <w:numId w:val="76"/>
              </w:numPr>
              <w:spacing w:line="240" w:lineRule="auto"/>
              <w:ind w:firstLineChars="0"/>
              <w:jc w:val="center"/>
              <w:rPr>
                <w:sz w:val="21"/>
              </w:rPr>
            </w:pPr>
          </w:p>
        </w:tc>
        <w:tc>
          <w:tcPr>
            <w:tcW w:w="733" w:type="pct"/>
            <w:vMerge w:val="restart"/>
            <w:vAlign w:val="center"/>
          </w:tcPr>
          <w:p w14:paraId="196EC27D">
            <w:pPr>
              <w:spacing w:line="240" w:lineRule="auto"/>
              <w:ind w:firstLine="0" w:firstLineChars="0"/>
              <w:jc w:val="center"/>
              <w:rPr>
                <w:sz w:val="21"/>
              </w:rPr>
            </w:pPr>
            <w:r>
              <w:rPr>
                <w:sz w:val="21"/>
              </w:rPr>
              <w:t>医疗器材</w:t>
            </w:r>
          </w:p>
        </w:tc>
        <w:tc>
          <w:tcPr>
            <w:tcW w:w="1024" w:type="pct"/>
            <w:vAlign w:val="center"/>
          </w:tcPr>
          <w:p w14:paraId="4FFB193C">
            <w:pPr>
              <w:spacing w:line="240" w:lineRule="auto"/>
              <w:ind w:firstLine="0" w:firstLineChars="0"/>
              <w:jc w:val="center"/>
              <w:rPr>
                <w:sz w:val="21"/>
              </w:rPr>
            </w:pPr>
            <w:r>
              <w:rPr>
                <w:sz w:val="21"/>
              </w:rPr>
              <w:t>急救药箱</w:t>
            </w:r>
          </w:p>
        </w:tc>
        <w:tc>
          <w:tcPr>
            <w:tcW w:w="443" w:type="pct"/>
            <w:vAlign w:val="center"/>
          </w:tcPr>
          <w:p w14:paraId="11F0AAC8">
            <w:pPr>
              <w:spacing w:line="240" w:lineRule="auto"/>
              <w:ind w:firstLine="0" w:firstLineChars="0"/>
              <w:jc w:val="center"/>
              <w:rPr>
                <w:sz w:val="21"/>
              </w:rPr>
            </w:pPr>
            <w:r>
              <w:rPr>
                <w:sz w:val="21"/>
              </w:rPr>
              <w:t>个</w:t>
            </w:r>
          </w:p>
        </w:tc>
        <w:tc>
          <w:tcPr>
            <w:tcW w:w="443" w:type="pct"/>
            <w:vAlign w:val="center"/>
          </w:tcPr>
          <w:p w14:paraId="7A32CB0F">
            <w:pPr>
              <w:spacing w:line="240" w:lineRule="auto"/>
              <w:ind w:firstLine="0" w:firstLineChars="0"/>
              <w:jc w:val="center"/>
              <w:rPr>
                <w:sz w:val="21"/>
              </w:rPr>
            </w:pPr>
            <w:r>
              <w:rPr>
                <w:sz w:val="21"/>
              </w:rPr>
              <w:t>1</w:t>
            </w:r>
          </w:p>
        </w:tc>
        <w:tc>
          <w:tcPr>
            <w:tcW w:w="736" w:type="pct"/>
            <w:vAlign w:val="center"/>
          </w:tcPr>
          <w:p w14:paraId="043B381E">
            <w:pPr>
              <w:spacing w:line="240" w:lineRule="auto"/>
              <w:ind w:firstLine="0" w:firstLineChars="0"/>
              <w:jc w:val="center"/>
              <w:rPr>
                <w:sz w:val="21"/>
              </w:rPr>
            </w:pPr>
            <w:r>
              <w:rPr>
                <w:sz w:val="21"/>
              </w:rPr>
              <w:t>现场仓库</w:t>
            </w:r>
          </w:p>
        </w:tc>
        <w:tc>
          <w:tcPr>
            <w:tcW w:w="736" w:type="pct"/>
            <w:vAlign w:val="center"/>
          </w:tcPr>
          <w:p w14:paraId="423F02B8">
            <w:pPr>
              <w:spacing w:line="240" w:lineRule="auto"/>
              <w:ind w:firstLine="0" w:firstLineChars="0"/>
              <w:jc w:val="center"/>
              <w:rPr>
                <w:sz w:val="21"/>
              </w:rPr>
            </w:pPr>
            <w:r>
              <w:rPr>
                <w:sz w:val="21"/>
              </w:rPr>
              <w:t>良好</w:t>
            </w:r>
          </w:p>
        </w:tc>
        <w:tc>
          <w:tcPr>
            <w:tcW w:w="443" w:type="pct"/>
            <w:vAlign w:val="center"/>
          </w:tcPr>
          <w:p w14:paraId="7341AA0F">
            <w:pPr>
              <w:spacing w:line="240" w:lineRule="auto"/>
              <w:ind w:firstLine="0" w:firstLineChars="0"/>
              <w:jc w:val="center"/>
              <w:rPr>
                <w:sz w:val="21"/>
              </w:rPr>
            </w:pPr>
          </w:p>
        </w:tc>
      </w:tr>
      <w:tr w14:paraId="3C884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496D3E2">
            <w:pPr>
              <w:pStyle w:val="78"/>
              <w:numPr>
                <w:ilvl w:val="0"/>
                <w:numId w:val="76"/>
              </w:numPr>
              <w:spacing w:line="240" w:lineRule="auto"/>
              <w:ind w:firstLineChars="0"/>
              <w:jc w:val="center"/>
              <w:rPr>
                <w:sz w:val="21"/>
              </w:rPr>
            </w:pPr>
          </w:p>
        </w:tc>
        <w:tc>
          <w:tcPr>
            <w:tcW w:w="733" w:type="pct"/>
            <w:vMerge w:val="continue"/>
            <w:vAlign w:val="center"/>
          </w:tcPr>
          <w:p w14:paraId="32A17314">
            <w:pPr>
              <w:spacing w:line="240" w:lineRule="auto"/>
              <w:ind w:firstLine="0" w:firstLineChars="0"/>
              <w:jc w:val="center"/>
              <w:rPr>
                <w:sz w:val="21"/>
              </w:rPr>
            </w:pPr>
          </w:p>
        </w:tc>
        <w:tc>
          <w:tcPr>
            <w:tcW w:w="1024" w:type="pct"/>
            <w:vAlign w:val="center"/>
          </w:tcPr>
          <w:p w14:paraId="1FDA2C90">
            <w:pPr>
              <w:spacing w:line="240" w:lineRule="auto"/>
              <w:ind w:firstLine="0" w:firstLineChars="0"/>
              <w:jc w:val="center"/>
              <w:rPr>
                <w:sz w:val="21"/>
              </w:rPr>
            </w:pPr>
            <w:r>
              <w:rPr>
                <w:sz w:val="21"/>
              </w:rPr>
              <w:t>纯棉弹性绷带</w:t>
            </w:r>
          </w:p>
        </w:tc>
        <w:tc>
          <w:tcPr>
            <w:tcW w:w="443" w:type="pct"/>
            <w:vAlign w:val="center"/>
          </w:tcPr>
          <w:p w14:paraId="38676B1F">
            <w:pPr>
              <w:spacing w:line="240" w:lineRule="auto"/>
              <w:ind w:firstLine="0" w:firstLineChars="0"/>
              <w:jc w:val="center"/>
              <w:rPr>
                <w:sz w:val="21"/>
              </w:rPr>
            </w:pPr>
            <w:r>
              <w:rPr>
                <w:sz w:val="21"/>
              </w:rPr>
              <w:t>卷</w:t>
            </w:r>
          </w:p>
        </w:tc>
        <w:tc>
          <w:tcPr>
            <w:tcW w:w="443" w:type="pct"/>
            <w:vAlign w:val="center"/>
          </w:tcPr>
          <w:p w14:paraId="0D035041">
            <w:pPr>
              <w:spacing w:line="240" w:lineRule="auto"/>
              <w:ind w:firstLine="0" w:firstLineChars="0"/>
              <w:jc w:val="center"/>
              <w:rPr>
                <w:sz w:val="21"/>
              </w:rPr>
            </w:pPr>
            <w:r>
              <w:rPr>
                <w:sz w:val="21"/>
              </w:rPr>
              <w:t>30</w:t>
            </w:r>
          </w:p>
        </w:tc>
        <w:tc>
          <w:tcPr>
            <w:tcW w:w="736" w:type="pct"/>
            <w:vAlign w:val="center"/>
          </w:tcPr>
          <w:p w14:paraId="4B2C2345">
            <w:pPr>
              <w:spacing w:line="240" w:lineRule="auto"/>
              <w:ind w:firstLine="0" w:firstLineChars="0"/>
              <w:jc w:val="center"/>
              <w:rPr>
                <w:sz w:val="21"/>
              </w:rPr>
            </w:pPr>
            <w:r>
              <w:rPr>
                <w:sz w:val="21"/>
              </w:rPr>
              <w:t>现场仓库</w:t>
            </w:r>
          </w:p>
        </w:tc>
        <w:tc>
          <w:tcPr>
            <w:tcW w:w="736" w:type="pct"/>
            <w:vAlign w:val="center"/>
          </w:tcPr>
          <w:p w14:paraId="584C2F40">
            <w:pPr>
              <w:spacing w:line="240" w:lineRule="auto"/>
              <w:ind w:firstLine="0" w:firstLineChars="0"/>
              <w:jc w:val="center"/>
              <w:rPr>
                <w:sz w:val="21"/>
              </w:rPr>
            </w:pPr>
            <w:r>
              <w:rPr>
                <w:sz w:val="21"/>
              </w:rPr>
              <w:t>良好</w:t>
            </w:r>
          </w:p>
        </w:tc>
        <w:tc>
          <w:tcPr>
            <w:tcW w:w="443" w:type="pct"/>
            <w:vAlign w:val="center"/>
          </w:tcPr>
          <w:p w14:paraId="1C292340">
            <w:pPr>
              <w:spacing w:line="240" w:lineRule="auto"/>
              <w:ind w:firstLine="0" w:firstLineChars="0"/>
              <w:jc w:val="center"/>
              <w:rPr>
                <w:sz w:val="21"/>
              </w:rPr>
            </w:pPr>
          </w:p>
        </w:tc>
      </w:tr>
      <w:tr w14:paraId="6DFC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63B9F56">
            <w:pPr>
              <w:pStyle w:val="78"/>
              <w:numPr>
                <w:ilvl w:val="0"/>
                <w:numId w:val="76"/>
              </w:numPr>
              <w:spacing w:line="240" w:lineRule="auto"/>
              <w:ind w:firstLineChars="0"/>
              <w:jc w:val="center"/>
              <w:rPr>
                <w:sz w:val="21"/>
              </w:rPr>
            </w:pPr>
          </w:p>
        </w:tc>
        <w:tc>
          <w:tcPr>
            <w:tcW w:w="733" w:type="pct"/>
            <w:vMerge w:val="continue"/>
            <w:vAlign w:val="center"/>
          </w:tcPr>
          <w:p w14:paraId="0B489330">
            <w:pPr>
              <w:spacing w:line="240" w:lineRule="auto"/>
              <w:ind w:firstLine="0" w:firstLineChars="0"/>
              <w:jc w:val="center"/>
              <w:rPr>
                <w:sz w:val="21"/>
              </w:rPr>
            </w:pPr>
          </w:p>
        </w:tc>
        <w:tc>
          <w:tcPr>
            <w:tcW w:w="1024" w:type="pct"/>
            <w:vAlign w:val="center"/>
          </w:tcPr>
          <w:p w14:paraId="0C96FE08">
            <w:pPr>
              <w:spacing w:line="240" w:lineRule="auto"/>
              <w:ind w:firstLine="0" w:firstLineChars="0"/>
              <w:jc w:val="center"/>
              <w:rPr>
                <w:sz w:val="21"/>
              </w:rPr>
            </w:pPr>
            <w:r>
              <w:rPr>
                <w:sz w:val="21"/>
              </w:rPr>
              <w:t>止血布</w:t>
            </w:r>
          </w:p>
        </w:tc>
        <w:tc>
          <w:tcPr>
            <w:tcW w:w="443" w:type="pct"/>
            <w:vAlign w:val="center"/>
          </w:tcPr>
          <w:p w14:paraId="31BA184C">
            <w:pPr>
              <w:spacing w:line="240" w:lineRule="auto"/>
              <w:ind w:firstLine="0" w:firstLineChars="0"/>
              <w:jc w:val="center"/>
              <w:rPr>
                <w:sz w:val="21"/>
              </w:rPr>
            </w:pPr>
            <w:r>
              <w:rPr>
                <w:sz w:val="21"/>
              </w:rPr>
              <w:t>张</w:t>
            </w:r>
          </w:p>
        </w:tc>
        <w:tc>
          <w:tcPr>
            <w:tcW w:w="443" w:type="pct"/>
            <w:vAlign w:val="center"/>
          </w:tcPr>
          <w:p w14:paraId="0C9C98FA">
            <w:pPr>
              <w:spacing w:line="240" w:lineRule="auto"/>
              <w:ind w:firstLine="0" w:firstLineChars="0"/>
              <w:jc w:val="center"/>
              <w:rPr>
                <w:sz w:val="21"/>
              </w:rPr>
            </w:pPr>
            <w:r>
              <w:rPr>
                <w:sz w:val="21"/>
              </w:rPr>
              <w:t>30</w:t>
            </w:r>
          </w:p>
        </w:tc>
        <w:tc>
          <w:tcPr>
            <w:tcW w:w="736" w:type="pct"/>
            <w:vAlign w:val="center"/>
          </w:tcPr>
          <w:p w14:paraId="598F5E1A">
            <w:pPr>
              <w:spacing w:line="240" w:lineRule="auto"/>
              <w:ind w:firstLine="0" w:firstLineChars="0"/>
              <w:jc w:val="center"/>
              <w:rPr>
                <w:sz w:val="21"/>
              </w:rPr>
            </w:pPr>
            <w:r>
              <w:rPr>
                <w:sz w:val="21"/>
              </w:rPr>
              <w:t>现场仓库</w:t>
            </w:r>
          </w:p>
        </w:tc>
        <w:tc>
          <w:tcPr>
            <w:tcW w:w="736" w:type="pct"/>
            <w:vAlign w:val="center"/>
          </w:tcPr>
          <w:p w14:paraId="29BE9CFF">
            <w:pPr>
              <w:spacing w:line="240" w:lineRule="auto"/>
              <w:ind w:firstLine="0" w:firstLineChars="0"/>
              <w:jc w:val="center"/>
              <w:rPr>
                <w:sz w:val="21"/>
              </w:rPr>
            </w:pPr>
            <w:r>
              <w:rPr>
                <w:sz w:val="21"/>
              </w:rPr>
              <w:t>良好</w:t>
            </w:r>
          </w:p>
        </w:tc>
        <w:tc>
          <w:tcPr>
            <w:tcW w:w="443" w:type="pct"/>
            <w:vAlign w:val="center"/>
          </w:tcPr>
          <w:p w14:paraId="16260630">
            <w:pPr>
              <w:spacing w:line="240" w:lineRule="auto"/>
              <w:ind w:firstLine="0" w:firstLineChars="0"/>
              <w:jc w:val="center"/>
              <w:rPr>
                <w:sz w:val="21"/>
              </w:rPr>
            </w:pPr>
          </w:p>
        </w:tc>
      </w:tr>
      <w:tr w14:paraId="1BBA5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F0C6562">
            <w:pPr>
              <w:pStyle w:val="78"/>
              <w:numPr>
                <w:ilvl w:val="0"/>
                <w:numId w:val="76"/>
              </w:numPr>
              <w:spacing w:line="240" w:lineRule="auto"/>
              <w:ind w:firstLineChars="0"/>
              <w:jc w:val="center"/>
              <w:rPr>
                <w:sz w:val="21"/>
              </w:rPr>
            </w:pPr>
          </w:p>
        </w:tc>
        <w:tc>
          <w:tcPr>
            <w:tcW w:w="733" w:type="pct"/>
            <w:vMerge w:val="continue"/>
            <w:vAlign w:val="center"/>
          </w:tcPr>
          <w:p w14:paraId="62A131ED">
            <w:pPr>
              <w:spacing w:line="240" w:lineRule="auto"/>
              <w:ind w:firstLine="0" w:firstLineChars="0"/>
              <w:jc w:val="center"/>
              <w:rPr>
                <w:sz w:val="21"/>
              </w:rPr>
            </w:pPr>
          </w:p>
        </w:tc>
        <w:tc>
          <w:tcPr>
            <w:tcW w:w="1024" w:type="pct"/>
            <w:vAlign w:val="center"/>
          </w:tcPr>
          <w:p w14:paraId="509948A7">
            <w:pPr>
              <w:spacing w:line="240" w:lineRule="auto"/>
              <w:ind w:firstLine="0" w:firstLineChars="0"/>
              <w:jc w:val="center"/>
              <w:rPr>
                <w:sz w:val="21"/>
              </w:rPr>
            </w:pPr>
            <w:r>
              <w:rPr>
                <w:sz w:val="21"/>
              </w:rPr>
              <w:t>创可贴</w:t>
            </w:r>
          </w:p>
        </w:tc>
        <w:tc>
          <w:tcPr>
            <w:tcW w:w="443" w:type="pct"/>
            <w:vAlign w:val="center"/>
          </w:tcPr>
          <w:p w14:paraId="3590DFCD">
            <w:pPr>
              <w:spacing w:line="240" w:lineRule="auto"/>
              <w:ind w:firstLine="0" w:firstLineChars="0"/>
              <w:jc w:val="center"/>
              <w:rPr>
                <w:sz w:val="21"/>
              </w:rPr>
            </w:pPr>
            <w:r>
              <w:rPr>
                <w:sz w:val="21"/>
              </w:rPr>
              <w:t>张</w:t>
            </w:r>
          </w:p>
        </w:tc>
        <w:tc>
          <w:tcPr>
            <w:tcW w:w="443" w:type="pct"/>
            <w:vAlign w:val="center"/>
          </w:tcPr>
          <w:p w14:paraId="6D7ED404">
            <w:pPr>
              <w:spacing w:line="240" w:lineRule="auto"/>
              <w:ind w:firstLine="0" w:firstLineChars="0"/>
              <w:jc w:val="center"/>
              <w:rPr>
                <w:sz w:val="21"/>
              </w:rPr>
            </w:pPr>
            <w:r>
              <w:rPr>
                <w:sz w:val="21"/>
              </w:rPr>
              <w:t>200</w:t>
            </w:r>
          </w:p>
        </w:tc>
        <w:tc>
          <w:tcPr>
            <w:tcW w:w="736" w:type="pct"/>
            <w:vAlign w:val="center"/>
          </w:tcPr>
          <w:p w14:paraId="705718B1">
            <w:pPr>
              <w:spacing w:line="240" w:lineRule="auto"/>
              <w:ind w:firstLine="0" w:firstLineChars="0"/>
              <w:jc w:val="center"/>
              <w:rPr>
                <w:sz w:val="21"/>
              </w:rPr>
            </w:pPr>
            <w:r>
              <w:rPr>
                <w:sz w:val="21"/>
              </w:rPr>
              <w:t>现场仓库</w:t>
            </w:r>
          </w:p>
        </w:tc>
        <w:tc>
          <w:tcPr>
            <w:tcW w:w="736" w:type="pct"/>
            <w:vAlign w:val="center"/>
          </w:tcPr>
          <w:p w14:paraId="3FC83F14">
            <w:pPr>
              <w:spacing w:line="240" w:lineRule="auto"/>
              <w:ind w:firstLine="0" w:firstLineChars="0"/>
              <w:jc w:val="center"/>
              <w:rPr>
                <w:sz w:val="21"/>
              </w:rPr>
            </w:pPr>
            <w:r>
              <w:rPr>
                <w:sz w:val="21"/>
              </w:rPr>
              <w:t>良好</w:t>
            </w:r>
          </w:p>
        </w:tc>
        <w:tc>
          <w:tcPr>
            <w:tcW w:w="443" w:type="pct"/>
            <w:vAlign w:val="center"/>
          </w:tcPr>
          <w:p w14:paraId="1A9400E0">
            <w:pPr>
              <w:spacing w:line="240" w:lineRule="auto"/>
              <w:ind w:firstLine="0" w:firstLineChars="0"/>
              <w:jc w:val="center"/>
              <w:rPr>
                <w:sz w:val="21"/>
              </w:rPr>
            </w:pPr>
          </w:p>
        </w:tc>
      </w:tr>
      <w:tr w14:paraId="3709D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D283447">
            <w:pPr>
              <w:pStyle w:val="78"/>
              <w:numPr>
                <w:ilvl w:val="0"/>
                <w:numId w:val="76"/>
              </w:numPr>
              <w:spacing w:line="240" w:lineRule="auto"/>
              <w:ind w:firstLineChars="0"/>
              <w:jc w:val="center"/>
              <w:rPr>
                <w:sz w:val="21"/>
              </w:rPr>
            </w:pPr>
          </w:p>
        </w:tc>
        <w:tc>
          <w:tcPr>
            <w:tcW w:w="733" w:type="pct"/>
            <w:vMerge w:val="continue"/>
            <w:vAlign w:val="center"/>
          </w:tcPr>
          <w:p w14:paraId="08224D0C">
            <w:pPr>
              <w:spacing w:line="240" w:lineRule="auto"/>
              <w:ind w:firstLine="0" w:firstLineChars="0"/>
              <w:jc w:val="center"/>
              <w:rPr>
                <w:sz w:val="21"/>
              </w:rPr>
            </w:pPr>
          </w:p>
        </w:tc>
        <w:tc>
          <w:tcPr>
            <w:tcW w:w="1024" w:type="pct"/>
            <w:vAlign w:val="center"/>
          </w:tcPr>
          <w:p w14:paraId="320F92BA">
            <w:pPr>
              <w:spacing w:line="240" w:lineRule="auto"/>
              <w:ind w:firstLine="0" w:firstLineChars="0"/>
              <w:jc w:val="center"/>
              <w:rPr>
                <w:sz w:val="21"/>
              </w:rPr>
            </w:pPr>
            <w:r>
              <w:rPr>
                <w:sz w:val="21"/>
              </w:rPr>
              <w:t>脱脂棉</w:t>
            </w:r>
          </w:p>
        </w:tc>
        <w:tc>
          <w:tcPr>
            <w:tcW w:w="443" w:type="pct"/>
            <w:vAlign w:val="center"/>
          </w:tcPr>
          <w:p w14:paraId="595446B3">
            <w:pPr>
              <w:spacing w:line="240" w:lineRule="auto"/>
              <w:ind w:firstLine="0" w:firstLineChars="0"/>
              <w:jc w:val="center"/>
              <w:rPr>
                <w:sz w:val="21"/>
              </w:rPr>
            </w:pPr>
            <w:r>
              <w:rPr>
                <w:sz w:val="21"/>
              </w:rPr>
              <w:t>卷</w:t>
            </w:r>
          </w:p>
        </w:tc>
        <w:tc>
          <w:tcPr>
            <w:tcW w:w="443" w:type="pct"/>
            <w:vAlign w:val="center"/>
          </w:tcPr>
          <w:p w14:paraId="5CFED3EF">
            <w:pPr>
              <w:spacing w:line="240" w:lineRule="auto"/>
              <w:ind w:firstLine="0" w:firstLineChars="0"/>
              <w:jc w:val="center"/>
              <w:rPr>
                <w:sz w:val="21"/>
              </w:rPr>
            </w:pPr>
            <w:r>
              <w:rPr>
                <w:sz w:val="21"/>
              </w:rPr>
              <w:t>20</w:t>
            </w:r>
          </w:p>
        </w:tc>
        <w:tc>
          <w:tcPr>
            <w:tcW w:w="736" w:type="pct"/>
            <w:vAlign w:val="center"/>
          </w:tcPr>
          <w:p w14:paraId="711F7061">
            <w:pPr>
              <w:spacing w:line="240" w:lineRule="auto"/>
              <w:ind w:firstLine="0" w:firstLineChars="0"/>
              <w:jc w:val="center"/>
              <w:rPr>
                <w:sz w:val="21"/>
              </w:rPr>
            </w:pPr>
            <w:r>
              <w:rPr>
                <w:sz w:val="21"/>
              </w:rPr>
              <w:t>现场仓库</w:t>
            </w:r>
          </w:p>
        </w:tc>
        <w:tc>
          <w:tcPr>
            <w:tcW w:w="736" w:type="pct"/>
            <w:vAlign w:val="center"/>
          </w:tcPr>
          <w:p w14:paraId="48E24225">
            <w:pPr>
              <w:spacing w:line="240" w:lineRule="auto"/>
              <w:ind w:firstLine="0" w:firstLineChars="0"/>
              <w:jc w:val="center"/>
              <w:rPr>
                <w:sz w:val="21"/>
              </w:rPr>
            </w:pPr>
            <w:r>
              <w:rPr>
                <w:sz w:val="21"/>
              </w:rPr>
              <w:t>良好</w:t>
            </w:r>
          </w:p>
        </w:tc>
        <w:tc>
          <w:tcPr>
            <w:tcW w:w="443" w:type="pct"/>
            <w:vAlign w:val="center"/>
          </w:tcPr>
          <w:p w14:paraId="73F3C233">
            <w:pPr>
              <w:spacing w:line="240" w:lineRule="auto"/>
              <w:ind w:firstLine="0" w:firstLineChars="0"/>
              <w:jc w:val="center"/>
              <w:rPr>
                <w:sz w:val="21"/>
              </w:rPr>
            </w:pPr>
          </w:p>
        </w:tc>
      </w:tr>
      <w:tr w14:paraId="0BC0C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14306AD">
            <w:pPr>
              <w:pStyle w:val="78"/>
              <w:numPr>
                <w:ilvl w:val="0"/>
                <w:numId w:val="76"/>
              </w:numPr>
              <w:spacing w:line="240" w:lineRule="auto"/>
              <w:ind w:firstLineChars="0"/>
              <w:jc w:val="center"/>
              <w:rPr>
                <w:sz w:val="21"/>
              </w:rPr>
            </w:pPr>
          </w:p>
        </w:tc>
        <w:tc>
          <w:tcPr>
            <w:tcW w:w="733" w:type="pct"/>
            <w:vMerge w:val="continue"/>
            <w:vAlign w:val="center"/>
          </w:tcPr>
          <w:p w14:paraId="2F6E25EC">
            <w:pPr>
              <w:spacing w:line="240" w:lineRule="auto"/>
              <w:ind w:firstLine="0" w:firstLineChars="0"/>
              <w:jc w:val="center"/>
              <w:rPr>
                <w:sz w:val="21"/>
              </w:rPr>
            </w:pPr>
          </w:p>
        </w:tc>
        <w:tc>
          <w:tcPr>
            <w:tcW w:w="1024" w:type="pct"/>
            <w:vAlign w:val="center"/>
          </w:tcPr>
          <w:p w14:paraId="778C6155">
            <w:pPr>
              <w:spacing w:line="240" w:lineRule="auto"/>
              <w:ind w:firstLine="0" w:firstLineChars="0"/>
              <w:jc w:val="center"/>
              <w:rPr>
                <w:sz w:val="21"/>
              </w:rPr>
            </w:pPr>
            <w:r>
              <w:rPr>
                <w:sz w:val="21"/>
              </w:rPr>
              <w:t>消毒棉签</w:t>
            </w:r>
          </w:p>
        </w:tc>
        <w:tc>
          <w:tcPr>
            <w:tcW w:w="443" w:type="pct"/>
            <w:vAlign w:val="center"/>
          </w:tcPr>
          <w:p w14:paraId="7B6FB4D0">
            <w:pPr>
              <w:spacing w:line="240" w:lineRule="auto"/>
              <w:ind w:firstLine="0" w:firstLineChars="0"/>
              <w:jc w:val="center"/>
              <w:rPr>
                <w:sz w:val="21"/>
              </w:rPr>
            </w:pPr>
            <w:r>
              <w:rPr>
                <w:sz w:val="21"/>
              </w:rPr>
              <w:t>袋</w:t>
            </w:r>
          </w:p>
        </w:tc>
        <w:tc>
          <w:tcPr>
            <w:tcW w:w="443" w:type="pct"/>
            <w:vAlign w:val="center"/>
          </w:tcPr>
          <w:p w14:paraId="5704E011">
            <w:pPr>
              <w:spacing w:line="240" w:lineRule="auto"/>
              <w:ind w:firstLine="0" w:firstLineChars="0"/>
              <w:jc w:val="center"/>
              <w:rPr>
                <w:sz w:val="21"/>
              </w:rPr>
            </w:pPr>
            <w:r>
              <w:rPr>
                <w:sz w:val="21"/>
              </w:rPr>
              <w:t>20</w:t>
            </w:r>
          </w:p>
        </w:tc>
        <w:tc>
          <w:tcPr>
            <w:tcW w:w="736" w:type="pct"/>
            <w:vAlign w:val="center"/>
          </w:tcPr>
          <w:p w14:paraId="2AFA4F7E">
            <w:pPr>
              <w:spacing w:line="240" w:lineRule="auto"/>
              <w:ind w:firstLine="0" w:firstLineChars="0"/>
              <w:jc w:val="center"/>
              <w:rPr>
                <w:sz w:val="21"/>
              </w:rPr>
            </w:pPr>
            <w:r>
              <w:rPr>
                <w:sz w:val="21"/>
              </w:rPr>
              <w:t>现场仓库</w:t>
            </w:r>
          </w:p>
        </w:tc>
        <w:tc>
          <w:tcPr>
            <w:tcW w:w="736" w:type="pct"/>
            <w:vAlign w:val="center"/>
          </w:tcPr>
          <w:p w14:paraId="336577B3">
            <w:pPr>
              <w:spacing w:line="240" w:lineRule="auto"/>
              <w:ind w:firstLine="0" w:firstLineChars="0"/>
              <w:jc w:val="center"/>
              <w:rPr>
                <w:sz w:val="21"/>
              </w:rPr>
            </w:pPr>
            <w:r>
              <w:rPr>
                <w:sz w:val="21"/>
              </w:rPr>
              <w:t>良好</w:t>
            </w:r>
          </w:p>
        </w:tc>
        <w:tc>
          <w:tcPr>
            <w:tcW w:w="443" w:type="pct"/>
            <w:vAlign w:val="center"/>
          </w:tcPr>
          <w:p w14:paraId="313DFA6A">
            <w:pPr>
              <w:spacing w:line="240" w:lineRule="auto"/>
              <w:ind w:firstLine="0" w:firstLineChars="0"/>
              <w:jc w:val="center"/>
              <w:rPr>
                <w:sz w:val="21"/>
              </w:rPr>
            </w:pPr>
          </w:p>
        </w:tc>
      </w:tr>
      <w:tr w14:paraId="47201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E7F346F">
            <w:pPr>
              <w:pStyle w:val="78"/>
              <w:numPr>
                <w:ilvl w:val="0"/>
                <w:numId w:val="76"/>
              </w:numPr>
              <w:spacing w:line="240" w:lineRule="auto"/>
              <w:ind w:firstLineChars="0"/>
              <w:jc w:val="center"/>
              <w:rPr>
                <w:sz w:val="21"/>
              </w:rPr>
            </w:pPr>
          </w:p>
        </w:tc>
        <w:tc>
          <w:tcPr>
            <w:tcW w:w="733" w:type="pct"/>
            <w:vMerge w:val="continue"/>
            <w:vAlign w:val="center"/>
          </w:tcPr>
          <w:p w14:paraId="03F74F98">
            <w:pPr>
              <w:spacing w:line="240" w:lineRule="auto"/>
              <w:ind w:firstLine="0" w:firstLineChars="0"/>
              <w:jc w:val="center"/>
              <w:rPr>
                <w:sz w:val="21"/>
              </w:rPr>
            </w:pPr>
          </w:p>
        </w:tc>
        <w:tc>
          <w:tcPr>
            <w:tcW w:w="1024" w:type="pct"/>
            <w:vAlign w:val="center"/>
          </w:tcPr>
          <w:p w14:paraId="0A24C116">
            <w:pPr>
              <w:spacing w:line="240" w:lineRule="auto"/>
              <w:ind w:firstLine="0" w:firstLineChars="0"/>
              <w:jc w:val="center"/>
              <w:rPr>
                <w:sz w:val="21"/>
              </w:rPr>
            </w:pPr>
            <w:r>
              <w:rPr>
                <w:sz w:val="21"/>
              </w:rPr>
              <w:t>其他医疗器材</w:t>
            </w:r>
          </w:p>
        </w:tc>
        <w:tc>
          <w:tcPr>
            <w:tcW w:w="443" w:type="pct"/>
            <w:vAlign w:val="center"/>
          </w:tcPr>
          <w:p w14:paraId="0040A7CB">
            <w:pPr>
              <w:spacing w:line="240" w:lineRule="auto"/>
              <w:ind w:firstLine="0" w:firstLineChars="0"/>
              <w:jc w:val="center"/>
              <w:rPr>
                <w:sz w:val="21"/>
              </w:rPr>
            </w:pPr>
          </w:p>
        </w:tc>
        <w:tc>
          <w:tcPr>
            <w:tcW w:w="443" w:type="pct"/>
            <w:vAlign w:val="center"/>
          </w:tcPr>
          <w:p w14:paraId="6235A57A">
            <w:pPr>
              <w:spacing w:line="240" w:lineRule="auto"/>
              <w:ind w:firstLine="0" w:firstLineChars="0"/>
              <w:jc w:val="center"/>
              <w:rPr>
                <w:sz w:val="21"/>
              </w:rPr>
            </w:pPr>
            <w:r>
              <w:rPr>
                <w:sz w:val="21"/>
              </w:rPr>
              <w:t>若干</w:t>
            </w:r>
          </w:p>
        </w:tc>
        <w:tc>
          <w:tcPr>
            <w:tcW w:w="736" w:type="pct"/>
            <w:vAlign w:val="center"/>
          </w:tcPr>
          <w:p w14:paraId="7CEE0C60">
            <w:pPr>
              <w:spacing w:line="240" w:lineRule="auto"/>
              <w:ind w:firstLine="0" w:firstLineChars="0"/>
              <w:jc w:val="center"/>
              <w:rPr>
                <w:sz w:val="21"/>
              </w:rPr>
            </w:pPr>
            <w:r>
              <w:rPr>
                <w:sz w:val="21"/>
              </w:rPr>
              <w:t>现场仓库</w:t>
            </w:r>
          </w:p>
        </w:tc>
        <w:tc>
          <w:tcPr>
            <w:tcW w:w="736" w:type="pct"/>
            <w:vAlign w:val="center"/>
          </w:tcPr>
          <w:p w14:paraId="7C830939">
            <w:pPr>
              <w:spacing w:line="240" w:lineRule="auto"/>
              <w:ind w:firstLine="0" w:firstLineChars="0"/>
              <w:jc w:val="center"/>
              <w:rPr>
                <w:sz w:val="21"/>
              </w:rPr>
            </w:pPr>
            <w:r>
              <w:rPr>
                <w:sz w:val="21"/>
              </w:rPr>
              <w:t>良好</w:t>
            </w:r>
          </w:p>
        </w:tc>
        <w:tc>
          <w:tcPr>
            <w:tcW w:w="443" w:type="pct"/>
            <w:vAlign w:val="center"/>
          </w:tcPr>
          <w:p w14:paraId="5800446A">
            <w:pPr>
              <w:spacing w:line="240" w:lineRule="auto"/>
              <w:ind w:firstLine="0" w:firstLineChars="0"/>
              <w:jc w:val="center"/>
              <w:rPr>
                <w:sz w:val="21"/>
              </w:rPr>
            </w:pPr>
          </w:p>
        </w:tc>
      </w:tr>
      <w:tr w14:paraId="7EC53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93D3F8F">
            <w:pPr>
              <w:pStyle w:val="78"/>
              <w:numPr>
                <w:ilvl w:val="0"/>
                <w:numId w:val="76"/>
              </w:numPr>
              <w:spacing w:line="240" w:lineRule="auto"/>
              <w:ind w:firstLineChars="0"/>
              <w:jc w:val="center"/>
              <w:rPr>
                <w:sz w:val="21"/>
              </w:rPr>
            </w:pPr>
          </w:p>
        </w:tc>
        <w:tc>
          <w:tcPr>
            <w:tcW w:w="733" w:type="pct"/>
            <w:vMerge w:val="restart"/>
            <w:vAlign w:val="center"/>
          </w:tcPr>
          <w:p w14:paraId="4C2129A0">
            <w:pPr>
              <w:spacing w:line="240" w:lineRule="auto"/>
              <w:ind w:firstLine="0" w:firstLineChars="0"/>
              <w:jc w:val="center"/>
              <w:rPr>
                <w:sz w:val="21"/>
              </w:rPr>
            </w:pPr>
            <w:r>
              <w:rPr>
                <w:sz w:val="21"/>
              </w:rPr>
              <w:t>抢救工具</w:t>
            </w:r>
          </w:p>
        </w:tc>
        <w:tc>
          <w:tcPr>
            <w:tcW w:w="1024" w:type="pct"/>
            <w:vAlign w:val="center"/>
          </w:tcPr>
          <w:p w14:paraId="613B810C">
            <w:pPr>
              <w:spacing w:line="240" w:lineRule="auto"/>
              <w:ind w:firstLine="0" w:firstLineChars="0"/>
              <w:jc w:val="center"/>
              <w:rPr>
                <w:sz w:val="21"/>
              </w:rPr>
            </w:pPr>
            <w:r>
              <w:rPr>
                <w:sz w:val="21"/>
              </w:rPr>
              <w:t>安全绳</w:t>
            </w:r>
          </w:p>
        </w:tc>
        <w:tc>
          <w:tcPr>
            <w:tcW w:w="443" w:type="pct"/>
            <w:vAlign w:val="center"/>
          </w:tcPr>
          <w:p w14:paraId="0FC0FB2A">
            <w:pPr>
              <w:spacing w:line="240" w:lineRule="auto"/>
              <w:ind w:firstLine="0" w:firstLineChars="0"/>
              <w:jc w:val="center"/>
              <w:rPr>
                <w:sz w:val="21"/>
              </w:rPr>
            </w:pPr>
            <w:r>
              <w:rPr>
                <w:sz w:val="21"/>
              </w:rPr>
              <w:t>米</w:t>
            </w:r>
          </w:p>
        </w:tc>
        <w:tc>
          <w:tcPr>
            <w:tcW w:w="443" w:type="pct"/>
            <w:vAlign w:val="center"/>
          </w:tcPr>
          <w:p w14:paraId="6EFDACAB">
            <w:pPr>
              <w:spacing w:line="240" w:lineRule="auto"/>
              <w:ind w:firstLine="0" w:firstLineChars="0"/>
              <w:jc w:val="center"/>
              <w:rPr>
                <w:sz w:val="21"/>
              </w:rPr>
            </w:pPr>
            <w:r>
              <w:rPr>
                <w:sz w:val="21"/>
              </w:rPr>
              <w:t>500</w:t>
            </w:r>
          </w:p>
        </w:tc>
        <w:tc>
          <w:tcPr>
            <w:tcW w:w="736" w:type="pct"/>
            <w:vAlign w:val="center"/>
          </w:tcPr>
          <w:p w14:paraId="07EAAD3C">
            <w:pPr>
              <w:spacing w:line="240" w:lineRule="auto"/>
              <w:ind w:firstLine="0" w:firstLineChars="0"/>
              <w:jc w:val="center"/>
              <w:rPr>
                <w:sz w:val="21"/>
              </w:rPr>
            </w:pPr>
            <w:r>
              <w:rPr>
                <w:sz w:val="21"/>
              </w:rPr>
              <w:t>现场</w:t>
            </w:r>
          </w:p>
        </w:tc>
        <w:tc>
          <w:tcPr>
            <w:tcW w:w="736" w:type="pct"/>
            <w:vAlign w:val="center"/>
          </w:tcPr>
          <w:p w14:paraId="168C9AAA">
            <w:pPr>
              <w:spacing w:line="240" w:lineRule="auto"/>
              <w:ind w:firstLine="0" w:firstLineChars="0"/>
              <w:jc w:val="center"/>
              <w:rPr>
                <w:sz w:val="21"/>
              </w:rPr>
            </w:pPr>
            <w:r>
              <w:rPr>
                <w:sz w:val="21"/>
              </w:rPr>
              <w:t>良好</w:t>
            </w:r>
          </w:p>
        </w:tc>
        <w:tc>
          <w:tcPr>
            <w:tcW w:w="443" w:type="pct"/>
            <w:vAlign w:val="center"/>
          </w:tcPr>
          <w:p w14:paraId="091D1F1F">
            <w:pPr>
              <w:spacing w:line="240" w:lineRule="auto"/>
              <w:ind w:firstLine="0" w:firstLineChars="0"/>
              <w:jc w:val="center"/>
              <w:rPr>
                <w:sz w:val="21"/>
              </w:rPr>
            </w:pPr>
          </w:p>
        </w:tc>
      </w:tr>
      <w:tr w14:paraId="68F8E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ABE6C95">
            <w:pPr>
              <w:pStyle w:val="78"/>
              <w:numPr>
                <w:ilvl w:val="0"/>
                <w:numId w:val="76"/>
              </w:numPr>
              <w:spacing w:line="240" w:lineRule="auto"/>
              <w:ind w:firstLineChars="0"/>
              <w:jc w:val="center"/>
              <w:rPr>
                <w:sz w:val="21"/>
              </w:rPr>
            </w:pPr>
          </w:p>
        </w:tc>
        <w:tc>
          <w:tcPr>
            <w:tcW w:w="733" w:type="pct"/>
            <w:vMerge w:val="continue"/>
            <w:vAlign w:val="center"/>
          </w:tcPr>
          <w:p w14:paraId="32128D48">
            <w:pPr>
              <w:spacing w:line="240" w:lineRule="auto"/>
              <w:ind w:firstLine="0" w:firstLineChars="0"/>
              <w:jc w:val="center"/>
              <w:rPr>
                <w:sz w:val="21"/>
              </w:rPr>
            </w:pPr>
          </w:p>
        </w:tc>
        <w:tc>
          <w:tcPr>
            <w:tcW w:w="1024" w:type="pct"/>
            <w:vAlign w:val="center"/>
          </w:tcPr>
          <w:p w14:paraId="353C640B">
            <w:pPr>
              <w:spacing w:line="240" w:lineRule="auto"/>
              <w:ind w:firstLine="0" w:firstLineChars="0"/>
              <w:jc w:val="center"/>
              <w:rPr>
                <w:sz w:val="21"/>
              </w:rPr>
            </w:pPr>
            <w:r>
              <w:rPr>
                <w:sz w:val="21"/>
              </w:rPr>
              <w:t>安全带</w:t>
            </w:r>
          </w:p>
        </w:tc>
        <w:tc>
          <w:tcPr>
            <w:tcW w:w="443" w:type="pct"/>
            <w:vAlign w:val="center"/>
          </w:tcPr>
          <w:p w14:paraId="5D3D8B21">
            <w:pPr>
              <w:spacing w:line="240" w:lineRule="auto"/>
              <w:ind w:firstLine="0" w:firstLineChars="0"/>
              <w:jc w:val="center"/>
              <w:rPr>
                <w:sz w:val="21"/>
              </w:rPr>
            </w:pPr>
            <w:r>
              <w:rPr>
                <w:sz w:val="21"/>
              </w:rPr>
              <w:t>副</w:t>
            </w:r>
          </w:p>
        </w:tc>
        <w:tc>
          <w:tcPr>
            <w:tcW w:w="443" w:type="pct"/>
            <w:vAlign w:val="center"/>
          </w:tcPr>
          <w:p w14:paraId="6196AD41">
            <w:pPr>
              <w:spacing w:line="240" w:lineRule="auto"/>
              <w:ind w:firstLine="0" w:firstLineChars="0"/>
              <w:jc w:val="center"/>
              <w:rPr>
                <w:sz w:val="21"/>
              </w:rPr>
            </w:pPr>
            <w:r>
              <w:rPr>
                <w:sz w:val="21"/>
              </w:rPr>
              <w:t>10</w:t>
            </w:r>
          </w:p>
        </w:tc>
        <w:tc>
          <w:tcPr>
            <w:tcW w:w="736" w:type="pct"/>
            <w:vAlign w:val="center"/>
          </w:tcPr>
          <w:p w14:paraId="4837EDC9">
            <w:pPr>
              <w:spacing w:line="240" w:lineRule="auto"/>
              <w:ind w:firstLine="0" w:firstLineChars="0"/>
              <w:jc w:val="center"/>
              <w:rPr>
                <w:sz w:val="21"/>
              </w:rPr>
            </w:pPr>
            <w:r>
              <w:rPr>
                <w:sz w:val="21"/>
              </w:rPr>
              <w:t>现场仓库</w:t>
            </w:r>
          </w:p>
        </w:tc>
        <w:tc>
          <w:tcPr>
            <w:tcW w:w="736" w:type="pct"/>
            <w:vAlign w:val="center"/>
          </w:tcPr>
          <w:p w14:paraId="1638237E">
            <w:pPr>
              <w:spacing w:line="240" w:lineRule="auto"/>
              <w:ind w:firstLine="0" w:firstLineChars="0"/>
              <w:jc w:val="center"/>
              <w:rPr>
                <w:sz w:val="21"/>
              </w:rPr>
            </w:pPr>
            <w:r>
              <w:rPr>
                <w:sz w:val="21"/>
              </w:rPr>
              <w:t>良好</w:t>
            </w:r>
          </w:p>
        </w:tc>
        <w:tc>
          <w:tcPr>
            <w:tcW w:w="443" w:type="pct"/>
            <w:vAlign w:val="center"/>
          </w:tcPr>
          <w:p w14:paraId="0A3F4D8B">
            <w:pPr>
              <w:spacing w:line="240" w:lineRule="auto"/>
              <w:ind w:firstLine="0" w:firstLineChars="0"/>
              <w:jc w:val="center"/>
              <w:rPr>
                <w:sz w:val="21"/>
              </w:rPr>
            </w:pPr>
          </w:p>
        </w:tc>
      </w:tr>
      <w:tr w14:paraId="47D5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2849AD7">
            <w:pPr>
              <w:pStyle w:val="78"/>
              <w:numPr>
                <w:ilvl w:val="0"/>
                <w:numId w:val="76"/>
              </w:numPr>
              <w:spacing w:line="240" w:lineRule="auto"/>
              <w:ind w:firstLineChars="0"/>
              <w:jc w:val="center"/>
              <w:rPr>
                <w:sz w:val="21"/>
              </w:rPr>
            </w:pPr>
          </w:p>
        </w:tc>
        <w:tc>
          <w:tcPr>
            <w:tcW w:w="733" w:type="pct"/>
            <w:vMerge w:val="continue"/>
            <w:vAlign w:val="center"/>
          </w:tcPr>
          <w:p w14:paraId="55B6B1B9">
            <w:pPr>
              <w:spacing w:line="240" w:lineRule="auto"/>
              <w:ind w:firstLine="0" w:firstLineChars="0"/>
              <w:jc w:val="center"/>
              <w:rPr>
                <w:sz w:val="21"/>
              </w:rPr>
            </w:pPr>
          </w:p>
        </w:tc>
        <w:tc>
          <w:tcPr>
            <w:tcW w:w="1024" w:type="pct"/>
            <w:vAlign w:val="center"/>
          </w:tcPr>
          <w:p w14:paraId="2FD55B80">
            <w:pPr>
              <w:spacing w:line="240" w:lineRule="auto"/>
              <w:ind w:firstLine="0" w:firstLineChars="0"/>
              <w:jc w:val="center"/>
              <w:rPr>
                <w:sz w:val="21"/>
              </w:rPr>
            </w:pPr>
            <w:r>
              <w:rPr>
                <w:sz w:val="21"/>
              </w:rPr>
              <w:t>铁锨</w:t>
            </w:r>
          </w:p>
        </w:tc>
        <w:tc>
          <w:tcPr>
            <w:tcW w:w="443" w:type="pct"/>
            <w:vAlign w:val="center"/>
          </w:tcPr>
          <w:p w14:paraId="60B44951">
            <w:pPr>
              <w:spacing w:line="240" w:lineRule="auto"/>
              <w:ind w:firstLine="0" w:firstLineChars="0"/>
              <w:jc w:val="center"/>
              <w:rPr>
                <w:sz w:val="21"/>
              </w:rPr>
            </w:pPr>
            <w:r>
              <w:rPr>
                <w:sz w:val="21"/>
              </w:rPr>
              <w:t>把</w:t>
            </w:r>
          </w:p>
        </w:tc>
        <w:tc>
          <w:tcPr>
            <w:tcW w:w="443" w:type="pct"/>
            <w:vAlign w:val="center"/>
          </w:tcPr>
          <w:p w14:paraId="50DC7DDB">
            <w:pPr>
              <w:spacing w:line="240" w:lineRule="auto"/>
              <w:ind w:firstLine="0" w:firstLineChars="0"/>
              <w:jc w:val="center"/>
              <w:rPr>
                <w:sz w:val="21"/>
              </w:rPr>
            </w:pPr>
            <w:r>
              <w:rPr>
                <w:sz w:val="21"/>
              </w:rPr>
              <w:t>5</w:t>
            </w:r>
          </w:p>
        </w:tc>
        <w:tc>
          <w:tcPr>
            <w:tcW w:w="736" w:type="pct"/>
            <w:vAlign w:val="center"/>
          </w:tcPr>
          <w:p w14:paraId="0D749C30">
            <w:pPr>
              <w:spacing w:line="240" w:lineRule="auto"/>
              <w:ind w:firstLine="0" w:firstLineChars="0"/>
              <w:jc w:val="center"/>
              <w:rPr>
                <w:sz w:val="21"/>
              </w:rPr>
            </w:pPr>
            <w:r>
              <w:rPr>
                <w:sz w:val="21"/>
              </w:rPr>
              <w:t>现场仓库</w:t>
            </w:r>
          </w:p>
        </w:tc>
        <w:tc>
          <w:tcPr>
            <w:tcW w:w="736" w:type="pct"/>
            <w:vAlign w:val="center"/>
          </w:tcPr>
          <w:p w14:paraId="344374F3">
            <w:pPr>
              <w:spacing w:line="240" w:lineRule="auto"/>
              <w:ind w:firstLine="0" w:firstLineChars="0"/>
              <w:jc w:val="center"/>
              <w:rPr>
                <w:sz w:val="21"/>
              </w:rPr>
            </w:pPr>
            <w:r>
              <w:rPr>
                <w:sz w:val="21"/>
              </w:rPr>
              <w:t>良好</w:t>
            </w:r>
          </w:p>
        </w:tc>
        <w:tc>
          <w:tcPr>
            <w:tcW w:w="443" w:type="pct"/>
            <w:vAlign w:val="center"/>
          </w:tcPr>
          <w:p w14:paraId="296B614B">
            <w:pPr>
              <w:spacing w:line="240" w:lineRule="auto"/>
              <w:ind w:firstLine="0" w:firstLineChars="0"/>
              <w:jc w:val="center"/>
              <w:rPr>
                <w:sz w:val="21"/>
              </w:rPr>
            </w:pPr>
          </w:p>
        </w:tc>
      </w:tr>
      <w:tr w14:paraId="7C25E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D45C127">
            <w:pPr>
              <w:pStyle w:val="78"/>
              <w:numPr>
                <w:ilvl w:val="0"/>
                <w:numId w:val="76"/>
              </w:numPr>
              <w:spacing w:line="240" w:lineRule="auto"/>
              <w:ind w:firstLineChars="0"/>
              <w:jc w:val="center"/>
              <w:rPr>
                <w:sz w:val="21"/>
              </w:rPr>
            </w:pPr>
          </w:p>
        </w:tc>
        <w:tc>
          <w:tcPr>
            <w:tcW w:w="733" w:type="pct"/>
            <w:vMerge w:val="continue"/>
            <w:vAlign w:val="center"/>
          </w:tcPr>
          <w:p w14:paraId="449FAE4F">
            <w:pPr>
              <w:spacing w:line="240" w:lineRule="auto"/>
              <w:ind w:firstLine="0" w:firstLineChars="0"/>
              <w:jc w:val="center"/>
              <w:rPr>
                <w:sz w:val="21"/>
              </w:rPr>
            </w:pPr>
          </w:p>
        </w:tc>
        <w:tc>
          <w:tcPr>
            <w:tcW w:w="1024" w:type="pct"/>
            <w:vAlign w:val="center"/>
          </w:tcPr>
          <w:p w14:paraId="25EDD98D">
            <w:pPr>
              <w:spacing w:line="240" w:lineRule="auto"/>
              <w:ind w:firstLine="0" w:firstLineChars="0"/>
              <w:jc w:val="center"/>
              <w:rPr>
                <w:sz w:val="21"/>
              </w:rPr>
            </w:pPr>
            <w:r>
              <w:rPr>
                <w:sz w:val="21"/>
              </w:rPr>
              <w:t>撬棍</w:t>
            </w:r>
          </w:p>
        </w:tc>
        <w:tc>
          <w:tcPr>
            <w:tcW w:w="443" w:type="pct"/>
            <w:vAlign w:val="center"/>
          </w:tcPr>
          <w:p w14:paraId="0BBC9E1F">
            <w:pPr>
              <w:spacing w:line="240" w:lineRule="auto"/>
              <w:ind w:firstLine="0" w:firstLineChars="0"/>
              <w:jc w:val="center"/>
              <w:rPr>
                <w:sz w:val="21"/>
              </w:rPr>
            </w:pPr>
            <w:r>
              <w:rPr>
                <w:sz w:val="21"/>
              </w:rPr>
              <w:t>把</w:t>
            </w:r>
          </w:p>
        </w:tc>
        <w:tc>
          <w:tcPr>
            <w:tcW w:w="443" w:type="pct"/>
            <w:vAlign w:val="center"/>
          </w:tcPr>
          <w:p w14:paraId="2BF04075">
            <w:pPr>
              <w:spacing w:line="240" w:lineRule="auto"/>
              <w:ind w:firstLine="0" w:firstLineChars="0"/>
              <w:jc w:val="center"/>
              <w:rPr>
                <w:sz w:val="21"/>
              </w:rPr>
            </w:pPr>
            <w:r>
              <w:rPr>
                <w:sz w:val="21"/>
              </w:rPr>
              <w:t>5</w:t>
            </w:r>
          </w:p>
        </w:tc>
        <w:tc>
          <w:tcPr>
            <w:tcW w:w="736" w:type="pct"/>
            <w:vAlign w:val="center"/>
          </w:tcPr>
          <w:p w14:paraId="2C6BFAEB">
            <w:pPr>
              <w:spacing w:line="240" w:lineRule="auto"/>
              <w:ind w:firstLine="0" w:firstLineChars="0"/>
              <w:jc w:val="center"/>
              <w:rPr>
                <w:sz w:val="21"/>
              </w:rPr>
            </w:pPr>
            <w:r>
              <w:rPr>
                <w:sz w:val="21"/>
              </w:rPr>
              <w:t>现场仓库</w:t>
            </w:r>
          </w:p>
        </w:tc>
        <w:tc>
          <w:tcPr>
            <w:tcW w:w="736" w:type="pct"/>
            <w:vAlign w:val="center"/>
          </w:tcPr>
          <w:p w14:paraId="4619427F">
            <w:pPr>
              <w:spacing w:line="240" w:lineRule="auto"/>
              <w:ind w:firstLine="0" w:firstLineChars="0"/>
              <w:jc w:val="center"/>
              <w:rPr>
                <w:sz w:val="21"/>
              </w:rPr>
            </w:pPr>
            <w:r>
              <w:rPr>
                <w:sz w:val="21"/>
              </w:rPr>
              <w:t>良好</w:t>
            </w:r>
          </w:p>
        </w:tc>
        <w:tc>
          <w:tcPr>
            <w:tcW w:w="443" w:type="pct"/>
            <w:vAlign w:val="center"/>
          </w:tcPr>
          <w:p w14:paraId="7AF6FE0B">
            <w:pPr>
              <w:spacing w:line="240" w:lineRule="auto"/>
              <w:ind w:firstLine="0" w:firstLineChars="0"/>
              <w:jc w:val="center"/>
              <w:rPr>
                <w:sz w:val="21"/>
              </w:rPr>
            </w:pPr>
          </w:p>
        </w:tc>
      </w:tr>
      <w:tr w14:paraId="29505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27865F7">
            <w:pPr>
              <w:pStyle w:val="78"/>
              <w:numPr>
                <w:ilvl w:val="0"/>
                <w:numId w:val="76"/>
              </w:numPr>
              <w:spacing w:line="240" w:lineRule="auto"/>
              <w:ind w:firstLineChars="0"/>
              <w:jc w:val="center"/>
              <w:rPr>
                <w:sz w:val="21"/>
              </w:rPr>
            </w:pPr>
          </w:p>
        </w:tc>
        <w:tc>
          <w:tcPr>
            <w:tcW w:w="733" w:type="pct"/>
            <w:vMerge w:val="continue"/>
            <w:vAlign w:val="center"/>
          </w:tcPr>
          <w:p w14:paraId="66ECE9A7">
            <w:pPr>
              <w:spacing w:line="240" w:lineRule="auto"/>
              <w:ind w:firstLine="0" w:firstLineChars="0"/>
              <w:jc w:val="center"/>
              <w:rPr>
                <w:sz w:val="21"/>
              </w:rPr>
            </w:pPr>
          </w:p>
        </w:tc>
        <w:tc>
          <w:tcPr>
            <w:tcW w:w="1024" w:type="pct"/>
            <w:vAlign w:val="center"/>
          </w:tcPr>
          <w:p w14:paraId="508C5D5B">
            <w:pPr>
              <w:spacing w:line="240" w:lineRule="auto"/>
              <w:ind w:firstLine="0" w:firstLineChars="0"/>
              <w:jc w:val="center"/>
              <w:rPr>
                <w:sz w:val="21"/>
              </w:rPr>
            </w:pPr>
            <w:r>
              <w:rPr>
                <w:sz w:val="21"/>
              </w:rPr>
              <w:t>气割工具</w:t>
            </w:r>
          </w:p>
        </w:tc>
        <w:tc>
          <w:tcPr>
            <w:tcW w:w="443" w:type="pct"/>
            <w:vAlign w:val="center"/>
          </w:tcPr>
          <w:p w14:paraId="672DE4AB">
            <w:pPr>
              <w:spacing w:line="240" w:lineRule="auto"/>
              <w:ind w:firstLine="0" w:firstLineChars="0"/>
              <w:jc w:val="center"/>
              <w:rPr>
                <w:sz w:val="21"/>
              </w:rPr>
            </w:pPr>
            <w:r>
              <w:rPr>
                <w:sz w:val="21"/>
              </w:rPr>
              <w:t>套</w:t>
            </w:r>
          </w:p>
        </w:tc>
        <w:tc>
          <w:tcPr>
            <w:tcW w:w="443" w:type="pct"/>
            <w:vAlign w:val="center"/>
          </w:tcPr>
          <w:p w14:paraId="52F13514">
            <w:pPr>
              <w:spacing w:line="240" w:lineRule="auto"/>
              <w:ind w:firstLine="0" w:firstLineChars="0"/>
              <w:jc w:val="center"/>
              <w:rPr>
                <w:sz w:val="21"/>
              </w:rPr>
            </w:pPr>
            <w:r>
              <w:rPr>
                <w:sz w:val="21"/>
              </w:rPr>
              <w:t>2</w:t>
            </w:r>
          </w:p>
        </w:tc>
        <w:tc>
          <w:tcPr>
            <w:tcW w:w="736" w:type="pct"/>
            <w:vAlign w:val="center"/>
          </w:tcPr>
          <w:p w14:paraId="0C222E10">
            <w:pPr>
              <w:spacing w:line="240" w:lineRule="auto"/>
              <w:ind w:firstLine="0" w:firstLineChars="0"/>
              <w:jc w:val="center"/>
              <w:rPr>
                <w:sz w:val="21"/>
              </w:rPr>
            </w:pPr>
            <w:r>
              <w:rPr>
                <w:sz w:val="21"/>
              </w:rPr>
              <w:t>现场仓库</w:t>
            </w:r>
          </w:p>
        </w:tc>
        <w:tc>
          <w:tcPr>
            <w:tcW w:w="736" w:type="pct"/>
            <w:vAlign w:val="center"/>
          </w:tcPr>
          <w:p w14:paraId="36239218">
            <w:pPr>
              <w:spacing w:line="240" w:lineRule="auto"/>
              <w:ind w:firstLine="0" w:firstLineChars="0"/>
              <w:jc w:val="center"/>
              <w:rPr>
                <w:sz w:val="21"/>
              </w:rPr>
            </w:pPr>
            <w:r>
              <w:rPr>
                <w:sz w:val="21"/>
              </w:rPr>
              <w:t>良好</w:t>
            </w:r>
          </w:p>
        </w:tc>
        <w:tc>
          <w:tcPr>
            <w:tcW w:w="443" w:type="pct"/>
            <w:vAlign w:val="center"/>
          </w:tcPr>
          <w:p w14:paraId="705D897B">
            <w:pPr>
              <w:spacing w:line="240" w:lineRule="auto"/>
              <w:ind w:firstLine="0" w:firstLineChars="0"/>
              <w:jc w:val="center"/>
              <w:rPr>
                <w:sz w:val="21"/>
              </w:rPr>
            </w:pPr>
          </w:p>
        </w:tc>
      </w:tr>
      <w:tr w14:paraId="79042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A79A97A">
            <w:pPr>
              <w:pStyle w:val="78"/>
              <w:numPr>
                <w:ilvl w:val="0"/>
                <w:numId w:val="76"/>
              </w:numPr>
              <w:spacing w:line="240" w:lineRule="auto"/>
              <w:ind w:firstLineChars="0"/>
              <w:jc w:val="center"/>
              <w:rPr>
                <w:sz w:val="21"/>
              </w:rPr>
            </w:pPr>
          </w:p>
        </w:tc>
        <w:tc>
          <w:tcPr>
            <w:tcW w:w="733" w:type="pct"/>
            <w:vMerge w:val="continue"/>
            <w:vAlign w:val="center"/>
          </w:tcPr>
          <w:p w14:paraId="46E264C9">
            <w:pPr>
              <w:spacing w:line="240" w:lineRule="auto"/>
              <w:ind w:firstLine="0" w:firstLineChars="0"/>
              <w:jc w:val="center"/>
              <w:rPr>
                <w:sz w:val="21"/>
              </w:rPr>
            </w:pPr>
          </w:p>
        </w:tc>
        <w:tc>
          <w:tcPr>
            <w:tcW w:w="1024" w:type="pct"/>
            <w:vAlign w:val="center"/>
          </w:tcPr>
          <w:p w14:paraId="12548B8C">
            <w:pPr>
              <w:spacing w:line="240" w:lineRule="auto"/>
              <w:ind w:firstLine="0" w:firstLineChars="0"/>
              <w:jc w:val="center"/>
              <w:rPr>
                <w:sz w:val="21"/>
              </w:rPr>
            </w:pPr>
            <w:r>
              <w:rPr>
                <w:sz w:val="21"/>
              </w:rPr>
              <w:t>电工工具</w:t>
            </w:r>
          </w:p>
        </w:tc>
        <w:tc>
          <w:tcPr>
            <w:tcW w:w="443" w:type="pct"/>
            <w:vAlign w:val="center"/>
          </w:tcPr>
          <w:p w14:paraId="1611C0DD">
            <w:pPr>
              <w:spacing w:line="240" w:lineRule="auto"/>
              <w:ind w:firstLine="0" w:firstLineChars="0"/>
              <w:jc w:val="center"/>
              <w:rPr>
                <w:sz w:val="21"/>
              </w:rPr>
            </w:pPr>
            <w:r>
              <w:rPr>
                <w:sz w:val="21"/>
              </w:rPr>
              <w:t>套</w:t>
            </w:r>
          </w:p>
        </w:tc>
        <w:tc>
          <w:tcPr>
            <w:tcW w:w="443" w:type="pct"/>
            <w:vAlign w:val="center"/>
          </w:tcPr>
          <w:p w14:paraId="12335A21">
            <w:pPr>
              <w:spacing w:line="240" w:lineRule="auto"/>
              <w:ind w:firstLine="0" w:firstLineChars="0"/>
              <w:jc w:val="center"/>
              <w:rPr>
                <w:sz w:val="21"/>
              </w:rPr>
            </w:pPr>
            <w:r>
              <w:rPr>
                <w:sz w:val="21"/>
              </w:rPr>
              <w:t>若干　</w:t>
            </w:r>
          </w:p>
        </w:tc>
        <w:tc>
          <w:tcPr>
            <w:tcW w:w="736" w:type="pct"/>
            <w:vAlign w:val="center"/>
          </w:tcPr>
          <w:p w14:paraId="17B6CB32">
            <w:pPr>
              <w:spacing w:line="240" w:lineRule="auto"/>
              <w:ind w:firstLine="0" w:firstLineChars="0"/>
              <w:jc w:val="center"/>
              <w:rPr>
                <w:sz w:val="21"/>
              </w:rPr>
            </w:pPr>
            <w:r>
              <w:rPr>
                <w:sz w:val="21"/>
              </w:rPr>
              <w:t>现场仓库</w:t>
            </w:r>
          </w:p>
        </w:tc>
        <w:tc>
          <w:tcPr>
            <w:tcW w:w="736" w:type="pct"/>
            <w:vAlign w:val="center"/>
          </w:tcPr>
          <w:p w14:paraId="419BCE1B">
            <w:pPr>
              <w:spacing w:line="240" w:lineRule="auto"/>
              <w:ind w:firstLine="0" w:firstLineChars="0"/>
              <w:jc w:val="center"/>
              <w:rPr>
                <w:sz w:val="21"/>
              </w:rPr>
            </w:pPr>
            <w:r>
              <w:rPr>
                <w:sz w:val="21"/>
              </w:rPr>
              <w:t>良好</w:t>
            </w:r>
          </w:p>
        </w:tc>
        <w:tc>
          <w:tcPr>
            <w:tcW w:w="443" w:type="pct"/>
            <w:vAlign w:val="center"/>
          </w:tcPr>
          <w:p w14:paraId="336BDFDF">
            <w:pPr>
              <w:spacing w:line="240" w:lineRule="auto"/>
              <w:ind w:firstLine="0" w:firstLineChars="0"/>
              <w:jc w:val="center"/>
              <w:rPr>
                <w:sz w:val="21"/>
              </w:rPr>
            </w:pPr>
          </w:p>
        </w:tc>
      </w:tr>
      <w:tr w14:paraId="09DF0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DDD2847">
            <w:pPr>
              <w:pStyle w:val="78"/>
              <w:numPr>
                <w:ilvl w:val="0"/>
                <w:numId w:val="76"/>
              </w:numPr>
              <w:spacing w:line="240" w:lineRule="auto"/>
              <w:ind w:firstLineChars="0"/>
              <w:jc w:val="center"/>
              <w:rPr>
                <w:sz w:val="21"/>
              </w:rPr>
            </w:pPr>
          </w:p>
        </w:tc>
        <w:tc>
          <w:tcPr>
            <w:tcW w:w="733" w:type="pct"/>
            <w:vMerge w:val="continue"/>
            <w:vAlign w:val="center"/>
          </w:tcPr>
          <w:p w14:paraId="3F9CCD03">
            <w:pPr>
              <w:spacing w:line="240" w:lineRule="auto"/>
              <w:ind w:firstLine="0" w:firstLineChars="0"/>
              <w:jc w:val="center"/>
              <w:rPr>
                <w:sz w:val="21"/>
              </w:rPr>
            </w:pPr>
          </w:p>
        </w:tc>
        <w:tc>
          <w:tcPr>
            <w:tcW w:w="1024" w:type="pct"/>
            <w:vAlign w:val="center"/>
          </w:tcPr>
          <w:p w14:paraId="3779E640">
            <w:pPr>
              <w:spacing w:line="240" w:lineRule="auto"/>
              <w:ind w:firstLine="0" w:firstLineChars="0"/>
              <w:jc w:val="center"/>
              <w:rPr>
                <w:sz w:val="21"/>
              </w:rPr>
            </w:pPr>
            <w:r>
              <w:rPr>
                <w:sz w:val="21"/>
              </w:rPr>
              <w:t>简易担架</w:t>
            </w:r>
          </w:p>
        </w:tc>
        <w:tc>
          <w:tcPr>
            <w:tcW w:w="443" w:type="pct"/>
            <w:vAlign w:val="center"/>
          </w:tcPr>
          <w:p w14:paraId="2FB5EE9F">
            <w:pPr>
              <w:spacing w:line="240" w:lineRule="auto"/>
              <w:ind w:firstLine="0" w:firstLineChars="0"/>
              <w:jc w:val="center"/>
              <w:rPr>
                <w:sz w:val="21"/>
              </w:rPr>
            </w:pPr>
            <w:r>
              <w:rPr>
                <w:sz w:val="21"/>
              </w:rPr>
              <w:t>个</w:t>
            </w:r>
          </w:p>
        </w:tc>
        <w:tc>
          <w:tcPr>
            <w:tcW w:w="443" w:type="pct"/>
            <w:vAlign w:val="center"/>
          </w:tcPr>
          <w:p w14:paraId="35A3993F">
            <w:pPr>
              <w:spacing w:line="240" w:lineRule="auto"/>
              <w:ind w:firstLine="0" w:firstLineChars="0"/>
              <w:jc w:val="center"/>
              <w:rPr>
                <w:sz w:val="21"/>
              </w:rPr>
            </w:pPr>
            <w:r>
              <w:rPr>
                <w:sz w:val="21"/>
              </w:rPr>
              <w:t>2</w:t>
            </w:r>
          </w:p>
        </w:tc>
        <w:tc>
          <w:tcPr>
            <w:tcW w:w="736" w:type="pct"/>
            <w:vAlign w:val="center"/>
          </w:tcPr>
          <w:p w14:paraId="5E8C3108">
            <w:pPr>
              <w:spacing w:line="240" w:lineRule="auto"/>
              <w:ind w:firstLine="0" w:firstLineChars="0"/>
              <w:jc w:val="center"/>
              <w:rPr>
                <w:sz w:val="21"/>
              </w:rPr>
            </w:pPr>
            <w:r>
              <w:rPr>
                <w:sz w:val="21"/>
              </w:rPr>
              <w:t>现场仓库</w:t>
            </w:r>
          </w:p>
        </w:tc>
        <w:tc>
          <w:tcPr>
            <w:tcW w:w="736" w:type="pct"/>
            <w:vAlign w:val="center"/>
          </w:tcPr>
          <w:p w14:paraId="6013B995">
            <w:pPr>
              <w:spacing w:line="240" w:lineRule="auto"/>
              <w:ind w:firstLine="0" w:firstLineChars="0"/>
              <w:jc w:val="center"/>
              <w:rPr>
                <w:sz w:val="21"/>
              </w:rPr>
            </w:pPr>
            <w:r>
              <w:rPr>
                <w:sz w:val="21"/>
              </w:rPr>
              <w:t>良好</w:t>
            </w:r>
          </w:p>
        </w:tc>
        <w:tc>
          <w:tcPr>
            <w:tcW w:w="443" w:type="pct"/>
            <w:vAlign w:val="center"/>
          </w:tcPr>
          <w:p w14:paraId="4AC9AA55">
            <w:pPr>
              <w:spacing w:line="240" w:lineRule="auto"/>
              <w:ind w:firstLine="0" w:firstLineChars="0"/>
              <w:jc w:val="center"/>
              <w:rPr>
                <w:sz w:val="21"/>
              </w:rPr>
            </w:pPr>
          </w:p>
        </w:tc>
      </w:tr>
      <w:tr w14:paraId="5DD97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2FD0CFC">
            <w:pPr>
              <w:pStyle w:val="78"/>
              <w:numPr>
                <w:ilvl w:val="0"/>
                <w:numId w:val="76"/>
              </w:numPr>
              <w:spacing w:line="240" w:lineRule="auto"/>
              <w:ind w:firstLineChars="0"/>
              <w:jc w:val="center"/>
              <w:rPr>
                <w:sz w:val="21"/>
              </w:rPr>
            </w:pPr>
          </w:p>
        </w:tc>
        <w:tc>
          <w:tcPr>
            <w:tcW w:w="733" w:type="pct"/>
            <w:vMerge w:val="restart"/>
            <w:vAlign w:val="center"/>
          </w:tcPr>
          <w:p w14:paraId="4BFB7996">
            <w:pPr>
              <w:spacing w:line="240" w:lineRule="auto"/>
              <w:ind w:firstLine="0" w:firstLineChars="0"/>
              <w:jc w:val="center"/>
              <w:rPr>
                <w:sz w:val="21"/>
              </w:rPr>
            </w:pPr>
            <w:r>
              <w:rPr>
                <w:sz w:val="21"/>
              </w:rPr>
              <w:t>照明器材</w:t>
            </w:r>
          </w:p>
        </w:tc>
        <w:tc>
          <w:tcPr>
            <w:tcW w:w="1024" w:type="pct"/>
            <w:vAlign w:val="center"/>
          </w:tcPr>
          <w:p w14:paraId="7364C6A0">
            <w:pPr>
              <w:spacing w:line="240" w:lineRule="auto"/>
              <w:ind w:firstLine="0" w:firstLineChars="0"/>
              <w:jc w:val="center"/>
              <w:rPr>
                <w:sz w:val="21"/>
              </w:rPr>
            </w:pPr>
            <w:r>
              <w:rPr>
                <w:sz w:val="21"/>
              </w:rPr>
              <w:t>手电筒</w:t>
            </w:r>
          </w:p>
        </w:tc>
        <w:tc>
          <w:tcPr>
            <w:tcW w:w="443" w:type="pct"/>
            <w:vAlign w:val="center"/>
          </w:tcPr>
          <w:p w14:paraId="01FFCA36">
            <w:pPr>
              <w:spacing w:line="240" w:lineRule="auto"/>
              <w:ind w:firstLine="0" w:firstLineChars="0"/>
              <w:jc w:val="center"/>
              <w:rPr>
                <w:sz w:val="21"/>
              </w:rPr>
            </w:pPr>
            <w:r>
              <w:rPr>
                <w:sz w:val="21"/>
              </w:rPr>
              <w:t>把</w:t>
            </w:r>
          </w:p>
        </w:tc>
        <w:tc>
          <w:tcPr>
            <w:tcW w:w="443" w:type="pct"/>
            <w:vAlign w:val="center"/>
          </w:tcPr>
          <w:p w14:paraId="073DC64C">
            <w:pPr>
              <w:spacing w:line="240" w:lineRule="auto"/>
              <w:ind w:firstLine="0" w:firstLineChars="0"/>
              <w:jc w:val="center"/>
              <w:rPr>
                <w:sz w:val="21"/>
              </w:rPr>
            </w:pPr>
            <w:r>
              <w:rPr>
                <w:sz w:val="21"/>
              </w:rPr>
              <w:t>10</w:t>
            </w:r>
          </w:p>
        </w:tc>
        <w:tc>
          <w:tcPr>
            <w:tcW w:w="736" w:type="pct"/>
            <w:vAlign w:val="center"/>
          </w:tcPr>
          <w:p w14:paraId="3DD19C38">
            <w:pPr>
              <w:spacing w:line="240" w:lineRule="auto"/>
              <w:ind w:firstLine="0" w:firstLineChars="0"/>
              <w:jc w:val="center"/>
              <w:rPr>
                <w:sz w:val="21"/>
              </w:rPr>
            </w:pPr>
            <w:r>
              <w:rPr>
                <w:sz w:val="21"/>
              </w:rPr>
              <w:t>现场仓库</w:t>
            </w:r>
          </w:p>
        </w:tc>
        <w:tc>
          <w:tcPr>
            <w:tcW w:w="736" w:type="pct"/>
            <w:vAlign w:val="center"/>
          </w:tcPr>
          <w:p w14:paraId="4168C75C">
            <w:pPr>
              <w:spacing w:line="240" w:lineRule="auto"/>
              <w:ind w:firstLine="0" w:firstLineChars="0"/>
              <w:jc w:val="center"/>
              <w:rPr>
                <w:sz w:val="21"/>
              </w:rPr>
            </w:pPr>
            <w:r>
              <w:rPr>
                <w:sz w:val="21"/>
              </w:rPr>
              <w:t>良好</w:t>
            </w:r>
          </w:p>
        </w:tc>
        <w:tc>
          <w:tcPr>
            <w:tcW w:w="443" w:type="pct"/>
            <w:vAlign w:val="center"/>
          </w:tcPr>
          <w:p w14:paraId="07DB2C2A">
            <w:pPr>
              <w:spacing w:line="240" w:lineRule="auto"/>
              <w:ind w:firstLine="0" w:firstLineChars="0"/>
              <w:jc w:val="center"/>
              <w:rPr>
                <w:sz w:val="21"/>
              </w:rPr>
            </w:pPr>
          </w:p>
        </w:tc>
      </w:tr>
      <w:tr w14:paraId="4BE84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FFB5DD6">
            <w:pPr>
              <w:pStyle w:val="78"/>
              <w:numPr>
                <w:ilvl w:val="0"/>
                <w:numId w:val="76"/>
              </w:numPr>
              <w:spacing w:line="240" w:lineRule="auto"/>
              <w:ind w:firstLineChars="0"/>
              <w:jc w:val="center"/>
              <w:rPr>
                <w:sz w:val="21"/>
              </w:rPr>
            </w:pPr>
          </w:p>
        </w:tc>
        <w:tc>
          <w:tcPr>
            <w:tcW w:w="733" w:type="pct"/>
            <w:vMerge w:val="continue"/>
            <w:vAlign w:val="center"/>
          </w:tcPr>
          <w:p w14:paraId="1848708C">
            <w:pPr>
              <w:spacing w:line="240" w:lineRule="auto"/>
              <w:ind w:firstLine="0" w:firstLineChars="0"/>
              <w:jc w:val="center"/>
              <w:rPr>
                <w:sz w:val="21"/>
              </w:rPr>
            </w:pPr>
          </w:p>
        </w:tc>
        <w:tc>
          <w:tcPr>
            <w:tcW w:w="1024" w:type="pct"/>
            <w:vAlign w:val="center"/>
          </w:tcPr>
          <w:p w14:paraId="073FEAE8">
            <w:pPr>
              <w:spacing w:line="240" w:lineRule="auto"/>
              <w:ind w:firstLine="0" w:firstLineChars="0"/>
              <w:jc w:val="center"/>
              <w:rPr>
                <w:sz w:val="21"/>
              </w:rPr>
            </w:pPr>
            <w:r>
              <w:rPr>
                <w:sz w:val="21"/>
              </w:rPr>
              <w:t>应急灯具</w:t>
            </w:r>
          </w:p>
        </w:tc>
        <w:tc>
          <w:tcPr>
            <w:tcW w:w="443" w:type="pct"/>
            <w:vAlign w:val="center"/>
          </w:tcPr>
          <w:p w14:paraId="6EEA1D5C">
            <w:pPr>
              <w:spacing w:line="240" w:lineRule="auto"/>
              <w:ind w:firstLine="0" w:firstLineChars="0"/>
              <w:jc w:val="center"/>
              <w:rPr>
                <w:sz w:val="21"/>
              </w:rPr>
            </w:pPr>
            <w:r>
              <w:rPr>
                <w:sz w:val="21"/>
              </w:rPr>
              <w:t>个</w:t>
            </w:r>
          </w:p>
        </w:tc>
        <w:tc>
          <w:tcPr>
            <w:tcW w:w="443" w:type="pct"/>
            <w:vAlign w:val="center"/>
          </w:tcPr>
          <w:p w14:paraId="77465CD1">
            <w:pPr>
              <w:spacing w:line="240" w:lineRule="auto"/>
              <w:ind w:firstLine="0" w:firstLineChars="0"/>
              <w:jc w:val="center"/>
              <w:rPr>
                <w:sz w:val="21"/>
              </w:rPr>
            </w:pPr>
            <w:r>
              <w:rPr>
                <w:sz w:val="21"/>
              </w:rPr>
              <w:t>10</w:t>
            </w:r>
          </w:p>
        </w:tc>
        <w:tc>
          <w:tcPr>
            <w:tcW w:w="736" w:type="pct"/>
            <w:vAlign w:val="center"/>
          </w:tcPr>
          <w:p w14:paraId="6F41C17C">
            <w:pPr>
              <w:spacing w:line="240" w:lineRule="auto"/>
              <w:ind w:firstLine="0" w:firstLineChars="0"/>
              <w:jc w:val="center"/>
              <w:rPr>
                <w:sz w:val="21"/>
              </w:rPr>
            </w:pPr>
            <w:r>
              <w:rPr>
                <w:sz w:val="21"/>
              </w:rPr>
              <w:t>现场仓库</w:t>
            </w:r>
          </w:p>
        </w:tc>
        <w:tc>
          <w:tcPr>
            <w:tcW w:w="736" w:type="pct"/>
            <w:vAlign w:val="center"/>
          </w:tcPr>
          <w:p w14:paraId="00D5E2E7">
            <w:pPr>
              <w:spacing w:line="240" w:lineRule="auto"/>
              <w:ind w:firstLine="0" w:firstLineChars="0"/>
              <w:jc w:val="center"/>
              <w:rPr>
                <w:sz w:val="21"/>
              </w:rPr>
            </w:pPr>
            <w:r>
              <w:rPr>
                <w:sz w:val="21"/>
              </w:rPr>
              <w:t>良好</w:t>
            </w:r>
          </w:p>
        </w:tc>
        <w:tc>
          <w:tcPr>
            <w:tcW w:w="443" w:type="pct"/>
            <w:vAlign w:val="center"/>
          </w:tcPr>
          <w:p w14:paraId="4BB8983C">
            <w:pPr>
              <w:spacing w:line="240" w:lineRule="auto"/>
              <w:ind w:firstLine="0" w:firstLineChars="0"/>
              <w:jc w:val="center"/>
              <w:rPr>
                <w:sz w:val="21"/>
              </w:rPr>
            </w:pPr>
          </w:p>
        </w:tc>
      </w:tr>
      <w:tr w14:paraId="1C710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DE86DF1">
            <w:pPr>
              <w:pStyle w:val="78"/>
              <w:numPr>
                <w:ilvl w:val="0"/>
                <w:numId w:val="76"/>
              </w:numPr>
              <w:spacing w:line="240" w:lineRule="auto"/>
              <w:ind w:firstLineChars="0"/>
              <w:jc w:val="center"/>
              <w:rPr>
                <w:sz w:val="21"/>
              </w:rPr>
            </w:pPr>
          </w:p>
        </w:tc>
        <w:tc>
          <w:tcPr>
            <w:tcW w:w="733" w:type="pct"/>
            <w:vMerge w:val="restart"/>
            <w:vAlign w:val="center"/>
          </w:tcPr>
          <w:p w14:paraId="2D2A29F9">
            <w:pPr>
              <w:spacing w:line="240" w:lineRule="auto"/>
              <w:ind w:firstLine="0" w:firstLineChars="0"/>
              <w:jc w:val="center"/>
              <w:rPr>
                <w:sz w:val="21"/>
              </w:rPr>
            </w:pPr>
            <w:r>
              <w:rPr>
                <w:sz w:val="21"/>
              </w:rPr>
              <w:t>通讯器材</w:t>
            </w:r>
          </w:p>
        </w:tc>
        <w:tc>
          <w:tcPr>
            <w:tcW w:w="1024" w:type="pct"/>
            <w:vAlign w:val="center"/>
          </w:tcPr>
          <w:p w14:paraId="5AB26DED">
            <w:pPr>
              <w:spacing w:line="240" w:lineRule="auto"/>
              <w:ind w:firstLine="0" w:firstLineChars="0"/>
              <w:jc w:val="center"/>
              <w:rPr>
                <w:sz w:val="21"/>
              </w:rPr>
            </w:pPr>
            <w:r>
              <w:rPr>
                <w:sz w:val="21"/>
              </w:rPr>
              <w:t>对讲机</w:t>
            </w:r>
          </w:p>
        </w:tc>
        <w:tc>
          <w:tcPr>
            <w:tcW w:w="443" w:type="pct"/>
            <w:vAlign w:val="center"/>
          </w:tcPr>
          <w:p w14:paraId="62A1054B">
            <w:pPr>
              <w:spacing w:line="240" w:lineRule="auto"/>
              <w:ind w:firstLine="0" w:firstLineChars="0"/>
              <w:jc w:val="center"/>
              <w:rPr>
                <w:sz w:val="21"/>
              </w:rPr>
            </w:pPr>
            <w:r>
              <w:rPr>
                <w:sz w:val="21"/>
              </w:rPr>
              <w:t>部</w:t>
            </w:r>
          </w:p>
        </w:tc>
        <w:tc>
          <w:tcPr>
            <w:tcW w:w="443" w:type="pct"/>
            <w:vAlign w:val="center"/>
          </w:tcPr>
          <w:p w14:paraId="016C9D2C">
            <w:pPr>
              <w:spacing w:line="240" w:lineRule="auto"/>
              <w:ind w:firstLine="0" w:firstLineChars="0"/>
              <w:jc w:val="center"/>
              <w:rPr>
                <w:sz w:val="21"/>
              </w:rPr>
            </w:pPr>
            <w:r>
              <w:rPr>
                <w:sz w:val="21"/>
              </w:rPr>
              <w:t>5</w:t>
            </w:r>
          </w:p>
        </w:tc>
        <w:tc>
          <w:tcPr>
            <w:tcW w:w="736" w:type="pct"/>
            <w:vAlign w:val="center"/>
          </w:tcPr>
          <w:p w14:paraId="5B13747C">
            <w:pPr>
              <w:spacing w:line="240" w:lineRule="auto"/>
              <w:ind w:firstLine="0" w:firstLineChars="0"/>
              <w:jc w:val="center"/>
              <w:rPr>
                <w:sz w:val="21"/>
              </w:rPr>
            </w:pPr>
            <w:r>
              <w:rPr>
                <w:sz w:val="21"/>
              </w:rPr>
              <w:t>现场</w:t>
            </w:r>
          </w:p>
        </w:tc>
        <w:tc>
          <w:tcPr>
            <w:tcW w:w="736" w:type="pct"/>
            <w:vAlign w:val="center"/>
          </w:tcPr>
          <w:p w14:paraId="77137B5D">
            <w:pPr>
              <w:spacing w:line="240" w:lineRule="auto"/>
              <w:ind w:firstLine="0" w:firstLineChars="0"/>
              <w:jc w:val="center"/>
              <w:rPr>
                <w:sz w:val="21"/>
              </w:rPr>
            </w:pPr>
            <w:r>
              <w:rPr>
                <w:sz w:val="21"/>
              </w:rPr>
              <w:t>良好</w:t>
            </w:r>
          </w:p>
        </w:tc>
        <w:tc>
          <w:tcPr>
            <w:tcW w:w="443" w:type="pct"/>
            <w:vAlign w:val="center"/>
          </w:tcPr>
          <w:p w14:paraId="30E881C2">
            <w:pPr>
              <w:spacing w:line="240" w:lineRule="auto"/>
              <w:ind w:firstLine="0" w:firstLineChars="0"/>
              <w:jc w:val="center"/>
              <w:rPr>
                <w:sz w:val="21"/>
              </w:rPr>
            </w:pPr>
          </w:p>
        </w:tc>
      </w:tr>
      <w:tr w14:paraId="36B26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472BB5D">
            <w:pPr>
              <w:pStyle w:val="78"/>
              <w:numPr>
                <w:ilvl w:val="0"/>
                <w:numId w:val="76"/>
              </w:numPr>
              <w:spacing w:line="240" w:lineRule="auto"/>
              <w:ind w:firstLineChars="0"/>
              <w:jc w:val="center"/>
              <w:rPr>
                <w:sz w:val="21"/>
              </w:rPr>
            </w:pPr>
          </w:p>
        </w:tc>
        <w:tc>
          <w:tcPr>
            <w:tcW w:w="733" w:type="pct"/>
            <w:vMerge w:val="continue"/>
            <w:vAlign w:val="center"/>
          </w:tcPr>
          <w:p w14:paraId="69DC8CE4">
            <w:pPr>
              <w:spacing w:line="240" w:lineRule="auto"/>
              <w:ind w:firstLine="0" w:firstLineChars="0"/>
              <w:jc w:val="center"/>
              <w:rPr>
                <w:sz w:val="21"/>
              </w:rPr>
            </w:pPr>
          </w:p>
        </w:tc>
        <w:tc>
          <w:tcPr>
            <w:tcW w:w="1024" w:type="pct"/>
            <w:vAlign w:val="center"/>
          </w:tcPr>
          <w:p w14:paraId="4D10022A">
            <w:pPr>
              <w:spacing w:line="240" w:lineRule="auto"/>
              <w:ind w:firstLine="0" w:firstLineChars="0"/>
              <w:jc w:val="center"/>
              <w:rPr>
                <w:sz w:val="21"/>
              </w:rPr>
            </w:pPr>
            <w:r>
              <w:rPr>
                <w:sz w:val="21"/>
              </w:rPr>
              <w:t>手机</w:t>
            </w:r>
          </w:p>
        </w:tc>
        <w:tc>
          <w:tcPr>
            <w:tcW w:w="443" w:type="pct"/>
            <w:vAlign w:val="center"/>
          </w:tcPr>
          <w:p w14:paraId="1C6321C4">
            <w:pPr>
              <w:spacing w:line="240" w:lineRule="auto"/>
              <w:ind w:firstLine="0" w:firstLineChars="0"/>
              <w:jc w:val="center"/>
              <w:rPr>
                <w:sz w:val="21"/>
              </w:rPr>
            </w:pPr>
            <w:r>
              <w:rPr>
                <w:sz w:val="21"/>
              </w:rPr>
              <w:t>部</w:t>
            </w:r>
          </w:p>
        </w:tc>
        <w:tc>
          <w:tcPr>
            <w:tcW w:w="443" w:type="pct"/>
            <w:vAlign w:val="center"/>
          </w:tcPr>
          <w:p w14:paraId="71AC7CB5">
            <w:pPr>
              <w:spacing w:line="240" w:lineRule="auto"/>
              <w:ind w:firstLine="0" w:firstLineChars="0"/>
              <w:jc w:val="center"/>
              <w:rPr>
                <w:sz w:val="21"/>
              </w:rPr>
            </w:pPr>
            <w:r>
              <w:rPr>
                <w:sz w:val="21"/>
              </w:rPr>
              <w:t>若干</w:t>
            </w:r>
          </w:p>
        </w:tc>
        <w:tc>
          <w:tcPr>
            <w:tcW w:w="736" w:type="pct"/>
            <w:vAlign w:val="center"/>
          </w:tcPr>
          <w:p w14:paraId="112EBD6E">
            <w:pPr>
              <w:spacing w:line="240" w:lineRule="auto"/>
              <w:ind w:firstLine="0" w:firstLineChars="0"/>
              <w:jc w:val="center"/>
              <w:rPr>
                <w:sz w:val="21"/>
              </w:rPr>
            </w:pPr>
            <w:r>
              <w:rPr>
                <w:sz w:val="21"/>
              </w:rPr>
              <w:t>现场</w:t>
            </w:r>
          </w:p>
        </w:tc>
        <w:tc>
          <w:tcPr>
            <w:tcW w:w="736" w:type="pct"/>
            <w:vAlign w:val="center"/>
          </w:tcPr>
          <w:p w14:paraId="10E00A29">
            <w:pPr>
              <w:spacing w:line="240" w:lineRule="auto"/>
              <w:ind w:firstLine="0" w:firstLineChars="0"/>
              <w:jc w:val="center"/>
              <w:rPr>
                <w:sz w:val="21"/>
              </w:rPr>
            </w:pPr>
            <w:r>
              <w:rPr>
                <w:sz w:val="21"/>
              </w:rPr>
              <w:t>良好</w:t>
            </w:r>
          </w:p>
        </w:tc>
        <w:tc>
          <w:tcPr>
            <w:tcW w:w="443" w:type="pct"/>
            <w:vAlign w:val="center"/>
          </w:tcPr>
          <w:p w14:paraId="5BC90530">
            <w:pPr>
              <w:spacing w:line="240" w:lineRule="auto"/>
              <w:ind w:firstLine="0" w:firstLineChars="0"/>
              <w:jc w:val="center"/>
              <w:rPr>
                <w:sz w:val="21"/>
              </w:rPr>
            </w:pPr>
          </w:p>
        </w:tc>
      </w:tr>
      <w:tr w14:paraId="55B9E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3186296">
            <w:pPr>
              <w:pStyle w:val="78"/>
              <w:numPr>
                <w:ilvl w:val="0"/>
                <w:numId w:val="76"/>
              </w:numPr>
              <w:spacing w:line="240" w:lineRule="auto"/>
              <w:ind w:firstLineChars="0"/>
              <w:jc w:val="center"/>
              <w:rPr>
                <w:sz w:val="21"/>
              </w:rPr>
            </w:pPr>
          </w:p>
        </w:tc>
        <w:tc>
          <w:tcPr>
            <w:tcW w:w="733" w:type="pct"/>
            <w:vMerge w:val="restart"/>
            <w:vAlign w:val="center"/>
          </w:tcPr>
          <w:p w14:paraId="39E0234D">
            <w:pPr>
              <w:spacing w:line="240" w:lineRule="auto"/>
              <w:ind w:firstLine="0" w:firstLineChars="0"/>
              <w:jc w:val="center"/>
              <w:rPr>
                <w:sz w:val="21"/>
              </w:rPr>
            </w:pPr>
            <w:r>
              <w:rPr>
                <w:sz w:val="21"/>
              </w:rPr>
              <w:t>抢救设备</w:t>
            </w:r>
          </w:p>
        </w:tc>
        <w:tc>
          <w:tcPr>
            <w:tcW w:w="1024" w:type="pct"/>
            <w:vAlign w:val="center"/>
          </w:tcPr>
          <w:p w14:paraId="76129472">
            <w:pPr>
              <w:spacing w:line="240" w:lineRule="auto"/>
              <w:ind w:firstLine="0" w:firstLineChars="0"/>
              <w:jc w:val="center"/>
              <w:rPr>
                <w:sz w:val="21"/>
              </w:rPr>
            </w:pPr>
            <w:r>
              <w:rPr>
                <w:sz w:val="21"/>
              </w:rPr>
              <w:t>汽车吊</w:t>
            </w:r>
          </w:p>
        </w:tc>
        <w:tc>
          <w:tcPr>
            <w:tcW w:w="443" w:type="pct"/>
            <w:vAlign w:val="center"/>
          </w:tcPr>
          <w:p w14:paraId="6FC9B7C7">
            <w:pPr>
              <w:spacing w:line="240" w:lineRule="auto"/>
              <w:ind w:firstLine="0" w:firstLineChars="0"/>
              <w:jc w:val="center"/>
              <w:rPr>
                <w:sz w:val="21"/>
              </w:rPr>
            </w:pPr>
            <w:r>
              <w:rPr>
                <w:sz w:val="21"/>
              </w:rPr>
              <w:t>辆</w:t>
            </w:r>
          </w:p>
        </w:tc>
        <w:tc>
          <w:tcPr>
            <w:tcW w:w="443" w:type="pct"/>
            <w:vAlign w:val="center"/>
          </w:tcPr>
          <w:p w14:paraId="6D1B0286">
            <w:pPr>
              <w:spacing w:line="240" w:lineRule="auto"/>
              <w:ind w:firstLine="0" w:firstLineChars="0"/>
              <w:jc w:val="center"/>
              <w:rPr>
                <w:sz w:val="21"/>
              </w:rPr>
            </w:pPr>
            <w:r>
              <w:rPr>
                <w:sz w:val="21"/>
              </w:rPr>
              <w:t>1</w:t>
            </w:r>
          </w:p>
        </w:tc>
        <w:tc>
          <w:tcPr>
            <w:tcW w:w="736" w:type="pct"/>
            <w:vAlign w:val="center"/>
          </w:tcPr>
          <w:p w14:paraId="3A41A89F">
            <w:pPr>
              <w:spacing w:line="240" w:lineRule="auto"/>
              <w:ind w:firstLine="0" w:firstLineChars="0"/>
              <w:jc w:val="center"/>
              <w:rPr>
                <w:sz w:val="21"/>
              </w:rPr>
            </w:pPr>
            <w:r>
              <w:rPr>
                <w:sz w:val="21"/>
              </w:rPr>
              <w:t>现场仓库</w:t>
            </w:r>
          </w:p>
        </w:tc>
        <w:tc>
          <w:tcPr>
            <w:tcW w:w="736" w:type="pct"/>
            <w:vAlign w:val="center"/>
          </w:tcPr>
          <w:p w14:paraId="7EBD0FBA">
            <w:pPr>
              <w:spacing w:line="240" w:lineRule="auto"/>
              <w:ind w:firstLine="0" w:firstLineChars="0"/>
              <w:jc w:val="center"/>
              <w:rPr>
                <w:sz w:val="21"/>
              </w:rPr>
            </w:pPr>
            <w:r>
              <w:rPr>
                <w:sz w:val="21"/>
              </w:rPr>
              <w:t>良好</w:t>
            </w:r>
          </w:p>
        </w:tc>
        <w:tc>
          <w:tcPr>
            <w:tcW w:w="443" w:type="pct"/>
            <w:vAlign w:val="center"/>
          </w:tcPr>
          <w:p w14:paraId="5409BB54">
            <w:pPr>
              <w:spacing w:line="240" w:lineRule="auto"/>
              <w:ind w:firstLine="0" w:firstLineChars="0"/>
              <w:jc w:val="center"/>
              <w:rPr>
                <w:sz w:val="21"/>
              </w:rPr>
            </w:pPr>
          </w:p>
        </w:tc>
      </w:tr>
      <w:tr w14:paraId="2E842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67DBBD7">
            <w:pPr>
              <w:pStyle w:val="78"/>
              <w:numPr>
                <w:ilvl w:val="0"/>
                <w:numId w:val="76"/>
              </w:numPr>
              <w:spacing w:line="240" w:lineRule="auto"/>
              <w:ind w:firstLineChars="0"/>
              <w:jc w:val="center"/>
              <w:rPr>
                <w:sz w:val="21"/>
              </w:rPr>
            </w:pPr>
          </w:p>
        </w:tc>
        <w:tc>
          <w:tcPr>
            <w:tcW w:w="733" w:type="pct"/>
            <w:vMerge w:val="continue"/>
            <w:vAlign w:val="center"/>
          </w:tcPr>
          <w:p w14:paraId="7F13DE21">
            <w:pPr>
              <w:spacing w:line="240" w:lineRule="auto"/>
              <w:ind w:firstLine="0" w:firstLineChars="0"/>
              <w:jc w:val="center"/>
              <w:rPr>
                <w:sz w:val="21"/>
              </w:rPr>
            </w:pPr>
          </w:p>
        </w:tc>
        <w:tc>
          <w:tcPr>
            <w:tcW w:w="1024" w:type="pct"/>
            <w:vAlign w:val="center"/>
          </w:tcPr>
          <w:p w14:paraId="3ACF2400">
            <w:pPr>
              <w:spacing w:line="240" w:lineRule="auto"/>
              <w:ind w:firstLine="0" w:firstLineChars="0"/>
              <w:jc w:val="center"/>
              <w:rPr>
                <w:sz w:val="21"/>
              </w:rPr>
            </w:pPr>
            <w:r>
              <w:rPr>
                <w:sz w:val="21"/>
              </w:rPr>
              <w:t>小车</w:t>
            </w:r>
          </w:p>
        </w:tc>
        <w:tc>
          <w:tcPr>
            <w:tcW w:w="443" w:type="pct"/>
            <w:vAlign w:val="center"/>
          </w:tcPr>
          <w:p w14:paraId="6355F940">
            <w:pPr>
              <w:spacing w:line="240" w:lineRule="auto"/>
              <w:ind w:firstLine="0" w:firstLineChars="0"/>
              <w:jc w:val="center"/>
              <w:rPr>
                <w:sz w:val="21"/>
              </w:rPr>
            </w:pPr>
            <w:r>
              <w:rPr>
                <w:sz w:val="21"/>
              </w:rPr>
              <w:t>辆</w:t>
            </w:r>
          </w:p>
        </w:tc>
        <w:tc>
          <w:tcPr>
            <w:tcW w:w="443" w:type="pct"/>
            <w:vAlign w:val="center"/>
          </w:tcPr>
          <w:p w14:paraId="43133D15">
            <w:pPr>
              <w:spacing w:line="240" w:lineRule="auto"/>
              <w:ind w:firstLine="0" w:firstLineChars="0"/>
              <w:jc w:val="center"/>
              <w:rPr>
                <w:sz w:val="21"/>
              </w:rPr>
            </w:pPr>
            <w:r>
              <w:rPr>
                <w:sz w:val="21"/>
              </w:rPr>
              <w:t>1</w:t>
            </w:r>
          </w:p>
        </w:tc>
        <w:tc>
          <w:tcPr>
            <w:tcW w:w="736" w:type="pct"/>
            <w:vAlign w:val="center"/>
          </w:tcPr>
          <w:p w14:paraId="04004FD0">
            <w:pPr>
              <w:spacing w:line="240" w:lineRule="auto"/>
              <w:ind w:firstLine="0" w:firstLineChars="0"/>
              <w:jc w:val="center"/>
              <w:rPr>
                <w:sz w:val="21"/>
              </w:rPr>
            </w:pPr>
            <w:r>
              <w:rPr>
                <w:sz w:val="21"/>
              </w:rPr>
              <w:t>现场仓库</w:t>
            </w:r>
          </w:p>
        </w:tc>
        <w:tc>
          <w:tcPr>
            <w:tcW w:w="736" w:type="pct"/>
            <w:vAlign w:val="center"/>
          </w:tcPr>
          <w:p w14:paraId="025B256C">
            <w:pPr>
              <w:spacing w:line="240" w:lineRule="auto"/>
              <w:ind w:firstLine="0" w:firstLineChars="0"/>
              <w:jc w:val="center"/>
              <w:rPr>
                <w:sz w:val="21"/>
              </w:rPr>
            </w:pPr>
            <w:r>
              <w:rPr>
                <w:sz w:val="21"/>
              </w:rPr>
              <w:t>良好</w:t>
            </w:r>
          </w:p>
        </w:tc>
        <w:tc>
          <w:tcPr>
            <w:tcW w:w="443" w:type="pct"/>
            <w:vAlign w:val="center"/>
          </w:tcPr>
          <w:p w14:paraId="13FC6929">
            <w:pPr>
              <w:spacing w:line="240" w:lineRule="auto"/>
              <w:ind w:firstLine="0" w:firstLineChars="0"/>
              <w:jc w:val="center"/>
              <w:rPr>
                <w:sz w:val="21"/>
              </w:rPr>
            </w:pPr>
          </w:p>
        </w:tc>
      </w:tr>
    </w:tbl>
    <w:p w14:paraId="4B1F29AC">
      <w:pPr>
        <w:pStyle w:val="4"/>
        <w:numPr>
          <w:ilvl w:val="2"/>
          <w:numId w:val="1"/>
        </w:numPr>
        <w:bidi w:val="0"/>
      </w:pPr>
      <w:bookmarkStart w:id="214" w:name="_Toc40778458"/>
      <w:bookmarkStart w:id="215" w:name="_Toc63185592"/>
      <w:bookmarkStart w:id="216" w:name="_Toc88642980"/>
      <w:bookmarkStart w:id="217" w:name="_Toc12896"/>
      <w:bookmarkStart w:id="218" w:name="_Toc86675429"/>
      <w:r>
        <w:rPr>
          <w:rFonts w:hint="eastAsia"/>
        </w:rPr>
        <w:t>应急医院及线路图</w:t>
      </w:r>
      <w:bookmarkEnd w:id="214"/>
      <w:bookmarkEnd w:id="215"/>
      <w:bookmarkEnd w:id="216"/>
      <w:bookmarkEnd w:id="217"/>
      <w:bookmarkEnd w:id="218"/>
    </w:p>
    <w:p w14:paraId="626ECF67">
      <w:pPr>
        <w:pStyle w:val="1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9.</w:t>
      </w:r>
      <w:r>
        <w:rPr>
          <w:rFonts w:hint="eastAsia"/>
          <w:lang w:val="en-US" w:eastAsia="zh-CN"/>
        </w:rPr>
        <w:t>3</w:t>
      </w:r>
      <w:r>
        <w:fldChar w:fldCharType="end"/>
      </w:r>
      <w:r>
        <w:rPr>
          <w:rFonts w:hint="eastAsia"/>
          <w:lang w:val="en-US" w:eastAsia="zh-CN"/>
        </w:rPr>
        <w:t>.11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应急救援通信一览表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101"/>
        <w:gridCol w:w="3635"/>
        <w:gridCol w:w="2487"/>
        <w:gridCol w:w="1299"/>
      </w:tblGrid>
      <w:tr w14:paraId="039E94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74A1DF9C">
            <w:pPr>
              <w:pStyle w:val="17"/>
              <w:rPr>
                <w:b/>
                <w:bCs/>
              </w:rPr>
            </w:pPr>
            <w:r>
              <w:rPr>
                <w:rFonts w:hint="eastAsia"/>
                <w:b/>
                <w:bCs/>
              </w:rPr>
              <w:t>序号</w:t>
            </w:r>
          </w:p>
        </w:tc>
        <w:tc>
          <w:tcPr>
            <w:tcW w:w="2132" w:type="pct"/>
            <w:shd w:val="clear" w:color="auto" w:fill="FFFFFF"/>
            <w:vAlign w:val="center"/>
          </w:tcPr>
          <w:p w14:paraId="1D771621">
            <w:pPr>
              <w:pStyle w:val="17"/>
              <w:rPr>
                <w:b/>
                <w:bCs/>
              </w:rPr>
            </w:pPr>
            <w:r>
              <w:rPr>
                <w:rFonts w:hint="eastAsia"/>
                <w:b/>
                <w:bCs/>
              </w:rPr>
              <w:t>单位</w:t>
            </w:r>
          </w:p>
        </w:tc>
        <w:tc>
          <w:tcPr>
            <w:tcW w:w="1459" w:type="pct"/>
            <w:shd w:val="clear" w:color="auto" w:fill="FFFFFF"/>
            <w:vAlign w:val="center"/>
          </w:tcPr>
          <w:p w14:paraId="75F0D7A9">
            <w:pPr>
              <w:pStyle w:val="17"/>
              <w:rPr>
                <w:b/>
                <w:bCs/>
              </w:rPr>
            </w:pPr>
            <w:r>
              <w:rPr>
                <w:rFonts w:hint="eastAsia"/>
                <w:b/>
                <w:bCs/>
              </w:rPr>
              <w:t>联系电话</w:t>
            </w:r>
          </w:p>
        </w:tc>
        <w:tc>
          <w:tcPr>
            <w:tcW w:w="762" w:type="pct"/>
            <w:shd w:val="clear" w:color="auto" w:fill="FFFFFF"/>
            <w:vAlign w:val="center"/>
          </w:tcPr>
          <w:p w14:paraId="48A9DBC3">
            <w:pPr>
              <w:pStyle w:val="17"/>
              <w:rPr>
                <w:b/>
                <w:bCs/>
              </w:rPr>
            </w:pPr>
            <w:r>
              <w:rPr>
                <w:rFonts w:hint="eastAsia"/>
                <w:b/>
                <w:bCs/>
              </w:rPr>
              <w:t>备注</w:t>
            </w:r>
          </w:p>
        </w:tc>
      </w:tr>
      <w:tr w14:paraId="7BF634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227498D6">
            <w:pPr>
              <w:pStyle w:val="17"/>
              <w:numPr>
                <w:ilvl w:val="0"/>
                <w:numId w:val="77"/>
              </w:numPr>
            </w:pPr>
          </w:p>
        </w:tc>
        <w:tc>
          <w:tcPr>
            <w:tcW w:w="2132" w:type="pct"/>
            <w:shd w:val="clear" w:color="auto" w:fill="FFFFFF"/>
            <w:vAlign w:val="center"/>
          </w:tcPr>
          <w:p w14:paraId="6F853CF0">
            <w:pPr>
              <w:pStyle w:val="17"/>
            </w:pPr>
            <w:r>
              <w:rPr>
                <w:rFonts w:hint="eastAsia"/>
              </w:rPr>
              <w:t>麻栗坡县应急管理</w:t>
            </w:r>
            <w:r>
              <w:t>局</w:t>
            </w:r>
          </w:p>
        </w:tc>
        <w:tc>
          <w:tcPr>
            <w:tcW w:w="1459" w:type="pct"/>
            <w:shd w:val="clear" w:color="auto" w:fill="FFFFFF"/>
            <w:vAlign w:val="center"/>
          </w:tcPr>
          <w:p w14:paraId="0D8AF512">
            <w:pPr>
              <w:pStyle w:val="17"/>
            </w:pPr>
            <w:r>
              <w:rPr>
                <w:rFonts w:hint="eastAsia"/>
              </w:rPr>
              <w:t>0</w:t>
            </w:r>
            <w:r>
              <w:t>876-6627199</w:t>
            </w:r>
          </w:p>
        </w:tc>
        <w:tc>
          <w:tcPr>
            <w:tcW w:w="762" w:type="pct"/>
            <w:shd w:val="clear" w:color="auto" w:fill="FFFFFF"/>
            <w:vAlign w:val="center"/>
          </w:tcPr>
          <w:p w14:paraId="6380C1C5">
            <w:pPr>
              <w:pStyle w:val="17"/>
            </w:pPr>
          </w:p>
        </w:tc>
      </w:tr>
      <w:tr w14:paraId="52C544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8962528">
            <w:pPr>
              <w:pStyle w:val="17"/>
              <w:numPr>
                <w:ilvl w:val="0"/>
                <w:numId w:val="77"/>
              </w:numPr>
            </w:pPr>
          </w:p>
        </w:tc>
        <w:tc>
          <w:tcPr>
            <w:tcW w:w="2132" w:type="pct"/>
            <w:shd w:val="clear" w:color="auto" w:fill="FFFFFF"/>
            <w:vAlign w:val="center"/>
          </w:tcPr>
          <w:p w14:paraId="01C432A2">
            <w:pPr>
              <w:pStyle w:val="17"/>
            </w:pPr>
            <w:r>
              <w:rPr>
                <w:rFonts w:hint="eastAsia"/>
              </w:rPr>
              <w:t>城子上村卫生院</w:t>
            </w:r>
          </w:p>
        </w:tc>
        <w:tc>
          <w:tcPr>
            <w:tcW w:w="1459" w:type="pct"/>
            <w:shd w:val="clear" w:color="auto" w:fill="FFFFFF"/>
            <w:vAlign w:val="center"/>
          </w:tcPr>
          <w:p w14:paraId="7C315B59">
            <w:pPr>
              <w:pStyle w:val="17"/>
            </w:pPr>
            <w:r>
              <w:rPr>
                <w:rFonts w:hint="eastAsia"/>
              </w:rPr>
              <w:t>0</w:t>
            </w:r>
            <w:r>
              <w:t>876-6550298</w:t>
            </w:r>
          </w:p>
        </w:tc>
        <w:tc>
          <w:tcPr>
            <w:tcW w:w="762" w:type="pct"/>
            <w:shd w:val="clear" w:color="auto" w:fill="FFFFFF"/>
            <w:vAlign w:val="center"/>
          </w:tcPr>
          <w:p w14:paraId="116FD45C">
            <w:pPr>
              <w:pStyle w:val="17"/>
            </w:pPr>
            <w:r>
              <w:rPr>
                <w:rFonts w:hint="eastAsia"/>
              </w:rPr>
              <w:t>1</w:t>
            </w:r>
            <w:r>
              <w:t>0</w:t>
            </w:r>
            <w:r>
              <w:rPr>
                <w:rFonts w:hint="eastAsia"/>
              </w:rPr>
              <w:t>min</w:t>
            </w:r>
          </w:p>
        </w:tc>
      </w:tr>
      <w:tr w14:paraId="78CD11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5BD3AAD9">
            <w:pPr>
              <w:pStyle w:val="17"/>
              <w:numPr>
                <w:ilvl w:val="0"/>
                <w:numId w:val="77"/>
              </w:numPr>
            </w:pPr>
          </w:p>
        </w:tc>
        <w:tc>
          <w:tcPr>
            <w:tcW w:w="2132" w:type="pct"/>
            <w:shd w:val="clear" w:color="auto" w:fill="FFFFFF"/>
            <w:vAlign w:val="center"/>
          </w:tcPr>
          <w:p w14:paraId="4430BF25">
            <w:pPr>
              <w:pStyle w:val="17"/>
            </w:pPr>
            <w:r>
              <w:rPr>
                <w:rFonts w:hint="eastAsia"/>
              </w:rPr>
              <w:t>麻栗坡县人民医院</w:t>
            </w:r>
          </w:p>
        </w:tc>
        <w:tc>
          <w:tcPr>
            <w:tcW w:w="1459" w:type="pct"/>
            <w:shd w:val="clear" w:color="auto" w:fill="FFFFFF"/>
            <w:vAlign w:val="center"/>
          </w:tcPr>
          <w:p w14:paraId="1B5D12AC">
            <w:pPr>
              <w:pStyle w:val="17"/>
            </w:pPr>
            <w:r>
              <w:rPr>
                <w:rFonts w:hint="eastAsia"/>
              </w:rPr>
              <w:t>0</w:t>
            </w:r>
            <w:r>
              <w:t>876-6622962</w:t>
            </w:r>
          </w:p>
        </w:tc>
        <w:tc>
          <w:tcPr>
            <w:tcW w:w="762" w:type="pct"/>
            <w:shd w:val="clear" w:color="auto" w:fill="FFFFFF"/>
            <w:vAlign w:val="center"/>
          </w:tcPr>
          <w:p w14:paraId="329C4647">
            <w:pPr>
              <w:pStyle w:val="17"/>
            </w:pPr>
            <w:r>
              <w:rPr>
                <w:rFonts w:hint="eastAsia"/>
              </w:rPr>
              <w:t>7</w:t>
            </w:r>
            <w:r>
              <w:t>0</w:t>
            </w:r>
            <w:r>
              <w:rPr>
                <w:rFonts w:hint="eastAsia"/>
              </w:rPr>
              <w:t>min</w:t>
            </w:r>
          </w:p>
        </w:tc>
      </w:tr>
    </w:tbl>
    <w:p w14:paraId="3718EB2E">
      <w:pPr>
        <w:ind w:firstLine="480"/>
      </w:pPr>
      <w:r>
        <w:rPr>
          <w:rFonts w:hint="eastAsia"/>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w:t>
      </w:r>
      <w:r>
        <w:t>施工现场去往医院线路见</w:t>
      </w:r>
      <w:r>
        <w:fldChar w:fldCharType="begin"/>
      </w:r>
      <w:r>
        <w:instrText xml:space="preserve"> </w:instrText>
      </w:r>
      <w:r>
        <w:rPr>
          <w:rFonts w:hint="eastAsia"/>
        </w:rPr>
        <w:instrText xml:space="preserve">REF _Ref85787898 \h</w:instrText>
      </w:r>
      <w:r>
        <w:instrText xml:space="preserve">  \* MERGEFORMAT </w:instrText>
      </w:r>
      <w:r>
        <w:fldChar w:fldCharType="separate"/>
      </w:r>
      <w:r>
        <w:rPr>
          <w:rFonts w:hint="eastAsia"/>
        </w:rPr>
        <w:t>图</w:t>
      </w:r>
      <w:r>
        <w:t>9.5</w:t>
      </w:r>
      <w:r>
        <w:rPr>
          <w:rFonts w:hint="eastAsia"/>
        </w:rPr>
        <w:t>-</w:t>
      </w:r>
      <w:r>
        <w:t>1</w:t>
      </w:r>
      <w:r>
        <w:fldChar w:fldCharType="end"/>
      </w:r>
      <w:r>
        <w:rPr>
          <w:rFonts w:hint="eastAsia"/>
        </w:rPr>
        <w:t>。</w:t>
      </w:r>
    </w:p>
    <w:p w14:paraId="31C4E60A">
      <w:pPr>
        <w:pStyle w:val="117"/>
      </w:pPr>
      <w:r>
        <w:drawing>
          <wp:inline distT="0" distB="0" distL="0" distR="0">
            <wp:extent cx="2886075"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0"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14:paraId="70895DB6">
      <w:pPr>
        <w:pStyle w:val="116"/>
      </w:pPr>
      <w:bookmarkStart w:id="219" w:name="_Ref85787898"/>
      <w:r>
        <w:rPr>
          <w:rFonts w:hint="eastAsia"/>
        </w:rPr>
        <w:t>图</w:t>
      </w:r>
      <w:r>
        <w:rPr>
          <w:rFonts w:hint="eastAsia"/>
          <w:lang w:val="en-US" w:eastAsia="zh-CN"/>
        </w:rPr>
        <w:t>9.3.11</w:t>
      </w:r>
      <w:bookmarkEnd w:id="219"/>
      <w:r>
        <w:rPr>
          <w:rFonts w:hint="eastAsia"/>
          <w:lang w:val="en-US" w:eastAsia="zh-CN"/>
        </w:rPr>
        <w:t>-2</w:t>
      </w:r>
      <w:r>
        <w:rPr>
          <w:rFonts w:hint="eastAsia"/>
        </w:rPr>
        <w:t xml:space="preserve"> 救援线路图</w:t>
      </w:r>
    </w:p>
    <w:p w14:paraId="1AAF1D71">
      <w:pPr>
        <w:pStyle w:val="3"/>
        <w:rPr>
          <w:rFonts w:ascii="宋体" w:hAnsi="宋体" w:cs="宋体"/>
          <w:szCs w:val="24"/>
        </w:rPr>
      </w:pPr>
      <w:bookmarkStart w:id="220" w:name="_Toc54792208"/>
      <w:bookmarkStart w:id="221" w:name="_Toc66869784"/>
      <w:bookmarkStart w:id="222" w:name="_Toc69220330"/>
      <w:bookmarkStart w:id="223" w:name="_Toc946"/>
      <w:r>
        <w:rPr>
          <w:rFonts w:hint="eastAsia"/>
        </w:rPr>
        <w:t>事故善后及恢复生产</w:t>
      </w:r>
      <w:bookmarkEnd w:id="220"/>
      <w:bookmarkEnd w:id="221"/>
      <w:bookmarkEnd w:id="222"/>
      <w:bookmarkEnd w:id="223"/>
    </w:p>
    <w:p w14:paraId="52E98C5C">
      <w:pPr>
        <w:ind w:firstLine="480"/>
      </w:pPr>
      <w:r>
        <w:t>应急小组在抢援工作结束后，对发生人员伤亡、机损事故和财产损失等事故的，遵循下列原则进行处理。</w:t>
      </w:r>
    </w:p>
    <w:p w14:paraId="39D9F0FB">
      <w:pPr>
        <w:numPr>
          <w:ilvl w:val="0"/>
          <w:numId w:val="78"/>
        </w:numPr>
      </w:pPr>
      <w:r>
        <w:t>伤员处理</w:t>
      </w:r>
    </w:p>
    <w:p w14:paraId="350FA205">
      <w:pPr>
        <w:ind w:firstLine="480"/>
      </w:pPr>
      <w:r>
        <w:t>按国家有关规定，做好事后伤亡家属的接待、安抚和善后处理以及保险赔偿工作。</w:t>
      </w:r>
    </w:p>
    <w:p w14:paraId="76474194">
      <w:pPr>
        <w:numPr>
          <w:ilvl w:val="0"/>
          <w:numId w:val="78"/>
        </w:numPr>
      </w:pPr>
      <w:r>
        <w:t>调查分析</w:t>
      </w:r>
    </w:p>
    <w:p w14:paraId="536D0068">
      <w:pPr>
        <w:ind w:firstLine="480"/>
      </w:pPr>
      <w:r>
        <w:t>对事故原因调查分析，确定责任和应该吸取的教训。</w:t>
      </w:r>
    </w:p>
    <w:p w14:paraId="634A153F">
      <w:pPr>
        <w:numPr>
          <w:ilvl w:val="0"/>
          <w:numId w:val="78"/>
        </w:numPr>
      </w:pPr>
      <w:r>
        <w:t>事故处理</w:t>
      </w:r>
    </w:p>
    <w:p w14:paraId="413C32AD">
      <w:pPr>
        <w:ind w:firstLine="480"/>
      </w:pPr>
      <w:r>
        <w:t>根据事故调查结果，按“四不放过”原则，认真总结事故经验教训，对发生事故的责任人或责任部门依照相关法律法规，提出事故处理意见。</w:t>
      </w:r>
    </w:p>
    <w:p w14:paraId="1EB7D600">
      <w:pPr>
        <w:numPr>
          <w:ilvl w:val="0"/>
          <w:numId w:val="78"/>
        </w:numPr>
      </w:pPr>
      <w:r>
        <w:t>事故总结</w:t>
      </w:r>
    </w:p>
    <w:p w14:paraId="4E1C4E48">
      <w:pPr>
        <w:ind w:firstLine="480"/>
      </w:pPr>
      <w:r>
        <w:t>事故处理完毕后，认真总结经验教训，完善管理，对事故后的处理过程认真分析总结、防范措施及应急预案进行补充和修改。</w:t>
      </w:r>
    </w:p>
    <w:p w14:paraId="62FE9A81">
      <w:pPr>
        <w:numPr>
          <w:ilvl w:val="0"/>
          <w:numId w:val="78"/>
        </w:numPr>
      </w:pPr>
      <w:r>
        <w:t>恢复生产</w:t>
      </w:r>
    </w:p>
    <w:p w14:paraId="1C26F529">
      <w:pPr>
        <w:ind w:firstLine="480"/>
      </w:pPr>
      <w:r>
        <w:t>对现场隐患进行全面排查，整改完毕后报请业主、监理单位审批，同意后方可组织恢复生产工作。</w:t>
      </w:r>
      <w:r>
        <w:rPr>
          <w:color w:val="000000" w:themeColor="text1"/>
          <w14:textFill>
            <w14:solidFill>
              <w14:schemeClr w14:val="tx1"/>
            </w14:solidFill>
          </w14:textFill>
        </w:rPr>
        <w:br w:type="page"/>
      </w:r>
    </w:p>
    <w:p w14:paraId="337CA54E">
      <w:pPr>
        <w:pStyle w:val="2"/>
        <w:keepNext/>
        <w:keepLines/>
        <w:pageBreakBefore w:val="0"/>
        <w:widowControl w:val="0"/>
        <w:kinsoku/>
        <w:wordWrap/>
        <w:overflowPunct/>
        <w:topLinePunct w:val="0"/>
        <w:autoSpaceDE/>
        <w:autoSpaceDN/>
        <w:bidi w:val="0"/>
        <w:adjustRightInd/>
        <w:snapToGrid/>
        <w:ind w:left="0" w:leftChars="0" w:firstLineChars="0"/>
        <w:textAlignment w:val="auto"/>
      </w:pPr>
      <w:bookmarkStart w:id="224" w:name="_Toc128402704"/>
      <w:bookmarkStart w:id="225" w:name="_Toc131174074"/>
      <w:bookmarkStart w:id="226" w:name="_Toc17217"/>
      <w:r>
        <w:rPr>
          <w:rFonts w:hint="eastAsia"/>
        </w:rPr>
        <w:t>计算书及相关图纸</w:t>
      </w:r>
      <w:bookmarkEnd w:id="224"/>
      <w:bookmarkEnd w:id="225"/>
      <w:bookmarkEnd w:id="226"/>
    </w:p>
    <w:p w14:paraId="3EDDFAC4">
      <w:pPr>
        <w:pStyle w:val="3"/>
      </w:pPr>
      <w:bookmarkStart w:id="227" w:name="_Toc128402706"/>
      <w:bookmarkStart w:id="228" w:name="_Toc4834"/>
      <w:bookmarkStart w:id="229" w:name="_Toc131174076"/>
      <w:bookmarkStart w:id="230" w:name="_Toc128123768"/>
      <w:r>
        <w:rPr>
          <w:rFonts w:hint="eastAsia"/>
        </w:rPr>
        <w:t>吊索具选型计算</w:t>
      </w:r>
      <w:bookmarkEnd w:id="227"/>
      <w:bookmarkEnd w:id="228"/>
      <w:bookmarkEnd w:id="229"/>
      <w:bookmarkEnd w:id="230"/>
    </w:p>
    <w:p w14:paraId="08B551D6">
      <w:pPr>
        <w:pStyle w:val="4"/>
        <w:numPr>
          <w:ilvl w:val="2"/>
          <w:numId w:val="1"/>
        </w:numPr>
        <w:bidi w:val="0"/>
        <w:rPr>
          <w:rFonts w:hint="eastAsia"/>
          <w:lang w:val="en-US" w:eastAsia="zh-CN"/>
        </w:rPr>
      </w:pPr>
      <w:r>
        <w:rPr>
          <w:rFonts w:hint="eastAsia"/>
          <w:lang w:val="en-US" w:eastAsia="zh-CN"/>
        </w:rPr>
        <w:t>钢丝绳选型</w:t>
      </w:r>
    </w:p>
    <w:p w14:paraId="6B5E4A12">
      <w:pPr>
        <w:spacing w:before="183" w:line="466" w:lineRule="exact"/>
        <w:ind w:right="50"/>
        <w:jc w:val="center"/>
        <w:rPr>
          <w:rFonts w:ascii="宋体" w:hAnsi="宋体" w:eastAsia="宋体" w:cs="宋体"/>
          <w:sz w:val="24"/>
          <w:szCs w:val="24"/>
        </w:rPr>
      </w:pPr>
      <w:bookmarkStart w:id="231" w:name="_Ref128161839"/>
      <w:r>
        <w:rPr>
          <w:rFonts w:hint="eastAsia" w:ascii="宋体" w:hAnsi="宋体" w:cs="宋体"/>
          <w:spacing w:val="-9"/>
          <w:position w:val="17"/>
          <w:sz w:val="24"/>
          <w:szCs w:val="24"/>
          <w:lang w:val="en-US" w:eastAsia="zh-CN"/>
        </w:rPr>
        <w:t>平衡臂臂节二</w:t>
      </w:r>
      <w:r>
        <w:rPr>
          <w:rFonts w:ascii="宋体" w:hAnsi="宋体" w:eastAsia="宋体" w:cs="宋体"/>
          <w:spacing w:val="-9"/>
          <w:position w:val="17"/>
          <w:sz w:val="24"/>
          <w:szCs w:val="24"/>
        </w:rPr>
        <w:t>重</w:t>
      </w:r>
      <w:r>
        <w:rPr>
          <w:rFonts w:ascii="宋体" w:hAnsi="宋体" w:eastAsia="宋体" w:cs="宋体"/>
          <w:spacing w:val="-54"/>
          <w:position w:val="17"/>
          <w:sz w:val="24"/>
          <w:szCs w:val="24"/>
        </w:rPr>
        <w:t xml:space="preserve"> </w:t>
      </w:r>
      <w:r>
        <w:rPr>
          <w:rFonts w:ascii="宋体" w:hAnsi="宋体" w:eastAsia="宋体" w:cs="宋体"/>
          <w:spacing w:val="-9"/>
          <w:position w:val="17"/>
          <w:sz w:val="24"/>
          <w:szCs w:val="24"/>
        </w:rPr>
        <w:t>约</w:t>
      </w:r>
      <w:r>
        <w:rPr>
          <w:rFonts w:hint="eastAsia" w:ascii="宋体" w:hAnsi="宋体" w:cs="宋体"/>
          <w:spacing w:val="-9"/>
          <w:position w:val="17"/>
          <w:sz w:val="24"/>
          <w:szCs w:val="24"/>
          <w:lang w:val="en-US" w:eastAsia="zh-CN"/>
        </w:rPr>
        <w:t>13.52</w:t>
      </w:r>
      <w:r>
        <w:rPr>
          <w:rFonts w:ascii="宋体" w:hAnsi="宋体" w:eastAsia="宋体" w:cs="宋体"/>
          <w:spacing w:val="-9"/>
          <w:position w:val="17"/>
          <w:sz w:val="24"/>
          <w:szCs w:val="24"/>
        </w:rPr>
        <w:t>t</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w:t>
      </w:r>
      <w:r>
        <w:rPr>
          <w:rFonts w:hint="eastAsia" w:ascii="宋体" w:hAnsi="宋体" w:eastAsia="宋体" w:cs="宋体"/>
          <w:spacing w:val="-9"/>
          <w:position w:val="17"/>
          <w:sz w:val="24"/>
          <w:szCs w:val="24"/>
          <w:lang w:val="en-US" w:eastAsia="zh-CN"/>
        </w:rPr>
        <w:t>采用4根钢丝绳吊装</w:t>
      </w:r>
      <w:r>
        <w:rPr>
          <w:rFonts w:hint="eastAsia" w:ascii="宋体" w:hAnsi="宋体" w:eastAsia="宋体" w:cs="宋体"/>
          <w:spacing w:val="-9"/>
          <w:position w:val="17"/>
          <w:sz w:val="24"/>
          <w:szCs w:val="24"/>
          <w:lang w:val="en-US"/>
        </w:rPr>
        <w:t>，钢丝绳采用压制接头。</w:t>
      </w:r>
      <w:r>
        <w:rPr>
          <w:rFonts w:ascii="宋体" w:hAnsi="宋体" w:eastAsia="宋体" w:cs="宋体"/>
          <w:spacing w:val="-60"/>
          <w:position w:val="17"/>
          <w:sz w:val="24"/>
          <w:szCs w:val="24"/>
        </w:rPr>
        <w:t xml:space="preserve"> </w:t>
      </w:r>
      <w:r>
        <w:rPr>
          <w:rFonts w:ascii="宋体" w:hAnsi="宋体" w:eastAsia="宋体" w:cs="宋体"/>
          <w:spacing w:val="-10"/>
          <w:position w:val="17"/>
          <w:sz w:val="24"/>
          <w:szCs w:val="24"/>
        </w:rPr>
        <w:t>根</w:t>
      </w:r>
      <w:r>
        <w:rPr>
          <w:rFonts w:ascii="宋体" w:hAnsi="宋体" w:eastAsia="宋体" w:cs="宋体"/>
          <w:spacing w:val="-63"/>
          <w:position w:val="17"/>
          <w:sz w:val="24"/>
          <w:szCs w:val="24"/>
        </w:rPr>
        <w:t xml:space="preserve"> </w:t>
      </w:r>
      <w:r>
        <w:rPr>
          <w:rFonts w:ascii="宋体" w:hAnsi="宋体" w:eastAsia="宋体" w:cs="宋体"/>
          <w:spacing w:val="-10"/>
          <w:position w:val="17"/>
          <w:sz w:val="24"/>
          <w:szCs w:val="24"/>
        </w:rPr>
        <w:t>据</w:t>
      </w:r>
    </w:p>
    <w:p w14:paraId="1B8F4C80">
      <w:pPr>
        <w:spacing w:before="180" w:line="219" w:lineRule="auto"/>
        <w:rPr>
          <w:rFonts w:hint="eastAsia" w:ascii="宋体" w:hAnsi="宋体" w:eastAsia="宋体" w:cs="宋体"/>
          <w:spacing w:val="-1"/>
          <w:sz w:val="24"/>
          <w:szCs w:val="24"/>
          <w:lang w:val="en-US"/>
        </w:rPr>
      </w:pPr>
      <w:r>
        <w:rPr>
          <w:rFonts w:hint="eastAsia" w:ascii="宋体" w:hAnsi="宋体" w:eastAsia="宋体" w:cs="宋体"/>
          <w:spacing w:val="-1"/>
          <w:sz w:val="24"/>
          <w:szCs w:val="24"/>
        </w:rPr>
        <w:t>《GB/T</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16762-20</w:t>
      </w:r>
      <w:r>
        <w:rPr>
          <w:rFonts w:hint="eastAsia" w:ascii="宋体" w:hAnsi="宋体" w:eastAsia="宋体" w:cs="宋体"/>
          <w:spacing w:val="-1"/>
          <w:sz w:val="24"/>
          <w:szCs w:val="24"/>
          <w:lang w:val="en-US" w:eastAsia="zh-CN"/>
        </w:rPr>
        <w:t>20</w:t>
      </w:r>
      <w:r>
        <w:rPr>
          <w:rFonts w:hint="eastAsia" w:ascii="宋体" w:hAnsi="宋体" w:eastAsia="宋体" w:cs="宋体"/>
          <w:spacing w:val="-1"/>
          <w:sz w:val="24"/>
          <w:szCs w:val="24"/>
        </w:rPr>
        <w:t>一般用途钢丝绳吊索特性和技术条件》中额定工作荷载计算公式：</w:t>
      </w:r>
    </w:p>
    <w:p w14:paraId="6411BEC9">
      <w:pPr>
        <w:spacing w:before="180" w:line="219" w:lineRule="auto"/>
        <w:ind w:left="483"/>
        <w:rPr>
          <w:rFonts w:hint="eastAsia" w:ascii="宋体" w:hAnsi="宋体" w:eastAsia="宋体" w:cs="宋体"/>
          <w:spacing w:val="-1"/>
          <w:sz w:val="24"/>
          <w:szCs w:val="24"/>
          <w:lang w:val="en-US"/>
        </w:rPr>
      </w:pPr>
      <m:oMathPara>
        <m:oMath>
          <m:r>
            <m:rPr>
              <m:sty m:val="p"/>
            </m:rPr>
            <w:rPr>
              <w:rFonts w:hint="eastAsia" w:ascii="Cambria Math" w:hAnsi="Cambria Math" w:eastAsia="宋体" w:cs="宋体"/>
              <w:spacing w:val="-1"/>
              <w:sz w:val="24"/>
              <w:szCs w:val="24"/>
              <w:lang w:val="en-US"/>
            </w:rPr>
            <m:t>WLL=</m:t>
          </m:r>
          <m:f>
            <m:fPr>
              <m:ctrlPr>
                <w:rPr>
                  <w:rFonts w:hint="eastAsia" w:ascii="Cambria Math" w:hAnsi="Cambria Math" w:eastAsia="宋体" w:cs="宋体"/>
                  <w:spacing w:val="-1"/>
                  <w:sz w:val="24"/>
                  <w:szCs w:val="24"/>
                  <w:lang w:val="en-US"/>
                </w:rPr>
              </m:ctrlPr>
            </m:fPr>
            <m:num>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F</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e</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num>
            <m:den>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m</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u</m:t>
                  </m:r>
                  <m:ctrlPr>
                    <w:rPr>
                      <w:rFonts w:hint="eastAsia" w:ascii="Cambria Math" w:hAnsi="Cambria Math" w:eastAsia="宋体" w:cs="宋体"/>
                      <w:spacing w:val="-1"/>
                      <w:sz w:val="24"/>
                      <w:szCs w:val="24"/>
                      <w:lang w:val="en-US"/>
                    </w:rPr>
                  </m:ctrlPr>
                </m:sub>
              </m:sSub>
              <m:ctrlPr>
                <w:rPr>
                  <w:rFonts w:hint="eastAsia" w:ascii="Cambria Math" w:hAnsi="Cambria Math" w:eastAsia="宋体" w:cs="宋体"/>
                  <w:spacing w:val="-1"/>
                  <w:sz w:val="24"/>
                  <w:szCs w:val="24"/>
                  <w:lang w:val="en-US"/>
                </w:rPr>
              </m:ctrlPr>
            </m:den>
          </m:f>
        </m:oMath>
      </m:oMathPara>
    </w:p>
    <w:p w14:paraId="453E2E74">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式中：</w:t>
      </w:r>
    </w:p>
    <w:p w14:paraId="03751965">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WLL——吊索额定工作荷载，单位为t。</w:t>
      </w:r>
    </w:p>
    <w:p w14:paraId="7E9C92A2">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F0——钢丝绳最小破断拉力，单位为kN。</w:t>
      </w:r>
    </w:p>
    <w:p w14:paraId="62626B9D">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Ke——接头形式效能近似系数，压制接头取0.9，插编接头取0.75。</w:t>
      </w:r>
    </w:p>
    <w:p w14:paraId="7F97097E">
      <w:pPr>
        <w:spacing w:before="180" w:line="219" w:lineRule="auto"/>
        <w:ind w:left="483"/>
        <w:rPr>
          <w:rFonts w:hint="default" w:ascii="宋体" w:hAnsi="宋体" w:eastAsia="宋体" w:cs="宋体"/>
          <w:spacing w:val="-1"/>
          <w:sz w:val="24"/>
          <w:szCs w:val="24"/>
          <w:lang w:val="en-US" w:eastAsia="zh-CN"/>
        </w:rPr>
      </w:pPr>
      <w:r>
        <w:rPr>
          <w:rFonts w:hint="eastAsia" w:ascii="宋体" w:hAnsi="宋体" w:eastAsia="宋体" w:cs="宋体"/>
          <w:spacing w:val="-1"/>
          <w:sz w:val="24"/>
          <w:szCs w:val="24"/>
          <w:lang w:val="en-US"/>
        </w:rPr>
        <w:t>K——肢的数量与垂直方向角度的相关系数，2肢吊索取1.4，3～4肢吊索取</w:t>
      </w:r>
      <w:r>
        <w:rPr>
          <w:rFonts w:hint="eastAsia" w:ascii="宋体" w:hAnsi="宋体" w:eastAsia="宋体" w:cs="宋体"/>
          <w:spacing w:val="-1"/>
          <w:sz w:val="24"/>
          <w:szCs w:val="24"/>
          <w:lang w:val="en-US" w:eastAsia="zh-CN"/>
        </w:rPr>
        <w:t>2.1</w:t>
      </w:r>
    </w:p>
    <w:p w14:paraId="256B5E2C">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Ku——安全系数取6。</w:t>
      </w:r>
    </w:p>
    <w:p w14:paraId="38A2EBA3">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Km——质量与力的转换系数，取值为9.80665。</w:t>
      </w:r>
    </w:p>
    <w:p w14:paraId="273B1031">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钢丝绳最小破断拉力按《重要用途钢丝绳》公式计算：</w:t>
      </w:r>
    </w:p>
    <w:p w14:paraId="2A94FC0C">
      <w:pPr>
        <w:spacing w:before="180" w:line="219" w:lineRule="auto"/>
        <w:ind w:left="483"/>
        <w:rPr>
          <w:rFonts w:hint="eastAsia" w:ascii="宋体" w:hAnsi="宋体" w:eastAsia="宋体" w:cs="宋体"/>
          <w:spacing w:val="-1"/>
          <w:sz w:val="24"/>
          <w:szCs w:val="24"/>
          <w:lang w:val="en-US"/>
        </w:rPr>
      </w:pPr>
      <m:oMathPara>
        <m:oMath>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F</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m:t>
          </m:r>
          <m:sSup>
            <m:sSupPr>
              <m:ctrlPr>
                <w:rPr>
                  <w:rFonts w:hint="eastAsia" w:ascii="Cambria Math" w:hAnsi="Cambria Math" w:eastAsia="宋体" w:cs="宋体"/>
                  <w:spacing w:val="-1"/>
                  <w:sz w:val="24"/>
                  <w:szCs w:val="24"/>
                  <w:lang w:val="en-US"/>
                </w:rPr>
              </m:ctrlPr>
            </m:sSupPr>
            <m:e>
              <m:r>
                <m:rPr>
                  <m:sty m:val="p"/>
                </m:rPr>
                <w:rPr>
                  <w:rFonts w:hint="eastAsia" w:ascii="Cambria Math" w:hAnsi="Cambria Math" w:eastAsia="宋体" w:cs="宋体"/>
                  <w:spacing w:val="-1"/>
                  <w:sz w:val="24"/>
                  <w:szCs w:val="24"/>
                  <w:lang w:val="en-US"/>
                </w:rPr>
                <m:t>K</m:t>
              </m:r>
              <m:ctrlPr>
                <w:rPr>
                  <w:rFonts w:hint="eastAsia" w:ascii="Cambria Math" w:hAnsi="Cambria Math" w:eastAsia="宋体" w:cs="宋体"/>
                  <w:spacing w:val="-1"/>
                  <w:sz w:val="24"/>
                  <w:szCs w:val="24"/>
                  <w:lang w:val="en-US"/>
                </w:rPr>
              </m:ctrlPr>
            </m:e>
            <m:sup>
              <m:r>
                <m:rPr>
                  <m:sty m:val="p"/>
                </m:rPr>
                <w:rPr>
                  <w:rFonts w:hint="eastAsia" w:ascii="Cambria Math" w:hAnsi="Cambria Math" w:eastAsia="宋体" w:cs="宋体"/>
                  <w:spacing w:val="-1"/>
                  <w:sz w:val="24"/>
                  <w:szCs w:val="24"/>
                  <w:lang w:val="en-US"/>
                </w:rPr>
                <m:t>'</m:t>
              </m:r>
              <m:ctrlPr>
                <w:rPr>
                  <w:rFonts w:hint="eastAsia" w:ascii="Cambria Math" w:hAnsi="Cambria Math" w:eastAsia="宋体" w:cs="宋体"/>
                  <w:spacing w:val="-1"/>
                  <w:sz w:val="24"/>
                  <w:szCs w:val="24"/>
                  <w:lang w:val="en-US"/>
                </w:rPr>
              </m:ctrlPr>
            </m:sup>
          </m:sSup>
          <m:r>
            <m:rPr>
              <m:sty m:val="p"/>
            </m:rPr>
            <w:rPr>
              <w:rFonts w:hint="eastAsia" w:ascii="Cambria Math" w:hAnsi="Cambria Math" w:eastAsia="宋体" w:cs="宋体"/>
              <w:spacing w:val="-1"/>
              <w:sz w:val="24"/>
              <w:szCs w:val="24"/>
              <w:lang w:val="en-US"/>
            </w:rPr>
            <m:t>×</m:t>
          </m:r>
          <m:sSup>
            <m:sSupPr>
              <m:ctrlPr>
                <w:rPr>
                  <w:rFonts w:hint="eastAsia" w:ascii="Cambria Math" w:hAnsi="Cambria Math" w:eastAsia="宋体" w:cs="宋体"/>
                  <w:spacing w:val="-1"/>
                  <w:sz w:val="24"/>
                  <w:szCs w:val="24"/>
                  <w:lang w:val="en-US"/>
                </w:rPr>
              </m:ctrlPr>
            </m:sSupPr>
            <m:e>
              <m:r>
                <m:rPr>
                  <m:sty m:val="p"/>
                </m:rPr>
                <w:rPr>
                  <w:rFonts w:hint="eastAsia" w:ascii="Cambria Math" w:hAnsi="Cambria Math" w:eastAsia="宋体" w:cs="宋体"/>
                  <w:spacing w:val="-1"/>
                  <w:sz w:val="24"/>
                  <w:szCs w:val="24"/>
                  <w:lang w:val="en-US"/>
                </w:rPr>
                <m:t>D</m:t>
              </m:r>
              <m:ctrlPr>
                <w:rPr>
                  <w:rFonts w:hint="eastAsia" w:ascii="Cambria Math" w:hAnsi="Cambria Math" w:eastAsia="宋体" w:cs="宋体"/>
                  <w:spacing w:val="-1"/>
                  <w:sz w:val="24"/>
                  <w:szCs w:val="24"/>
                  <w:lang w:val="en-US"/>
                </w:rPr>
              </m:ctrlPr>
            </m:e>
            <m:sup>
              <m:r>
                <m:rPr>
                  <m:sty m:val="p"/>
                </m:rPr>
                <w:rPr>
                  <w:rFonts w:hint="eastAsia" w:ascii="Cambria Math" w:hAnsi="Cambria Math" w:eastAsia="宋体" w:cs="宋体"/>
                  <w:spacing w:val="-1"/>
                  <w:sz w:val="24"/>
                  <w:szCs w:val="24"/>
                  <w:lang w:val="en-US"/>
                </w:rPr>
                <m:t>2</m:t>
              </m:r>
              <m:ctrlPr>
                <w:rPr>
                  <w:rFonts w:hint="eastAsia" w:ascii="Cambria Math" w:hAnsi="Cambria Math" w:eastAsia="宋体" w:cs="宋体"/>
                  <w:spacing w:val="-1"/>
                  <w:sz w:val="24"/>
                  <w:szCs w:val="24"/>
                  <w:lang w:val="en-US"/>
                </w:rPr>
              </m:ctrlPr>
            </m:sup>
          </m:sSup>
          <m:r>
            <m:rPr>
              <m:sty m:val="p"/>
            </m:rPr>
            <w:rPr>
              <w:rFonts w:hint="eastAsia" w:ascii="Cambria Math" w:hAnsi="Cambria Math" w:eastAsia="宋体" w:cs="宋体"/>
              <w:spacing w:val="-1"/>
              <w:sz w:val="24"/>
              <w:szCs w:val="24"/>
              <w:lang w:val="en-US"/>
            </w:rPr>
            <m:t>×</m:t>
          </m:r>
          <m:sSub>
            <m:sSubPr>
              <m:ctrlPr>
                <w:rPr>
                  <w:rFonts w:hint="eastAsia" w:ascii="Cambria Math" w:hAnsi="Cambria Math" w:eastAsia="宋体" w:cs="宋体"/>
                  <w:spacing w:val="-1"/>
                  <w:sz w:val="24"/>
                  <w:szCs w:val="24"/>
                  <w:lang w:val="en-US"/>
                </w:rPr>
              </m:ctrlPr>
            </m:sSubPr>
            <m:e>
              <m:r>
                <m:rPr>
                  <m:sty m:val="p"/>
                </m:rPr>
                <w:rPr>
                  <w:rFonts w:hint="eastAsia" w:ascii="Cambria Math" w:hAnsi="Cambria Math" w:eastAsia="宋体" w:cs="宋体"/>
                  <w:spacing w:val="-1"/>
                  <w:sz w:val="24"/>
                  <w:szCs w:val="24"/>
                  <w:lang w:val="en-US"/>
                </w:rPr>
                <m:t>R</m:t>
              </m:r>
              <m:ctrlPr>
                <w:rPr>
                  <w:rFonts w:hint="eastAsia" w:ascii="Cambria Math" w:hAnsi="Cambria Math" w:eastAsia="宋体" w:cs="宋体"/>
                  <w:spacing w:val="-1"/>
                  <w:sz w:val="24"/>
                  <w:szCs w:val="24"/>
                  <w:lang w:val="en-US"/>
                </w:rPr>
              </m:ctrlPr>
            </m:e>
            <m:sub>
              <m:r>
                <m:rPr>
                  <m:sty m:val="p"/>
                </m:rPr>
                <w:rPr>
                  <w:rFonts w:hint="eastAsia" w:ascii="Cambria Math" w:hAnsi="Cambria Math" w:eastAsia="宋体" w:cs="宋体"/>
                  <w:spacing w:val="-1"/>
                  <w:sz w:val="24"/>
                  <w:szCs w:val="24"/>
                  <w:lang w:val="en-US"/>
                </w:rPr>
                <m:t>0</m:t>
              </m:r>
              <m:ctrlPr>
                <w:rPr>
                  <w:rFonts w:hint="eastAsia" w:ascii="Cambria Math" w:hAnsi="Cambria Math" w:eastAsia="宋体" w:cs="宋体"/>
                  <w:spacing w:val="-1"/>
                  <w:sz w:val="24"/>
                  <w:szCs w:val="24"/>
                  <w:lang w:val="en-US"/>
                </w:rPr>
              </m:ctrlPr>
            </m:sub>
          </m:sSub>
          <m:r>
            <m:rPr>
              <m:sty m:val="p"/>
            </m:rPr>
            <w:rPr>
              <w:rFonts w:hint="eastAsia" w:ascii="Cambria Math" w:hAnsi="Cambria Math" w:eastAsia="宋体" w:cs="宋体"/>
              <w:spacing w:val="-1"/>
              <w:sz w:val="24"/>
              <w:szCs w:val="24"/>
              <w:lang w:val="en-US"/>
            </w:rPr>
            <m:t>÷1000</m:t>
          </m:r>
        </m:oMath>
      </m:oMathPara>
    </w:p>
    <w:p w14:paraId="5B838EA7">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式中：</w:t>
      </w:r>
    </w:p>
    <w:p w14:paraId="22D6E3CF">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D——钢丝绳公称直径，单位为mm。</w:t>
      </w:r>
    </w:p>
    <w:p w14:paraId="7885F373">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R0——钢丝绳公称抗拉强度，取1</w:t>
      </w:r>
      <w:r>
        <w:rPr>
          <w:rFonts w:hint="eastAsia" w:ascii="宋体" w:hAnsi="宋体" w:eastAsia="宋体" w:cs="宋体"/>
          <w:spacing w:val="-1"/>
          <w:sz w:val="24"/>
          <w:szCs w:val="24"/>
          <w:lang w:val="en-US" w:eastAsia="zh-CN"/>
        </w:rPr>
        <w:t>77</w:t>
      </w:r>
      <w:r>
        <w:rPr>
          <w:rFonts w:hint="eastAsia" w:ascii="宋体" w:hAnsi="宋体" w:eastAsia="宋体" w:cs="宋体"/>
          <w:spacing w:val="-1"/>
          <w:sz w:val="24"/>
          <w:szCs w:val="24"/>
          <w:lang w:val="en-US"/>
        </w:rPr>
        <w:t>0MPa。</w:t>
      </w:r>
    </w:p>
    <w:p w14:paraId="03A97DBE">
      <w:pPr>
        <w:spacing w:before="180" w:line="219" w:lineRule="auto"/>
        <w:ind w:left="483"/>
        <w:rPr>
          <w:rFonts w:hint="eastAsia" w:ascii="宋体" w:hAnsi="宋体" w:eastAsia="宋体" w:cs="宋体"/>
          <w:spacing w:val="-1"/>
          <w:sz w:val="24"/>
          <w:szCs w:val="24"/>
          <w:lang w:val="en-US"/>
        </w:rPr>
      </w:pPr>
      <w:r>
        <w:rPr>
          <w:rFonts w:hint="eastAsia" w:ascii="宋体" w:hAnsi="宋体" w:eastAsia="宋体" w:cs="宋体"/>
          <w:spacing w:val="-1"/>
          <w:sz w:val="24"/>
          <w:szCs w:val="24"/>
          <w:lang w:val="en-US"/>
        </w:rPr>
        <w:t>K′——钢丝绳的最小破断拉力系数，6×</w:t>
      </w:r>
      <w:r>
        <w:rPr>
          <w:rFonts w:hint="eastAsia" w:ascii="宋体" w:hAnsi="宋体" w:eastAsia="宋体" w:cs="宋体"/>
          <w:spacing w:val="-1"/>
          <w:sz w:val="24"/>
          <w:szCs w:val="24"/>
          <w:lang w:val="en-US" w:eastAsia="zh-CN"/>
        </w:rPr>
        <w:t>19W</w:t>
      </w:r>
      <w:r>
        <w:rPr>
          <w:rFonts w:hint="eastAsia" w:ascii="宋体" w:hAnsi="宋体" w:eastAsia="宋体" w:cs="宋体"/>
          <w:spacing w:val="-1"/>
          <w:sz w:val="24"/>
          <w:szCs w:val="24"/>
          <w:lang w:val="en-US"/>
        </w:rPr>
        <w:t>+FC钢丝绳取0.33。</w:t>
      </w:r>
    </w:p>
    <w:p w14:paraId="63AD0C87">
      <w:pPr>
        <w:ind w:firstLine="480"/>
        <w:rPr>
          <w:rFonts w:ascii="Times New Roman" w:hAnsi="Times New Roman" w:eastAsia="宋体" w:cs="Times New Roman"/>
        </w:rPr>
      </w:pPr>
      <w:r>
        <w:rPr>
          <w:rFonts w:hint="eastAsia" w:ascii="Times New Roman" w:hAnsi="Times New Roman" w:eastAsia="宋体" w:cs="Times New Roman"/>
        </w:rPr>
        <w:t>以回转总成顶部四个销轴孔作为吊装孔，钢丝绳采用压制接头。</w:t>
      </w:r>
    </w:p>
    <w:p w14:paraId="5016055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4A667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13.52</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420.91</m:t>
          </m:r>
          <m:r>
            <m:rPr>
              <m:nor/>
              <m:sty m:val="p"/>
            </m:rPr>
            <w:rPr>
              <w:b w:val="0"/>
              <w:i w:val="0"/>
            </w:rPr>
            <m:t>kN</m:t>
          </m:r>
        </m:oMath>
      </m:oMathPara>
    </w:p>
    <w:p w14:paraId="70E936C6">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25FFD5E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420.91</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1770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22.78</m:t>
          </m:r>
          <m:r>
            <m:rPr>
              <m:nor/>
              <m:sty m:val="p"/>
            </m:rPr>
            <w:rPr>
              <w:b w:val="0"/>
              <w:i w:val="0"/>
            </w:rPr>
            <m:t>mm</m:t>
          </m:r>
        </m:oMath>
      </m:oMathPara>
    </w:p>
    <w:p w14:paraId="06132768">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b w:val="0"/>
          <w:bCs w:val="0"/>
          <w:lang w:val="en-US" w:eastAsia="zh-CN"/>
        </w:rPr>
        <w:t>24</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+FC</w:t>
      </w:r>
      <w:r>
        <w:rPr>
          <w:rFonts w:hint="eastAsia" w:eastAsia="仿宋" w:cs="Times New Roman"/>
          <w:b w:val="0"/>
          <w:bCs w:val="0"/>
          <w:lang w:val="en-US" w:eastAsia="zh-CN"/>
        </w:rPr>
        <w:t>-</w:t>
      </w:r>
      <w:r>
        <w:rPr>
          <w:rFonts w:eastAsia="仿宋" w:cs="Times New Roman"/>
          <w:b w:val="0"/>
          <w:bCs w:val="0"/>
        </w:rPr>
        <w:t>1</w:t>
      </w:r>
      <w:r>
        <w:rPr>
          <w:rFonts w:hint="eastAsia" w:eastAsia="仿宋" w:cs="Times New Roman"/>
          <w:b w:val="0"/>
          <w:bCs w:val="0"/>
          <w:lang w:val="en-US" w:eastAsia="zh-CN"/>
        </w:rPr>
        <w:t>77</w:t>
      </w:r>
      <w:r>
        <w:rPr>
          <w:rFonts w:eastAsia="仿宋" w:cs="Times New Roman"/>
          <w:b w:val="0"/>
          <w:bCs w:val="0"/>
        </w:rPr>
        <w:t>0</w:t>
      </w:r>
      <w:r>
        <w:rPr>
          <w:rFonts w:cs="Times New Roman"/>
          <w:b w:val="0"/>
          <w:bCs w:val="0"/>
        </w:rPr>
        <w:t>Mpa</w:t>
      </w:r>
      <w:r>
        <w:rPr>
          <w:rFonts w:hint="eastAsia" w:ascii="Times New Roman" w:hAnsi="Times New Roman" w:eastAsia="宋体" w:cs="Times New Roman"/>
        </w:rPr>
        <w:t>钢丝绳可满足要求。</w:t>
      </w:r>
    </w:p>
    <w:p w14:paraId="2E7DA0C9">
      <w:pPr>
        <w:ind w:firstLine="480"/>
        <w:rPr>
          <w:rFonts w:ascii="Times New Roman" w:hAnsi="Times New Roman" w:eastAsia="宋体" w:cs="Times New Roman"/>
        </w:rPr>
      </w:pPr>
      <w:r>
        <w:rPr>
          <w:rFonts w:hint="eastAsia" w:ascii="Times New Roman" w:hAnsi="Times New Roman" w:eastAsia="宋体" w:cs="Times New Roman"/>
          <w:lang w:val="en-US" w:eastAsia="zh-CN"/>
        </w:rPr>
        <w:t>采用两点吊的塔吊主要部件</w:t>
      </w:r>
      <w:r>
        <w:rPr>
          <w:rFonts w:hint="eastAsia" w:ascii="Times New Roman" w:hAnsi="Times New Roman" w:eastAsia="宋体" w:cs="Times New Roman"/>
        </w:rPr>
        <w:t>最大重量</w:t>
      </w:r>
      <w:r>
        <w:rPr>
          <w:rFonts w:hint="eastAsia" w:ascii="Times New Roman" w:hAnsi="Times New Roman" w:eastAsia="宋体" w:cs="Times New Roman"/>
          <w:lang w:val="en-US" w:eastAsia="zh-CN"/>
        </w:rPr>
        <w:t>为平衡重，平衡重</w:t>
      </w:r>
      <w:r>
        <w:rPr>
          <w:rFonts w:hint="eastAsia" w:ascii="Times New Roman" w:hAnsi="Times New Roman" w:eastAsia="宋体" w:cs="Times New Roman"/>
        </w:rPr>
        <w:t>约</w:t>
      </w:r>
      <w:r>
        <w:rPr>
          <w:rFonts w:hint="eastAsia" w:cs="Times New Roman"/>
          <w:lang w:val="en-US" w:eastAsia="zh-CN"/>
        </w:rPr>
        <w:t>4</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成60°夹角，吊装采用两点吊，钢丝绳采用压制接头。</w:t>
      </w:r>
    </w:p>
    <w:p w14:paraId="77CABB5A">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2234884">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4</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186.79</m:t>
          </m:r>
          <m:r>
            <m:rPr>
              <m:nor/>
              <m:sty m:val="p"/>
            </m:rPr>
            <w:rPr>
              <w:b w:val="0"/>
              <w:i w:val="0"/>
            </w:rPr>
            <m:t>kN</m:t>
          </m:r>
        </m:oMath>
      </m:oMathPara>
    </w:p>
    <w:p w14:paraId="62CBB55A">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76BF352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186.79</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1770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17.88</m:t>
          </m:r>
          <m:r>
            <m:rPr>
              <m:nor/>
              <m:sty m:val="p"/>
            </m:rPr>
            <w:rPr>
              <w:b w:val="0"/>
              <w:i w:val="0"/>
            </w:rPr>
            <m:t>mm</m:t>
          </m:r>
        </m:oMath>
      </m:oMathPara>
    </w:p>
    <w:p w14:paraId="07128C6E">
      <w:pPr>
        <w:spacing w:after="50" w:afterLines="50" w:line="300" w:lineRule="auto"/>
        <w:ind w:firstLine="420"/>
        <w:jc w:val="left"/>
        <w:rPr>
          <w:rFonts w:hint="eastAsia" w:ascii="Times New Roman" w:hAnsi="Times New Roman" w:eastAsia="宋体" w:cs="Times New Roman"/>
        </w:rPr>
      </w:pPr>
      <w:r>
        <w:rPr>
          <w:rFonts w:hint="eastAsia" w:ascii="宋体" w:hAnsi="宋体" w:eastAsia="宋体" w:cs="宋体"/>
        </w:rPr>
        <w:t>采用</w:t>
      </w:r>
      <w:r>
        <w:rPr>
          <w:rFonts w:hint="eastAsia" w:cs="Times New Roman"/>
          <w:b w:val="0"/>
          <w:bCs w:val="0"/>
          <w:lang w:val="en-US" w:eastAsia="zh-CN"/>
        </w:rPr>
        <w:t>18</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+FC</w:t>
      </w:r>
      <w:r>
        <w:rPr>
          <w:rFonts w:hint="eastAsia" w:eastAsia="仿宋" w:cs="Times New Roman"/>
          <w:b w:val="0"/>
          <w:bCs w:val="0"/>
          <w:lang w:val="en-US" w:eastAsia="zh-CN"/>
        </w:rPr>
        <w:t>-</w:t>
      </w:r>
      <w:r>
        <w:rPr>
          <w:rFonts w:eastAsia="仿宋" w:cs="Times New Roman"/>
          <w:b w:val="0"/>
          <w:bCs w:val="0"/>
        </w:rPr>
        <w:t>1</w:t>
      </w:r>
      <w:r>
        <w:rPr>
          <w:rFonts w:hint="eastAsia" w:eastAsia="仿宋" w:cs="Times New Roman"/>
          <w:b w:val="0"/>
          <w:bCs w:val="0"/>
          <w:lang w:val="en-US" w:eastAsia="zh-CN"/>
        </w:rPr>
        <w:t>77</w:t>
      </w:r>
      <w:r>
        <w:rPr>
          <w:rFonts w:eastAsia="仿宋" w:cs="Times New Roman"/>
          <w:b w:val="0"/>
          <w:bCs w:val="0"/>
        </w:rPr>
        <w:t>0</w:t>
      </w:r>
      <w:r>
        <w:rPr>
          <w:rFonts w:cs="Times New Roman"/>
          <w:b w:val="0"/>
          <w:bCs w:val="0"/>
        </w:rPr>
        <w:t>Mpa</w:t>
      </w:r>
      <w:r>
        <w:rPr>
          <w:rFonts w:hint="eastAsia" w:ascii="Times New Roman" w:hAnsi="Times New Roman" w:eastAsia="宋体" w:cs="Times New Roman"/>
        </w:rPr>
        <w:t>钢丝绳可满足要求。</w:t>
      </w:r>
    </w:p>
    <w:p w14:paraId="75DAF514">
      <w:pPr>
        <w:pStyle w:val="4"/>
        <w:numPr>
          <w:ilvl w:val="2"/>
          <w:numId w:val="1"/>
        </w:numPr>
        <w:bidi w:val="0"/>
      </w:pPr>
      <w:r>
        <w:rPr>
          <w:rFonts w:hint="eastAsia"/>
        </w:rPr>
        <w:t>卸扣选型计算</w:t>
      </w:r>
      <w:bookmarkEnd w:id="231"/>
    </w:p>
    <w:p w14:paraId="147AF826">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64D3D955">
      <w:pPr>
        <w:ind w:firstLine="480"/>
        <w:rPr>
          <w:rFonts w:ascii="Times New Roman" w:hAnsi="Times New Roman" w:eastAsia="宋体" w:cs="Times New Roman"/>
        </w:rPr>
      </w:pPr>
      <w:r>
        <w:rPr>
          <w:rFonts w:hint="eastAsia" w:ascii="Times New Roman" w:hAnsi="Times New Roman" w:eastAsia="宋体" w:cs="Times New Roman"/>
        </w:rPr>
        <w:t>四点吊的塔吊主要部件除起重臂外钢丝绳连接卸扣工作荷载：</w:t>
      </w:r>
    </w:p>
    <w:p w14:paraId="055F2973">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m:sty m:val="p"/>
              </m:rPr>
              <w:rPr>
                <w:rFonts w:hint="default" w:ascii="Cambria Math" w:hAnsi="Cambria Math"/>
                <w:lang w:val="en-US" w:eastAsia="zh-CN"/>
              </w:rPr>
              <m:t>420.91</m:t>
            </m:r>
            <m:ctrlPr>
              <w:rPr>
                <w:rFonts w:ascii="Cambria Math" w:hAnsi="Cambria Math"/>
                <w:i/>
              </w:rPr>
            </m:ctrlPr>
          </m:num>
          <m:den>
            <m:r>
              <m:rPr>
                <m:nor/>
                <m:sty m:val="p"/>
              </m:rPr>
              <w:rPr>
                <w:b w:val="0"/>
                <w:i w:val="0"/>
              </w:rPr>
              <m:t>6</m:t>
            </m:r>
            <m:r>
              <m:rPr>
                <m:nor/>
                <m:sty m:val="p"/>
              </m:rPr>
              <w:rPr>
                <w:rFonts w:hint="eastAsia" w:ascii="Cambria Math" w:hAnsi="Cambria Math"/>
                <w:b w:val="0"/>
                <w:i w:val="0"/>
                <w:lang w:val="en-US" w:eastAsia="zh-CN"/>
              </w:rPr>
              <m:t>×</m:t>
            </m:r>
            <m:r>
              <m:rPr>
                <m:nor/>
                <m:sty m:val="p"/>
              </m:rPr>
              <w:rPr>
                <w:rFonts w:hint="default" w:ascii="Cambria Math" w:hAnsi="Cambria Math"/>
                <w:b w:val="0"/>
                <w:i w:val="0"/>
                <w:lang w:val="en-US" w:eastAsia="zh-CN"/>
              </w:rPr>
              <m:t>9.80665</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7.15</m:t>
        </m:r>
      </m:oMath>
      <w:r>
        <w:rPr>
          <w:rFonts w:hint="eastAsia" w:ascii="Times New Roman" w:hAnsi="Times New Roman" w:eastAsia="宋体" w:cs="Times New Roman"/>
        </w:rPr>
        <w:t>，选用卸扣GB/T25854-6-DW</w:t>
      </w:r>
      <w:r>
        <w:rPr>
          <w:rFonts w:hint="eastAsia" w:cs="Times New Roman"/>
          <w:lang w:val="en-US" w:eastAsia="zh-CN"/>
        </w:rPr>
        <w:t>8</w:t>
      </w:r>
      <w:r>
        <w:rPr>
          <w:rFonts w:hint="eastAsia" w:ascii="Times New Roman" w:hAnsi="Times New Roman" w:eastAsia="宋体" w:cs="Times New Roman"/>
        </w:rPr>
        <w:t>。</w:t>
      </w:r>
    </w:p>
    <w:p w14:paraId="52578C6E">
      <w:pPr>
        <w:ind w:firstLine="480"/>
        <w:rPr>
          <w:rFonts w:ascii="Times New Roman" w:hAnsi="Times New Roman" w:eastAsia="宋体" w:cs="Times New Roman"/>
        </w:rPr>
      </w:pPr>
      <w:r>
        <w:rPr>
          <w:rFonts w:hint="eastAsia" w:ascii="Times New Roman" w:hAnsi="Times New Roman" w:eastAsia="宋体" w:cs="Times New Roman"/>
          <w:lang w:val="en-US" w:eastAsia="zh-CN"/>
        </w:rPr>
        <w:t>两点</w:t>
      </w:r>
      <w:r>
        <w:rPr>
          <w:rFonts w:hint="eastAsia" w:ascii="Times New Roman" w:hAnsi="Times New Roman" w:eastAsia="宋体" w:cs="Times New Roman"/>
        </w:rPr>
        <w:t>吊装</w:t>
      </w:r>
      <w:r>
        <w:rPr>
          <w:rFonts w:hint="eastAsia" w:ascii="Times New Roman" w:hAnsi="Times New Roman" w:eastAsia="宋体" w:cs="Times New Roman"/>
          <w:lang w:eastAsia="zh-CN"/>
        </w:rPr>
        <w:t>的</w:t>
      </w:r>
      <w:r>
        <w:rPr>
          <w:rFonts w:hint="eastAsia" w:ascii="Times New Roman" w:hAnsi="Times New Roman" w:eastAsia="宋体" w:cs="Times New Roman"/>
        </w:rPr>
        <w:t>钢丝绳连接卸扣工作荷载：</w:t>
      </w:r>
    </w:p>
    <w:p w14:paraId="721AB6E6">
      <w:pPr>
        <w:ind w:firstLine="480"/>
        <w:rPr>
          <w:rFonts w:hint="eastAsia"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m:sty m:val="p"/>
              </m:rPr>
              <w:rPr>
                <w:rFonts w:hint="default" w:ascii="Cambria Math" w:cs="Times New Roman"/>
                <w:lang w:val="en-US" w:eastAsia="zh-CN"/>
              </w:rPr>
              <m:t>186.79</m:t>
            </m:r>
            <m:ctrlPr>
              <w:rPr>
                <w:rFonts w:ascii="Cambria Math" w:hAnsi="Cambria Math" w:cs="Times New Roman"/>
                <w:i/>
              </w:rPr>
            </m:ctrlPr>
          </m:num>
          <m:den>
            <m:r>
              <m:rPr>
                <m:nor/>
                <m:sty m:val="p"/>
              </m:rPr>
              <w:rPr>
                <w:rFonts w:ascii="Cambria Math" w:cs="Times New Roman"/>
                <w:b w:val="0"/>
                <w:i w:val="0"/>
              </w:rPr>
              <m:t>6</m:t>
            </m:r>
            <m:r>
              <m:rPr>
                <m:nor/>
                <m:sty m:val="p"/>
              </m:rPr>
              <w:rPr>
                <w:rFonts w:hint="eastAsia" w:ascii="Cambria Math" w:cs="Times New Roman"/>
                <w:b w:val="0"/>
                <w:i w:val="0"/>
                <w:lang w:val="en-US" w:eastAsia="zh-CN"/>
              </w:rPr>
              <m:t>×</m:t>
            </m:r>
            <m:r>
              <m:rPr>
                <m:nor/>
                <m:sty m:val="p"/>
              </m:rPr>
              <w:rPr>
                <w:rFonts w:hint="default" w:ascii="Cambria Math" w:cs="Times New Roman"/>
                <w:b w:val="0"/>
                <w:i w:val="0"/>
                <w:lang w:val="en-US" w:eastAsia="zh-CN"/>
              </w:rPr>
              <m:t>9.80665</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3.17</m:t>
        </m:r>
        <m:r>
          <m:rPr>
            <m:nor/>
            <m:sty m:val="p"/>
          </m:rPr>
          <w:rPr>
            <w:rFonts w:hint="eastAsia" w:ascii="Cambria Math" w:cs="Times New Roman"/>
            <w:b w:val="0"/>
            <w:i w:val="0"/>
            <w:lang w:val="en-US" w:eastAsia="zh-CN"/>
          </w:rPr>
          <m:t>t</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0419B20C">
      <w:pPr>
        <w:pStyle w:val="3"/>
        <w:bidi w:val="0"/>
        <w:rPr>
          <w:lang w:val="en-US" w:eastAsia="zh-CN"/>
        </w:rPr>
      </w:pPr>
      <w:bookmarkStart w:id="232" w:name="_Toc16580"/>
      <w:r>
        <w:rPr>
          <w:rFonts w:hint="eastAsia"/>
          <w:lang w:val="en-US" w:eastAsia="zh-CN"/>
        </w:rPr>
        <w:t>附着计算</w:t>
      </w:r>
      <w:bookmarkEnd w:id="232"/>
    </w:p>
    <w:p w14:paraId="65AA3BE6">
      <w:pPr>
        <w:rPr>
          <w:rFonts w:hint="default"/>
          <w:lang w:val="en-US" w:eastAsia="zh-CN"/>
        </w:rPr>
      </w:pPr>
      <w:r>
        <w:rPr>
          <w:rFonts w:hint="eastAsia"/>
          <w:lang w:val="en-US" w:eastAsia="zh-CN"/>
        </w:rPr>
        <w:t>详见附件四。</w:t>
      </w:r>
    </w:p>
    <w:p w14:paraId="3014807B">
      <w:pPr>
        <w:bidi w:val="0"/>
        <w:rPr>
          <w:rFonts w:hint="eastAsia"/>
          <w:lang w:eastAsia="zh-CN"/>
        </w:rPr>
      </w:pPr>
    </w:p>
    <w:p w14:paraId="4B299CD1">
      <w:pPr>
        <w:pStyle w:val="2"/>
        <w:keepNext/>
        <w:keepLines/>
        <w:pageBreakBefore w:val="0"/>
        <w:widowControl w:val="0"/>
        <w:kinsoku/>
        <w:wordWrap/>
        <w:overflowPunct/>
        <w:topLinePunct w:val="0"/>
        <w:autoSpaceDE/>
        <w:autoSpaceDN/>
        <w:bidi w:val="0"/>
        <w:adjustRightInd/>
        <w:snapToGrid/>
        <w:ind w:left="0"/>
        <w:textAlignment w:val="auto"/>
      </w:pPr>
      <w:bookmarkStart w:id="233" w:name="_Toc18877"/>
      <w:r>
        <w:rPr>
          <w:rFonts w:hint="eastAsia"/>
        </w:rPr>
        <w:t>附件</w:t>
      </w:r>
      <w:bookmarkEnd w:id="233"/>
    </w:p>
    <w:p w14:paraId="45ECCABF">
      <w:pPr>
        <w:pStyle w:val="3"/>
        <w:numPr>
          <w:ilvl w:val="0"/>
          <w:numId w:val="0"/>
        </w:numPr>
        <w:rPr>
          <w:rFonts w:hint="default"/>
          <w:lang w:val="en-US"/>
        </w:rPr>
      </w:pPr>
      <w:bookmarkStart w:id="234" w:name="_Toc131174078"/>
      <w:bookmarkStart w:id="235" w:name="_Toc31779"/>
      <w:r>
        <w:rPr>
          <w:rFonts w:hint="eastAsia"/>
        </w:rPr>
        <w:t>附件1：</w:t>
      </w:r>
      <w:bookmarkEnd w:id="234"/>
      <w:r>
        <w:rPr>
          <w:rFonts w:hint="eastAsia"/>
        </w:rPr>
        <w:t>本单位与相关施工人员资质证件</w:t>
      </w:r>
      <w:bookmarkEnd w:id="235"/>
    </w:p>
    <w:p w14:paraId="089E4E36">
      <w:pPr>
        <w:pStyle w:val="3"/>
        <w:numPr>
          <w:ilvl w:val="0"/>
          <w:numId w:val="0"/>
        </w:numPr>
        <w:rPr>
          <w:rFonts w:hint="eastAsia" w:eastAsia="宋体"/>
          <w:lang w:eastAsia="zh-CN"/>
        </w:rPr>
      </w:pPr>
      <w:bookmarkStart w:id="236" w:name="_Toc131174079"/>
      <w:bookmarkStart w:id="237" w:name="_Toc11629"/>
      <w:r>
        <w:rPr>
          <w:rFonts w:hint="eastAsia"/>
        </w:rPr>
        <w:t>附件2：</w:t>
      </w:r>
      <w:bookmarkEnd w:id="236"/>
      <w:r>
        <w:rPr>
          <w:rFonts w:hint="eastAsia"/>
          <w:lang w:val="en-US" w:eastAsia="zh-CN"/>
        </w:rPr>
        <w:t>T7527-18</w:t>
      </w:r>
      <w:r>
        <w:fldChar w:fldCharType="begin"/>
      </w:r>
      <w:r>
        <w:instrText xml:space="preserve"> REF 设备类型 \h  \* MERGEFORMAT </w:instrText>
      </w:r>
      <w:r>
        <w:fldChar w:fldCharType="separate"/>
      </w:r>
      <w:r>
        <w:rPr>
          <w:rFonts w:hint="eastAsia"/>
        </w:rPr>
        <w:t>塔式起重机</w:t>
      </w:r>
      <w:r>
        <w:fldChar w:fldCharType="end"/>
      </w:r>
      <w:r>
        <w:rPr>
          <w:rFonts w:hint="eastAsia"/>
        </w:rPr>
        <w:t>技术资料</w:t>
      </w:r>
      <w:bookmarkEnd w:id="237"/>
    </w:p>
    <w:p w14:paraId="6F0961F0">
      <w:pPr>
        <w:pStyle w:val="3"/>
        <w:numPr>
          <w:ilvl w:val="0"/>
          <w:numId w:val="0"/>
        </w:numPr>
        <w:rPr>
          <w:rFonts w:hint="default"/>
          <w:lang w:val="en-US" w:eastAsia="zh-CN"/>
        </w:rPr>
      </w:pPr>
      <w:bookmarkStart w:id="238" w:name="_Toc18565"/>
      <w:bookmarkStart w:id="239" w:name="_Toc131174080"/>
      <w:bookmarkStart w:id="240" w:name="_Toc28365"/>
      <w:r>
        <w:rPr>
          <w:rFonts w:hint="eastAsia"/>
        </w:rPr>
        <w:t>附件</w:t>
      </w:r>
      <w:r>
        <w:rPr>
          <w:rFonts w:hint="eastAsia"/>
          <w:lang w:val="en-US" w:eastAsia="zh-CN"/>
        </w:rPr>
        <w:t>3</w:t>
      </w:r>
      <w:r>
        <w:rPr>
          <w:rFonts w:hint="eastAsia"/>
        </w:rPr>
        <w:t>：安装自检表</w:t>
      </w:r>
      <w:bookmarkEnd w:id="238"/>
      <w:bookmarkEnd w:id="239"/>
      <w:bookmarkEnd w:id="240"/>
      <w:bookmarkStart w:id="241" w:name="_GoBack"/>
      <w:bookmarkEnd w:id="241"/>
    </w:p>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文鼎书宋简">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D39A">
    <w:pPr>
      <w:pStyle w:val="26"/>
      <w:ind w:firstLine="360"/>
    </w:pPr>
  </w:p>
  <w:p w14:paraId="2C84AB49">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83318">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413F9">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14:paraId="23D46FAD">
        <w:pPr>
          <w:pStyle w:val="26"/>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AC34">
    <w:pPr>
      <w:pStyle w:val="26"/>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D13DD">
                          <w:pPr>
                            <w:pStyle w:val="2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DDD13DD">
                    <w:pPr>
                      <w:pStyle w:val="2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111</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A766">
    <w:pPr>
      <w:spacing w:line="174" w:lineRule="auto"/>
      <w:ind w:left="48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BBE65">
                          <w:pPr>
                            <w:pStyle w:val="26"/>
                          </w:pPr>
                          <w:r>
                            <w:t xml:space="preserve">第 </w:t>
                          </w:r>
                          <w:r>
                            <w:fldChar w:fldCharType="begin"/>
                          </w:r>
                          <w:r>
                            <w:instrText xml:space="preserve"> PAGE  \* MERGEFORMAT </w:instrText>
                          </w:r>
                          <w:r>
                            <w:fldChar w:fldCharType="separate"/>
                          </w:r>
                          <w:r>
                            <w:t>10</w:t>
                          </w:r>
                          <w:r>
                            <w:fldChar w:fldCharType="end"/>
                          </w:r>
                          <w:r>
                            <w:t xml:space="preserve"> 页 共 </w:t>
                          </w:r>
                          <w:r>
                            <w:rPr>
                              <w:rFonts w:hint="eastAsia"/>
                              <w:lang w:val="en-US" w:eastAsia="zh-CN"/>
                            </w:rPr>
                            <w:t>111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BBE65">
                    <w:pPr>
                      <w:pStyle w:val="26"/>
                    </w:pPr>
                    <w:r>
                      <w:t xml:space="preserve">第 </w:t>
                    </w:r>
                    <w:r>
                      <w:fldChar w:fldCharType="begin"/>
                    </w:r>
                    <w:r>
                      <w:instrText xml:space="preserve"> PAGE  \* MERGEFORMAT </w:instrText>
                    </w:r>
                    <w:r>
                      <w:fldChar w:fldCharType="separate"/>
                    </w:r>
                    <w:r>
                      <w:t>10</w:t>
                    </w:r>
                    <w:r>
                      <w:fldChar w:fldCharType="end"/>
                    </w:r>
                    <w:r>
                      <w:t xml:space="preserve"> 页 共 </w:t>
                    </w:r>
                    <w:r>
                      <w:rPr>
                        <w:rFonts w:hint="eastAsia"/>
                        <w:lang w:val="en-US" w:eastAsia="zh-CN"/>
                      </w:rPr>
                      <w:t>111</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8DAD1">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9C3F3">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60AE">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4CC8F">
    <w:pPr>
      <w:pStyle w:val="27"/>
      <w:tabs>
        <w:tab w:val="clear" w:pos="4153"/>
      </w:tabs>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rPr>
        <w:rFonts w:hint="eastAsia" w:ascii="楷体" w:hAnsi="楷体" w:cs="楷体"/>
        <w:b/>
        <w:bCs/>
        <w:lang w:val="en-US" w:eastAsia="zh-CN"/>
      </w:rPr>
      <w:t>马鹿塘大桥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ACCB1">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马鹿塘大桥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4813D">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马鹿塘大桥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2271ACA"/>
    <w:multiLevelType w:val="singleLevel"/>
    <w:tmpl w:val="02271ACA"/>
    <w:lvl w:ilvl="0" w:tentative="0">
      <w:start w:val="1"/>
      <w:numFmt w:val="decimal"/>
      <w:suff w:val="nothing"/>
      <w:lvlText w:val="（%1）"/>
      <w:lvlJc w:val="left"/>
    </w:lvl>
  </w:abstractNum>
  <w:abstractNum w:abstractNumId="3">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3697A6F"/>
    <w:multiLevelType w:val="multilevel"/>
    <w:tmpl w:val="03697A6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4D800DD"/>
    <w:multiLevelType w:val="multilevel"/>
    <w:tmpl w:val="04D800DD"/>
    <w:lvl w:ilvl="0" w:tentative="0">
      <w:start w:val="1"/>
      <w:numFmt w:val="decimal"/>
      <w:pStyle w:val="111"/>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71A327A"/>
    <w:multiLevelType w:val="multilevel"/>
    <w:tmpl w:val="071A327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83E6C6C"/>
    <w:multiLevelType w:val="multilevel"/>
    <w:tmpl w:val="083E6C6C"/>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C9B581A"/>
    <w:multiLevelType w:val="multilevel"/>
    <w:tmpl w:val="0C9B581A"/>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4">
    <w:nsid w:val="166F56DF"/>
    <w:multiLevelType w:val="multilevel"/>
    <w:tmpl w:val="166F56DF"/>
    <w:lvl w:ilvl="0" w:tentative="0">
      <w:start w:val="1"/>
      <w:numFmt w:val="decimal"/>
      <w:pStyle w:val="166"/>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5">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786332D"/>
    <w:multiLevelType w:val="multilevel"/>
    <w:tmpl w:val="1786332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D074C54"/>
    <w:multiLevelType w:val="multilevel"/>
    <w:tmpl w:val="1D074C54"/>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FEA7CC5"/>
    <w:multiLevelType w:val="multilevel"/>
    <w:tmpl w:val="1FEA7CC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0464DA2"/>
    <w:multiLevelType w:val="multilevel"/>
    <w:tmpl w:val="20464DA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26A70E54"/>
    <w:multiLevelType w:val="multilevel"/>
    <w:tmpl w:val="26A70E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2B004990"/>
    <w:multiLevelType w:val="multilevel"/>
    <w:tmpl w:val="2B00499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D0400F8"/>
    <w:multiLevelType w:val="singleLevel"/>
    <w:tmpl w:val="2D0400F8"/>
    <w:lvl w:ilvl="0" w:tentative="0">
      <w:start w:val="1"/>
      <w:numFmt w:val="decimal"/>
      <w:suff w:val="nothing"/>
      <w:lvlText w:val="（%1）"/>
      <w:lvlJc w:val="left"/>
    </w:lvl>
  </w:abstractNum>
  <w:abstractNum w:abstractNumId="31">
    <w:nsid w:val="2DCF2326"/>
    <w:multiLevelType w:val="multilevel"/>
    <w:tmpl w:val="2DCF232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34F72672"/>
    <w:multiLevelType w:val="multilevel"/>
    <w:tmpl w:val="34F7267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4456517E"/>
    <w:multiLevelType w:val="multilevel"/>
    <w:tmpl w:val="445651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472C22D5"/>
    <w:multiLevelType w:val="multilevel"/>
    <w:tmpl w:val="472C22D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4BBC29E0"/>
    <w:multiLevelType w:val="singleLevel"/>
    <w:tmpl w:val="4BBC29E0"/>
    <w:lvl w:ilvl="0" w:tentative="0">
      <w:start w:val="1"/>
      <w:numFmt w:val="decimal"/>
      <w:suff w:val="nothing"/>
      <w:lvlText w:val="（%1）"/>
      <w:lvlJc w:val="left"/>
    </w:lvl>
  </w:abstractNum>
  <w:abstractNum w:abstractNumId="48">
    <w:nsid w:val="4D4929C9"/>
    <w:multiLevelType w:val="multilevel"/>
    <w:tmpl w:val="4D4929C9"/>
    <w:lvl w:ilvl="0" w:tentative="0">
      <w:start w:val="1"/>
      <w:numFmt w:val="decimal"/>
      <w:pStyle w:val="2"/>
      <w:suff w:val="space"/>
      <w:lvlText w:val="%1"/>
      <w:lvlJc w:val="left"/>
      <w:pPr>
        <w:ind w:left="3840" w:firstLine="0"/>
      </w:pPr>
      <w:rPr>
        <w:rFonts w:hint="default" w:ascii="Times New Roman" w:hAnsi="Times New Roman" w:eastAsia="宋体"/>
      </w:rPr>
    </w:lvl>
    <w:lvl w:ilvl="1" w:tentative="0">
      <w:start w:val="1"/>
      <w:numFmt w:val="decimal"/>
      <w:pStyle w:val="3"/>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decimal"/>
      <w:pStyle w:val="156"/>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49">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4F6C18BF"/>
    <w:multiLevelType w:val="multilevel"/>
    <w:tmpl w:val="4F6C18B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50187B8D"/>
    <w:multiLevelType w:val="multilevel"/>
    <w:tmpl w:val="50187B8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50FD5345"/>
    <w:multiLevelType w:val="multilevel"/>
    <w:tmpl w:val="50FD5345"/>
    <w:lvl w:ilvl="0" w:tentative="0">
      <w:start w:val="1"/>
      <w:numFmt w:val="decimal"/>
      <w:pStyle w:val="131"/>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59433A9D"/>
    <w:multiLevelType w:val="multilevel"/>
    <w:tmpl w:val="59433A9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5A31508F"/>
    <w:multiLevelType w:val="multilevel"/>
    <w:tmpl w:val="5A31508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9">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61">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3">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6">
    <w:nsid w:val="70862770"/>
    <w:multiLevelType w:val="multilevel"/>
    <w:tmpl w:val="7086277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08D2AA2"/>
    <w:multiLevelType w:val="multilevel"/>
    <w:tmpl w:val="708D2AA2"/>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2">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25"/>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74">
    <w:nsid w:val="77D04554"/>
    <w:multiLevelType w:val="multilevel"/>
    <w:tmpl w:val="77D04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8"/>
  </w:num>
  <w:num w:numId="2">
    <w:abstractNumId w:val="6"/>
  </w:num>
  <w:num w:numId="3">
    <w:abstractNumId w:val="53"/>
  </w:num>
  <w:num w:numId="4">
    <w:abstractNumId w:val="14"/>
  </w:num>
  <w:num w:numId="5">
    <w:abstractNumId w:val="73"/>
  </w:num>
  <w:num w:numId="6">
    <w:abstractNumId w:val="45"/>
  </w:num>
  <w:num w:numId="7">
    <w:abstractNumId w:val="10"/>
  </w:num>
  <w:num w:numId="8">
    <w:abstractNumId w:val="42"/>
  </w:num>
  <w:num w:numId="9">
    <w:abstractNumId w:val="58"/>
  </w:num>
  <w:num w:numId="10">
    <w:abstractNumId w:val="27"/>
  </w:num>
  <w:num w:numId="11">
    <w:abstractNumId w:val="22"/>
  </w:num>
  <w:num w:numId="12">
    <w:abstractNumId w:val="38"/>
  </w:num>
  <w:num w:numId="13">
    <w:abstractNumId w:val="46"/>
  </w:num>
  <w:num w:numId="14">
    <w:abstractNumId w:val="40"/>
  </w:num>
  <w:num w:numId="15">
    <w:abstractNumId w:val="55"/>
  </w:num>
  <w:num w:numId="16">
    <w:abstractNumId w:val="33"/>
  </w:num>
  <w:num w:numId="17">
    <w:abstractNumId w:val="44"/>
  </w:num>
  <w:num w:numId="18">
    <w:abstractNumId w:val="20"/>
  </w:num>
  <w:num w:numId="19">
    <w:abstractNumId w:val="4"/>
  </w:num>
  <w:num w:numId="20">
    <w:abstractNumId w:val="25"/>
  </w:num>
  <w:num w:numId="21">
    <w:abstractNumId w:val="41"/>
  </w:num>
  <w:num w:numId="22">
    <w:abstractNumId w:val="16"/>
  </w:num>
  <w:num w:numId="23">
    <w:abstractNumId w:val="19"/>
  </w:num>
  <w:num w:numId="24">
    <w:abstractNumId w:val="5"/>
  </w:num>
  <w:num w:numId="25">
    <w:abstractNumId w:val="35"/>
  </w:num>
  <w:num w:numId="26">
    <w:abstractNumId w:val="74"/>
  </w:num>
  <w:num w:numId="27">
    <w:abstractNumId w:val="29"/>
  </w:num>
  <w:num w:numId="28">
    <w:abstractNumId w:val="32"/>
  </w:num>
  <w:num w:numId="29">
    <w:abstractNumId w:val="21"/>
  </w:num>
  <w:num w:numId="30">
    <w:abstractNumId w:val="50"/>
  </w:num>
  <w:num w:numId="31">
    <w:abstractNumId w:val="59"/>
  </w:num>
  <w:num w:numId="32">
    <w:abstractNumId w:val="28"/>
  </w:num>
  <w:num w:numId="33">
    <w:abstractNumId w:val="13"/>
  </w:num>
  <w:num w:numId="34">
    <w:abstractNumId w:val="52"/>
  </w:num>
  <w:num w:numId="35">
    <w:abstractNumId w:val="72"/>
  </w:num>
  <w:num w:numId="36">
    <w:abstractNumId w:val="67"/>
  </w:num>
  <w:num w:numId="37">
    <w:abstractNumId w:val="62"/>
  </w:num>
  <w:num w:numId="38">
    <w:abstractNumId w:val="9"/>
  </w:num>
  <w:num w:numId="39">
    <w:abstractNumId w:val="31"/>
  </w:num>
  <w:num w:numId="40">
    <w:abstractNumId w:val="71"/>
  </w:num>
  <w:num w:numId="41">
    <w:abstractNumId w:val="65"/>
  </w:num>
  <w:num w:numId="42">
    <w:abstractNumId w:val="8"/>
  </w:num>
  <w:num w:numId="43">
    <w:abstractNumId w:val="64"/>
  </w:num>
  <w:num w:numId="44">
    <w:abstractNumId w:val="17"/>
  </w:num>
  <w:num w:numId="45">
    <w:abstractNumId w:val="43"/>
  </w:num>
  <w:num w:numId="46">
    <w:abstractNumId w:val="12"/>
  </w:num>
  <w:num w:numId="47">
    <w:abstractNumId w:val="61"/>
  </w:num>
  <w:num w:numId="48">
    <w:abstractNumId w:val="18"/>
  </w:num>
  <w:num w:numId="49">
    <w:abstractNumId w:val="11"/>
  </w:num>
  <w:num w:numId="50">
    <w:abstractNumId w:val="51"/>
  </w:num>
  <w:num w:numId="51">
    <w:abstractNumId w:val="37"/>
  </w:num>
  <w:num w:numId="52">
    <w:abstractNumId w:val="75"/>
  </w:num>
  <w:num w:numId="53">
    <w:abstractNumId w:val="57"/>
  </w:num>
  <w:num w:numId="54">
    <w:abstractNumId w:val="0"/>
  </w:num>
  <w:num w:numId="55">
    <w:abstractNumId w:val="60"/>
  </w:num>
  <w:num w:numId="56">
    <w:abstractNumId w:val="66"/>
  </w:num>
  <w:num w:numId="57">
    <w:abstractNumId w:val="56"/>
  </w:num>
  <w:num w:numId="58">
    <w:abstractNumId w:val="30"/>
  </w:num>
  <w:num w:numId="59">
    <w:abstractNumId w:val="47"/>
  </w:num>
  <w:num w:numId="60">
    <w:abstractNumId w:val="68"/>
    <w:lvlOverride w:ilvl="0">
      <w:startOverride w:val="1"/>
    </w:lvlOverride>
  </w:num>
  <w:num w:numId="61">
    <w:abstractNumId w:val="68"/>
  </w:num>
  <w:num w:numId="62">
    <w:abstractNumId w:val="53"/>
    <w:lvlOverride w:ilvl="0">
      <w:startOverride w:val="1"/>
    </w:lvlOverride>
  </w:num>
  <w:num w:numId="63">
    <w:abstractNumId w:val="63"/>
  </w:num>
  <w:num w:numId="64">
    <w:abstractNumId w:val="49"/>
  </w:num>
  <w:num w:numId="65">
    <w:abstractNumId w:val="15"/>
  </w:num>
  <w:num w:numId="66">
    <w:abstractNumId w:val="24"/>
  </w:num>
  <w:num w:numId="67">
    <w:abstractNumId w:val="54"/>
  </w:num>
  <w:num w:numId="68">
    <w:abstractNumId w:val="34"/>
  </w:num>
  <w:num w:numId="69">
    <w:abstractNumId w:val="70"/>
  </w:num>
  <w:num w:numId="70">
    <w:abstractNumId w:val="1"/>
  </w:num>
  <w:num w:numId="71">
    <w:abstractNumId w:val="23"/>
  </w:num>
  <w:num w:numId="72">
    <w:abstractNumId w:val="3"/>
  </w:num>
  <w:num w:numId="73">
    <w:abstractNumId w:val="39"/>
  </w:num>
  <w:num w:numId="74">
    <w:abstractNumId w:val="2"/>
  </w:num>
  <w:num w:numId="75">
    <w:abstractNumId w:val="7"/>
  </w:num>
  <w:num w:numId="76">
    <w:abstractNumId w:val="69"/>
  </w:num>
  <w:num w:numId="77">
    <w:abstractNumId w:val="36"/>
  </w:num>
  <w:num w:numId="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172A27"/>
    <w:rsid w:val="0000041E"/>
    <w:rsid w:val="000005B2"/>
    <w:rsid w:val="00000A5A"/>
    <w:rsid w:val="00000CA4"/>
    <w:rsid w:val="00000DB0"/>
    <w:rsid w:val="00000FB1"/>
    <w:rsid w:val="00001D52"/>
    <w:rsid w:val="00002141"/>
    <w:rsid w:val="00002222"/>
    <w:rsid w:val="00002245"/>
    <w:rsid w:val="000022D6"/>
    <w:rsid w:val="00002394"/>
    <w:rsid w:val="00002603"/>
    <w:rsid w:val="00002ABE"/>
    <w:rsid w:val="000048DF"/>
    <w:rsid w:val="00004C0B"/>
    <w:rsid w:val="000053B9"/>
    <w:rsid w:val="0000592B"/>
    <w:rsid w:val="00005C37"/>
    <w:rsid w:val="0000734F"/>
    <w:rsid w:val="0000735D"/>
    <w:rsid w:val="00007A61"/>
    <w:rsid w:val="00010888"/>
    <w:rsid w:val="00010A4F"/>
    <w:rsid w:val="000112F2"/>
    <w:rsid w:val="000113B8"/>
    <w:rsid w:val="00011A77"/>
    <w:rsid w:val="00011D54"/>
    <w:rsid w:val="00012B68"/>
    <w:rsid w:val="00012C32"/>
    <w:rsid w:val="000135E0"/>
    <w:rsid w:val="000139F5"/>
    <w:rsid w:val="00014E01"/>
    <w:rsid w:val="000153B1"/>
    <w:rsid w:val="00015CD6"/>
    <w:rsid w:val="00016442"/>
    <w:rsid w:val="00016B91"/>
    <w:rsid w:val="0001767D"/>
    <w:rsid w:val="00017C97"/>
    <w:rsid w:val="00017F9A"/>
    <w:rsid w:val="00020314"/>
    <w:rsid w:val="00020488"/>
    <w:rsid w:val="00020799"/>
    <w:rsid w:val="00020AC9"/>
    <w:rsid w:val="00020B92"/>
    <w:rsid w:val="00020CDA"/>
    <w:rsid w:val="000212A0"/>
    <w:rsid w:val="000212C7"/>
    <w:rsid w:val="00021DD4"/>
    <w:rsid w:val="00022317"/>
    <w:rsid w:val="00022432"/>
    <w:rsid w:val="000224BA"/>
    <w:rsid w:val="000227D6"/>
    <w:rsid w:val="00023246"/>
    <w:rsid w:val="000242C0"/>
    <w:rsid w:val="000246A5"/>
    <w:rsid w:val="00024A47"/>
    <w:rsid w:val="0002501E"/>
    <w:rsid w:val="0002597B"/>
    <w:rsid w:val="00025A38"/>
    <w:rsid w:val="0002607A"/>
    <w:rsid w:val="000269B8"/>
    <w:rsid w:val="000269DB"/>
    <w:rsid w:val="00026A54"/>
    <w:rsid w:val="0002725C"/>
    <w:rsid w:val="000273A0"/>
    <w:rsid w:val="00027512"/>
    <w:rsid w:val="000279DD"/>
    <w:rsid w:val="00027C5F"/>
    <w:rsid w:val="00030159"/>
    <w:rsid w:val="0003098E"/>
    <w:rsid w:val="000309B2"/>
    <w:rsid w:val="00030AC0"/>
    <w:rsid w:val="00030B7E"/>
    <w:rsid w:val="00030C17"/>
    <w:rsid w:val="00030DEA"/>
    <w:rsid w:val="00030FF3"/>
    <w:rsid w:val="0003115A"/>
    <w:rsid w:val="00031312"/>
    <w:rsid w:val="00031458"/>
    <w:rsid w:val="00031C95"/>
    <w:rsid w:val="00031CC0"/>
    <w:rsid w:val="000320AE"/>
    <w:rsid w:val="0003218C"/>
    <w:rsid w:val="0003233C"/>
    <w:rsid w:val="0003317C"/>
    <w:rsid w:val="000339C5"/>
    <w:rsid w:val="00033DED"/>
    <w:rsid w:val="00034FA3"/>
    <w:rsid w:val="0003530A"/>
    <w:rsid w:val="00035C46"/>
    <w:rsid w:val="00035E86"/>
    <w:rsid w:val="00036025"/>
    <w:rsid w:val="000363CC"/>
    <w:rsid w:val="00036ED9"/>
    <w:rsid w:val="000371E3"/>
    <w:rsid w:val="00037289"/>
    <w:rsid w:val="000377A9"/>
    <w:rsid w:val="0003782F"/>
    <w:rsid w:val="00037C22"/>
    <w:rsid w:val="0004018D"/>
    <w:rsid w:val="00040732"/>
    <w:rsid w:val="000408E9"/>
    <w:rsid w:val="00040A30"/>
    <w:rsid w:val="00040F5C"/>
    <w:rsid w:val="00041462"/>
    <w:rsid w:val="000414F3"/>
    <w:rsid w:val="00041A12"/>
    <w:rsid w:val="00042F82"/>
    <w:rsid w:val="0004324E"/>
    <w:rsid w:val="00043610"/>
    <w:rsid w:val="000439D2"/>
    <w:rsid w:val="000439E4"/>
    <w:rsid w:val="00044593"/>
    <w:rsid w:val="00044BBB"/>
    <w:rsid w:val="00044DC3"/>
    <w:rsid w:val="00045954"/>
    <w:rsid w:val="00046489"/>
    <w:rsid w:val="0004664F"/>
    <w:rsid w:val="0004674B"/>
    <w:rsid w:val="000468D6"/>
    <w:rsid w:val="00046BE8"/>
    <w:rsid w:val="0004721E"/>
    <w:rsid w:val="00047238"/>
    <w:rsid w:val="00047F7C"/>
    <w:rsid w:val="0005032B"/>
    <w:rsid w:val="000504A4"/>
    <w:rsid w:val="00050C79"/>
    <w:rsid w:val="00050FE0"/>
    <w:rsid w:val="0005110A"/>
    <w:rsid w:val="000514B1"/>
    <w:rsid w:val="000515ED"/>
    <w:rsid w:val="00051A3D"/>
    <w:rsid w:val="00052036"/>
    <w:rsid w:val="00052090"/>
    <w:rsid w:val="000523D4"/>
    <w:rsid w:val="0005317E"/>
    <w:rsid w:val="000531CD"/>
    <w:rsid w:val="0005324F"/>
    <w:rsid w:val="00053AF4"/>
    <w:rsid w:val="00053BED"/>
    <w:rsid w:val="0005404C"/>
    <w:rsid w:val="000546CE"/>
    <w:rsid w:val="00054B1A"/>
    <w:rsid w:val="00054C08"/>
    <w:rsid w:val="0005503C"/>
    <w:rsid w:val="00055224"/>
    <w:rsid w:val="00055EC0"/>
    <w:rsid w:val="00055F1C"/>
    <w:rsid w:val="00056605"/>
    <w:rsid w:val="0005660D"/>
    <w:rsid w:val="00056655"/>
    <w:rsid w:val="0005683E"/>
    <w:rsid w:val="00057706"/>
    <w:rsid w:val="00057C20"/>
    <w:rsid w:val="00060308"/>
    <w:rsid w:val="0006057C"/>
    <w:rsid w:val="000606B7"/>
    <w:rsid w:val="0006099A"/>
    <w:rsid w:val="00060BD8"/>
    <w:rsid w:val="00060CA9"/>
    <w:rsid w:val="00060EEA"/>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789"/>
    <w:rsid w:val="000709E5"/>
    <w:rsid w:val="00070A8F"/>
    <w:rsid w:val="00070C61"/>
    <w:rsid w:val="00070F91"/>
    <w:rsid w:val="000711FA"/>
    <w:rsid w:val="0007215B"/>
    <w:rsid w:val="0007222C"/>
    <w:rsid w:val="00072C58"/>
    <w:rsid w:val="00073142"/>
    <w:rsid w:val="000732A5"/>
    <w:rsid w:val="00073475"/>
    <w:rsid w:val="00073AD6"/>
    <w:rsid w:val="00074087"/>
    <w:rsid w:val="000749A9"/>
    <w:rsid w:val="00074E8A"/>
    <w:rsid w:val="00076CAE"/>
    <w:rsid w:val="00076F5D"/>
    <w:rsid w:val="00077923"/>
    <w:rsid w:val="00077B4A"/>
    <w:rsid w:val="000800FE"/>
    <w:rsid w:val="00080321"/>
    <w:rsid w:val="0008047A"/>
    <w:rsid w:val="00080772"/>
    <w:rsid w:val="00081104"/>
    <w:rsid w:val="000811EA"/>
    <w:rsid w:val="0008172C"/>
    <w:rsid w:val="00081A1C"/>
    <w:rsid w:val="00081D85"/>
    <w:rsid w:val="00081E62"/>
    <w:rsid w:val="0008238E"/>
    <w:rsid w:val="000828D6"/>
    <w:rsid w:val="00082BCA"/>
    <w:rsid w:val="000833B1"/>
    <w:rsid w:val="00083413"/>
    <w:rsid w:val="00083701"/>
    <w:rsid w:val="00083841"/>
    <w:rsid w:val="00083A81"/>
    <w:rsid w:val="00083B44"/>
    <w:rsid w:val="0008432B"/>
    <w:rsid w:val="0008435D"/>
    <w:rsid w:val="0008437E"/>
    <w:rsid w:val="000845C3"/>
    <w:rsid w:val="00084DDE"/>
    <w:rsid w:val="000851A1"/>
    <w:rsid w:val="000851E7"/>
    <w:rsid w:val="00085BF1"/>
    <w:rsid w:val="00085CEA"/>
    <w:rsid w:val="00085F40"/>
    <w:rsid w:val="00085F55"/>
    <w:rsid w:val="00086027"/>
    <w:rsid w:val="000864A7"/>
    <w:rsid w:val="000865E8"/>
    <w:rsid w:val="00086699"/>
    <w:rsid w:val="00086BE6"/>
    <w:rsid w:val="0008713E"/>
    <w:rsid w:val="00087972"/>
    <w:rsid w:val="000879B9"/>
    <w:rsid w:val="00087E4D"/>
    <w:rsid w:val="0009010D"/>
    <w:rsid w:val="0009029D"/>
    <w:rsid w:val="000904D8"/>
    <w:rsid w:val="00090740"/>
    <w:rsid w:val="00091142"/>
    <w:rsid w:val="00091F51"/>
    <w:rsid w:val="000927EA"/>
    <w:rsid w:val="000928D3"/>
    <w:rsid w:val="00092E1C"/>
    <w:rsid w:val="00092F62"/>
    <w:rsid w:val="00092FFA"/>
    <w:rsid w:val="00093104"/>
    <w:rsid w:val="00093636"/>
    <w:rsid w:val="0009382B"/>
    <w:rsid w:val="000941AD"/>
    <w:rsid w:val="00094315"/>
    <w:rsid w:val="00094F84"/>
    <w:rsid w:val="00095670"/>
    <w:rsid w:val="000959BA"/>
    <w:rsid w:val="00095AF5"/>
    <w:rsid w:val="000966A3"/>
    <w:rsid w:val="00096AF3"/>
    <w:rsid w:val="000A0A9A"/>
    <w:rsid w:val="000A0F18"/>
    <w:rsid w:val="000A12BB"/>
    <w:rsid w:val="000A1564"/>
    <w:rsid w:val="000A18AC"/>
    <w:rsid w:val="000A18D6"/>
    <w:rsid w:val="000A1D99"/>
    <w:rsid w:val="000A28E1"/>
    <w:rsid w:val="000A2B83"/>
    <w:rsid w:val="000A2BEF"/>
    <w:rsid w:val="000A2D94"/>
    <w:rsid w:val="000A2DD4"/>
    <w:rsid w:val="000A4D1F"/>
    <w:rsid w:val="000A51A8"/>
    <w:rsid w:val="000A5F75"/>
    <w:rsid w:val="000A663D"/>
    <w:rsid w:val="000A6A6F"/>
    <w:rsid w:val="000A6F35"/>
    <w:rsid w:val="000A79C2"/>
    <w:rsid w:val="000A7CBD"/>
    <w:rsid w:val="000B0107"/>
    <w:rsid w:val="000B077E"/>
    <w:rsid w:val="000B0FDA"/>
    <w:rsid w:val="000B1026"/>
    <w:rsid w:val="000B13A4"/>
    <w:rsid w:val="000B17A7"/>
    <w:rsid w:val="000B2B72"/>
    <w:rsid w:val="000B2EBB"/>
    <w:rsid w:val="000B300A"/>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CE6"/>
    <w:rsid w:val="000B6DC5"/>
    <w:rsid w:val="000B789A"/>
    <w:rsid w:val="000B7A94"/>
    <w:rsid w:val="000B7B84"/>
    <w:rsid w:val="000B7CA5"/>
    <w:rsid w:val="000C0146"/>
    <w:rsid w:val="000C027F"/>
    <w:rsid w:val="000C0995"/>
    <w:rsid w:val="000C09BF"/>
    <w:rsid w:val="000C0AE0"/>
    <w:rsid w:val="000C1167"/>
    <w:rsid w:val="000C11EF"/>
    <w:rsid w:val="000C1AD5"/>
    <w:rsid w:val="000C1BB2"/>
    <w:rsid w:val="000C2144"/>
    <w:rsid w:val="000C28CF"/>
    <w:rsid w:val="000C3A22"/>
    <w:rsid w:val="000C3B06"/>
    <w:rsid w:val="000C3E9B"/>
    <w:rsid w:val="000C3FDC"/>
    <w:rsid w:val="000C46F4"/>
    <w:rsid w:val="000C4892"/>
    <w:rsid w:val="000C512D"/>
    <w:rsid w:val="000C5AD3"/>
    <w:rsid w:val="000C5DA6"/>
    <w:rsid w:val="000C5ED6"/>
    <w:rsid w:val="000C61C4"/>
    <w:rsid w:val="000C684A"/>
    <w:rsid w:val="000C70E7"/>
    <w:rsid w:val="000C74BD"/>
    <w:rsid w:val="000C7979"/>
    <w:rsid w:val="000C7CC7"/>
    <w:rsid w:val="000D0A31"/>
    <w:rsid w:val="000D113D"/>
    <w:rsid w:val="000D1194"/>
    <w:rsid w:val="000D1345"/>
    <w:rsid w:val="000D1464"/>
    <w:rsid w:val="000D1623"/>
    <w:rsid w:val="000D1F53"/>
    <w:rsid w:val="000D22B9"/>
    <w:rsid w:val="000D320C"/>
    <w:rsid w:val="000D3804"/>
    <w:rsid w:val="000D3947"/>
    <w:rsid w:val="000D3A1B"/>
    <w:rsid w:val="000D3C80"/>
    <w:rsid w:val="000D3CC4"/>
    <w:rsid w:val="000D3CD3"/>
    <w:rsid w:val="000D3DD1"/>
    <w:rsid w:val="000D5080"/>
    <w:rsid w:val="000D50F0"/>
    <w:rsid w:val="000D51A9"/>
    <w:rsid w:val="000D5A80"/>
    <w:rsid w:val="000D5B6A"/>
    <w:rsid w:val="000D6207"/>
    <w:rsid w:val="000D6503"/>
    <w:rsid w:val="000D6FBB"/>
    <w:rsid w:val="000D70CC"/>
    <w:rsid w:val="000D7A1E"/>
    <w:rsid w:val="000D7F5B"/>
    <w:rsid w:val="000E00FD"/>
    <w:rsid w:val="000E1190"/>
    <w:rsid w:val="000E1919"/>
    <w:rsid w:val="000E2460"/>
    <w:rsid w:val="000E299F"/>
    <w:rsid w:val="000E32E6"/>
    <w:rsid w:val="000E35AE"/>
    <w:rsid w:val="000E39E7"/>
    <w:rsid w:val="000E3D06"/>
    <w:rsid w:val="000E3D32"/>
    <w:rsid w:val="000E471F"/>
    <w:rsid w:val="000E4726"/>
    <w:rsid w:val="000E478A"/>
    <w:rsid w:val="000E47BA"/>
    <w:rsid w:val="000E47F3"/>
    <w:rsid w:val="000E4B94"/>
    <w:rsid w:val="000E4E74"/>
    <w:rsid w:val="000E5982"/>
    <w:rsid w:val="000E5C2B"/>
    <w:rsid w:val="000E5E39"/>
    <w:rsid w:val="000E66A7"/>
    <w:rsid w:val="000E66D7"/>
    <w:rsid w:val="000E6B6A"/>
    <w:rsid w:val="000E706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29AC"/>
    <w:rsid w:val="000F41A4"/>
    <w:rsid w:val="000F4215"/>
    <w:rsid w:val="000F43F3"/>
    <w:rsid w:val="000F4638"/>
    <w:rsid w:val="000F46F8"/>
    <w:rsid w:val="000F50BE"/>
    <w:rsid w:val="000F52FB"/>
    <w:rsid w:val="000F6854"/>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66"/>
    <w:rsid w:val="001025B1"/>
    <w:rsid w:val="00102791"/>
    <w:rsid w:val="0010287D"/>
    <w:rsid w:val="00102A7B"/>
    <w:rsid w:val="00102C2C"/>
    <w:rsid w:val="00102EFD"/>
    <w:rsid w:val="00102F07"/>
    <w:rsid w:val="001031A2"/>
    <w:rsid w:val="001032A2"/>
    <w:rsid w:val="00103467"/>
    <w:rsid w:val="001037C5"/>
    <w:rsid w:val="00104624"/>
    <w:rsid w:val="0010496D"/>
    <w:rsid w:val="00104E5A"/>
    <w:rsid w:val="0010517F"/>
    <w:rsid w:val="001056EE"/>
    <w:rsid w:val="0010598E"/>
    <w:rsid w:val="00105BC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348"/>
    <w:rsid w:val="0012141B"/>
    <w:rsid w:val="00121751"/>
    <w:rsid w:val="00121C6D"/>
    <w:rsid w:val="00121E5C"/>
    <w:rsid w:val="00121FDB"/>
    <w:rsid w:val="001227EB"/>
    <w:rsid w:val="0012281C"/>
    <w:rsid w:val="00123C16"/>
    <w:rsid w:val="00124226"/>
    <w:rsid w:val="001249C0"/>
    <w:rsid w:val="00124AD1"/>
    <w:rsid w:val="00125364"/>
    <w:rsid w:val="0012541F"/>
    <w:rsid w:val="001254AB"/>
    <w:rsid w:val="001254BE"/>
    <w:rsid w:val="001256FF"/>
    <w:rsid w:val="0012580D"/>
    <w:rsid w:val="001259A1"/>
    <w:rsid w:val="00125F59"/>
    <w:rsid w:val="001260CF"/>
    <w:rsid w:val="001261D7"/>
    <w:rsid w:val="001265CA"/>
    <w:rsid w:val="001266DC"/>
    <w:rsid w:val="0012683C"/>
    <w:rsid w:val="00126FA1"/>
    <w:rsid w:val="001272D1"/>
    <w:rsid w:val="001275EF"/>
    <w:rsid w:val="00127799"/>
    <w:rsid w:val="0012795E"/>
    <w:rsid w:val="00130287"/>
    <w:rsid w:val="00130430"/>
    <w:rsid w:val="001308D2"/>
    <w:rsid w:val="00130DAB"/>
    <w:rsid w:val="00131251"/>
    <w:rsid w:val="0013176B"/>
    <w:rsid w:val="00131BBA"/>
    <w:rsid w:val="00132AA3"/>
    <w:rsid w:val="001330FA"/>
    <w:rsid w:val="00133316"/>
    <w:rsid w:val="00134709"/>
    <w:rsid w:val="00134775"/>
    <w:rsid w:val="00134D1B"/>
    <w:rsid w:val="00134DF1"/>
    <w:rsid w:val="00134ED2"/>
    <w:rsid w:val="00134EE2"/>
    <w:rsid w:val="00135516"/>
    <w:rsid w:val="00135B96"/>
    <w:rsid w:val="00135C3F"/>
    <w:rsid w:val="001368C4"/>
    <w:rsid w:val="00136A2C"/>
    <w:rsid w:val="0013740C"/>
    <w:rsid w:val="00137B9C"/>
    <w:rsid w:val="00140FCE"/>
    <w:rsid w:val="0014166D"/>
    <w:rsid w:val="00141BB9"/>
    <w:rsid w:val="00141BDE"/>
    <w:rsid w:val="00142D9E"/>
    <w:rsid w:val="00143119"/>
    <w:rsid w:val="0014318E"/>
    <w:rsid w:val="001432CC"/>
    <w:rsid w:val="00143BFC"/>
    <w:rsid w:val="00144385"/>
    <w:rsid w:val="0014452C"/>
    <w:rsid w:val="00144707"/>
    <w:rsid w:val="00144DC1"/>
    <w:rsid w:val="0014520E"/>
    <w:rsid w:val="00145360"/>
    <w:rsid w:val="001453E3"/>
    <w:rsid w:val="00145D1A"/>
    <w:rsid w:val="001463EB"/>
    <w:rsid w:val="001466FA"/>
    <w:rsid w:val="001469C2"/>
    <w:rsid w:val="001469EF"/>
    <w:rsid w:val="00146E46"/>
    <w:rsid w:val="00147069"/>
    <w:rsid w:val="00147618"/>
    <w:rsid w:val="001477E5"/>
    <w:rsid w:val="00150453"/>
    <w:rsid w:val="00150736"/>
    <w:rsid w:val="00150B4A"/>
    <w:rsid w:val="00151262"/>
    <w:rsid w:val="00151DA5"/>
    <w:rsid w:val="0015262E"/>
    <w:rsid w:val="00153166"/>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ED4"/>
    <w:rsid w:val="0016100D"/>
    <w:rsid w:val="001613E9"/>
    <w:rsid w:val="00161DAA"/>
    <w:rsid w:val="001625CA"/>
    <w:rsid w:val="001627FB"/>
    <w:rsid w:val="00162B36"/>
    <w:rsid w:val="00162C50"/>
    <w:rsid w:val="00164DD0"/>
    <w:rsid w:val="00165ADC"/>
    <w:rsid w:val="00165B11"/>
    <w:rsid w:val="00166233"/>
    <w:rsid w:val="00166473"/>
    <w:rsid w:val="001666F8"/>
    <w:rsid w:val="001672BE"/>
    <w:rsid w:val="001672CE"/>
    <w:rsid w:val="0016739C"/>
    <w:rsid w:val="00167B26"/>
    <w:rsid w:val="00167F97"/>
    <w:rsid w:val="0017019A"/>
    <w:rsid w:val="0017044C"/>
    <w:rsid w:val="00170A2F"/>
    <w:rsid w:val="00171090"/>
    <w:rsid w:val="001711B6"/>
    <w:rsid w:val="00171490"/>
    <w:rsid w:val="00171D44"/>
    <w:rsid w:val="00171E46"/>
    <w:rsid w:val="00171E67"/>
    <w:rsid w:val="00171E9D"/>
    <w:rsid w:val="00172545"/>
    <w:rsid w:val="00172D51"/>
    <w:rsid w:val="001732AE"/>
    <w:rsid w:val="0017396E"/>
    <w:rsid w:val="00173C2E"/>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872"/>
    <w:rsid w:val="00181C04"/>
    <w:rsid w:val="00181CD3"/>
    <w:rsid w:val="0018208B"/>
    <w:rsid w:val="00182148"/>
    <w:rsid w:val="001821CF"/>
    <w:rsid w:val="001827F1"/>
    <w:rsid w:val="00182A39"/>
    <w:rsid w:val="00182D4D"/>
    <w:rsid w:val="001836EB"/>
    <w:rsid w:val="001849AE"/>
    <w:rsid w:val="00185901"/>
    <w:rsid w:val="00185FC7"/>
    <w:rsid w:val="0018620B"/>
    <w:rsid w:val="00186290"/>
    <w:rsid w:val="00186A1A"/>
    <w:rsid w:val="00187362"/>
    <w:rsid w:val="00187450"/>
    <w:rsid w:val="00187732"/>
    <w:rsid w:val="0018785C"/>
    <w:rsid w:val="0018789C"/>
    <w:rsid w:val="00187BDF"/>
    <w:rsid w:val="00187D3A"/>
    <w:rsid w:val="00187FAE"/>
    <w:rsid w:val="00190497"/>
    <w:rsid w:val="00190649"/>
    <w:rsid w:val="0019138D"/>
    <w:rsid w:val="00192653"/>
    <w:rsid w:val="0019287C"/>
    <w:rsid w:val="00192F49"/>
    <w:rsid w:val="001933F2"/>
    <w:rsid w:val="00193851"/>
    <w:rsid w:val="001938C1"/>
    <w:rsid w:val="001944C2"/>
    <w:rsid w:val="001947C3"/>
    <w:rsid w:val="00194C47"/>
    <w:rsid w:val="001955CE"/>
    <w:rsid w:val="00195718"/>
    <w:rsid w:val="0019623F"/>
    <w:rsid w:val="00196466"/>
    <w:rsid w:val="00196560"/>
    <w:rsid w:val="00196AF5"/>
    <w:rsid w:val="001975A1"/>
    <w:rsid w:val="0019787F"/>
    <w:rsid w:val="001A0170"/>
    <w:rsid w:val="001A0680"/>
    <w:rsid w:val="001A07BB"/>
    <w:rsid w:val="001A0D2C"/>
    <w:rsid w:val="001A1842"/>
    <w:rsid w:val="001A1D84"/>
    <w:rsid w:val="001A1D94"/>
    <w:rsid w:val="001A2009"/>
    <w:rsid w:val="001A2AA2"/>
    <w:rsid w:val="001A311C"/>
    <w:rsid w:val="001A3232"/>
    <w:rsid w:val="001A4708"/>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7F2"/>
    <w:rsid w:val="001B0D02"/>
    <w:rsid w:val="001B13A6"/>
    <w:rsid w:val="001B2027"/>
    <w:rsid w:val="001B2388"/>
    <w:rsid w:val="001B2580"/>
    <w:rsid w:val="001B3285"/>
    <w:rsid w:val="001B4023"/>
    <w:rsid w:val="001B4345"/>
    <w:rsid w:val="001B5161"/>
    <w:rsid w:val="001B5175"/>
    <w:rsid w:val="001B5193"/>
    <w:rsid w:val="001B59A7"/>
    <w:rsid w:val="001B5F7E"/>
    <w:rsid w:val="001B622D"/>
    <w:rsid w:val="001B67CC"/>
    <w:rsid w:val="001B77EC"/>
    <w:rsid w:val="001C0001"/>
    <w:rsid w:val="001C0C12"/>
    <w:rsid w:val="001C0C45"/>
    <w:rsid w:val="001C1041"/>
    <w:rsid w:val="001C12CC"/>
    <w:rsid w:val="001C1588"/>
    <w:rsid w:val="001C1667"/>
    <w:rsid w:val="001C1D6E"/>
    <w:rsid w:val="001C2FC4"/>
    <w:rsid w:val="001C301A"/>
    <w:rsid w:val="001C3059"/>
    <w:rsid w:val="001C326E"/>
    <w:rsid w:val="001C350D"/>
    <w:rsid w:val="001C3604"/>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7301"/>
    <w:rsid w:val="001C79E0"/>
    <w:rsid w:val="001D040A"/>
    <w:rsid w:val="001D0445"/>
    <w:rsid w:val="001D06D1"/>
    <w:rsid w:val="001D07B3"/>
    <w:rsid w:val="001D0E32"/>
    <w:rsid w:val="001D15B1"/>
    <w:rsid w:val="001D1657"/>
    <w:rsid w:val="001D1806"/>
    <w:rsid w:val="001D2E3D"/>
    <w:rsid w:val="001D33A5"/>
    <w:rsid w:val="001D37FB"/>
    <w:rsid w:val="001D3BC0"/>
    <w:rsid w:val="001D54B5"/>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E03"/>
    <w:rsid w:val="001E1E90"/>
    <w:rsid w:val="001E1EDE"/>
    <w:rsid w:val="001E23BA"/>
    <w:rsid w:val="001E2EEE"/>
    <w:rsid w:val="001E335E"/>
    <w:rsid w:val="001E4112"/>
    <w:rsid w:val="001E42DA"/>
    <w:rsid w:val="001E5653"/>
    <w:rsid w:val="001E57A9"/>
    <w:rsid w:val="001E65D2"/>
    <w:rsid w:val="001E67CF"/>
    <w:rsid w:val="001E69E3"/>
    <w:rsid w:val="001E6DFF"/>
    <w:rsid w:val="001E7241"/>
    <w:rsid w:val="001E75B3"/>
    <w:rsid w:val="001E7B13"/>
    <w:rsid w:val="001E7BF5"/>
    <w:rsid w:val="001F057E"/>
    <w:rsid w:val="001F0863"/>
    <w:rsid w:val="001F086D"/>
    <w:rsid w:val="001F0FC8"/>
    <w:rsid w:val="001F1053"/>
    <w:rsid w:val="001F125B"/>
    <w:rsid w:val="001F1856"/>
    <w:rsid w:val="001F1B32"/>
    <w:rsid w:val="001F1C21"/>
    <w:rsid w:val="001F1D39"/>
    <w:rsid w:val="001F28B8"/>
    <w:rsid w:val="001F3B1C"/>
    <w:rsid w:val="001F41D5"/>
    <w:rsid w:val="001F4393"/>
    <w:rsid w:val="001F45F6"/>
    <w:rsid w:val="001F4618"/>
    <w:rsid w:val="001F4AA8"/>
    <w:rsid w:val="001F50A9"/>
    <w:rsid w:val="001F5316"/>
    <w:rsid w:val="001F5B78"/>
    <w:rsid w:val="001F5F00"/>
    <w:rsid w:val="001F65DD"/>
    <w:rsid w:val="001F70C8"/>
    <w:rsid w:val="001F71F3"/>
    <w:rsid w:val="001F7D9E"/>
    <w:rsid w:val="001F7DF3"/>
    <w:rsid w:val="0020066C"/>
    <w:rsid w:val="00200AFB"/>
    <w:rsid w:val="00201455"/>
    <w:rsid w:val="002015E8"/>
    <w:rsid w:val="0020195F"/>
    <w:rsid w:val="00202004"/>
    <w:rsid w:val="0020241D"/>
    <w:rsid w:val="00202659"/>
    <w:rsid w:val="00202C76"/>
    <w:rsid w:val="00202EC0"/>
    <w:rsid w:val="0020323F"/>
    <w:rsid w:val="0020340E"/>
    <w:rsid w:val="00203FA1"/>
    <w:rsid w:val="002041F7"/>
    <w:rsid w:val="0020445C"/>
    <w:rsid w:val="00204600"/>
    <w:rsid w:val="002049A9"/>
    <w:rsid w:val="00204AF5"/>
    <w:rsid w:val="002059B2"/>
    <w:rsid w:val="0020612B"/>
    <w:rsid w:val="0020634B"/>
    <w:rsid w:val="002067AD"/>
    <w:rsid w:val="00206AAB"/>
    <w:rsid w:val="00206D10"/>
    <w:rsid w:val="00207035"/>
    <w:rsid w:val="00207216"/>
    <w:rsid w:val="00207581"/>
    <w:rsid w:val="00207666"/>
    <w:rsid w:val="002076A0"/>
    <w:rsid w:val="00207759"/>
    <w:rsid w:val="00207F13"/>
    <w:rsid w:val="002106B4"/>
    <w:rsid w:val="00210A8A"/>
    <w:rsid w:val="00210ABF"/>
    <w:rsid w:val="00210FA4"/>
    <w:rsid w:val="0021124A"/>
    <w:rsid w:val="002115B7"/>
    <w:rsid w:val="00211725"/>
    <w:rsid w:val="00211969"/>
    <w:rsid w:val="00211AE7"/>
    <w:rsid w:val="00211D74"/>
    <w:rsid w:val="00212329"/>
    <w:rsid w:val="002123AF"/>
    <w:rsid w:val="002124B2"/>
    <w:rsid w:val="002125D1"/>
    <w:rsid w:val="00212D31"/>
    <w:rsid w:val="002130E3"/>
    <w:rsid w:val="002138B5"/>
    <w:rsid w:val="00213C4C"/>
    <w:rsid w:val="00213C7E"/>
    <w:rsid w:val="00213D49"/>
    <w:rsid w:val="00213DCC"/>
    <w:rsid w:val="00213F33"/>
    <w:rsid w:val="00214A6C"/>
    <w:rsid w:val="0021524E"/>
    <w:rsid w:val="00215491"/>
    <w:rsid w:val="0021598F"/>
    <w:rsid w:val="00215F99"/>
    <w:rsid w:val="002163DC"/>
    <w:rsid w:val="00216752"/>
    <w:rsid w:val="00216DAB"/>
    <w:rsid w:val="00216E52"/>
    <w:rsid w:val="00217038"/>
    <w:rsid w:val="002174CA"/>
    <w:rsid w:val="002176C4"/>
    <w:rsid w:val="00217AC6"/>
    <w:rsid w:val="00217D23"/>
    <w:rsid w:val="00220322"/>
    <w:rsid w:val="0022086B"/>
    <w:rsid w:val="00221591"/>
    <w:rsid w:val="002218A5"/>
    <w:rsid w:val="002219D5"/>
    <w:rsid w:val="00221BFE"/>
    <w:rsid w:val="00221C17"/>
    <w:rsid w:val="002222F9"/>
    <w:rsid w:val="0022234B"/>
    <w:rsid w:val="00222AE0"/>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67C"/>
    <w:rsid w:val="0023226C"/>
    <w:rsid w:val="002323AF"/>
    <w:rsid w:val="00232BEA"/>
    <w:rsid w:val="00232DEF"/>
    <w:rsid w:val="00233E2B"/>
    <w:rsid w:val="0023457B"/>
    <w:rsid w:val="00234A90"/>
    <w:rsid w:val="00234C09"/>
    <w:rsid w:val="0023585B"/>
    <w:rsid w:val="00235B08"/>
    <w:rsid w:val="0023620A"/>
    <w:rsid w:val="00236893"/>
    <w:rsid w:val="00236A11"/>
    <w:rsid w:val="00236AB7"/>
    <w:rsid w:val="00236D74"/>
    <w:rsid w:val="00236E65"/>
    <w:rsid w:val="00236FEA"/>
    <w:rsid w:val="00237A86"/>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7F9"/>
    <w:rsid w:val="002444D2"/>
    <w:rsid w:val="00244AA4"/>
    <w:rsid w:val="00244BF6"/>
    <w:rsid w:val="00244CEA"/>
    <w:rsid w:val="0024619E"/>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B0"/>
    <w:rsid w:val="002517D1"/>
    <w:rsid w:val="00251825"/>
    <w:rsid w:val="002519E7"/>
    <w:rsid w:val="00251A5A"/>
    <w:rsid w:val="00251BDA"/>
    <w:rsid w:val="0025224E"/>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6414"/>
    <w:rsid w:val="00256FB2"/>
    <w:rsid w:val="0025726E"/>
    <w:rsid w:val="002578CE"/>
    <w:rsid w:val="002579D2"/>
    <w:rsid w:val="00257E7D"/>
    <w:rsid w:val="002600D7"/>
    <w:rsid w:val="002602EC"/>
    <w:rsid w:val="00260450"/>
    <w:rsid w:val="00260573"/>
    <w:rsid w:val="0026117D"/>
    <w:rsid w:val="00261604"/>
    <w:rsid w:val="00261865"/>
    <w:rsid w:val="00261987"/>
    <w:rsid w:val="00261AE9"/>
    <w:rsid w:val="002624B1"/>
    <w:rsid w:val="00262508"/>
    <w:rsid w:val="00262BBC"/>
    <w:rsid w:val="00262D4F"/>
    <w:rsid w:val="00262EFE"/>
    <w:rsid w:val="00263116"/>
    <w:rsid w:val="0026315E"/>
    <w:rsid w:val="002635E6"/>
    <w:rsid w:val="002635EA"/>
    <w:rsid w:val="00263A58"/>
    <w:rsid w:val="00264177"/>
    <w:rsid w:val="002648CC"/>
    <w:rsid w:val="00264BFF"/>
    <w:rsid w:val="002652CF"/>
    <w:rsid w:val="002653E4"/>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2D7"/>
    <w:rsid w:val="0027036E"/>
    <w:rsid w:val="0027065B"/>
    <w:rsid w:val="0027073F"/>
    <w:rsid w:val="00270B34"/>
    <w:rsid w:val="00270BB5"/>
    <w:rsid w:val="00270D8C"/>
    <w:rsid w:val="002710AE"/>
    <w:rsid w:val="00271BE7"/>
    <w:rsid w:val="00272118"/>
    <w:rsid w:val="002721C6"/>
    <w:rsid w:val="002726E3"/>
    <w:rsid w:val="002726FD"/>
    <w:rsid w:val="00272714"/>
    <w:rsid w:val="002737D4"/>
    <w:rsid w:val="0027388C"/>
    <w:rsid w:val="00273EC8"/>
    <w:rsid w:val="00274012"/>
    <w:rsid w:val="0027408F"/>
    <w:rsid w:val="00274179"/>
    <w:rsid w:val="00274355"/>
    <w:rsid w:val="00274811"/>
    <w:rsid w:val="00274886"/>
    <w:rsid w:val="002752C7"/>
    <w:rsid w:val="00275A95"/>
    <w:rsid w:val="002762F8"/>
    <w:rsid w:val="002764CA"/>
    <w:rsid w:val="002764D7"/>
    <w:rsid w:val="0027677A"/>
    <w:rsid w:val="00276CEF"/>
    <w:rsid w:val="00276E1E"/>
    <w:rsid w:val="00277117"/>
    <w:rsid w:val="00277FEA"/>
    <w:rsid w:val="0028005C"/>
    <w:rsid w:val="002803C5"/>
    <w:rsid w:val="00281700"/>
    <w:rsid w:val="00281CFB"/>
    <w:rsid w:val="00281D36"/>
    <w:rsid w:val="00281DDD"/>
    <w:rsid w:val="00282136"/>
    <w:rsid w:val="00282742"/>
    <w:rsid w:val="00282817"/>
    <w:rsid w:val="00283DD2"/>
    <w:rsid w:val="00285F16"/>
    <w:rsid w:val="00286911"/>
    <w:rsid w:val="002869AB"/>
    <w:rsid w:val="00286A15"/>
    <w:rsid w:val="00286B5C"/>
    <w:rsid w:val="00286F66"/>
    <w:rsid w:val="00287190"/>
    <w:rsid w:val="002873C3"/>
    <w:rsid w:val="0028756C"/>
    <w:rsid w:val="002879B8"/>
    <w:rsid w:val="002900B0"/>
    <w:rsid w:val="0029039B"/>
    <w:rsid w:val="0029059D"/>
    <w:rsid w:val="00290675"/>
    <w:rsid w:val="002909F5"/>
    <w:rsid w:val="00290B6E"/>
    <w:rsid w:val="00291156"/>
    <w:rsid w:val="0029120A"/>
    <w:rsid w:val="00291518"/>
    <w:rsid w:val="00291545"/>
    <w:rsid w:val="00291908"/>
    <w:rsid w:val="00291AE8"/>
    <w:rsid w:val="00291D7F"/>
    <w:rsid w:val="002922B8"/>
    <w:rsid w:val="00292336"/>
    <w:rsid w:val="002923C8"/>
    <w:rsid w:val="00292755"/>
    <w:rsid w:val="00292C57"/>
    <w:rsid w:val="00292F4F"/>
    <w:rsid w:val="002945F0"/>
    <w:rsid w:val="002948CD"/>
    <w:rsid w:val="00294D7A"/>
    <w:rsid w:val="00294EA9"/>
    <w:rsid w:val="00295092"/>
    <w:rsid w:val="002951D3"/>
    <w:rsid w:val="00295FE2"/>
    <w:rsid w:val="00296A47"/>
    <w:rsid w:val="002976CB"/>
    <w:rsid w:val="00297D9F"/>
    <w:rsid w:val="00297F07"/>
    <w:rsid w:val="00297FD7"/>
    <w:rsid w:val="002A04BA"/>
    <w:rsid w:val="002A0553"/>
    <w:rsid w:val="002A0DBE"/>
    <w:rsid w:val="002A0FEF"/>
    <w:rsid w:val="002A225B"/>
    <w:rsid w:val="002A22BB"/>
    <w:rsid w:val="002A33EC"/>
    <w:rsid w:val="002A3ADE"/>
    <w:rsid w:val="002A42B6"/>
    <w:rsid w:val="002A4BF4"/>
    <w:rsid w:val="002A62CA"/>
    <w:rsid w:val="002A69D6"/>
    <w:rsid w:val="002A6F40"/>
    <w:rsid w:val="002A70F3"/>
    <w:rsid w:val="002A7150"/>
    <w:rsid w:val="002A7328"/>
    <w:rsid w:val="002B0898"/>
    <w:rsid w:val="002B08FD"/>
    <w:rsid w:val="002B0A44"/>
    <w:rsid w:val="002B0A84"/>
    <w:rsid w:val="002B100B"/>
    <w:rsid w:val="002B11C0"/>
    <w:rsid w:val="002B13D7"/>
    <w:rsid w:val="002B1784"/>
    <w:rsid w:val="002B1B9D"/>
    <w:rsid w:val="002B25E6"/>
    <w:rsid w:val="002B26A1"/>
    <w:rsid w:val="002B28E4"/>
    <w:rsid w:val="002B2E32"/>
    <w:rsid w:val="002B3482"/>
    <w:rsid w:val="002B3F02"/>
    <w:rsid w:val="002B4845"/>
    <w:rsid w:val="002B4C00"/>
    <w:rsid w:val="002B5236"/>
    <w:rsid w:val="002B5825"/>
    <w:rsid w:val="002B666E"/>
    <w:rsid w:val="002B6730"/>
    <w:rsid w:val="002B673C"/>
    <w:rsid w:val="002B68B7"/>
    <w:rsid w:val="002B6D62"/>
    <w:rsid w:val="002B74AF"/>
    <w:rsid w:val="002B758B"/>
    <w:rsid w:val="002B7FEB"/>
    <w:rsid w:val="002C0333"/>
    <w:rsid w:val="002C0716"/>
    <w:rsid w:val="002C1051"/>
    <w:rsid w:val="002C1896"/>
    <w:rsid w:val="002C1D98"/>
    <w:rsid w:val="002C21D0"/>
    <w:rsid w:val="002C2298"/>
    <w:rsid w:val="002C2985"/>
    <w:rsid w:val="002C2DA1"/>
    <w:rsid w:val="002C2F32"/>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19B"/>
    <w:rsid w:val="002D0C07"/>
    <w:rsid w:val="002D0C1A"/>
    <w:rsid w:val="002D0D70"/>
    <w:rsid w:val="002D1081"/>
    <w:rsid w:val="002D11A6"/>
    <w:rsid w:val="002D16FB"/>
    <w:rsid w:val="002D1D4B"/>
    <w:rsid w:val="002D1F87"/>
    <w:rsid w:val="002D23C0"/>
    <w:rsid w:val="002D2402"/>
    <w:rsid w:val="002D266F"/>
    <w:rsid w:val="002D2C56"/>
    <w:rsid w:val="002D2FAA"/>
    <w:rsid w:val="002D44EF"/>
    <w:rsid w:val="002D4A02"/>
    <w:rsid w:val="002D4C44"/>
    <w:rsid w:val="002D5B60"/>
    <w:rsid w:val="002D5EF4"/>
    <w:rsid w:val="002D60DE"/>
    <w:rsid w:val="002D6282"/>
    <w:rsid w:val="002D665D"/>
    <w:rsid w:val="002D6B96"/>
    <w:rsid w:val="002D6C40"/>
    <w:rsid w:val="002D7893"/>
    <w:rsid w:val="002D7DCC"/>
    <w:rsid w:val="002E0180"/>
    <w:rsid w:val="002E0778"/>
    <w:rsid w:val="002E1318"/>
    <w:rsid w:val="002E1C6D"/>
    <w:rsid w:val="002E1EFA"/>
    <w:rsid w:val="002E1F0E"/>
    <w:rsid w:val="002E3122"/>
    <w:rsid w:val="002E31AA"/>
    <w:rsid w:val="002E42F8"/>
    <w:rsid w:val="002E49E9"/>
    <w:rsid w:val="002E4BF8"/>
    <w:rsid w:val="002E4FF1"/>
    <w:rsid w:val="002E5742"/>
    <w:rsid w:val="002E5A2A"/>
    <w:rsid w:val="002E5F5B"/>
    <w:rsid w:val="002E6143"/>
    <w:rsid w:val="002E61C8"/>
    <w:rsid w:val="002E640D"/>
    <w:rsid w:val="002E679B"/>
    <w:rsid w:val="002E67A3"/>
    <w:rsid w:val="002E6EDF"/>
    <w:rsid w:val="002E764A"/>
    <w:rsid w:val="002E7C76"/>
    <w:rsid w:val="002F0050"/>
    <w:rsid w:val="002F04A0"/>
    <w:rsid w:val="002F0F2F"/>
    <w:rsid w:val="002F1677"/>
    <w:rsid w:val="002F1ACD"/>
    <w:rsid w:val="002F2270"/>
    <w:rsid w:val="002F3117"/>
    <w:rsid w:val="002F31F7"/>
    <w:rsid w:val="002F3C4B"/>
    <w:rsid w:val="002F4499"/>
    <w:rsid w:val="002F456B"/>
    <w:rsid w:val="002F48B3"/>
    <w:rsid w:val="002F53BB"/>
    <w:rsid w:val="002F5613"/>
    <w:rsid w:val="002F62A5"/>
    <w:rsid w:val="002F62E5"/>
    <w:rsid w:val="002F63CE"/>
    <w:rsid w:val="002F689E"/>
    <w:rsid w:val="002F6B7C"/>
    <w:rsid w:val="002F7021"/>
    <w:rsid w:val="002F7589"/>
    <w:rsid w:val="002F75C4"/>
    <w:rsid w:val="002F7853"/>
    <w:rsid w:val="0030000B"/>
    <w:rsid w:val="003003D7"/>
    <w:rsid w:val="00300BFC"/>
    <w:rsid w:val="003012A2"/>
    <w:rsid w:val="003014A5"/>
    <w:rsid w:val="00301A81"/>
    <w:rsid w:val="00302672"/>
    <w:rsid w:val="00302794"/>
    <w:rsid w:val="00302A4E"/>
    <w:rsid w:val="00303117"/>
    <w:rsid w:val="003032EC"/>
    <w:rsid w:val="0030352A"/>
    <w:rsid w:val="00303D81"/>
    <w:rsid w:val="00303FCB"/>
    <w:rsid w:val="003047D7"/>
    <w:rsid w:val="00304957"/>
    <w:rsid w:val="00304DAF"/>
    <w:rsid w:val="003051C6"/>
    <w:rsid w:val="0030533A"/>
    <w:rsid w:val="003053BB"/>
    <w:rsid w:val="00305AB4"/>
    <w:rsid w:val="00305B6F"/>
    <w:rsid w:val="0030655F"/>
    <w:rsid w:val="0030665B"/>
    <w:rsid w:val="003066F8"/>
    <w:rsid w:val="00306FC8"/>
    <w:rsid w:val="003073CB"/>
    <w:rsid w:val="0030741D"/>
    <w:rsid w:val="0030782E"/>
    <w:rsid w:val="0031086B"/>
    <w:rsid w:val="003109E5"/>
    <w:rsid w:val="00310C61"/>
    <w:rsid w:val="00310FD6"/>
    <w:rsid w:val="0031177D"/>
    <w:rsid w:val="00311A95"/>
    <w:rsid w:val="00311CAB"/>
    <w:rsid w:val="00311D3B"/>
    <w:rsid w:val="0031244D"/>
    <w:rsid w:val="00313874"/>
    <w:rsid w:val="00313CD0"/>
    <w:rsid w:val="00313F8A"/>
    <w:rsid w:val="00314DEC"/>
    <w:rsid w:val="003158C4"/>
    <w:rsid w:val="00315A86"/>
    <w:rsid w:val="00315CF0"/>
    <w:rsid w:val="00315E4C"/>
    <w:rsid w:val="00315F3D"/>
    <w:rsid w:val="003165A5"/>
    <w:rsid w:val="00316A43"/>
    <w:rsid w:val="00316DF8"/>
    <w:rsid w:val="003172C9"/>
    <w:rsid w:val="00317C7C"/>
    <w:rsid w:val="00317CD9"/>
    <w:rsid w:val="00320381"/>
    <w:rsid w:val="003203EC"/>
    <w:rsid w:val="003212B0"/>
    <w:rsid w:val="00321A1C"/>
    <w:rsid w:val="003221EC"/>
    <w:rsid w:val="00322530"/>
    <w:rsid w:val="00323868"/>
    <w:rsid w:val="00324409"/>
    <w:rsid w:val="003245B6"/>
    <w:rsid w:val="0032508D"/>
    <w:rsid w:val="00325A4C"/>
    <w:rsid w:val="00325A9F"/>
    <w:rsid w:val="00325EB6"/>
    <w:rsid w:val="0032611E"/>
    <w:rsid w:val="003264B0"/>
    <w:rsid w:val="0032674D"/>
    <w:rsid w:val="003270F4"/>
    <w:rsid w:val="0032754C"/>
    <w:rsid w:val="00327B95"/>
    <w:rsid w:val="00327C15"/>
    <w:rsid w:val="0033009D"/>
    <w:rsid w:val="003306F5"/>
    <w:rsid w:val="00330929"/>
    <w:rsid w:val="003309A9"/>
    <w:rsid w:val="00330A21"/>
    <w:rsid w:val="00330F18"/>
    <w:rsid w:val="0033187B"/>
    <w:rsid w:val="003319B6"/>
    <w:rsid w:val="00331A50"/>
    <w:rsid w:val="003324DD"/>
    <w:rsid w:val="00332855"/>
    <w:rsid w:val="00332897"/>
    <w:rsid w:val="003328C0"/>
    <w:rsid w:val="00332DAA"/>
    <w:rsid w:val="00333084"/>
    <w:rsid w:val="003336CA"/>
    <w:rsid w:val="00333AD9"/>
    <w:rsid w:val="00334262"/>
    <w:rsid w:val="003347C1"/>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24A7"/>
    <w:rsid w:val="00342C12"/>
    <w:rsid w:val="00342F59"/>
    <w:rsid w:val="00343B98"/>
    <w:rsid w:val="0034400C"/>
    <w:rsid w:val="00344267"/>
    <w:rsid w:val="00344332"/>
    <w:rsid w:val="00344835"/>
    <w:rsid w:val="00344C92"/>
    <w:rsid w:val="00345360"/>
    <w:rsid w:val="0034545F"/>
    <w:rsid w:val="003457B3"/>
    <w:rsid w:val="00345A13"/>
    <w:rsid w:val="00345A16"/>
    <w:rsid w:val="00345B42"/>
    <w:rsid w:val="00345BE4"/>
    <w:rsid w:val="00345E91"/>
    <w:rsid w:val="00346419"/>
    <w:rsid w:val="00346E5C"/>
    <w:rsid w:val="0034730D"/>
    <w:rsid w:val="00347454"/>
    <w:rsid w:val="0034762F"/>
    <w:rsid w:val="00347642"/>
    <w:rsid w:val="00347643"/>
    <w:rsid w:val="0034776E"/>
    <w:rsid w:val="0034786C"/>
    <w:rsid w:val="00350070"/>
    <w:rsid w:val="0035070A"/>
    <w:rsid w:val="003507CB"/>
    <w:rsid w:val="003512BA"/>
    <w:rsid w:val="00351B21"/>
    <w:rsid w:val="00351C9F"/>
    <w:rsid w:val="00351D41"/>
    <w:rsid w:val="0035206A"/>
    <w:rsid w:val="003530C1"/>
    <w:rsid w:val="00353344"/>
    <w:rsid w:val="00353774"/>
    <w:rsid w:val="00353ACE"/>
    <w:rsid w:val="00354121"/>
    <w:rsid w:val="00354380"/>
    <w:rsid w:val="003545C6"/>
    <w:rsid w:val="003549B6"/>
    <w:rsid w:val="00354C4A"/>
    <w:rsid w:val="00354E55"/>
    <w:rsid w:val="003554CF"/>
    <w:rsid w:val="00355A13"/>
    <w:rsid w:val="00355AF1"/>
    <w:rsid w:val="00356313"/>
    <w:rsid w:val="00356562"/>
    <w:rsid w:val="003565F3"/>
    <w:rsid w:val="00356632"/>
    <w:rsid w:val="003573DE"/>
    <w:rsid w:val="00357904"/>
    <w:rsid w:val="00357B5F"/>
    <w:rsid w:val="00357BBF"/>
    <w:rsid w:val="0036009A"/>
    <w:rsid w:val="003600F6"/>
    <w:rsid w:val="00360233"/>
    <w:rsid w:val="003606AD"/>
    <w:rsid w:val="00360739"/>
    <w:rsid w:val="00360935"/>
    <w:rsid w:val="00360A33"/>
    <w:rsid w:val="00360DFB"/>
    <w:rsid w:val="003618C6"/>
    <w:rsid w:val="00361E41"/>
    <w:rsid w:val="00362FC5"/>
    <w:rsid w:val="00363C03"/>
    <w:rsid w:val="00363DF8"/>
    <w:rsid w:val="00363EB9"/>
    <w:rsid w:val="0036458E"/>
    <w:rsid w:val="0036485E"/>
    <w:rsid w:val="00364A2F"/>
    <w:rsid w:val="00364E2E"/>
    <w:rsid w:val="00365075"/>
    <w:rsid w:val="003657AD"/>
    <w:rsid w:val="00365D5D"/>
    <w:rsid w:val="0036610A"/>
    <w:rsid w:val="003664B9"/>
    <w:rsid w:val="003665A7"/>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30DA"/>
    <w:rsid w:val="003733CD"/>
    <w:rsid w:val="003733FC"/>
    <w:rsid w:val="003734C6"/>
    <w:rsid w:val="00373BD7"/>
    <w:rsid w:val="00373DC9"/>
    <w:rsid w:val="0037406B"/>
    <w:rsid w:val="003740CC"/>
    <w:rsid w:val="00374315"/>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21A3"/>
    <w:rsid w:val="003829B4"/>
    <w:rsid w:val="00382DCC"/>
    <w:rsid w:val="003835E1"/>
    <w:rsid w:val="00383701"/>
    <w:rsid w:val="00383E57"/>
    <w:rsid w:val="00383F6D"/>
    <w:rsid w:val="00384282"/>
    <w:rsid w:val="003844BF"/>
    <w:rsid w:val="00385D34"/>
    <w:rsid w:val="00386020"/>
    <w:rsid w:val="00386193"/>
    <w:rsid w:val="0038630C"/>
    <w:rsid w:val="00386534"/>
    <w:rsid w:val="00386799"/>
    <w:rsid w:val="00386A65"/>
    <w:rsid w:val="00386D20"/>
    <w:rsid w:val="00386D8C"/>
    <w:rsid w:val="00386F37"/>
    <w:rsid w:val="00387E0E"/>
    <w:rsid w:val="0039003F"/>
    <w:rsid w:val="003909FE"/>
    <w:rsid w:val="00390A30"/>
    <w:rsid w:val="00390B84"/>
    <w:rsid w:val="003910E1"/>
    <w:rsid w:val="00391255"/>
    <w:rsid w:val="003913C3"/>
    <w:rsid w:val="003915FD"/>
    <w:rsid w:val="00391888"/>
    <w:rsid w:val="00391D2D"/>
    <w:rsid w:val="003921FE"/>
    <w:rsid w:val="00392C95"/>
    <w:rsid w:val="00392FFC"/>
    <w:rsid w:val="00393312"/>
    <w:rsid w:val="003934B1"/>
    <w:rsid w:val="003937B5"/>
    <w:rsid w:val="003937D0"/>
    <w:rsid w:val="00393A8A"/>
    <w:rsid w:val="00393C08"/>
    <w:rsid w:val="00393F80"/>
    <w:rsid w:val="003942BF"/>
    <w:rsid w:val="00394495"/>
    <w:rsid w:val="00394671"/>
    <w:rsid w:val="003947C4"/>
    <w:rsid w:val="003947D6"/>
    <w:rsid w:val="00394ED9"/>
    <w:rsid w:val="00395F8E"/>
    <w:rsid w:val="00396915"/>
    <w:rsid w:val="00396B41"/>
    <w:rsid w:val="00396CF6"/>
    <w:rsid w:val="0039760B"/>
    <w:rsid w:val="003A0110"/>
    <w:rsid w:val="003A04FC"/>
    <w:rsid w:val="003A094D"/>
    <w:rsid w:val="003A099C"/>
    <w:rsid w:val="003A0C5C"/>
    <w:rsid w:val="003A14CB"/>
    <w:rsid w:val="003A1673"/>
    <w:rsid w:val="003A19BE"/>
    <w:rsid w:val="003A19E7"/>
    <w:rsid w:val="003A1A22"/>
    <w:rsid w:val="003A1BB6"/>
    <w:rsid w:val="003A261C"/>
    <w:rsid w:val="003A2F4B"/>
    <w:rsid w:val="003A301A"/>
    <w:rsid w:val="003A32F7"/>
    <w:rsid w:val="003A3C21"/>
    <w:rsid w:val="003A3DA4"/>
    <w:rsid w:val="003A3DB4"/>
    <w:rsid w:val="003A446B"/>
    <w:rsid w:val="003A4875"/>
    <w:rsid w:val="003A4BBF"/>
    <w:rsid w:val="003A54F2"/>
    <w:rsid w:val="003A5AAB"/>
    <w:rsid w:val="003A5FFF"/>
    <w:rsid w:val="003A6135"/>
    <w:rsid w:val="003A6410"/>
    <w:rsid w:val="003A67BE"/>
    <w:rsid w:val="003A695A"/>
    <w:rsid w:val="003A6C2E"/>
    <w:rsid w:val="003A75E4"/>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8C8"/>
    <w:rsid w:val="003B3E52"/>
    <w:rsid w:val="003B497B"/>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1327"/>
    <w:rsid w:val="003C14FD"/>
    <w:rsid w:val="003C1592"/>
    <w:rsid w:val="003C17A1"/>
    <w:rsid w:val="003C1DFC"/>
    <w:rsid w:val="003C1EE8"/>
    <w:rsid w:val="003C1F98"/>
    <w:rsid w:val="003C203B"/>
    <w:rsid w:val="003C2212"/>
    <w:rsid w:val="003C3ADC"/>
    <w:rsid w:val="003C4095"/>
    <w:rsid w:val="003C49F9"/>
    <w:rsid w:val="003C4E6F"/>
    <w:rsid w:val="003C528C"/>
    <w:rsid w:val="003C545D"/>
    <w:rsid w:val="003C5AA5"/>
    <w:rsid w:val="003C61AA"/>
    <w:rsid w:val="003C628A"/>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D7FD8"/>
    <w:rsid w:val="003E0410"/>
    <w:rsid w:val="003E0531"/>
    <w:rsid w:val="003E119F"/>
    <w:rsid w:val="003E1F7B"/>
    <w:rsid w:val="003E2983"/>
    <w:rsid w:val="003E2F03"/>
    <w:rsid w:val="003E367B"/>
    <w:rsid w:val="003E3D5A"/>
    <w:rsid w:val="003E3E75"/>
    <w:rsid w:val="003E435B"/>
    <w:rsid w:val="003E45A1"/>
    <w:rsid w:val="003E479A"/>
    <w:rsid w:val="003E4F79"/>
    <w:rsid w:val="003E555D"/>
    <w:rsid w:val="003E6DB9"/>
    <w:rsid w:val="003E6FCB"/>
    <w:rsid w:val="003E71A0"/>
    <w:rsid w:val="003E7331"/>
    <w:rsid w:val="003E7963"/>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4FCD"/>
    <w:rsid w:val="003F5F73"/>
    <w:rsid w:val="003F66FD"/>
    <w:rsid w:val="003F69DF"/>
    <w:rsid w:val="003F77FC"/>
    <w:rsid w:val="003F7D22"/>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FAE"/>
    <w:rsid w:val="00405212"/>
    <w:rsid w:val="00405670"/>
    <w:rsid w:val="00405721"/>
    <w:rsid w:val="00405C61"/>
    <w:rsid w:val="00405DD8"/>
    <w:rsid w:val="00405E47"/>
    <w:rsid w:val="004067A2"/>
    <w:rsid w:val="004078FC"/>
    <w:rsid w:val="00410070"/>
    <w:rsid w:val="004100EE"/>
    <w:rsid w:val="0041014C"/>
    <w:rsid w:val="00410293"/>
    <w:rsid w:val="00410416"/>
    <w:rsid w:val="004105F0"/>
    <w:rsid w:val="00410F02"/>
    <w:rsid w:val="0041197F"/>
    <w:rsid w:val="004122BB"/>
    <w:rsid w:val="004128BA"/>
    <w:rsid w:val="00412A8D"/>
    <w:rsid w:val="00412AF8"/>
    <w:rsid w:val="00413031"/>
    <w:rsid w:val="0041342D"/>
    <w:rsid w:val="0041384D"/>
    <w:rsid w:val="00413D35"/>
    <w:rsid w:val="00413F28"/>
    <w:rsid w:val="004140DC"/>
    <w:rsid w:val="00414551"/>
    <w:rsid w:val="004147C0"/>
    <w:rsid w:val="004156F2"/>
    <w:rsid w:val="004158DF"/>
    <w:rsid w:val="004163F9"/>
    <w:rsid w:val="00416B6A"/>
    <w:rsid w:val="00416C05"/>
    <w:rsid w:val="00416C1E"/>
    <w:rsid w:val="0042063C"/>
    <w:rsid w:val="00420669"/>
    <w:rsid w:val="00420FE7"/>
    <w:rsid w:val="00421DAE"/>
    <w:rsid w:val="00422051"/>
    <w:rsid w:val="00422122"/>
    <w:rsid w:val="004225C7"/>
    <w:rsid w:val="00422B2E"/>
    <w:rsid w:val="00423407"/>
    <w:rsid w:val="0042353A"/>
    <w:rsid w:val="004235AD"/>
    <w:rsid w:val="0042403D"/>
    <w:rsid w:val="0042445C"/>
    <w:rsid w:val="00424C07"/>
    <w:rsid w:val="00424DFF"/>
    <w:rsid w:val="00424EA8"/>
    <w:rsid w:val="004257F9"/>
    <w:rsid w:val="00425E28"/>
    <w:rsid w:val="00425FFC"/>
    <w:rsid w:val="0042628C"/>
    <w:rsid w:val="00426861"/>
    <w:rsid w:val="00427070"/>
    <w:rsid w:val="0043085A"/>
    <w:rsid w:val="0043128C"/>
    <w:rsid w:val="00431420"/>
    <w:rsid w:val="0043143D"/>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403"/>
    <w:rsid w:val="004364A0"/>
    <w:rsid w:val="00436502"/>
    <w:rsid w:val="00436D33"/>
    <w:rsid w:val="00436EF8"/>
    <w:rsid w:val="00437182"/>
    <w:rsid w:val="00437237"/>
    <w:rsid w:val="00437932"/>
    <w:rsid w:val="004379F9"/>
    <w:rsid w:val="004400A9"/>
    <w:rsid w:val="0044019C"/>
    <w:rsid w:val="0044069E"/>
    <w:rsid w:val="00440789"/>
    <w:rsid w:val="00440E1C"/>
    <w:rsid w:val="00441125"/>
    <w:rsid w:val="00441314"/>
    <w:rsid w:val="00441FD1"/>
    <w:rsid w:val="00442473"/>
    <w:rsid w:val="004427FB"/>
    <w:rsid w:val="00442CB1"/>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9E9"/>
    <w:rsid w:val="00452FB9"/>
    <w:rsid w:val="004533C2"/>
    <w:rsid w:val="004541D3"/>
    <w:rsid w:val="004543FC"/>
    <w:rsid w:val="00454630"/>
    <w:rsid w:val="004548D0"/>
    <w:rsid w:val="00454BE9"/>
    <w:rsid w:val="00454F69"/>
    <w:rsid w:val="00455783"/>
    <w:rsid w:val="0045619D"/>
    <w:rsid w:val="00456B61"/>
    <w:rsid w:val="00456D44"/>
    <w:rsid w:val="004576E0"/>
    <w:rsid w:val="00457791"/>
    <w:rsid w:val="00460A11"/>
    <w:rsid w:val="0046132E"/>
    <w:rsid w:val="0046269C"/>
    <w:rsid w:val="0046326B"/>
    <w:rsid w:val="004632CA"/>
    <w:rsid w:val="0046395B"/>
    <w:rsid w:val="00463C49"/>
    <w:rsid w:val="00463C6E"/>
    <w:rsid w:val="004642A2"/>
    <w:rsid w:val="0046437E"/>
    <w:rsid w:val="00464CBA"/>
    <w:rsid w:val="00464D77"/>
    <w:rsid w:val="00464DD1"/>
    <w:rsid w:val="00465137"/>
    <w:rsid w:val="00465308"/>
    <w:rsid w:val="0046584A"/>
    <w:rsid w:val="00466173"/>
    <w:rsid w:val="00467102"/>
    <w:rsid w:val="004676DD"/>
    <w:rsid w:val="00467B15"/>
    <w:rsid w:val="00470E65"/>
    <w:rsid w:val="00471698"/>
    <w:rsid w:val="00471E56"/>
    <w:rsid w:val="00471F9D"/>
    <w:rsid w:val="0047281A"/>
    <w:rsid w:val="00472CF3"/>
    <w:rsid w:val="00473C6C"/>
    <w:rsid w:val="00473FB2"/>
    <w:rsid w:val="00474598"/>
    <w:rsid w:val="00474D93"/>
    <w:rsid w:val="004751C4"/>
    <w:rsid w:val="0047537A"/>
    <w:rsid w:val="004758DD"/>
    <w:rsid w:val="00475EE6"/>
    <w:rsid w:val="004762A1"/>
    <w:rsid w:val="00476AB0"/>
    <w:rsid w:val="00476C27"/>
    <w:rsid w:val="00477F4E"/>
    <w:rsid w:val="0048090B"/>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5562"/>
    <w:rsid w:val="004866C2"/>
    <w:rsid w:val="0048693D"/>
    <w:rsid w:val="00486B92"/>
    <w:rsid w:val="00486D76"/>
    <w:rsid w:val="00486F44"/>
    <w:rsid w:val="00486F8E"/>
    <w:rsid w:val="00487019"/>
    <w:rsid w:val="00487099"/>
    <w:rsid w:val="004871F2"/>
    <w:rsid w:val="00487707"/>
    <w:rsid w:val="00487843"/>
    <w:rsid w:val="004879C3"/>
    <w:rsid w:val="00487B2B"/>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A1B"/>
    <w:rsid w:val="00494D47"/>
    <w:rsid w:val="00495259"/>
    <w:rsid w:val="00495378"/>
    <w:rsid w:val="00495E95"/>
    <w:rsid w:val="00495F6C"/>
    <w:rsid w:val="00496609"/>
    <w:rsid w:val="00496B9A"/>
    <w:rsid w:val="00496D17"/>
    <w:rsid w:val="00496D9D"/>
    <w:rsid w:val="004A032A"/>
    <w:rsid w:val="004A0765"/>
    <w:rsid w:val="004A086B"/>
    <w:rsid w:val="004A0A4C"/>
    <w:rsid w:val="004A0C2B"/>
    <w:rsid w:val="004A11E5"/>
    <w:rsid w:val="004A16B3"/>
    <w:rsid w:val="004A16EB"/>
    <w:rsid w:val="004A221D"/>
    <w:rsid w:val="004A2D66"/>
    <w:rsid w:val="004A33E6"/>
    <w:rsid w:val="004A363D"/>
    <w:rsid w:val="004A36D1"/>
    <w:rsid w:val="004A40C7"/>
    <w:rsid w:val="004A42A0"/>
    <w:rsid w:val="004A4344"/>
    <w:rsid w:val="004A478D"/>
    <w:rsid w:val="004A5331"/>
    <w:rsid w:val="004A58A7"/>
    <w:rsid w:val="004A5C25"/>
    <w:rsid w:val="004A5CCE"/>
    <w:rsid w:val="004A6048"/>
    <w:rsid w:val="004A6EFF"/>
    <w:rsid w:val="004A77BA"/>
    <w:rsid w:val="004A7CB6"/>
    <w:rsid w:val="004A7E55"/>
    <w:rsid w:val="004B0003"/>
    <w:rsid w:val="004B0C16"/>
    <w:rsid w:val="004B0FFA"/>
    <w:rsid w:val="004B12EA"/>
    <w:rsid w:val="004B1338"/>
    <w:rsid w:val="004B13FC"/>
    <w:rsid w:val="004B1607"/>
    <w:rsid w:val="004B1E7F"/>
    <w:rsid w:val="004B200D"/>
    <w:rsid w:val="004B20C7"/>
    <w:rsid w:val="004B2594"/>
    <w:rsid w:val="004B2B45"/>
    <w:rsid w:val="004B2E90"/>
    <w:rsid w:val="004B3C55"/>
    <w:rsid w:val="004B3CD0"/>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C0139"/>
    <w:rsid w:val="004C03C1"/>
    <w:rsid w:val="004C0685"/>
    <w:rsid w:val="004C086E"/>
    <w:rsid w:val="004C09E7"/>
    <w:rsid w:val="004C0C48"/>
    <w:rsid w:val="004C0E6B"/>
    <w:rsid w:val="004C0F82"/>
    <w:rsid w:val="004C0FE1"/>
    <w:rsid w:val="004C178A"/>
    <w:rsid w:val="004C1970"/>
    <w:rsid w:val="004C1AEB"/>
    <w:rsid w:val="004C1F4D"/>
    <w:rsid w:val="004C21D8"/>
    <w:rsid w:val="004C22D3"/>
    <w:rsid w:val="004C238A"/>
    <w:rsid w:val="004C2614"/>
    <w:rsid w:val="004C2BCD"/>
    <w:rsid w:val="004C39E6"/>
    <w:rsid w:val="004C3AF9"/>
    <w:rsid w:val="004C3BE7"/>
    <w:rsid w:val="004C4485"/>
    <w:rsid w:val="004C4A07"/>
    <w:rsid w:val="004C516A"/>
    <w:rsid w:val="004C55D4"/>
    <w:rsid w:val="004C5666"/>
    <w:rsid w:val="004C5A7D"/>
    <w:rsid w:val="004C5B44"/>
    <w:rsid w:val="004C5B8D"/>
    <w:rsid w:val="004C5DB6"/>
    <w:rsid w:val="004C63C8"/>
    <w:rsid w:val="004C66FB"/>
    <w:rsid w:val="004C69AB"/>
    <w:rsid w:val="004C6F13"/>
    <w:rsid w:val="004C7369"/>
    <w:rsid w:val="004C769A"/>
    <w:rsid w:val="004C7749"/>
    <w:rsid w:val="004C776A"/>
    <w:rsid w:val="004C7DB1"/>
    <w:rsid w:val="004D0826"/>
    <w:rsid w:val="004D1795"/>
    <w:rsid w:val="004D1AA2"/>
    <w:rsid w:val="004D1DB2"/>
    <w:rsid w:val="004D2364"/>
    <w:rsid w:val="004D26EC"/>
    <w:rsid w:val="004D313D"/>
    <w:rsid w:val="004D3690"/>
    <w:rsid w:val="004D4253"/>
    <w:rsid w:val="004D45D4"/>
    <w:rsid w:val="004D5467"/>
    <w:rsid w:val="004D576B"/>
    <w:rsid w:val="004D5DB6"/>
    <w:rsid w:val="004D6622"/>
    <w:rsid w:val="004D69D5"/>
    <w:rsid w:val="004D69D7"/>
    <w:rsid w:val="004D6EAC"/>
    <w:rsid w:val="004D6F5E"/>
    <w:rsid w:val="004D72A4"/>
    <w:rsid w:val="004D7348"/>
    <w:rsid w:val="004D7D2C"/>
    <w:rsid w:val="004E0234"/>
    <w:rsid w:val="004E0433"/>
    <w:rsid w:val="004E0488"/>
    <w:rsid w:val="004E0592"/>
    <w:rsid w:val="004E0633"/>
    <w:rsid w:val="004E0787"/>
    <w:rsid w:val="004E0A45"/>
    <w:rsid w:val="004E0C98"/>
    <w:rsid w:val="004E0EB6"/>
    <w:rsid w:val="004E1132"/>
    <w:rsid w:val="004E134B"/>
    <w:rsid w:val="004E1442"/>
    <w:rsid w:val="004E1D4C"/>
    <w:rsid w:val="004E1FC1"/>
    <w:rsid w:val="004E28D9"/>
    <w:rsid w:val="004E306E"/>
    <w:rsid w:val="004E3110"/>
    <w:rsid w:val="004E3237"/>
    <w:rsid w:val="004E3B87"/>
    <w:rsid w:val="004E404F"/>
    <w:rsid w:val="004E47A7"/>
    <w:rsid w:val="004E484C"/>
    <w:rsid w:val="004E4874"/>
    <w:rsid w:val="004E57E0"/>
    <w:rsid w:val="004E580C"/>
    <w:rsid w:val="004E5A25"/>
    <w:rsid w:val="004E5E2A"/>
    <w:rsid w:val="004E5F47"/>
    <w:rsid w:val="004E775C"/>
    <w:rsid w:val="004E7E49"/>
    <w:rsid w:val="004E7F38"/>
    <w:rsid w:val="004F0236"/>
    <w:rsid w:val="004F0A64"/>
    <w:rsid w:val="004F0BD0"/>
    <w:rsid w:val="004F2489"/>
    <w:rsid w:val="004F25CE"/>
    <w:rsid w:val="004F2FD7"/>
    <w:rsid w:val="004F306D"/>
    <w:rsid w:val="004F3DD5"/>
    <w:rsid w:val="004F4213"/>
    <w:rsid w:val="004F45E4"/>
    <w:rsid w:val="004F540C"/>
    <w:rsid w:val="004F637D"/>
    <w:rsid w:val="004F6810"/>
    <w:rsid w:val="004F68A2"/>
    <w:rsid w:val="004F6C01"/>
    <w:rsid w:val="004F7466"/>
    <w:rsid w:val="004F754B"/>
    <w:rsid w:val="004F77B2"/>
    <w:rsid w:val="004F7FAF"/>
    <w:rsid w:val="00500C90"/>
    <w:rsid w:val="00500F56"/>
    <w:rsid w:val="005017F4"/>
    <w:rsid w:val="00501A1C"/>
    <w:rsid w:val="00501BF4"/>
    <w:rsid w:val="005020C5"/>
    <w:rsid w:val="00502311"/>
    <w:rsid w:val="00502429"/>
    <w:rsid w:val="00502803"/>
    <w:rsid w:val="005028CB"/>
    <w:rsid w:val="00502B1B"/>
    <w:rsid w:val="00502FA3"/>
    <w:rsid w:val="005035C7"/>
    <w:rsid w:val="00503A13"/>
    <w:rsid w:val="00503AEF"/>
    <w:rsid w:val="00503E6D"/>
    <w:rsid w:val="00504CE2"/>
    <w:rsid w:val="00505257"/>
    <w:rsid w:val="00505805"/>
    <w:rsid w:val="005073D3"/>
    <w:rsid w:val="00507BE4"/>
    <w:rsid w:val="00510328"/>
    <w:rsid w:val="005106E6"/>
    <w:rsid w:val="00510739"/>
    <w:rsid w:val="00510FEA"/>
    <w:rsid w:val="005121E8"/>
    <w:rsid w:val="0051257D"/>
    <w:rsid w:val="00512962"/>
    <w:rsid w:val="00512E46"/>
    <w:rsid w:val="00513604"/>
    <w:rsid w:val="005136EB"/>
    <w:rsid w:val="005137DB"/>
    <w:rsid w:val="0051384F"/>
    <w:rsid w:val="0051440C"/>
    <w:rsid w:val="00514848"/>
    <w:rsid w:val="00514A9B"/>
    <w:rsid w:val="00514AA4"/>
    <w:rsid w:val="00514AD0"/>
    <w:rsid w:val="00514D77"/>
    <w:rsid w:val="00514D82"/>
    <w:rsid w:val="0051530F"/>
    <w:rsid w:val="0051582B"/>
    <w:rsid w:val="00515953"/>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66"/>
    <w:rsid w:val="005223E1"/>
    <w:rsid w:val="0052393C"/>
    <w:rsid w:val="00523BAF"/>
    <w:rsid w:val="00523BBF"/>
    <w:rsid w:val="00523D8E"/>
    <w:rsid w:val="00523DB1"/>
    <w:rsid w:val="00523ED2"/>
    <w:rsid w:val="00523EFF"/>
    <w:rsid w:val="0052471D"/>
    <w:rsid w:val="00524811"/>
    <w:rsid w:val="00524853"/>
    <w:rsid w:val="00524BB6"/>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8B5"/>
    <w:rsid w:val="00530AD3"/>
    <w:rsid w:val="00531562"/>
    <w:rsid w:val="0053171E"/>
    <w:rsid w:val="005319B4"/>
    <w:rsid w:val="00531B80"/>
    <w:rsid w:val="00531D30"/>
    <w:rsid w:val="00531DA5"/>
    <w:rsid w:val="00531E28"/>
    <w:rsid w:val="00531F39"/>
    <w:rsid w:val="0053200F"/>
    <w:rsid w:val="005324B6"/>
    <w:rsid w:val="0053261F"/>
    <w:rsid w:val="00532C33"/>
    <w:rsid w:val="00532CA6"/>
    <w:rsid w:val="00532FD8"/>
    <w:rsid w:val="00533337"/>
    <w:rsid w:val="00533C9C"/>
    <w:rsid w:val="00533F95"/>
    <w:rsid w:val="00534576"/>
    <w:rsid w:val="0053583D"/>
    <w:rsid w:val="00535915"/>
    <w:rsid w:val="00535D3E"/>
    <w:rsid w:val="00535D6C"/>
    <w:rsid w:val="00535FEE"/>
    <w:rsid w:val="005361BC"/>
    <w:rsid w:val="00536415"/>
    <w:rsid w:val="0053683B"/>
    <w:rsid w:val="005369E4"/>
    <w:rsid w:val="00536FE7"/>
    <w:rsid w:val="00537047"/>
    <w:rsid w:val="00537647"/>
    <w:rsid w:val="0053766C"/>
    <w:rsid w:val="005378AD"/>
    <w:rsid w:val="00537A62"/>
    <w:rsid w:val="00537A98"/>
    <w:rsid w:val="00540016"/>
    <w:rsid w:val="00540132"/>
    <w:rsid w:val="00540AEB"/>
    <w:rsid w:val="0054108B"/>
    <w:rsid w:val="00541459"/>
    <w:rsid w:val="0054145D"/>
    <w:rsid w:val="005414F2"/>
    <w:rsid w:val="005414FE"/>
    <w:rsid w:val="0054171F"/>
    <w:rsid w:val="00541A49"/>
    <w:rsid w:val="00541D86"/>
    <w:rsid w:val="00542086"/>
    <w:rsid w:val="00542EDA"/>
    <w:rsid w:val="00543793"/>
    <w:rsid w:val="0054381E"/>
    <w:rsid w:val="00544409"/>
    <w:rsid w:val="00544701"/>
    <w:rsid w:val="005447F4"/>
    <w:rsid w:val="00544899"/>
    <w:rsid w:val="0054490E"/>
    <w:rsid w:val="0054632B"/>
    <w:rsid w:val="005470E6"/>
    <w:rsid w:val="0054745E"/>
    <w:rsid w:val="00547D4C"/>
    <w:rsid w:val="005501FE"/>
    <w:rsid w:val="005502B3"/>
    <w:rsid w:val="005509BC"/>
    <w:rsid w:val="00552112"/>
    <w:rsid w:val="005528F4"/>
    <w:rsid w:val="005529CD"/>
    <w:rsid w:val="00553035"/>
    <w:rsid w:val="005534D8"/>
    <w:rsid w:val="005534DD"/>
    <w:rsid w:val="0055397F"/>
    <w:rsid w:val="00554775"/>
    <w:rsid w:val="00554856"/>
    <w:rsid w:val="005554DD"/>
    <w:rsid w:val="0055573B"/>
    <w:rsid w:val="00555C45"/>
    <w:rsid w:val="00556579"/>
    <w:rsid w:val="005575CF"/>
    <w:rsid w:val="005576DC"/>
    <w:rsid w:val="00557F39"/>
    <w:rsid w:val="00560243"/>
    <w:rsid w:val="00560D54"/>
    <w:rsid w:val="00560D86"/>
    <w:rsid w:val="00560F37"/>
    <w:rsid w:val="005615BC"/>
    <w:rsid w:val="005617B5"/>
    <w:rsid w:val="00561C13"/>
    <w:rsid w:val="00561C81"/>
    <w:rsid w:val="0056299B"/>
    <w:rsid w:val="0056322F"/>
    <w:rsid w:val="00563A77"/>
    <w:rsid w:val="00563B71"/>
    <w:rsid w:val="00563C19"/>
    <w:rsid w:val="00563C2A"/>
    <w:rsid w:val="005643DE"/>
    <w:rsid w:val="005646EE"/>
    <w:rsid w:val="00564D23"/>
    <w:rsid w:val="00564D8E"/>
    <w:rsid w:val="0056547E"/>
    <w:rsid w:val="005656FB"/>
    <w:rsid w:val="005658C7"/>
    <w:rsid w:val="00565F79"/>
    <w:rsid w:val="00566B3E"/>
    <w:rsid w:val="00566EF9"/>
    <w:rsid w:val="00566EFF"/>
    <w:rsid w:val="00567293"/>
    <w:rsid w:val="0056740A"/>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805"/>
    <w:rsid w:val="00572869"/>
    <w:rsid w:val="00572C4F"/>
    <w:rsid w:val="00572C96"/>
    <w:rsid w:val="00572EB2"/>
    <w:rsid w:val="00572F68"/>
    <w:rsid w:val="005735A0"/>
    <w:rsid w:val="0057369D"/>
    <w:rsid w:val="005736D5"/>
    <w:rsid w:val="00573F1F"/>
    <w:rsid w:val="0057415A"/>
    <w:rsid w:val="00574911"/>
    <w:rsid w:val="00574BDB"/>
    <w:rsid w:val="00574FA6"/>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93B"/>
    <w:rsid w:val="00584239"/>
    <w:rsid w:val="0058480F"/>
    <w:rsid w:val="00584A69"/>
    <w:rsid w:val="00584F01"/>
    <w:rsid w:val="00584FF2"/>
    <w:rsid w:val="00585EEE"/>
    <w:rsid w:val="0058632F"/>
    <w:rsid w:val="0058653F"/>
    <w:rsid w:val="00586881"/>
    <w:rsid w:val="00586C45"/>
    <w:rsid w:val="00586D73"/>
    <w:rsid w:val="00587363"/>
    <w:rsid w:val="00587F3B"/>
    <w:rsid w:val="00590205"/>
    <w:rsid w:val="00590354"/>
    <w:rsid w:val="005906AD"/>
    <w:rsid w:val="00590713"/>
    <w:rsid w:val="00590CA1"/>
    <w:rsid w:val="00590E71"/>
    <w:rsid w:val="005912B3"/>
    <w:rsid w:val="00591401"/>
    <w:rsid w:val="00591C7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168"/>
    <w:rsid w:val="005959B1"/>
    <w:rsid w:val="00595A87"/>
    <w:rsid w:val="00595D4B"/>
    <w:rsid w:val="00596269"/>
    <w:rsid w:val="00596399"/>
    <w:rsid w:val="00596581"/>
    <w:rsid w:val="0059676B"/>
    <w:rsid w:val="0059718A"/>
    <w:rsid w:val="005978B7"/>
    <w:rsid w:val="00597FE0"/>
    <w:rsid w:val="005A0575"/>
    <w:rsid w:val="005A0962"/>
    <w:rsid w:val="005A12F4"/>
    <w:rsid w:val="005A15A5"/>
    <w:rsid w:val="005A15B2"/>
    <w:rsid w:val="005A1A82"/>
    <w:rsid w:val="005A1DAF"/>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F7B"/>
    <w:rsid w:val="005B15C2"/>
    <w:rsid w:val="005B1D35"/>
    <w:rsid w:val="005B2224"/>
    <w:rsid w:val="005B250F"/>
    <w:rsid w:val="005B27B1"/>
    <w:rsid w:val="005B282C"/>
    <w:rsid w:val="005B2F25"/>
    <w:rsid w:val="005B305A"/>
    <w:rsid w:val="005B31C7"/>
    <w:rsid w:val="005B4D36"/>
    <w:rsid w:val="005B504A"/>
    <w:rsid w:val="005B5231"/>
    <w:rsid w:val="005B596B"/>
    <w:rsid w:val="005B5D2A"/>
    <w:rsid w:val="005B60F8"/>
    <w:rsid w:val="005B6376"/>
    <w:rsid w:val="005B64BB"/>
    <w:rsid w:val="005B662B"/>
    <w:rsid w:val="005B664C"/>
    <w:rsid w:val="005B6D5B"/>
    <w:rsid w:val="005B73BB"/>
    <w:rsid w:val="005B73D3"/>
    <w:rsid w:val="005B78E4"/>
    <w:rsid w:val="005B7A83"/>
    <w:rsid w:val="005B7E69"/>
    <w:rsid w:val="005C0133"/>
    <w:rsid w:val="005C0492"/>
    <w:rsid w:val="005C0C45"/>
    <w:rsid w:val="005C1229"/>
    <w:rsid w:val="005C19D9"/>
    <w:rsid w:val="005C1AFD"/>
    <w:rsid w:val="005C2540"/>
    <w:rsid w:val="005C2673"/>
    <w:rsid w:val="005C2999"/>
    <w:rsid w:val="005C2C10"/>
    <w:rsid w:val="005C2DAC"/>
    <w:rsid w:val="005C2FC8"/>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87D"/>
    <w:rsid w:val="005C69A1"/>
    <w:rsid w:val="005C7EBB"/>
    <w:rsid w:val="005D0248"/>
    <w:rsid w:val="005D0932"/>
    <w:rsid w:val="005D0BD6"/>
    <w:rsid w:val="005D0BEC"/>
    <w:rsid w:val="005D0E06"/>
    <w:rsid w:val="005D0E4F"/>
    <w:rsid w:val="005D14CF"/>
    <w:rsid w:val="005D1837"/>
    <w:rsid w:val="005D1A55"/>
    <w:rsid w:val="005D22A8"/>
    <w:rsid w:val="005D2C11"/>
    <w:rsid w:val="005D3085"/>
    <w:rsid w:val="005D345F"/>
    <w:rsid w:val="005D34B5"/>
    <w:rsid w:val="005D38BA"/>
    <w:rsid w:val="005D3C14"/>
    <w:rsid w:val="005D448C"/>
    <w:rsid w:val="005D46C8"/>
    <w:rsid w:val="005D4B31"/>
    <w:rsid w:val="005D5012"/>
    <w:rsid w:val="005D55A6"/>
    <w:rsid w:val="005D5737"/>
    <w:rsid w:val="005D5F92"/>
    <w:rsid w:val="005D66C1"/>
    <w:rsid w:val="005D6DE7"/>
    <w:rsid w:val="005D7019"/>
    <w:rsid w:val="005D70C1"/>
    <w:rsid w:val="005D768C"/>
    <w:rsid w:val="005D7C2E"/>
    <w:rsid w:val="005D7F2F"/>
    <w:rsid w:val="005E0736"/>
    <w:rsid w:val="005E0DCB"/>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D16"/>
    <w:rsid w:val="005E4FF5"/>
    <w:rsid w:val="005E5366"/>
    <w:rsid w:val="005E548B"/>
    <w:rsid w:val="005E5AE6"/>
    <w:rsid w:val="005E6628"/>
    <w:rsid w:val="005E678D"/>
    <w:rsid w:val="005E689D"/>
    <w:rsid w:val="005F0164"/>
    <w:rsid w:val="005F0B20"/>
    <w:rsid w:val="005F1020"/>
    <w:rsid w:val="005F17E2"/>
    <w:rsid w:val="005F1BF7"/>
    <w:rsid w:val="005F1F7E"/>
    <w:rsid w:val="005F1F95"/>
    <w:rsid w:val="005F1FB0"/>
    <w:rsid w:val="005F29C0"/>
    <w:rsid w:val="005F3D92"/>
    <w:rsid w:val="005F3F45"/>
    <w:rsid w:val="005F4027"/>
    <w:rsid w:val="005F438A"/>
    <w:rsid w:val="005F455C"/>
    <w:rsid w:val="005F4940"/>
    <w:rsid w:val="005F4947"/>
    <w:rsid w:val="005F4FF3"/>
    <w:rsid w:val="005F5095"/>
    <w:rsid w:val="005F53BE"/>
    <w:rsid w:val="005F5763"/>
    <w:rsid w:val="005F57CF"/>
    <w:rsid w:val="005F61A8"/>
    <w:rsid w:val="005F6A91"/>
    <w:rsid w:val="005F6BD4"/>
    <w:rsid w:val="005F6D89"/>
    <w:rsid w:val="005F715F"/>
    <w:rsid w:val="005F71B3"/>
    <w:rsid w:val="005F7640"/>
    <w:rsid w:val="005F7928"/>
    <w:rsid w:val="005F7E54"/>
    <w:rsid w:val="00600196"/>
    <w:rsid w:val="006001AE"/>
    <w:rsid w:val="00600339"/>
    <w:rsid w:val="00600750"/>
    <w:rsid w:val="00600BDE"/>
    <w:rsid w:val="00600D85"/>
    <w:rsid w:val="00601181"/>
    <w:rsid w:val="00601BC3"/>
    <w:rsid w:val="0060258E"/>
    <w:rsid w:val="00602709"/>
    <w:rsid w:val="00604213"/>
    <w:rsid w:val="006042D8"/>
    <w:rsid w:val="006049DB"/>
    <w:rsid w:val="00604C49"/>
    <w:rsid w:val="006052CB"/>
    <w:rsid w:val="006057EA"/>
    <w:rsid w:val="0060598C"/>
    <w:rsid w:val="00605AF2"/>
    <w:rsid w:val="00605D9C"/>
    <w:rsid w:val="00605F72"/>
    <w:rsid w:val="006073AB"/>
    <w:rsid w:val="00607B52"/>
    <w:rsid w:val="00607C5F"/>
    <w:rsid w:val="00607D4B"/>
    <w:rsid w:val="00607EC0"/>
    <w:rsid w:val="006105BB"/>
    <w:rsid w:val="006106D0"/>
    <w:rsid w:val="00610704"/>
    <w:rsid w:val="0061143C"/>
    <w:rsid w:val="00611462"/>
    <w:rsid w:val="006115B9"/>
    <w:rsid w:val="00611D25"/>
    <w:rsid w:val="00612672"/>
    <w:rsid w:val="0061278A"/>
    <w:rsid w:val="00612BE2"/>
    <w:rsid w:val="00612C3D"/>
    <w:rsid w:val="00613492"/>
    <w:rsid w:val="00613573"/>
    <w:rsid w:val="00613BEC"/>
    <w:rsid w:val="00614409"/>
    <w:rsid w:val="00614F3C"/>
    <w:rsid w:val="0061546A"/>
    <w:rsid w:val="00615575"/>
    <w:rsid w:val="00615CA6"/>
    <w:rsid w:val="00615EF9"/>
    <w:rsid w:val="00616A6B"/>
    <w:rsid w:val="0061703E"/>
    <w:rsid w:val="00617288"/>
    <w:rsid w:val="00620ADA"/>
    <w:rsid w:val="0062173B"/>
    <w:rsid w:val="00621C0A"/>
    <w:rsid w:val="00622463"/>
    <w:rsid w:val="0062288A"/>
    <w:rsid w:val="00622A0A"/>
    <w:rsid w:val="00622DDF"/>
    <w:rsid w:val="0062303B"/>
    <w:rsid w:val="00623057"/>
    <w:rsid w:val="00623259"/>
    <w:rsid w:val="00623730"/>
    <w:rsid w:val="00623840"/>
    <w:rsid w:val="00623FCC"/>
    <w:rsid w:val="0062448E"/>
    <w:rsid w:val="006248F5"/>
    <w:rsid w:val="00624B67"/>
    <w:rsid w:val="00625114"/>
    <w:rsid w:val="0062551E"/>
    <w:rsid w:val="00625A0F"/>
    <w:rsid w:val="00625C14"/>
    <w:rsid w:val="00626023"/>
    <w:rsid w:val="0062651B"/>
    <w:rsid w:val="00626526"/>
    <w:rsid w:val="00626985"/>
    <w:rsid w:val="0062748B"/>
    <w:rsid w:val="00627989"/>
    <w:rsid w:val="00627C51"/>
    <w:rsid w:val="006305C8"/>
    <w:rsid w:val="00630F8E"/>
    <w:rsid w:val="00631732"/>
    <w:rsid w:val="00631BC2"/>
    <w:rsid w:val="00632574"/>
    <w:rsid w:val="00632A5A"/>
    <w:rsid w:val="00632F45"/>
    <w:rsid w:val="006333C7"/>
    <w:rsid w:val="0063387B"/>
    <w:rsid w:val="006338CF"/>
    <w:rsid w:val="0063459A"/>
    <w:rsid w:val="006350D4"/>
    <w:rsid w:val="00635720"/>
    <w:rsid w:val="00635874"/>
    <w:rsid w:val="00635A9B"/>
    <w:rsid w:val="00635B4D"/>
    <w:rsid w:val="00635CE2"/>
    <w:rsid w:val="0063661F"/>
    <w:rsid w:val="0063669F"/>
    <w:rsid w:val="00636780"/>
    <w:rsid w:val="00636942"/>
    <w:rsid w:val="00636EE0"/>
    <w:rsid w:val="00636F0E"/>
    <w:rsid w:val="00637069"/>
    <w:rsid w:val="006374F0"/>
    <w:rsid w:val="006376B7"/>
    <w:rsid w:val="00637B47"/>
    <w:rsid w:val="00637E07"/>
    <w:rsid w:val="0064026C"/>
    <w:rsid w:val="00640624"/>
    <w:rsid w:val="00640C77"/>
    <w:rsid w:val="00640E09"/>
    <w:rsid w:val="00640EC1"/>
    <w:rsid w:val="0064124E"/>
    <w:rsid w:val="00641681"/>
    <w:rsid w:val="00641801"/>
    <w:rsid w:val="006420FC"/>
    <w:rsid w:val="00642CAC"/>
    <w:rsid w:val="00643807"/>
    <w:rsid w:val="006438F3"/>
    <w:rsid w:val="00643B0E"/>
    <w:rsid w:val="00643CA4"/>
    <w:rsid w:val="006446C6"/>
    <w:rsid w:val="006452D9"/>
    <w:rsid w:val="00645364"/>
    <w:rsid w:val="00645531"/>
    <w:rsid w:val="00645A42"/>
    <w:rsid w:val="00645FA2"/>
    <w:rsid w:val="006466E5"/>
    <w:rsid w:val="0064673D"/>
    <w:rsid w:val="00646BD3"/>
    <w:rsid w:val="00647292"/>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699"/>
    <w:rsid w:val="0065291A"/>
    <w:rsid w:val="00652B89"/>
    <w:rsid w:val="006535C4"/>
    <w:rsid w:val="00653A1A"/>
    <w:rsid w:val="00653EB7"/>
    <w:rsid w:val="0065400B"/>
    <w:rsid w:val="006546DA"/>
    <w:rsid w:val="006548FD"/>
    <w:rsid w:val="00654B55"/>
    <w:rsid w:val="00654CA6"/>
    <w:rsid w:val="00654F69"/>
    <w:rsid w:val="00654F76"/>
    <w:rsid w:val="006552B1"/>
    <w:rsid w:val="006554CA"/>
    <w:rsid w:val="006560F3"/>
    <w:rsid w:val="0065652C"/>
    <w:rsid w:val="006567F7"/>
    <w:rsid w:val="006568FC"/>
    <w:rsid w:val="00656FA8"/>
    <w:rsid w:val="006571D2"/>
    <w:rsid w:val="006571FC"/>
    <w:rsid w:val="0065780D"/>
    <w:rsid w:val="006579B0"/>
    <w:rsid w:val="00657D5C"/>
    <w:rsid w:val="006603F8"/>
    <w:rsid w:val="00660DBA"/>
    <w:rsid w:val="00661A01"/>
    <w:rsid w:val="00661A23"/>
    <w:rsid w:val="00661DB7"/>
    <w:rsid w:val="00662257"/>
    <w:rsid w:val="0066327D"/>
    <w:rsid w:val="00664669"/>
    <w:rsid w:val="00664853"/>
    <w:rsid w:val="0066547E"/>
    <w:rsid w:val="00665715"/>
    <w:rsid w:val="0066633B"/>
    <w:rsid w:val="00667004"/>
    <w:rsid w:val="00667406"/>
    <w:rsid w:val="00667C7B"/>
    <w:rsid w:val="0067004B"/>
    <w:rsid w:val="00670157"/>
    <w:rsid w:val="00670783"/>
    <w:rsid w:val="00670BBF"/>
    <w:rsid w:val="00670EA7"/>
    <w:rsid w:val="00671372"/>
    <w:rsid w:val="0067192B"/>
    <w:rsid w:val="00671D3A"/>
    <w:rsid w:val="00671E66"/>
    <w:rsid w:val="00672217"/>
    <w:rsid w:val="00672711"/>
    <w:rsid w:val="0067282B"/>
    <w:rsid w:val="006733D4"/>
    <w:rsid w:val="00673FEE"/>
    <w:rsid w:val="006740E6"/>
    <w:rsid w:val="006746F1"/>
    <w:rsid w:val="00674808"/>
    <w:rsid w:val="00674CB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902"/>
    <w:rsid w:val="00682AF6"/>
    <w:rsid w:val="006832DC"/>
    <w:rsid w:val="0068355C"/>
    <w:rsid w:val="00684B0E"/>
    <w:rsid w:val="006851B3"/>
    <w:rsid w:val="0068522D"/>
    <w:rsid w:val="0068527C"/>
    <w:rsid w:val="00685666"/>
    <w:rsid w:val="0068586A"/>
    <w:rsid w:val="00685DE1"/>
    <w:rsid w:val="00685F71"/>
    <w:rsid w:val="006865B7"/>
    <w:rsid w:val="00686C1D"/>
    <w:rsid w:val="00686C6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40E"/>
    <w:rsid w:val="006944CA"/>
    <w:rsid w:val="00694982"/>
    <w:rsid w:val="00694C55"/>
    <w:rsid w:val="00695154"/>
    <w:rsid w:val="0069522F"/>
    <w:rsid w:val="0069541E"/>
    <w:rsid w:val="00695D43"/>
    <w:rsid w:val="00696390"/>
    <w:rsid w:val="00696ACB"/>
    <w:rsid w:val="00696D38"/>
    <w:rsid w:val="00696EA8"/>
    <w:rsid w:val="00696F97"/>
    <w:rsid w:val="00697741"/>
    <w:rsid w:val="00697984"/>
    <w:rsid w:val="006A00CC"/>
    <w:rsid w:val="006A04A6"/>
    <w:rsid w:val="006A0862"/>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55D1"/>
    <w:rsid w:val="006A6289"/>
    <w:rsid w:val="006A6AD7"/>
    <w:rsid w:val="006A753E"/>
    <w:rsid w:val="006A78E0"/>
    <w:rsid w:val="006A7D81"/>
    <w:rsid w:val="006A7FD8"/>
    <w:rsid w:val="006B008F"/>
    <w:rsid w:val="006B0660"/>
    <w:rsid w:val="006B16B5"/>
    <w:rsid w:val="006B1F85"/>
    <w:rsid w:val="006B244F"/>
    <w:rsid w:val="006B301B"/>
    <w:rsid w:val="006B3580"/>
    <w:rsid w:val="006B3595"/>
    <w:rsid w:val="006B3E2E"/>
    <w:rsid w:val="006B3F66"/>
    <w:rsid w:val="006B485B"/>
    <w:rsid w:val="006B55E1"/>
    <w:rsid w:val="006B5D2C"/>
    <w:rsid w:val="006B615F"/>
    <w:rsid w:val="006B63AE"/>
    <w:rsid w:val="006B63B4"/>
    <w:rsid w:val="006B64E7"/>
    <w:rsid w:val="006B6626"/>
    <w:rsid w:val="006B700E"/>
    <w:rsid w:val="006B7D2C"/>
    <w:rsid w:val="006C017B"/>
    <w:rsid w:val="006C02EA"/>
    <w:rsid w:val="006C06AD"/>
    <w:rsid w:val="006C08FB"/>
    <w:rsid w:val="006C0CDE"/>
    <w:rsid w:val="006C24DC"/>
    <w:rsid w:val="006C2814"/>
    <w:rsid w:val="006C2DD0"/>
    <w:rsid w:val="006C2F4A"/>
    <w:rsid w:val="006C2F83"/>
    <w:rsid w:val="006C35A5"/>
    <w:rsid w:val="006C36BE"/>
    <w:rsid w:val="006C36CF"/>
    <w:rsid w:val="006C3FCC"/>
    <w:rsid w:val="006C4389"/>
    <w:rsid w:val="006C485A"/>
    <w:rsid w:val="006C4DED"/>
    <w:rsid w:val="006C50CE"/>
    <w:rsid w:val="006C51C1"/>
    <w:rsid w:val="006C53B0"/>
    <w:rsid w:val="006C5531"/>
    <w:rsid w:val="006C5929"/>
    <w:rsid w:val="006C59AC"/>
    <w:rsid w:val="006C6264"/>
    <w:rsid w:val="006C6636"/>
    <w:rsid w:val="006C6898"/>
    <w:rsid w:val="006C6B41"/>
    <w:rsid w:val="006C6CCC"/>
    <w:rsid w:val="006C6F44"/>
    <w:rsid w:val="006C71F1"/>
    <w:rsid w:val="006C72B2"/>
    <w:rsid w:val="006C7345"/>
    <w:rsid w:val="006C7435"/>
    <w:rsid w:val="006C766A"/>
    <w:rsid w:val="006D05EE"/>
    <w:rsid w:val="006D05FD"/>
    <w:rsid w:val="006D1023"/>
    <w:rsid w:val="006D1CC2"/>
    <w:rsid w:val="006D1F0D"/>
    <w:rsid w:val="006D20AF"/>
    <w:rsid w:val="006D2992"/>
    <w:rsid w:val="006D299B"/>
    <w:rsid w:val="006D29B1"/>
    <w:rsid w:val="006D2A2C"/>
    <w:rsid w:val="006D327A"/>
    <w:rsid w:val="006D357D"/>
    <w:rsid w:val="006D3913"/>
    <w:rsid w:val="006D3ED9"/>
    <w:rsid w:val="006D46D2"/>
    <w:rsid w:val="006D4852"/>
    <w:rsid w:val="006D48AB"/>
    <w:rsid w:val="006D5371"/>
    <w:rsid w:val="006D588B"/>
    <w:rsid w:val="006D60F8"/>
    <w:rsid w:val="006D6658"/>
    <w:rsid w:val="006D690C"/>
    <w:rsid w:val="006D6986"/>
    <w:rsid w:val="006D6C91"/>
    <w:rsid w:val="006E02E5"/>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401"/>
    <w:rsid w:val="006E35AB"/>
    <w:rsid w:val="006E3E2F"/>
    <w:rsid w:val="006E44F6"/>
    <w:rsid w:val="006E5CD2"/>
    <w:rsid w:val="006E6215"/>
    <w:rsid w:val="006E63E1"/>
    <w:rsid w:val="006E651B"/>
    <w:rsid w:val="006E675C"/>
    <w:rsid w:val="006E706D"/>
    <w:rsid w:val="006E77EB"/>
    <w:rsid w:val="006E7B41"/>
    <w:rsid w:val="006F078D"/>
    <w:rsid w:val="006F0B0E"/>
    <w:rsid w:val="006F1292"/>
    <w:rsid w:val="006F1355"/>
    <w:rsid w:val="006F199E"/>
    <w:rsid w:val="006F1D7B"/>
    <w:rsid w:val="006F1DC3"/>
    <w:rsid w:val="006F2D13"/>
    <w:rsid w:val="006F3028"/>
    <w:rsid w:val="006F310A"/>
    <w:rsid w:val="006F31BB"/>
    <w:rsid w:val="006F4C15"/>
    <w:rsid w:val="006F4F3B"/>
    <w:rsid w:val="006F509F"/>
    <w:rsid w:val="006F54D9"/>
    <w:rsid w:val="006F580B"/>
    <w:rsid w:val="006F5DF1"/>
    <w:rsid w:val="006F5E9C"/>
    <w:rsid w:val="006F6116"/>
    <w:rsid w:val="006F6179"/>
    <w:rsid w:val="006F62DB"/>
    <w:rsid w:val="006F62E2"/>
    <w:rsid w:val="006F6354"/>
    <w:rsid w:val="006F6380"/>
    <w:rsid w:val="006F63B4"/>
    <w:rsid w:val="006F66DA"/>
    <w:rsid w:val="006F6822"/>
    <w:rsid w:val="006F6975"/>
    <w:rsid w:val="006F6C5E"/>
    <w:rsid w:val="006F6FE2"/>
    <w:rsid w:val="006F757E"/>
    <w:rsid w:val="006F7892"/>
    <w:rsid w:val="007016F8"/>
    <w:rsid w:val="0070181C"/>
    <w:rsid w:val="0070194D"/>
    <w:rsid w:val="00701B34"/>
    <w:rsid w:val="00701B54"/>
    <w:rsid w:val="00701D4C"/>
    <w:rsid w:val="007021A7"/>
    <w:rsid w:val="00702218"/>
    <w:rsid w:val="0070232F"/>
    <w:rsid w:val="007024F4"/>
    <w:rsid w:val="00702571"/>
    <w:rsid w:val="00702983"/>
    <w:rsid w:val="00703109"/>
    <w:rsid w:val="0070350C"/>
    <w:rsid w:val="00703617"/>
    <w:rsid w:val="00703792"/>
    <w:rsid w:val="00703848"/>
    <w:rsid w:val="00703BE5"/>
    <w:rsid w:val="00704179"/>
    <w:rsid w:val="0070435B"/>
    <w:rsid w:val="00704365"/>
    <w:rsid w:val="00704B74"/>
    <w:rsid w:val="00704FB3"/>
    <w:rsid w:val="007054C5"/>
    <w:rsid w:val="0070586B"/>
    <w:rsid w:val="00705A85"/>
    <w:rsid w:val="00705ADC"/>
    <w:rsid w:val="00706B49"/>
    <w:rsid w:val="0070786F"/>
    <w:rsid w:val="0070796A"/>
    <w:rsid w:val="007079C5"/>
    <w:rsid w:val="00707BAA"/>
    <w:rsid w:val="00707D10"/>
    <w:rsid w:val="00707FFC"/>
    <w:rsid w:val="007102B7"/>
    <w:rsid w:val="007102B9"/>
    <w:rsid w:val="00710384"/>
    <w:rsid w:val="00710CD5"/>
    <w:rsid w:val="00710E3A"/>
    <w:rsid w:val="00710E6D"/>
    <w:rsid w:val="00710F2F"/>
    <w:rsid w:val="00711075"/>
    <w:rsid w:val="007111EC"/>
    <w:rsid w:val="0071151C"/>
    <w:rsid w:val="00711924"/>
    <w:rsid w:val="00711BCE"/>
    <w:rsid w:val="00711D40"/>
    <w:rsid w:val="00712067"/>
    <w:rsid w:val="007123F9"/>
    <w:rsid w:val="007127F9"/>
    <w:rsid w:val="007129A8"/>
    <w:rsid w:val="0071318A"/>
    <w:rsid w:val="0071342D"/>
    <w:rsid w:val="00713433"/>
    <w:rsid w:val="00713586"/>
    <w:rsid w:val="00713D32"/>
    <w:rsid w:val="0071431F"/>
    <w:rsid w:val="0071446F"/>
    <w:rsid w:val="007149C6"/>
    <w:rsid w:val="00714F6B"/>
    <w:rsid w:val="00714FA0"/>
    <w:rsid w:val="00714FC3"/>
    <w:rsid w:val="007154CA"/>
    <w:rsid w:val="00715627"/>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3FB"/>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1B42"/>
    <w:rsid w:val="007323AE"/>
    <w:rsid w:val="0073261F"/>
    <w:rsid w:val="00732765"/>
    <w:rsid w:val="0073282E"/>
    <w:rsid w:val="00732CAA"/>
    <w:rsid w:val="00732F95"/>
    <w:rsid w:val="00733484"/>
    <w:rsid w:val="007336F0"/>
    <w:rsid w:val="00733729"/>
    <w:rsid w:val="007339F4"/>
    <w:rsid w:val="00733BFB"/>
    <w:rsid w:val="007347B9"/>
    <w:rsid w:val="007349BD"/>
    <w:rsid w:val="00734E22"/>
    <w:rsid w:val="00735149"/>
    <w:rsid w:val="00736365"/>
    <w:rsid w:val="0073744A"/>
    <w:rsid w:val="0073781E"/>
    <w:rsid w:val="007378D5"/>
    <w:rsid w:val="00737C09"/>
    <w:rsid w:val="00737DA7"/>
    <w:rsid w:val="00740320"/>
    <w:rsid w:val="00740706"/>
    <w:rsid w:val="00740A05"/>
    <w:rsid w:val="00740FBD"/>
    <w:rsid w:val="00740FFD"/>
    <w:rsid w:val="00741213"/>
    <w:rsid w:val="0074178F"/>
    <w:rsid w:val="00742458"/>
    <w:rsid w:val="00742B0A"/>
    <w:rsid w:val="00742C05"/>
    <w:rsid w:val="00742DD5"/>
    <w:rsid w:val="007433B6"/>
    <w:rsid w:val="00743495"/>
    <w:rsid w:val="007438B9"/>
    <w:rsid w:val="00743AAD"/>
    <w:rsid w:val="00743BB1"/>
    <w:rsid w:val="00743CB7"/>
    <w:rsid w:val="00744DD0"/>
    <w:rsid w:val="007450DD"/>
    <w:rsid w:val="00745A46"/>
    <w:rsid w:val="00746516"/>
    <w:rsid w:val="00746D79"/>
    <w:rsid w:val="0074701F"/>
    <w:rsid w:val="00747511"/>
    <w:rsid w:val="007505D3"/>
    <w:rsid w:val="00750F93"/>
    <w:rsid w:val="00751DAB"/>
    <w:rsid w:val="007525EB"/>
    <w:rsid w:val="0075270B"/>
    <w:rsid w:val="00752AD8"/>
    <w:rsid w:val="00752C83"/>
    <w:rsid w:val="00752D11"/>
    <w:rsid w:val="0075306A"/>
    <w:rsid w:val="00753399"/>
    <w:rsid w:val="00753720"/>
    <w:rsid w:val="00753C79"/>
    <w:rsid w:val="00754691"/>
    <w:rsid w:val="007547ED"/>
    <w:rsid w:val="00754C2E"/>
    <w:rsid w:val="00754F07"/>
    <w:rsid w:val="00755D13"/>
    <w:rsid w:val="0075644C"/>
    <w:rsid w:val="00756AEA"/>
    <w:rsid w:val="00756D90"/>
    <w:rsid w:val="007571BE"/>
    <w:rsid w:val="00757C81"/>
    <w:rsid w:val="00757D58"/>
    <w:rsid w:val="00757F79"/>
    <w:rsid w:val="00760162"/>
    <w:rsid w:val="0076052C"/>
    <w:rsid w:val="0076081F"/>
    <w:rsid w:val="0076086A"/>
    <w:rsid w:val="00760B26"/>
    <w:rsid w:val="00760D65"/>
    <w:rsid w:val="00760FA5"/>
    <w:rsid w:val="007615D5"/>
    <w:rsid w:val="007616F1"/>
    <w:rsid w:val="0076187E"/>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67930"/>
    <w:rsid w:val="0077089F"/>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AD0"/>
    <w:rsid w:val="0077528D"/>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C21"/>
    <w:rsid w:val="007804B1"/>
    <w:rsid w:val="00780A4E"/>
    <w:rsid w:val="00780E92"/>
    <w:rsid w:val="0078105E"/>
    <w:rsid w:val="007810B4"/>
    <w:rsid w:val="0078125C"/>
    <w:rsid w:val="00781760"/>
    <w:rsid w:val="00781A3B"/>
    <w:rsid w:val="00781F8E"/>
    <w:rsid w:val="00782157"/>
    <w:rsid w:val="00782221"/>
    <w:rsid w:val="00782470"/>
    <w:rsid w:val="00782766"/>
    <w:rsid w:val="00782847"/>
    <w:rsid w:val="00783664"/>
    <w:rsid w:val="00783C17"/>
    <w:rsid w:val="00784126"/>
    <w:rsid w:val="0078435F"/>
    <w:rsid w:val="00784419"/>
    <w:rsid w:val="007851CF"/>
    <w:rsid w:val="00785530"/>
    <w:rsid w:val="00785903"/>
    <w:rsid w:val="00785CD7"/>
    <w:rsid w:val="00785FDA"/>
    <w:rsid w:val="007861C4"/>
    <w:rsid w:val="00786279"/>
    <w:rsid w:val="00786666"/>
    <w:rsid w:val="007869A7"/>
    <w:rsid w:val="00786D32"/>
    <w:rsid w:val="00786D84"/>
    <w:rsid w:val="00786F1B"/>
    <w:rsid w:val="0078746D"/>
    <w:rsid w:val="007875BE"/>
    <w:rsid w:val="007875E0"/>
    <w:rsid w:val="00787CB5"/>
    <w:rsid w:val="00787F93"/>
    <w:rsid w:val="0079065B"/>
    <w:rsid w:val="00790F46"/>
    <w:rsid w:val="0079106F"/>
    <w:rsid w:val="00791956"/>
    <w:rsid w:val="00791E20"/>
    <w:rsid w:val="00792243"/>
    <w:rsid w:val="0079267B"/>
    <w:rsid w:val="00792F11"/>
    <w:rsid w:val="007933BB"/>
    <w:rsid w:val="00793AE7"/>
    <w:rsid w:val="00793F3B"/>
    <w:rsid w:val="00793FF4"/>
    <w:rsid w:val="0079416F"/>
    <w:rsid w:val="00794364"/>
    <w:rsid w:val="00794D83"/>
    <w:rsid w:val="007953CC"/>
    <w:rsid w:val="00796348"/>
    <w:rsid w:val="00796AEE"/>
    <w:rsid w:val="00796CCD"/>
    <w:rsid w:val="00797386"/>
    <w:rsid w:val="0079769D"/>
    <w:rsid w:val="007978DE"/>
    <w:rsid w:val="007979E3"/>
    <w:rsid w:val="00797B48"/>
    <w:rsid w:val="00797E1D"/>
    <w:rsid w:val="007A090A"/>
    <w:rsid w:val="007A15FA"/>
    <w:rsid w:val="007A17DF"/>
    <w:rsid w:val="007A20E1"/>
    <w:rsid w:val="007A237F"/>
    <w:rsid w:val="007A25E8"/>
    <w:rsid w:val="007A31DD"/>
    <w:rsid w:val="007A341F"/>
    <w:rsid w:val="007A355E"/>
    <w:rsid w:val="007A3F0B"/>
    <w:rsid w:val="007A4394"/>
    <w:rsid w:val="007A43B2"/>
    <w:rsid w:val="007A45FD"/>
    <w:rsid w:val="007A4B65"/>
    <w:rsid w:val="007A4BDF"/>
    <w:rsid w:val="007A505D"/>
    <w:rsid w:val="007A5152"/>
    <w:rsid w:val="007A545C"/>
    <w:rsid w:val="007A5A8C"/>
    <w:rsid w:val="007A6343"/>
    <w:rsid w:val="007A6406"/>
    <w:rsid w:val="007A646B"/>
    <w:rsid w:val="007A69BF"/>
    <w:rsid w:val="007A6AC3"/>
    <w:rsid w:val="007A6D8A"/>
    <w:rsid w:val="007A7A08"/>
    <w:rsid w:val="007B03C8"/>
    <w:rsid w:val="007B05C7"/>
    <w:rsid w:val="007B0AA6"/>
    <w:rsid w:val="007B0D96"/>
    <w:rsid w:val="007B0E4E"/>
    <w:rsid w:val="007B1419"/>
    <w:rsid w:val="007B1454"/>
    <w:rsid w:val="007B1787"/>
    <w:rsid w:val="007B1946"/>
    <w:rsid w:val="007B1A46"/>
    <w:rsid w:val="007B1B62"/>
    <w:rsid w:val="007B2935"/>
    <w:rsid w:val="007B2A6B"/>
    <w:rsid w:val="007B2AB6"/>
    <w:rsid w:val="007B3279"/>
    <w:rsid w:val="007B3371"/>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341"/>
    <w:rsid w:val="007B740F"/>
    <w:rsid w:val="007B76AD"/>
    <w:rsid w:val="007B78B4"/>
    <w:rsid w:val="007B78DE"/>
    <w:rsid w:val="007B7C7E"/>
    <w:rsid w:val="007B7DFD"/>
    <w:rsid w:val="007B7E9F"/>
    <w:rsid w:val="007B7F79"/>
    <w:rsid w:val="007C00B0"/>
    <w:rsid w:val="007C018D"/>
    <w:rsid w:val="007C02E2"/>
    <w:rsid w:val="007C0359"/>
    <w:rsid w:val="007C042C"/>
    <w:rsid w:val="007C0BCC"/>
    <w:rsid w:val="007C1BC0"/>
    <w:rsid w:val="007C2016"/>
    <w:rsid w:val="007C2557"/>
    <w:rsid w:val="007C2732"/>
    <w:rsid w:val="007C277F"/>
    <w:rsid w:val="007C29BC"/>
    <w:rsid w:val="007C2B5F"/>
    <w:rsid w:val="007C3098"/>
    <w:rsid w:val="007C3EFA"/>
    <w:rsid w:val="007C4122"/>
    <w:rsid w:val="007C4735"/>
    <w:rsid w:val="007C49E1"/>
    <w:rsid w:val="007C4AD2"/>
    <w:rsid w:val="007C5084"/>
    <w:rsid w:val="007C50BB"/>
    <w:rsid w:val="007C50C2"/>
    <w:rsid w:val="007C51F4"/>
    <w:rsid w:val="007C5B9E"/>
    <w:rsid w:val="007C5C1A"/>
    <w:rsid w:val="007C60D9"/>
    <w:rsid w:val="007C64E5"/>
    <w:rsid w:val="007C6CD7"/>
    <w:rsid w:val="007D0309"/>
    <w:rsid w:val="007D04E1"/>
    <w:rsid w:val="007D105A"/>
    <w:rsid w:val="007D1366"/>
    <w:rsid w:val="007D1529"/>
    <w:rsid w:val="007D1766"/>
    <w:rsid w:val="007D1828"/>
    <w:rsid w:val="007D1EEF"/>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B5F"/>
    <w:rsid w:val="007E1C4E"/>
    <w:rsid w:val="007E1C70"/>
    <w:rsid w:val="007E1D29"/>
    <w:rsid w:val="007E1E24"/>
    <w:rsid w:val="007E1FBD"/>
    <w:rsid w:val="007E21B5"/>
    <w:rsid w:val="007E24D7"/>
    <w:rsid w:val="007E2A4A"/>
    <w:rsid w:val="007E2D07"/>
    <w:rsid w:val="007E3B20"/>
    <w:rsid w:val="007E3ED3"/>
    <w:rsid w:val="007E4604"/>
    <w:rsid w:val="007E46D9"/>
    <w:rsid w:val="007E5311"/>
    <w:rsid w:val="007E53DA"/>
    <w:rsid w:val="007E558C"/>
    <w:rsid w:val="007E5AE1"/>
    <w:rsid w:val="007E5CEC"/>
    <w:rsid w:val="007E5EC3"/>
    <w:rsid w:val="007E653A"/>
    <w:rsid w:val="007E68EA"/>
    <w:rsid w:val="007E6A0C"/>
    <w:rsid w:val="007E6BA1"/>
    <w:rsid w:val="007E6BCF"/>
    <w:rsid w:val="007E6D6D"/>
    <w:rsid w:val="007E6D8A"/>
    <w:rsid w:val="007E6EB7"/>
    <w:rsid w:val="007E72FC"/>
    <w:rsid w:val="007E7D7A"/>
    <w:rsid w:val="007F00C8"/>
    <w:rsid w:val="007F059A"/>
    <w:rsid w:val="007F0D92"/>
    <w:rsid w:val="007F1060"/>
    <w:rsid w:val="007F1F1E"/>
    <w:rsid w:val="007F2572"/>
    <w:rsid w:val="007F259A"/>
    <w:rsid w:val="007F2C14"/>
    <w:rsid w:val="007F2D89"/>
    <w:rsid w:val="007F3778"/>
    <w:rsid w:val="007F38FF"/>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6EDE"/>
    <w:rsid w:val="00800010"/>
    <w:rsid w:val="00800268"/>
    <w:rsid w:val="00800574"/>
    <w:rsid w:val="0080063D"/>
    <w:rsid w:val="008007D3"/>
    <w:rsid w:val="00800A59"/>
    <w:rsid w:val="00800B52"/>
    <w:rsid w:val="00800E2A"/>
    <w:rsid w:val="00800F7A"/>
    <w:rsid w:val="00801629"/>
    <w:rsid w:val="00801653"/>
    <w:rsid w:val="00801BBD"/>
    <w:rsid w:val="00801D1D"/>
    <w:rsid w:val="00802480"/>
    <w:rsid w:val="00802746"/>
    <w:rsid w:val="00802E9E"/>
    <w:rsid w:val="0080332D"/>
    <w:rsid w:val="008034D2"/>
    <w:rsid w:val="008034EE"/>
    <w:rsid w:val="0080375E"/>
    <w:rsid w:val="00803836"/>
    <w:rsid w:val="00803B93"/>
    <w:rsid w:val="00803EA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36B"/>
    <w:rsid w:val="0080761D"/>
    <w:rsid w:val="00807C7C"/>
    <w:rsid w:val="008105D7"/>
    <w:rsid w:val="00810D44"/>
    <w:rsid w:val="00811783"/>
    <w:rsid w:val="00811995"/>
    <w:rsid w:val="00812151"/>
    <w:rsid w:val="008123E4"/>
    <w:rsid w:val="00812DCD"/>
    <w:rsid w:val="00812DFF"/>
    <w:rsid w:val="00813073"/>
    <w:rsid w:val="0081371A"/>
    <w:rsid w:val="00813720"/>
    <w:rsid w:val="008138F2"/>
    <w:rsid w:val="00813DE5"/>
    <w:rsid w:val="00814533"/>
    <w:rsid w:val="00814CBB"/>
    <w:rsid w:val="00814E8C"/>
    <w:rsid w:val="00814FF0"/>
    <w:rsid w:val="0081526D"/>
    <w:rsid w:val="008154A7"/>
    <w:rsid w:val="00815B3A"/>
    <w:rsid w:val="00816183"/>
    <w:rsid w:val="0081674A"/>
    <w:rsid w:val="00816956"/>
    <w:rsid w:val="008169B5"/>
    <w:rsid w:val="00816EF4"/>
    <w:rsid w:val="008175D2"/>
    <w:rsid w:val="00817CE4"/>
    <w:rsid w:val="00817DA7"/>
    <w:rsid w:val="00817DD2"/>
    <w:rsid w:val="00820338"/>
    <w:rsid w:val="008206D5"/>
    <w:rsid w:val="008207F7"/>
    <w:rsid w:val="0082088D"/>
    <w:rsid w:val="00821056"/>
    <w:rsid w:val="00821A8F"/>
    <w:rsid w:val="00821B0E"/>
    <w:rsid w:val="00821E44"/>
    <w:rsid w:val="0082308D"/>
    <w:rsid w:val="008231D8"/>
    <w:rsid w:val="00823209"/>
    <w:rsid w:val="0082334F"/>
    <w:rsid w:val="008234C1"/>
    <w:rsid w:val="00823EB6"/>
    <w:rsid w:val="0082403C"/>
    <w:rsid w:val="0082438F"/>
    <w:rsid w:val="00824587"/>
    <w:rsid w:val="00824600"/>
    <w:rsid w:val="00824638"/>
    <w:rsid w:val="00825332"/>
    <w:rsid w:val="008260F1"/>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A0A"/>
    <w:rsid w:val="00831DF2"/>
    <w:rsid w:val="00831FEE"/>
    <w:rsid w:val="00832330"/>
    <w:rsid w:val="00832696"/>
    <w:rsid w:val="008334D4"/>
    <w:rsid w:val="00833501"/>
    <w:rsid w:val="00833579"/>
    <w:rsid w:val="0083485F"/>
    <w:rsid w:val="00834CD6"/>
    <w:rsid w:val="00834CE0"/>
    <w:rsid w:val="00835757"/>
    <w:rsid w:val="008360ED"/>
    <w:rsid w:val="00836210"/>
    <w:rsid w:val="00836276"/>
    <w:rsid w:val="008368BF"/>
    <w:rsid w:val="00836AF1"/>
    <w:rsid w:val="0083751C"/>
    <w:rsid w:val="00837571"/>
    <w:rsid w:val="00837DEC"/>
    <w:rsid w:val="008404EB"/>
    <w:rsid w:val="00840644"/>
    <w:rsid w:val="00841263"/>
    <w:rsid w:val="00841396"/>
    <w:rsid w:val="00841A9B"/>
    <w:rsid w:val="00841EF7"/>
    <w:rsid w:val="00841FE6"/>
    <w:rsid w:val="00842412"/>
    <w:rsid w:val="008426C5"/>
    <w:rsid w:val="008428D2"/>
    <w:rsid w:val="00842C2A"/>
    <w:rsid w:val="008430B8"/>
    <w:rsid w:val="0084332F"/>
    <w:rsid w:val="00843773"/>
    <w:rsid w:val="00843A38"/>
    <w:rsid w:val="00843F95"/>
    <w:rsid w:val="00844767"/>
    <w:rsid w:val="008449B2"/>
    <w:rsid w:val="00844A07"/>
    <w:rsid w:val="00844FAE"/>
    <w:rsid w:val="00846031"/>
    <w:rsid w:val="008465AA"/>
    <w:rsid w:val="00847007"/>
    <w:rsid w:val="0084705C"/>
    <w:rsid w:val="00847ABC"/>
    <w:rsid w:val="008502F3"/>
    <w:rsid w:val="00851129"/>
    <w:rsid w:val="00851306"/>
    <w:rsid w:val="00851692"/>
    <w:rsid w:val="00851E2B"/>
    <w:rsid w:val="008526F7"/>
    <w:rsid w:val="00852B8C"/>
    <w:rsid w:val="00853347"/>
    <w:rsid w:val="0085342A"/>
    <w:rsid w:val="00853568"/>
    <w:rsid w:val="00854477"/>
    <w:rsid w:val="008544D5"/>
    <w:rsid w:val="00854B93"/>
    <w:rsid w:val="00855199"/>
    <w:rsid w:val="00855D58"/>
    <w:rsid w:val="008565B8"/>
    <w:rsid w:val="0085672C"/>
    <w:rsid w:val="008567DB"/>
    <w:rsid w:val="00856BC7"/>
    <w:rsid w:val="00857560"/>
    <w:rsid w:val="008575B7"/>
    <w:rsid w:val="00857602"/>
    <w:rsid w:val="00860628"/>
    <w:rsid w:val="008608BF"/>
    <w:rsid w:val="00860FA9"/>
    <w:rsid w:val="0086150C"/>
    <w:rsid w:val="008617FA"/>
    <w:rsid w:val="00862277"/>
    <w:rsid w:val="008626D1"/>
    <w:rsid w:val="00862D43"/>
    <w:rsid w:val="00862EA8"/>
    <w:rsid w:val="00863FD2"/>
    <w:rsid w:val="0086426E"/>
    <w:rsid w:val="0086435F"/>
    <w:rsid w:val="0086457D"/>
    <w:rsid w:val="00864654"/>
    <w:rsid w:val="008649DF"/>
    <w:rsid w:val="00864C26"/>
    <w:rsid w:val="00864E06"/>
    <w:rsid w:val="0086534E"/>
    <w:rsid w:val="0086541E"/>
    <w:rsid w:val="008657EC"/>
    <w:rsid w:val="00865E4F"/>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4012"/>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3D0"/>
    <w:rsid w:val="0088349D"/>
    <w:rsid w:val="008838F7"/>
    <w:rsid w:val="00883920"/>
    <w:rsid w:val="00883B93"/>
    <w:rsid w:val="008840CA"/>
    <w:rsid w:val="00884E33"/>
    <w:rsid w:val="008851A7"/>
    <w:rsid w:val="008851F6"/>
    <w:rsid w:val="0088577D"/>
    <w:rsid w:val="00885B84"/>
    <w:rsid w:val="00885C94"/>
    <w:rsid w:val="00886049"/>
    <w:rsid w:val="0088641E"/>
    <w:rsid w:val="0088669E"/>
    <w:rsid w:val="00886B1A"/>
    <w:rsid w:val="008871E8"/>
    <w:rsid w:val="00887DA0"/>
    <w:rsid w:val="00890798"/>
    <w:rsid w:val="008909E8"/>
    <w:rsid w:val="00890A33"/>
    <w:rsid w:val="00890D54"/>
    <w:rsid w:val="00890F57"/>
    <w:rsid w:val="00891131"/>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3851"/>
    <w:rsid w:val="008A3869"/>
    <w:rsid w:val="008A3997"/>
    <w:rsid w:val="008A3B9C"/>
    <w:rsid w:val="008A4355"/>
    <w:rsid w:val="008A45C9"/>
    <w:rsid w:val="008A468A"/>
    <w:rsid w:val="008A4F05"/>
    <w:rsid w:val="008A521A"/>
    <w:rsid w:val="008A55F0"/>
    <w:rsid w:val="008A5C93"/>
    <w:rsid w:val="008A63DD"/>
    <w:rsid w:val="008A6A0E"/>
    <w:rsid w:val="008A739A"/>
    <w:rsid w:val="008A75A5"/>
    <w:rsid w:val="008A7985"/>
    <w:rsid w:val="008A7C70"/>
    <w:rsid w:val="008A7D9A"/>
    <w:rsid w:val="008B081F"/>
    <w:rsid w:val="008B0CE0"/>
    <w:rsid w:val="008B149A"/>
    <w:rsid w:val="008B16C0"/>
    <w:rsid w:val="008B28ED"/>
    <w:rsid w:val="008B2989"/>
    <w:rsid w:val="008B2B28"/>
    <w:rsid w:val="008B2D51"/>
    <w:rsid w:val="008B301D"/>
    <w:rsid w:val="008B3739"/>
    <w:rsid w:val="008B3DC3"/>
    <w:rsid w:val="008B403A"/>
    <w:rsid w:val="008B4A23"/>
    <w:rsid w:val="008B5245"/>
    <w:rsid w:val="008B67F2"/>
    <w:rsid w:val="008B685D"/>
    <w:rsid w:val="008B6861"/>
    <w:rsid w:val="008B6941"/>
    <w:rsid w:val="008B6D3F"/>
    <w:rsid w:val="008B6EC7"/>
    <w:rsid w:val="008B7CA6"/>
    <w:rsid w:val="008B7D99"/>
    <w:rsid w:val="008C0294"/>
    <w:rsid w:val="008C0360"/>
    <w:rsid w:val="008C0DE7"/>
    <w:rsid w:val="008C0DE8"/>
    <w:rsid w:val="008C0ECD"/>
    <w:rsid w:val="008C115B"/>
    <w:rsid w:val="008C275C"/>
    <w:rsid w:val="008C27E1"/>
    <w:rsid w:val="008C2959"/>
    <w:rsid w:val="008C2BA7"/>
    <w:rsid w:val="008C362A"/>
    <w:rsid w:val="008C41CF"/>
    <w:rsid w:val="008C41FA"/>
    <w:rsid w:val="008C4509"/>
    <w:rsid w:val="008C4976"/>
    <w:rsid w:val="008C4983"/>
    <w:rsid w:val="008C5011"/>
    <w:rsid w:val="008C52A6"/>
    <w:rsid w:val="008C540A"/>
    <w:rsid w:val="008C587B"/>
    <w:rsid w:val="008C5CF3"/>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C98"/>
    <w:rsid w:val="008D3D9B"/>
    <w:rsid w:val="008D3FDA"/>
    <w:rsid w:val="008D4AE2"/>
    <w:rsid w:val="008D4EDD"/>
    <w:rsid w:val="008D52CA"/>
    <w:rsid w:val="008D5B47"/>
    <w:rsid w:val="008D613D"/>
    <w:rsid w:val="008D623C"/>
    <w:rsid w:val="008D67E9"/>
    <w:rsid w:val="008D6E91"/>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0F"/>
    <w:rsid w:val="008E3063"/>
    <w:rsid w:val="008E4748"/>
    <w:rsid w:val="008E4E10"/>
    <w:rsid w:val="008E50D5"/>
    <w:rsid w:val="008E52F3"/>
    <w:rsid w:val="008E5B6A"/>
    <w:rsid w:val="008E611C"/>
    <w:rsid w:val="008E7115"/>
    <w:rsid w:val="008E7266"/>
    <w:rsid w:val="008E72EC"/>
    <w:rsid w:val="008E75B6"/>
    <w:rsid w:val="008E781E"/>
    <w:rsid w:val="008E7BB0"/>
    <w:rsid w:val="008E7E42"/>
    <w:rsid w:val="008E7F6E"/>
    <w:rsid w:val="008F086A"/>
    <w:rsid w:val="008F15B9"/>
    <w:rsid w:val="008F160D"/>
    <w:rsid w:val="008F177F"/>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8F7DC2"/>
    <w:rsid w:val="00900014"/>
    <w:rsid w:val="009001DD"/>
    <w:rsid w:val="009009A4"/>
    <w:rsid w:val="00900B6F"/>
    <w:rsid w:val="00900F06"/>
    <w:rsid w:val="009013B4"/>
    <w:rsid w:val="009013CA"/>
    <w:rsid w:val="00901BDD"/>
    <w:rsid w:val="00901CA1"/>
    <w:rsid w:val="00902F6B"/>
    <w:rsid w:val="0090381F"/>
    <w:rsid w:val="00903B10"/>
    <w:rsid w:val="009044E6"/>
    <w:rsid w:val="009047D5"/>
    <w:rsid w:val="00904AE8"/>
    <w:rsid w:val="00904D98"/>
    <w:rsid w:val="00904E56"/>
    <w:rsid w:val="00905230"/>
    <w:rsid w:val="00905271"/>
    <w:rsid w:val="00905E59"/>
    <w:rsid w:val="00906881"/>
    <w:rsid w:val="0090768A"/>
    <w:rsid w:val="009078C8"/>
    <w:rsid w:val="00907BD8"/>
    <w:rsid w:val="00910119"/>
    <w:rsid w:val="00910509"/>
    <w:rsid w:val="00910585"/>
    <w:rsid w:val="0091091B"/>
    <w:rsid w:val="00910C8E"/>
    <w:rsid w:val="00911393"/>
    <w:rsid w:val="009115E6"/>
    <w:rsid w:val="00911E59"/>
    <w:rsid w:val="00911F3B"/>
    <w:rsid w:val="00912630"/>
    <w:rsid w:val="009127E5"/>
    <w:rsid w:val="00912F0F"/>
    <w:rsid w:val="00913AB3"/>
    <w:rsid w:val="0091433F"/>
    <w:rsid w:val="009148AD"/>
    <w:rsid w:val="00914B8E"/>
    <w:rsid w:val="009152A7"/>
    <w:rsid w:val="009157B7"/>
    <w:rsid w:val="009160A3"/>
    <w:rsid w:val="009161DB"/>
    <w:rsid w:val="00916ADE"/>
    <w:rsid w:val="0091720A"/>
    <w:rsid w:val="00917569"/>
    <w:rsid w:val="0091777A"/>
    <w:rsid w:val="00917842"/>
    <w:rsid w:val="00917C51"/>
    <w:rsid w:val="009208D4"/>
    <w:rsid w:val="00920B4F"/>
    <w:rsid w:val="00921007"/>
    <w:rsid w:val="00921205"/>
    <w:rsid w:val="00921591"/>
    <w:rsid w:val="009216E5"/>
    <w:rsid w:val="00921812"/>
    <w:rsid w:val="0092207A"/>
    <w:rsid w:val="009225C0"/>
    <w:rsid w:val="00922D32"/>
    <w:rsid w:val="0092309B"/>
    <w:rsid w:val="009237D8"/>
    <w:rsid w:val="009237F9"/>
    <w:rsid w:val="00923BD6"/>
    <w:rsid w:val="00924562"/>
    <w:rsid w:val="00924B71"/>
    <w:rsid w:val="009254A8"/>
    <w:rsid w:val="009254F3"/>
    <w:rsid w:val="00925568"/>
    <w:rsid w:val="00925A72"/>
    <w:rsid w:val="00925B2C"/>
    <w:rsid w:val="00925DC7"/>
    <w:rsid w:val="00925FA2"/>
    <w:rsid w:val="00926906"/>
    <w:rsid w:val="00926AFB"/>
    <w:rsid w:val="00926C0E"/>
    <w:rsid w:val="00926F68"/>
    <w:rsid w:val="009274B6"/>
    <w:rsid w:val="0093034F"/>
    <w:rsid w:val="009313A9"/>
    <w:rsid w:val="0093184C"/>
    <w:rsid w:val="00931AB2"/>
    <w:rsid w:val="009326CB"/>
    <w:rsid w:val="00932849"/>
    <w:rsid w:val="00933266"/>
    <w:rsid w:val="009335AC"/>
    <w:rsid w:val="009338C0"/>
    <w:rsid w:val="00933C1D"/>
    <w:rsid w:val="00933F24"/>
    <w:rsid w:val="0093430A"/>
    <w:rsid w:val="009343F1"/>
    <w:rsid w:val="0093470C"/>
    <w:rsid w:val="00934B38"/>
    <w:rsid w:val="00934D2B"/>
    <w:rsid w:val="00936520"/>
    <w:rsid w:val="00936549"/>
    <w:rsid w:val="00937904"/>
    <w:rsid w:val="00937C86"/>
    <w:rsid w:val="009409DA"/>
    <w:rsid w:val="00940AE7"/>
    <w:rsid w:val="00940AEA"/>
    <w:rsid w:val="0094186A"/>
    <w:rsid w:val="009428E7"/>
    <w:rsid w:val="009429D1"/>
    <w:rsid w:val="00942C36"/>
    <w:rsid w:val="00942C5C"/>
    <w:rsid w:val="00942CAA"/>
    <w:rsid w:val="00942FC8"/>
    <w:rsid w:val="00943235"/>
    <w:rsid w:val="009432D6"/>
    <w:rsid w:val="009436F4"/>
    <w:rsid w:val="0094407F"/>
    <w:rsid w:val="0094485F"/>
    <w:rsid w:val="00945747"/>
    <w:rsid w:val="00945910"/>
    <w:rsid w:val="00945FF7"/>
    <w:rsid w:val="00946847"/>
    <w:rsid w:val="00946C40"/>
    <w:rsid w:val="00946E9C"/>
    <w:rsid w:val="00947ADE"/>
    <w:rsid w:val="00947C4C"/>
    <w:rsid w:val="00947C82"/>
    <w:rsid w:val="00947FC4"/>
    <w:rsid w:val="00950103"/>
    <w:rsid w:val="00950A06"/>
    <w:rsid w:val="0095125F"/>
    <w:rsid w:val="0095174F"/>
    <w:rsid w:val="0095184E"/>
    <w:rsid w:val="009519BD"/>
    <w:rsid w:val="009519F4"/>
    <w:rsid w:val="0095229F"/>
    <w:rsid w:val="009525CA"/>
    <w:rsid w:val="00952C62"/>
    <w:rsid w:val="00953088"/>
    <w:rsid w:val="009534A0"/>
    <w:rsid w:val="00953923"/>
    <w:rsid w:val="009539C1"/>
    <w:rsid w:val="0095402F"/>
    <w:rsid w:val="0095484E"/>
    <w:rsid w:val="00954A08"/>
    <w:rsid w:val="0095521C"/>
    <w:rsid w:val="00956B61"/>
    <w:rsid w:val="00956F2E"/>
    <w:rsid w:val="00957449"/>
    <w:rsid w:val="009575DA"/>
    <w:rsid w:val="009577E3"/>
    <w:rsid w:val="00957A03"/>
    <w:rsid w:val="00957BC3"/>
    <w:rsid w:val="00957D60"/>
    <w:rsid w:val="0096018E"/>
    <w:rsid w:val="00960F5F"/>
    <w:rsid w:val="009613E5"/>
    <w:rsid w:val="00961D96"/>
    <w:rsid w:val="00962612"/>
    <w:rsid w:val="00962706"/>
    <w:rsid w:val="00962AD1"/>
    <w:rsid w:val="00962B52"/>
    <w:rsid w:val="00962C21"/>
    <w:rsid w:val="00962F3F"/>
    <w:rsid w:val="0096310B"/>
    <w:rsid w:val="00963328"/>
    <w:rsid w:val="00963F31"/>
    <w:rsid w:val="009641CB"/>
    <w:rsid w:val="00964399"/>
    <w:rsid w:val="0096456E"/>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B18"/>
    <w:rsid w:val="00971C37"/>
    <w:rsid w:val="009720CE"/>
    <w:rsid w:val="00972190"/>
    <w:rsid w:val="00972784"/>
    <w:rsid w:val="00973165"/>
    <w:rsid w:val="009736DF"/>
    <w:rsid w:val="00974684"/>
    <w:rsid w:val="00975B36"/>
    <w:rsid w:val="00976083"/>
    <w:rsid w:val="00976383"/>
    <w:rsid w:val="009769F7"/>
    <w:rsid w:val="00976D4D"/>
    <w:rsid w:val="00977656"/>
    <w:rsid w:val="009776EA"/>
    <w:rsid w:val="00977732"/>
    <w:rsid w:val="00977768"/>
    <w:rsid w:val="00977AC1"/>
    <w:rsid w:val="009804E5"/>
    <w:rsid w:val="00980B1F"/>
    <w:rsid w:val="00981488"/>
    <w:rsid w:val="0098174D"/>
    <w:rsid w:val="00981EA7"/>
    <w:rsid w:val="009826E1"/>
    <w:rsid w:val="00982BBC"/>
    <w:rsid w:val="00982C6D"/>
    <w:rsid w:val="00982C93"/>
    <w:rsid w:val="009831A1"/>
    <w:rsid w:val="009832CD"/>
    <w:rsid w:val="00983DF0"/>
    <w:rsid w:val="00983ECF"/>
    <w:rsid w:val="009842D4"/>
    <w:rsid w:val="00984BEF"/>
    <w:rsid w:val="00984BF4"/>
    <w:rsid w:val="00985E7D"/>
    <w:rsid w:val="00987ADC"/>
    <w:rsid w:val="009913C2"/>
    <w:rsid w:val="0099194F"/>
    <w:rsid w:val="00991F19"/>
    <w:rsid w:val="009927F3"/>
    <w:rsid w:val="0099284F"/>
    <w:rsid w:val="00992AA5"/>
    <w:rsid w:val="00992F23"/>
    <w:rsid w:val="00993649"/>
    <w:rsid w:val="009938CA"/>
    <w:rsid w:val="00993A7B"/>
    <w:rsid w:val="00993D40"/>
    <w:rsid w:val="00994562"/>
    <w:rsid w:val="0099482C"/>
    <w:rsid w:val="00994C05"/>
    <w:rsid w:val="00994F0A"/>
    <w:rsid w:val="00995088"/>
    <w:rsid w:val="00995154"/>
    <w:rsid w:val="00995327"/>
    <w:rsid w:val="009957E2"/>
    <w:rsid w:val="00995C7F"/>
    <w:rsid w:val="00995D18"/>
    <w:rsid w:val="00995D3E"/>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5C9"/>
    <w:rsid w:val="009A29F4"/>
    <w:rsid w:val="009A32B1"/>
    <w:rsid w:val="009A32EA"/>
    <w:rsid w:val="009A4811"/>
    <w:rsid w:val="009A4952"/>
    <w:rsid w:val="009A495A"/>
    <w:rsid w:val="009A4E90"/>
    <w:rsid w:val="009A4FD4"/>
    <w:rsid w:val="009A582D"/>
    <w:rsid w:val="009A5A38"/>
    <w:rsid w:val="009A6886"/>
    <w:rsid w:val="009A6C3A"/>
    <w:rsid w:val="009A702C"/>
    <w:rsid w:val="009A7180"/>
    <w:rsid w:val="009A73D2"/>
    <w:rsid w:val="009A7C17"/>
    <w:rsid w:val="009A7C3E"/>
    <w:rsid w:val="009B0CE8"/>
    <w:rsid w:val="009B10F3"/>
    <w:rsid w:val="009B128A"/>
    <w:rsid w:val="009B1AB8"/>
    <w:rsid w:val="009B21F9"/>
    <w:rsid w:val="009B2736"/>
    <w:rsid w:val="009B29C1"/>
    <w:rsid w:val="009B30A8"/>
    <w:rsid w:val="009B30E8"/>
    <w:rsid w:val="009B344C"/>
    <w:rsid w:val="009B3626"/>
    <w:rsid w:val="009B3A98"/>
    <w:rsid w:val="009B3FAB"/>
    <w:rsid w:val="009B4C04"/>
    <w:rsid w:val="009B58D9"/>
    <w:rsid w:val="009B5AAB"/>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F36"/>
    <w:rsid w:val="009C524F"/>
    <w:rsid w:val="009C5974"/>
    <w:rsid w:val="009C59B6"/>
    <w:rsid w:val="009C5CBD"/>
    <w:rsid w:val="009C62B7"/>
    <w:rsid w:val="009C6AE7"/>
    <w:rsid w:val="009C7075"/>
    <w:rsid w:val="009C7689"/>
    <w:rsid w:val="009C7999"/>
    <w:rsid w:val="009C7C11"/>
    <w:rsid w:val="009C7E8C"/>
    <w:rsid w:val="009D0646"/>
    <w:rsid w:val="009D0900"/>
    <w:rsid w:val="009D102A"/>
    <w:rsid w:val="009D2C09"/>
    <w:rsid w:val="009D2D87"/>
    <w:rsid w:val="009D3250"/>
    <w:rsid w:val="009D359E"/>
    <w:rsid w:val="009D3BB8"/>
    <w:rsid w:val="009D3C47"/>
    <w:rsid w:val="009D3F0A"/>
    <w:rsid w:val="009D3F10"/>
    <w:rsid w:val="009D4459"/>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86D"/>
    <w:rsid w:val="009E0212"/>
    <w:rsid w:val="009E0A66"/>
    <w:rsid w:val="009E0AC3"/>
    <w:rsid w:val="009E19D2"/>
    <w:rsid w:val="009E1FA7"/>
    <w:rsid w:val="009E2601"/>
    <w:rsid w:val="009E2C12"/>
    <w:rsid w:val="009E2DFC"/>
    <w:rsid w:val="009E2E10"/>
    <w:rsid w:val="009E2E46"/>
    <w:rsid w:val="009E3743"/>
    <w:rsid w:val="009E3830"/>
    <w:rsid w:val="009E3910"/>
    <w:rsid w:val="009E3E09"/>
    <w:rsid w:val="009E3E90"/>
    <w:rsid w:val="009E4270"/>
    <w:rsid w:val="009E4985"/>
    <w:rsid w:val="009E4FD2"/>
    <w:rsid w:val="009E5F6C"/>
    <w:rsid w:val="009E644E"/>
    <w:rsid w:val="009E6881"/>
    <w:rsid w:val="009E6982"/>
    <w:rsid w:val="009E6B77"/>
    <w:rsid w:val="009E6EDD"/>
    <w:rsid w:val="009E7848"/>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4CAB"/>
    <w:rsid w:val="009F4F6C"/>
    <w:rsid w:val="009F5299"/>
    <w:rsid w:val="009F5BD9"/>
    <w:rsid w:val="009F5E3B"/>
    <w:rsid w:val="009F5F3F"/>
    <w:rsid w:val="009F630F"/>
    <w:rsid w:val="009F6390"/>
    <w:rsid w:val="009F6CBD"/>
    <w:rsid w:val="009F71A5"/>
    <w:rsid w:val="009F7248"/>
    <w:rsid w:val="009F737F"/>
    <w:rsid w:val="009F7A70"/>
    <w:rsid w:val="00A008E3"/>
    <w:rsid w:val="00A00AC3"/>
    <w:rsid w:val="00A00D73"/>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5B4"/>
    <w:rsid w:val="00A1402E"/>
    <w:rsid w:val="00A143E2"/>
    <w:rsid w:val="00A148E6"/>
    <w:rsid w:val="00A149FB"/>
    <w:rsid w:val="00A14A12"/>
    <w:rsid w:val="00A14F2C"/>
    <w:rsid w:val="00A14F7F"/>
    <w:rsid w:val="00A15210"/>
    <w:rsid w:val="00A15A2F"/>
    <w:rsid w:val="00A15A40"/>
    <w:rsid w:val="00A15CA9"/>
    <w:rsid w:val="00A16133"/>
    <w:rsid w:val="00A161B9"/>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51D4"/>
    <w:rsid w:val="00A2573B"/>
    <w:rsid w:val="00A258D7"/>
    <w:rsid w:val="00A262D3"/>
    <w:rsid w:val="00A2637C"/>
    <w:rsid w:val="00A2639C"/>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1EC0"/>
    <w:rsid w:val="00A32308"/>
    <w:rsid w:val="00A323DB"/>
    <w:rsid w:val="00A32944"/>
    <w:rsid w:val="00A32A22"/>
    <w:rsid w:val="00A32A75"/>
    <w:rsid w:val="00A32BCE"/>
    <w:rsid w:val="00A32E8D"/>
    <w:rsid w:val="00A32ED3"/>
    <w:rsid w:val="00A330E8"/>
    <w:rsid w:val="00A332F7"/>
    <w:rsid w:val="00A33381"/>
    <w:rsid w:val="00A3372F"/>
    <w:rsid w:val="00A33A46"/>
    <w:rsid w:val="00A33DE0"/>
    <w:rsid w:val="00A33FE7"/>
    <w:rsid w:val="00A34412"/>
    <w:rsid w:val="00A3466F"/>
    <w:rsid w:val="00A34707"/>
    <w:rsid w:val="00A35199"/>
    <w:rsid w:val="00A355B2"/>
    <w:rsid w:val="00A3578F"/>
    <w:rsid w:val="00A35ED6"/>
    <w:rsid w:val="00A360B8"/>
    <w:rsid w:val="00A36CB9"/>
    <w:rsid w:val="00A36F1F"/>
    <w:rsid w:val="00A3734B"/>
    <w:rsid w:val="00A377F5"/>
    <w:rsid w:val="00A3795E"/>
    <w:rsid w:val="00A37A0D"/>
    <w:rsid w:val="00A37BC2"/>
    <w:rsid w:val="00A37CF6"/>
    <w:rsid w:val="00A37EBC"/>
    <w:rsid w:val="00A407D4"/>
    <w:rsid w:val="00A4091B"/>
    <w:rsid w:val="00A40CD8"/>
    <w:rsid w:val="00A40D3E"/>
    <w:rsid w:val="00A40E27"/>
    <w:rsid w:val="00A4145D"/>
    <w:rsid w:val="00A414C1"/>
    <w:rsid w:val="00A41535"/>
    <w:rsid w:val="00A42076"/>
    <w:rsid w:val="00A42E17"/>
    <w:rsid w:val="00A43087"/>
    <w:rsid w:val="00A432B3"/>
    <w:rsid w:val="00A432C8"/>
    <w:rsid w:val="00A43411"/>
    <w:rsid w:val="00A437CC"/>
    <w:rsid w:val="00A4385A"/>
    <w:rsid w:val="00A43B67"/>
    <w:rsid w:val="00A43C7B"/>
    <w:rsid w:val="00A4456C"/>
    <w:rsid w:val="00A44C43"/>
    <w:rsid w:val="00A4510E"/>
    <w:rsid w:val="00A45C2E"/>
    <w:rsid w:val="00A45CF5"/>
    <w:rsid w:val="00A461F0"/>
    <w:rsid w:val="00A468BD"/>
    <w:rsid w:val="00A46ACF"/>
    <w:rsid w:val="00A46F31"/>
    <w:rsid w:val="00A47055"/>
    <w:rsid w:val="00A471B0"/>
    <w:rsid w:val="00A508ED"/>
    <w:rsid w:val="00A50B35"/>
    <w:rsid w:val="00A51056"/>
    <w:rsid w:val="00A5196C"/>
    <w:rsid w:val="00A51ABC"/>
    <w:rsid w:val="00A5233D"/>
    <w:rsid w:val="00A524BC"/>
    <w:rsid w:val="00A529F7"/>
    <w:rsid w:val="00A52F55"/>
    <w:rsid w:val="00A53313"/>
    <w:rsid w:val="00A544C6"/>
    <w:rsid w:val="00A547EE"/>
    <w:rsid w:val="00A54E88"/>
    <w:rsid w:val="00A54F44"/>
    <w:rsid w:val="00A556A2"/>
    <w:rsid w:val="00A55CB2"/>
    <w:rsid w:val="00A55FFD"/>
    <w:rsid w:val="00A569DB"/>
    <w:rsid w:val="00A5738D"/>
    <w:rsid w:val="00A57CF1"/>
    <w:rsid w:val="00A60E82"/>
    <w:rsid w:val="00A61A00"/>
    <w:rsid w:val="00A62206"/>
    <w:rsid w:val="00A622A2"/>
    <w:rsid w:val="00A63092"/>
    <w:rsid w:val="00A638A7"/>
    <w:rsid w:val="00A638F8"/>
    <w:rsid w:val="00A63B1D"/>
    <w:rsid w:val="00A647C7"/>
    <w:rsid w:val="00A64DA4"/>
    <w:rsid w:val="00A65479"/>
    <w:rsid w:val="00A65622"/>
    <w:rsid w:val="00A6562D"/>
    <w:rsid w:val="00A65C7E"/>
    <w:rsid w:val="00A65C96"/>
    <w:rsid w:val="00A660D2"/>
    <w:rsid w:val="00A66312"/>
    <w:rsid w:val="00A66474"/>
    <w:rsid w:val="00A66C6B"/>
    <w:rsid w:val="00A670E6"/>
    <w:rsid w:val="00A6736F"/>
    <w:rsid w:val="00A67650"/>
    <w:rsid w:val="00A67EDD"/>
    <w:rsid w:val="00A705C0"/>
    <w:rsid w:val="00A70A59"/>
    <w:rsid w:val="00A70A78"/>
    <w:rsid w:val="00A71718"/>
    <w:rsid w:val="00A729FB"/>
    <w:rsid w:val="00A72F99"/>
    <w:rsid w:val="00A73020"/>
    <w:rsid w:val="00A734FA"/>
    <w:rsid w:val="00A742FD"/>
    <w:rsid w:val="00A744DC"/>
    <w:rsid w:val="00A74608"/>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332"/>
    <w:rsid w:val="00A82D2B"/>
    <w:rsid w:val="00A839BA"/>
    <w:rsid w:val="00A83AFE"/>
    <w:rsid w:val="00A83F25"/>
    <w:rsid w:val="00A8403D"/>
    <w:rsid w:val="00A8436E"/>
    <w:rsid w:val="00A843BA"/>
    <w:rsid w:val="00A84ADD"/>
    <w:rsid w:val="00A84C30"/>
    <w:rsid w:val="00A85DFD"/>
    <w:rsid w:val="00A85E6D"/>
    <w:rsid w:val="00A865D6"/>
    <w:rsid w:val="00A86A88"/>
    <w:rsid w:val="00A86D58"/>
    <w:rsid w:val="00A86FF9"/>
    <w:rsid w:val="00A87C29"/>
    <w:rsid w:val="00A911CC"/>
    <w:rsid w:val="00A91343"/>
    <w:rsid w:val="00A91497"/>
    <w:rsid w:val="00A914A8"/>
    <w:rsid w:val="00A917D3"/>
    <w:rsid w:val="00A91A9D"/>
    <w:rsid w:val="00A91F50"/>
    <w:rsid w:val="00A9200B"/>
    <w:rsid w:val="00A92132"/>
    <w:rsid w:val="00A9214D"/>
    <w:rsid w:val="00A92237"/>
    <w:rsid w:val="00A92257"/>
    <w:rsid w:val="00A923CC"/>
    <w:rsid w:val="00A934A4"/>
    <w:rsid w:val="00A937D8"/>
    <w:rsid w:val="00A937E0"/>
    <w:rsid w:val="00A94A3F"/>
    <w:rsid w:val="00A94FAF"/>
    <w:rsid w:val="00A952F4"/>
    <w:rsid w:val="00A9555E"/>
    <w:rsid w:val="00A95A14"/>
    <w:rsid w:val="00A95D55"/>
    <w:rsid w:val="00A96221"/>
    <w:rsid w:val="00A9628B"/>
    <w:rsid w:val="00A963EA"/>
    <w:rsid w:val="00A967B8"/>
    <w:rsid w:val="00A96C5E"/>
    <w:rsid w:val="00A974F5"/>
    <w:rsid w:val="00A978A4"/>
    <w:rsid w:val="00A97CF1"/>
    <w:rsid w:val="00AA00F1"/>
    <w:rsid w:val="00AA0628"/>
    <w:rsid w:val="00AA0CD2"/>
    <w:rsid w:val="00AA1255"/>
    <w:rsid w:val="00AA1539"/>
    <w:rsid w:val="00AA1B3F"/>
    <w:rsid w:val="00AA2119"/>
    <w:rsid w:val="00AA23A5"/>
    <w:rsid w:val="00AA2808"/>
    <w:rsid w:val="00AA2904"/>
    <w:rsid w:val="00AA2944"/>
    <w:rsid w:val="00AA2CC4"/>
    <w:rsid w:val="00AA2F59"/>
    <w:rsid w:val="00AA32FC"/>
    <w:rsid w:val="00AA3CDF"/>
    <w:rsid w:val="00AA4239"/>
    <w:rsid w:val="00AA44DC"/>
    <w:rsid w:val="00AA4951"/>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DFC"/>
    <w:rsid w:val="00AA7EB3"/>
    <w:rsid w:val="00AB1759"/>
    <w:rsid w:val="00AB1856"/>
    <w:rsid w:val="00AB1B97"/>
    <w:rsid w:val="00AB1C6D"/>
    <w:rsid w:val="00AB2AA0"/>
    <w:rsid w:val="00AB2D36"/>
    <w:rsid w:val="00AB3DD6"/>
    <w:rsid w:val="00AB466D"/>
    <w:rsid w:val="00AB49B4"/>
    <w:rsid w:val="00AB4BAC"/>
    <w:rsid w:val="00AB4D2D"/>
    <w:rsid w:val="00AB5518"/>
    <w:rsid w:val="00AB5A3F"/>
    <w:rsid w:val="00AB5ADB"/>
    <w:rsid w:val="00AB5B46"/>
    <w:rsid w:val="00AB5EA3"/>
    <w:rsid w:val="00AB5F78"/>
    <w:rsid w:val="00AB62F2"/>
    <w:rsid w:val="00AB7863"/>
    <w:rsid w:val="00AB7E24"/>
    <w:rsid w:val="00AC0090"/>
    <w:rsid w:val="00AC01D8"/>
    <w:rsid w:val="00AC05D1"/>
    <w:rsid w:val="00AC08CB"/>
    <w:rsid w:val="00AC0A40"/>
    <w:rsid w:val="00AC1469"/>
    <w:rsid w:val="00AC18A7"/>
    <w:rsid w:val="00AC19E6"/>
    <w:rsid w:val="00AC22AA"/>
    <w:rsid w:val="00AC2338"/>
    <w:rsid w:val="00AC23F7"/>
    <w:rsid w:val="00AC273A"/>
    <w:rsid w:val="00AC283C"/>
    <w:rsid w:val="00AC32A6"/>
    <w:rsid w:val="00AC3410"/>
    <w:rsid w:val="00AC3435"/>
    <w:rsid w:val="00AC3469"/>
    <w:rsid w:val="00AC3579"/>
    <w:rsid w:val="00AC382F"/>
    <w:rsid w:val="00AC49AD"/>
    <w:rsid w:val="00AC4C0B"/>
    <w:rsid w:val="00AC4CF2"/>
    <w:rsid w:val="00AC5A0B"/>
    <w:rsid w:val="00AC5D12"/>
    <w:rsid w:val="00AC66FB"/>
    <w:rsid w:val="00AC6FCD"/>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239"/>
    <w:rsid w:val="00AD786C"/>
    <w:rsid w:val="00AD7D59"/>
    <w:rsid w:val="00AE0486"/>
    <w:rsid w:val="00AE0706"/>
    <w:rsid w:val="00AE0BC2"/>
    <w:rsid w:val="00AE0C07"/>
    <w:rsid w:val="00AE0FFC"/>
    <w:rsid w:val="00AE1107"/>
    <w:rsid w:val="00AE13C6"/>
    <w:rsid w:val="00AE1681"/>
    <w:rsid w:val="00AE244A"/>
    <w:rsid w:val="00AE29CA"/>
    <w:rsid w:val="00AE34EE"/>
    <w:rsid w:val="00AE3875"/>
    <w:rsid w:val="00AE391D"/>
    <w:rsid w:val="00AE3A60"/>
    <w:rsid w:val="00AE3C21"/>
    <w:rsid w:val="00AE3F53"/>
    <w:rsid w:val="00AE406A"/>
    <w:rsid w:val="00AE4513"/>
    <w:rsid w:val="00AE46D7"/>
    <w:rsid w:val="00AE5CA4"/>
    <w:rsid w:val="00AE5F84"/>
    <w:rsid w:val="00AE6112"/>
    <w:rsid w:val="00AE6DF7"/>
    <w:rsid w:val="00AE6E6D"/>
    <w:rsid w:val="00AE70C4"/>
    <w:rsid w:val="00AE72CA"/>
    <w:rsid w:val="00AF0073"/>
    <w:rsid w:val="00AF053B"/>
    <w:rsid w:val="00AF1248"/>
    <w:rsid w:val="00AF13D5"/>
    <w:rsid w:val="00AF13E0"/>
    <w:rsid w:val="00AF16E9"/>
    <w:rsid w:val="00AF19FC"/>
    <w:rsid w:val="00AF1BAA"/>
    <w:rsid w:val="00AF24CF"/>
    <w:rsid w:val="00AF2815"/>
    <w:rsid w:val="00AF2F0D"/>
    <w:rsid w:val="00AF32E5"/>
    <w:rsid w:val="00AF3407"/>
    <w:rsid w:val="00AF3857"/>
    <w:rsid w:val="00AF3F13"/>
    <w:rsid w:val="00AF409F"/>
    <w:rsid w:val="00AF4108"/>
    <w:rsid w:val="00AF4118"/>
    <w:rsid w:val="00AF450F"/>
    <w:rsid w:val="00AF4876"/>
    <w:rsid w:val="00AF4C6D"/>
    <w:rsid w:val="00AF4D40"/>
    <w:rsid w:val="00AF4F27"/>
    <w:rsid w:val="00AF5057"/>
    <w:rsid w:val="00AF5592"/>
    <w:rsid w:val="00AF5AC1"/>
    <w:rsid w:val="00AF5DA0"/>
    <w:rsid w:val="00AF613E"/>
    <w:rsid w:val="00AF6570"/>
    <w:rsid w:val="00AF6D69"/>
    <w:rsid w:val="00AF6F91"/>
    <w:rsid w:val="00AF717B"/>
    <w:rsid w:val="00AF7613"/>
    <w:rsid w:val="00AF768C"/>
    <w:rsid w:val="00AF7859"/>
    <w:rsid w:val="00AF7941"/>
    <w:rsid w:val="00AF79C6"/>
    <w:rsid w:val="00AF7A09"/>
    <w:rsid w:val="00AF7ABA"/>
    <w:rsid w:val="00B002AD"/>
    <w:rsid w:val="00B00CBD"/>
    <w:rsid w:val="00B013FF"/>
    <w:rsid w:val="00B0146A"/>
    <w:rsid w:val="00B01A60"/>
    <w:rsid w:val="00B01AF7"/>
    <w:rsid w:val="00B01D11"/>
    <w:rsid w:val="00B02936"/>
    <w:rsid w:val="00B04509"/>
    <w:rsid w:val="00B0452A"/>
    <w:rsid w:val="00B04663"/>
    <w:rsid w:val="00B04F46"/>
    <w:rsid w:val="00B05772"/>
    <w:rsid w:val="00B05A65"/>
    <w:rsid w:val="00B05E4A"/>
    <w:rsid w:val="00B06844"/>
    <w:rsid w:val="00B068D6"/>
    <w:rsid w:val="00B06C2D"/>
    <w:rsid w:val="00B06E54"/>
    <w:rsid w:val="00B079AF"/>
    <w:rsid w:val="00B07DD7"/>
    <w:rsid w:val="00B122DA"/>
    <w:rsid w:val="00B1252A"/>
    <w:rsid w:val="00B129CE"/>
    <w:rsid w:val="00B12AFD"/>
    <w:rsid w:val="00B12B7C"/>
    <w:rsid w:val="00B12CC1"/>
    <w:rsid w:val="00B12FAC"/>
    <w:rsid w:val="00B1312E"/>
    <w:rsid w:val="00B1337B"/>
    <w:rsid w:val="00B13BFA"/>
    <w:rsid w:val="00B1409C"/>
    <w:rsid w:val="00B156AB"/>
    <w:rsid w:val="00B15BD3"/>
    <w:rsid w:val="00B15DB6"/>
    <w:rsid w:val="00B16313"/>
    <w:rsid w:val="00B165FB"/>
    <w:rsid w:val="00B16983"/>
    <w:rsid w:val="00B16BF7"/>
    <w:rsid w:val="00B16C11"/>
    <w:rsid w:val="00B16C73"/>
    <w:rsid w:val="00B17523"/>
    <w:rsid w:val="00B17A5C"/>
    <w:rsid w:val="00B17B70"/>
    <w:rsid w:val="00B20278"/>
    <w:rsid w:val="00B2049D"/>
    <w:rsid w:val="00B20931"/>
    <w:rsid w:val="00B20BFC"/>
    <w:rsid w:val="00B2116B"/>
    <w:rsid w:val="00B21672"/>
    <w:rsid w:val="00B226B3"/>
    <w:rsid w:val="00B22829"/>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9F7"/>
    <w:rsid w:val="00B30E28"/>
    <w:rsid w:val="00B31423"/>
    <w:rsid w:val="00B3279C"/>
    <w:rsid w:val="00B32B1C"/>
    <w:rsid w:val="00B32FCF"/>
    <w:rsid w:val="00B33391"/>
    <w:rsid w:val="00B33768"/>
    <w:rsid w:val="00B33B09"/>
    <w:rsid w:val="00B33F0C"/>
    <w:rsid w:val="00B33F41"/>
    <w:rsid w:val="00B341F9"/>
    <w:rsid w:val="00B34CF8"/>
    <w:rsid w:val="00B35788"/>
    <w:rsid w:val="00B35857"/>
    <w:rsid w:val="00B36A84"/>
    <w:rsid w:val="00B375F0"/>
    <w:rsid w:val="00B376A8"/>
    <w:rsid w:val="00B376CC"/>
    <w:rsid w:val="00B404E5"/>
    <w:rsid w:val="00B40806"/>
    <w:rsid w:val="00B40832"/>
    <w:rsid w:val="00B40B81"/>
    <w:rsid w:val="00B411A3"/>
    <w:rsid w:val="00B41991"/>
    <w:rsid w:val="00B41CC8"/>
    <w:rsid w:val="00B429A8"/>
    <w:rsid w:val="00B42D1A"/>
    <w:rsid w:val="00B42E96"/>
    <w:rsid w:val="00B431C0"/>
    <w:rsid w:val="00B4358D"/>
    <w:rsid w:val="00B43D9C"/>
    <w:rsid w:val="00B44CC7"/>
    <w:rsid w:val="00B45724"/>
    <w:rsid w:val="00B4572B"/>
    <w:rsid w:val="00B45E26"/>
    <w:rsid w:val="00B46540"/>
    <w:rsid w:val="00B4738A"/>
    <w:rsid w:val="00B4743B"/>
    <w:rsid w:val="00B47517"/>
    <w:rsid w:val="00B478B1"/>
    <w:rsid w:val="00B47D2C"/>
    <w:rsid w:val="00B502A0"/>
    <w:rsid w:val="00B50D7F"/>
    <w:rsid w:val="00B51DA1"/>
    <w:rsid w:val="00B521A5"/>
    <w:rsid w:val="00B52831"/>
    <w:rsid w:val="00B52B5C"/>
    <w:rsid w:val="00B52B5E"/>
    <w:rsid w:val="00B53109"/>
    <w:rsid w:val="00B53D28"/>
    <w:rsid w:val="00B5405A"/>
    <w:rsid w:val="00B54913"/>
    <w:rsid w:val="00B5504F"/>
    <w:rsid w:val="00B55079"/>
    <w:rsid w:val="00B55CEE"/>
    <w:rsid w:val="00B56A75"/>
    <w:rsid w:val="00B56CA1"/>
    <w:rsid w:val="00B56E40"/>
    <w:rsid w:val="00B570D2"/>
    <w:rsid w:val="00B57230"/>
    <w:rsid w:val="00B5745E"/>
    <w:rsid w:val="00B57525"/>
    <w:rsid w:val="00B5783A"/>
    <w:rsid w:val="00B57B0F"/>
    <w:rsid w:val="00B57D68"/>
    <w:rsid w:val="00B57E31"/>
    <w:rsid w:val="00B602BF"/>
    <w:rsid w:val="00B60DE7"/>
    <w:rsid w:val="00B6100B"/>
    <w:rsid w:val="00B612E2"/>
    <w:rsid w:val="00B61A4F"/>
    <w:rsid w:val="00B61C2A"/>
    <w:rsid w:val="00B61FED"/>
    <w:rsid w:val="00B6237D"/>
    <w:rsid w:val="00B6279B"/>
    <w:rsid w:val="00B627D4"/>
    <w:rsid w:val="00B627E6"/>
    <w:rsid w:val="00B63532"/>
    <w:rsid w:val="00B63B1D"/>
    <w:rsid w:val="00B645FD"/>
    <w:rsid w:val="00B6467D"/>
    <w:rsid w:val="00B64C5C"/>
    <w:rsid w:val="00B64E12"/>
    <w:rsid w:val="00B6511E"/>
    <w:rsid w:val="00B65E5D"/>
    <w:rsid w:val="00B66802"/>
    <w:rsid w:val="00B66CA4"/>
    <w:rsid w:val="00B66D8B"/>
    <w:rsid w:val="00B66EF2"/>
    <w:rsid w:val="00B67E35"/>
    <w:rsid w:val="00B704D9"/>
    <w:rsid w:val="00B705AC"/>
    <w:rsid w:val="00B70CBC"/>
    <w:rsid w:val="00B70EC7"/>
    <w:rsid w:val="00B713FF"/>
    <w:rsid w:val="00B719D2"/>
    <w:rsid w:val="00B71E90"/>
    <w:rsid w:val="00B7214D"/>
    <w:rsid w:val="00B72E16"/>
    <w:rsid w:val="00B734A1"/>
    <w:rsid w:val="00B739B0"/>
    <w:rsid w:val="00B73C18"/>
    <w:rsid w:val="00B73DBC"/>
    <w:rsid w:val="00B745A0"/>
    <w:rsid w:val="00B74877"/>
    <w:rsid w:val="00B74914"/>
    <w:rsid w:val="00B74B68"/>
    <w:rsid w:val="00B754CA"/>
    <w:rsid w:val="00B7587A"/>
    <w:rsid w:val="00B75A63"/>
    <w:rsid w:val="00B75BD6"/>
    <w:rsid w:val="00B75C3E"/>
    <w:rsid w:val="00B75C40"/>
    <w:rsid w:val="00B75DF1"/>
    <w:rsid w:val="00B75E09"/>
    <w:rsid w:val="00B75F12"/>
    <w:rsid w:val="00B76D93"/>
    <w:rsid w:val="00B7738C"/>
    <w:rsid w:val="00B77DF0"/>
    <w:rsid w:val="00B803DE"/>
    <w:rsid w:val="00B80FED"/>
    <w:rsid w:val="00B811F0"/>
    <w:rsid w:val="00B81840"/>
    <w:rsid w:val="00B81ABB"/>
    <w:rsid w:val="00B82047"/>
    <w:rsid w:val="00B8224B"/>
    <w:rsid w:val="00B8251D"/>
    <w:rsid w:val="00B829B8"/>
    <w:rsid w:val="00B8323B"/>
    <w:rsid w:val="00B8366C"/>
    <w:rsid w:val="00B837F8"/>
    <w:rsid w:val="00B83B75"/>
    <w:rsid w:val="00B842CE"/>
    <w:rsid w:val="00B845F5"/>
    <w:rsid w:val="00B84B14"/>
    <w:rsid w:val="00B868F1"/>
    <w:rsid w:val="00B871FE"/>
    <w:rsid w:val="00B87CA4"/>
    <w:rsid w:val="00B87F95"/>
    <w:rsid w:val="00B9034D"/>
    <w:rsid w:val="00B904FA"/>
    <w:rsid w:val="00B90517"/>
    <w:rsid w:val="00B911CA"/>
    <w:rsid w:val="00B91229"/>
    <w:rsid w:val="00B91E4F"/>
    <w:rsid w:val="00B921FA"/>
    <w:rsid w:val="00B924FB"/>
    <w:rsid w:val="00B92585"/>
    <w:rsid w:val="00B9270D"/>
    <w:rsid w:val="00B92F81"/>
    <w:rsid w:val="00B93C86"/>
    <w:rsid w:val="00B93DA8"/>
    <w:rsid w:val="00B93F14"/>
    <w:rsid w:val="00B9411D"/>
    <w:rsid w:val="00B94145"/>
    <w:rsid w:val="00B9492A"/>
    <w:rsid w:val="00B94F92"/>
    <w:rsid w:val="00B950FE"/>
    <w:rsid w:val="00B95424"/>
    <w:rsid w:val="00B95C12"/>
    <w:rsid w:val="00B95CE9"/>
    <w:rsid w:val="00B95F46"/>
    <w:rsid w:val="00B960A3"/>
    <w:rsid w:val="00B96548"/>
    <w:rsid w:val="00B96622"/>
    <w:rsid w:val="00B966B8"/>
    <w:rsid w:val="00B9683E"/>
    <w:rsid w:val="00B96A99"/>
    <w:rsid w:val="00B96BA1"/>
    <w:rsid w:val="00B97139"/>
    <w:rsid w:val="00B9730F"/>
    <w:rsid w:val="00B97370"/>
    <w:rsid w:val="00B977E4"/>
    <w:rsid w:val="00B97846"/>
    <w:rsid w:val="00B97D8E"/>
    <w:rsid w:val="00BA0160"/>
    <w:rsid w:val="00BA029E"/>
    <w:rsid w:val="00BA030B"/>
    <w:rsid w:val="00BA0381"/>
    <w:rsid w:val="00BA0512"/>
    <w:rsid w:val="00BA06E1"/>
    <w:rsid w:val="00BA0809"/>
    <w:rsid w:val="00BA085A"/>
    <w:rsid w:val="00BA0C2B"/>
    <w:rsid w:val="00BA11CC"/>
    <w:rsid w:val="00BA1488"/>
    <w:rsid w:val="00BA2098"/>
    <w:rsid w:val="00BA25DE"/>
    <w:rsid w:val="00BA2B64"/>
    <w:rsid w:val="00BA2FDE"/>
    <w:rsid w:val="00BA3101"/>
    <w:rsid w:val="00BA38C5"/>
    <w:rsid w:val="00BA42F9"/>
    <w:rsid w:val="00BA4368"/>
    <w:rsid w:val="00BA4475"/>
    <w:rsid w:val="00BA4E64"/>
    <w:rsid w:val="00BA595B"/>
    <w:rsid w:val="00BA6990"/>
    <w:rsid w:val="00BA7508"/>
    <w:rsid w:val="00BA7E21"/>
    <w:rsid w:val="00BB01F8"/>
    <w:rsid w:val="00BB042B"/>
    <w:rsid w:val="00BB0590"/>
    <w:rsid w:val="00BB06CA"/>
    <w:rsid w:val="00BB06F5"/>
    <w:rsid w:val="00BB1650"/>
    <w:rsid w:val="00BB1AC3"/>
    <w:rsid w:val="00BB22A6"/>
    <w:rsid w:val="00BB248D"/>
    <w:rsid w:val="00BB2D4A"/>
    <w:rsid w:val="00BB2DB2"/>
    <w:rsid w:val="00BB325A"/>
    <w:rsid w:val="00BB367D"/>
    <w:rsid w:val="00BB37FA"/>
    <w:rsid w:val="00BB3EB6"/>
    <w:rsid w:val="00BB3FAB"/>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74A"/>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5B55"/>
    <w:rsid w:val="00BC60B4"/>
    <w:rsid w:val="00BC6B1B"/>
    <w:rsid w:val="00BC6B73"/>
    <w:rsid w:val="00BC6DDA"/>
    <w:rsid w:val="00BC7995"/>
    <w:rsid w:val="00BC7A70"/>
    <w:rsid w:val="00BD0351"/>
    <w:rsid w:val="00BD045E"/>
    <w:rsid w:val="00BD07F2"/>
    <w:rsid w:val="00BD0D66"/>
    <w:rsid w:val="00BD0E2E"/>
    <w:rsid w:val="00BD13FF"/>
    <w:rsid w:val="00BD293C"/>
    <w:rsid w:val="00BD2C8F"/>
    <w:rsid w:val="00BD2DA2"/>
    <w:rsid w:val="00BD2DBE"/>
    <w:rsid w:val="00BD2E5D"/>
    <w:rsid w:val="00BD30F4"/>
    <w:rsid w:val="00BD3703"/>
    <w:rsid w:val="00BD3A6A"/>
    <w:rsid w:val="00BD3F06"/>
    <w:rsid w:val="00BD4849"/>
    <w:rsid w:val="00BD4903"/>
    <w:rsid w:val="00BD4A43"/>
    <w:rsid w:val="00BD4C59"/>
    <w:rsid w:val="00BD57FA"/>
    <w:rsid w:val="00BD5D12"/>
    <w:rsid w:val="00BD5D1D"/>
    <w:rsid w:val="00BD5FA1"/>
    <w:rsid w:val="00BD658A"/>
    <w:rsid w:val="00BD65D2"/>
    <w:rsid w:val="00BD6EA9"/>
    <w:rsid w:val="00BD7137"/>
    <w:rsid w:val="00BD73E1"/>
    <w:rsid w:val="00BD73E7"/>
    <w:rsid w:val="00BD7A5C"/>
    <w:rsid w:val="00BD7AF1"/>
    <w:rsid w:val="00BD7B0D"/>
    <w:rsid w:val="00BD7B65"/>
    <w:rsid w:val="00BD7BED"/>
    <w:rsid w:val="00BD7E92"/>
    <w:rsid w:val="00BE0268"/>
    <w:rsid w:val="00BE0E38"/>
    <w:rsid w:val="00BE0FAE"/>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D05"/>
    <w:rsid w:val="00BE401F"/>
    <w:rsid w:val="00BE44FD"/>
    <w:rsid w:val="00BE506E"/>
    <w:rsid w:val="00BE5106"/>
    <w:rsid w:val="00BE54EB"/>
    <w:rsid w:val="00BE55FC"/>
    <w:rsid w:val="00BE570B"/>
    <w:rsid w:val="00BE5C5F"/>
    <w:rsid w:val="00BE5D39"/>
    <w:rsid w:val="00BE5DDE"/>
    <w:rsid w:val="00BE5FDF"/>
    <w:rsid w:val="00BE6103"/>
    <w:rsid w:val="00BE6269"/>
    <w:rsid w:val="00BE68AC"/>
    <w:rsid w:val="00BE6D54"/>
    <w:rsid w:val="00BF120A"/>
    <w:rsid w:val="00BF15C1"/>
    <w:rsid w:val="00BF1841"/>
    <w:rsid w:val="00BF1EF3"/>
    <w:rsid w:val="00BF22DA"/>
    <w:rsid w:val="00BF332B"/>
    <w:rsid w:val="00BF37AA"/>
    <w:rsid w:val="00BF3A59"/>
    <w:rsid w:val="00BF4BC2"/>
    <w:rsid w:val="00BF4F44"/>
    <w:rsid w:val="00BF5586"/>
    <w:rsid w:val="00BF5B02"/>
    <w:rsid w:val="00BF6061"/>
    <w:rsid w:val="00BF6143"/>
    <w:rsid w:val="00BF62F1"/>
    <w:rsid w:val="00BF6CEE"/>
    <w:rsid w:val="00BF779F"/>
    <w:rsid w:val="00BF78EB"/>
    <w:rsid w:val="00BF7B1A"/>
    <w:rsid w:val="00BF7F37"/>
    <w:rsid w:val="00BF7F4E"/>
    <w:rsid w:val="00C00CF6"/>
    <w:rsid w:val="00C00DE0"/>
    <w:rsid w:val="00C01215"/>
    <w:rsid w:val="00C02500"/>
    <w:rsid w:val="00C02D2A"/>
    <w:rsid w:val="00C02EBC"/>
    <w:rsid w:val="00C02EF9"/>
    <w:rsid w:val="00C03070"/>
    <w:rsid w:val="00C032B2"/>
    <w:rsid w:val="00C03624"/>
    <w:rsid w:val="00C037CA"/>
    <w:rsid w:val="00C03EC5"/>
    <w:rsid w:val="00C042EE"/>
    <w:rsid w:val="00C047F3"/>
    <w:rsid w:val="00C04DCB"/>
    <w:rsid w:val="00C05862"/>
    <w:rsid w:val="00C05DC0"/>
    <w:rsid w:val="00C06352"/>
    <w:rsid w:val="00C06DE9"/>
    <w:rsid w:val="00C07288"/>
    <w:rsid w:val="00C077FF"/>
    <w:rsid w:val="00C07C47"/>
    <w:rsid w:val="00C105E9"/>
    <w:rsid w:val="00C10727"/>
    <w:rsid w:val="00C110AF"/>
    <w:rsid w:val="00C11E4A"/>
    <w:rsid w:val="00C12178"/>
    <w:rsid w:val="00C132AC"/>
    <w:rsid w:val="00C134CB"/>
    <w:rsid w:val="00C13C2A"/>
    <w:rsid w:val="00C141F8"/>
    <w:rsid w:val="00C15138"/>
    <w:rsid w:val="00C157EB"/>
    <w:rsid w:val="00C16B05"/>
    <w:rsid w:val="00C16F86"/>
    <w:rsid w:val="00C174E2"/>
    <w:rsid w:val="00C1775E"/>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D46"/>
    <w:rsid w:val="00C23D7D"/>
    <w:rsid w:val="00C24DB3"/>
    <w:rsid w:val="00C24E9F"/>
    <w:rsid w:val="00C24F63"/>
    <w:rsid w:val="00C251BB"/>
    <w:rsid w:val="00C2526A"/>
    <w:rsid w:val="00C25374"/>
    <w:rsid w:val="00C257BD"/>
    <w:rsid w:val="00C25E03"/>
    <w:rsid w:val="00C26826"/>
    <w:rsid w:val="00C26BB3"/>
    <w:rsid w:val="00C26E6D"/>
    <w:rsid w:val="00C26FE2"/>
    <w:rsid w:val="00C271A5"/>
    <w:rsid w:val="00C27A4B"/>
    <w:rsid w:val="00C27AAA"/>
    <w:rsid w:val="00C30AD9"/>
    <w:rsid w:val="00C31053"/>
    <w:rsid w:val="00C31339"/>
    <w:rsid w:val="00C313E1"/>
    <w:rsid w:val="00C31F61"/>
    <w:rsid w:val="00C32477"/>
    <w:rsid w:val="00C33B59"/>
    <w:rsid w:val="00C3449A"/>
    <w:rsid w:val="00C349C2"/>
    <w:rsid w:val="00C3511B"/>
    <w:rsid w:val="00C3751B"/>
    <w:rsid w:val="00C4007B"/>
    <w:rsid w:val="00C41291"/>
    <w:rsid w:val="00C4135C"/>
    <w:rsid w:val="00C42080"/>
    <w:rsid w:val="00C42EB2"/>
    <w:rsid w:val="00C42F08"/>
    <w:rsid w:val="00C438A9"/>
    <w:rsid w:val="00C43CDD"/>
    <w:rsid w:val="00C43DE5"/>
    <w:rsid w:val="00C440A3"/>
    <w:rsid w:val="00C4434C"/>
    <w:rsid w:val="00C44459"/>
    <w:rsid w:val="00C448AA"/>
    <w:rsid w:val="00C44DCB"/>
    <w:rsid w:val="00C45C8D"/>
    <w:rsid w:val="00C45D0A"/>
    <w:rsid w:val="00C45D19"/>
    <w:rsid w:val="00C460BC"/>
    <w:rsid w:val="00C46725"/>
    <w:rsid w:val="00C46919"/>
    <w:rsid w:val="00C46A11"/>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4B3"/>
    <w:rsid w:val="00C539DA"/>
    <w:rsid w:val="00C542DB"/>
    <w:rsid w:val="00C54571"/>
    <w:rsid w:val="00C54963"/>
    <w:rsid w:val="00C54E95"/>
    <w:rsid w:val="00C5534B"/>
    <w:rsid w:val="00C55799"/>
    <w:rsid w:val="00C56326"/>
    <w:rsid w:val="00C565D7"/>
    <w:rsid w:val="00C57716"/>
    <w:rsid w:val="00C57C54"/>
    <w:rsid w:val="00C600F9"/>
    <w:rsid w:val="00C608C4"/>
    <w:rsid w:val="00C60AF2"/>
    <w:rsid w:val="00C60FF3"/>
    <w:rsid w:val="00C61823"/>
    <w:rsid w:val="00C61906"/>
    <w:rsid w:val="00C61980"/>
    <w:rsid w:val="00C61FAD"/>
    <w:rsid w:val="00C624E7"/>
    <w:rsid w:val="00C627F1"/>
    <w:rsid w:val="00C6308F"/>
    <w:rsid w:val="00C63766"/>
    <w:rsid w:val="00C63CF1"/>
    <w:rsid w:val="00C63F02"/>
    <w:rsid w:val="00C648A1"/>
    <w:rsid w:val="00C65316"/>
    <w:rsid w:val="00C654D4"/>
    <w:rsid w:val="00C658B0"/>
    <w:rsid w:val="00C659DC"/>
    <w:rsid w:val="00C6612A"/>
    <w:rsid w:val="00C665C6"/>
    <w:rsid w:val="00C66AB0"/>
    <w:rsid w:val="00C66D11"/>
    <w:rsid w:val="00C66F2C"/>
    <w:rsid w:val="00C671C1"/>
    <w:rsid w:val="00C678A7"/>
    <w:rsid w:val="00C67ADD"/>
    <w:rsid w:val="00C67D26"/>
    <w:rsid w:val="00C709DC"/>
    <w:rsid w:val="00C710AD"/>
    <w:rsid w:val="00C7122D"/>
    <w:rsid w:val="00C71234"/>
    <w:rsid w:val="00C719E8"/>
    <w:rsid w:val="00C71D7C"/>
    <w:rsid w:val="00C72054"/>
    <w:rsid w:val="00C72710"/>
    <w:rsid w:val="00C72828"/>
    <w:rsid w:val="00C72E1A"/>
    <w:rsid w:val="00C73635"/>
    <w:rsid w:val="00C738D2"/>
    <w:rsid w:val="00C73D55"/>
    <w:rsid w:val="00C74634"/>
    <w:rsid w:val="00C74A5E"/>
    <w:rsid w:val="00C7547F"/>
    <w:rsid w:val="00C757A6"/>
    <w:rsid w:val="00C7597F"/>
    <w:rsid w:val="00C75FE3"/>
    <w:rsid w:val="00C76057"/>
    <w:rsid w:val="00C763B4"/>
    <w:rsid w:val="00C76D3B"/>
    <w:rsid w:val="00C7773F"/>
    <w:rsid w:val="00C77828"/>
    <w:rsid w:val="00C77AEC"/>
    <w:rsid w:val="00C801AA"/>
    <w:rsid w:val="00C80B5E"/>
    <w:rsid w:val="00C81703"/>
    <w:rsid w:val="00C817AD"/>
    <w:rsid w:val="00C81BC7"/>
    <w:rsid w:val="00C81DBD"/>
    <w:rsid w:val="00C81E57"/>
    <w:rsid w:val="00C81FB6"/>
    <w:rsid w:val="00C82374"/>
    <w:rsid w:val="00C8281F"/>
    <w:rsid w:val="00C82BEA"/>
    <w:rsid w:val="00C82E63"/>
    <w:rsid w:val="00C8357C"/>
    <w:rsid w:val="00C83952"/>
    <w:rsid w:val="00C83DCE"/>
    <w:rsid w:val="00C845DD"/>
    <w:rsid w:val="00C84F11"/>
    <w:rsid w:val="00C8534B"/>
    <w:rsid w:val="00C85796"/>
    <w:rsid w:val="00C86BEE"/>
    <w:rsid w:val="00C86DE2"/>
    <w:rsid w:val="00C877C2"/>
    <w:rsid w:val="00C87988"/>
    <w:rsid w:val="00C87D85"/>
    <w:rsid w:val="00C90305"/>
    <w:rsid w:val="00C9065A"/>
    <w:rsid w:val="00C90755"/>
    <w:rsid w:val="00C90B02"/>
    <w:rsid w:val="00C912B5"/>
    <w:rsid w:val="00C917F8"/>
    <w:rsid w:val="00C91ADD"/>
    <w:rsid w:val="00C92187"/>
    <w:rsid w:val="00C929FE"/>
    <w:rsid w:val="00C92AA9"/>
    <w:rsid w:val="00C92B4C"/>
    <w:rsid w:val="00C92B96"/>
    <w:rsid w:val="00C92DFD"/>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97F97"/>
    <w:rsid w:val="00CA0BB4"/>
    <w:rsid w:val="00CA184D"/>
    <w:rsid w:val="00CA208E"/>
    <w:rsid w:val="00CA231B"/>
    <w:rsid w:val="00CA25B6"/>
    <w:rsid w:val="00CA35DD"/>
    <w:rsid w:val="00CA3B53"/>
    <w:rsid w:val="00CA3ED7"/>
    <w:rsid w:val="00CA45A8"/>
    <w:rsid w:val="00CA45DC"/>
    <w:rsid w:val="00CA4FC2"/>
    <w:rsid w:val="00CA546E"/>
    <w:rsid w:val="00CA56B7"/>
    <w:rsid w:val="00CA602C"/>
    <w:rsid w:val="00CA66FA"/>
    <w:rsid w:val="00CA6AB9"/>
    <w:rsid w:val="00CA6B56"/>
    <w:rsid w:val="00CA6F0C"/>
    <w:rsid w:val="00CA7332"/>
    <w:rsid w:val="00CA7A57"/>
    <w:rsid w:val="00CB09F6"/>
    <w:rsid w:val="00CB0CAA"/>
    <w:rsid w:val="00CB0D78"/>
    <w:rsid w:val="00CB0F5F"/>
    <w:rsid w:val="00CB0F64"/>
    <w:rsid w:val="00CB1509"/>
    <w:rsid w:val="00CB19FF"/>
    <w:rsid w:val="00CB1A43"/>
    <w:rsid w:val="00CB1BBC"/>
    <w:rsid w:val="00CB1C1A"/>
    <w:rsid w:val="00CB1F89"/>
    <w:rsid w:val="00CB22B2"/>
    <w:rsid w:val="00CB24DB"/>
    <w:rsid w:val="00CB28E0"/>
    <w:rsid w:val="00CB29AF"/>
    <w:rsid w:val="00CB2A5B"/>
    <w:rsid w:val="00CB2C42"/>
    <w:rsid w:val="00CB2E0F"/>
    <w:rsid w:val="00CB3B2B"/>
    <w:rsid w:val="00CB462F"/>
    <w:rsid w:val="00CB4BED"/>
    <w:rsid w:val="00CB5030"/>
    <w:rsid w:val="00CB5139"/>
    <w:rsid w:val="00CB570A"/>
    <w:rsid w:val="00CB5A46"/>
    <w:rsid w:val="00CB5B21"/>
    <w:rsid w:val="00CB610C"/>
    <w:rsid w:val="00CB6125"/>
    <w:rsid w:val="00CB63D0"/>
    <w:rsid w:val="00CB650E"/>
    <w:rsid w:val="00CB66D1"/>
    <w:rsid w:val="00CB6782"/>
    <w:rsid w:val="00CB69D2"/>
    <w:rsid w:val="00CB6BEB"/>
    <w:rsid w:val="00CB6E65"/>
    <w:rsid w:val="00CB7012"/>
    <w:rsid w:val="00CB7399"/>
    <w:rsid w:val="00CB7636"/>
    <w:rsid w:val="00CB7A8C"/>
    <w:rsid w:val="00CB7B84"/>
    <w:rsid w:val="00CC023D"/>
    <w:rsid w:val="00CC045C"/>
    <w:rsid w:val="00CC0B5A"/>
    <w:rsid w:val="00CC1189"/>
    <w:rsid w:val="00CC19F5"/>
    <w:rsid w:val="00CC1E2B"/>
    <w:rsid w:val="00CC1EE7"/>
    <w:rsid w:val="00CC1FD6"/>
    <w:rsid w:val="00CC2D01"/>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4CB"/>
    <w:rsid w:val="00CC569B"/>
    <w:rsid w:val="00CC5A54"/>
    <w:rsid w:val="00CC60CD"/>
    <w:rsid w:val="00CC6186"/>
    <w:rsid w:val="00CC640D"/>
    <w:rsid w:val="00CC64FB"/>
    <w:rsid w:val="00CC67E4"/>
    <w:rsid w:val="00CC6B9A"/>
    <w:rsid w:val="00CC74EF"/>
    <w:rsid w:val="00CC7AD8"/>
    <w:rsid w:val="00CD083D"/>
    <w:rsid w:val="00CD1043"/>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6114"/>
    <w:rsid w:val="00CD6E2A"/>
    <w:rsid w:val="00CD71A9"/>
    <w:rsid w:val="00CD729B"/>
    <w:rsid w:val="00CD72B4"/>
    <w:rsid w:val="00CD73A0"/>
    <w:rsid w:val="00CD776B"/>
    <w:rsid w:val="00CD77B2"/>
    <w:rsid w:val="00CD789C"/>
    <w:rsid w:val="00CD7B92"/>
    <w:rsid w:val="00CD7CF7"/>
    <w:rsid w:val="00CD7D5A"/>
    <w:rsid w:val="00CD7DD0"/>
    <w:rsid w:val="00CE070F"/>
    <w:rsid w:val="00CE0B0D"/>
    <w:rsid w:val="00CE1F6A"/>
    <w:rsid w:val="00CE208D"/>
    <w:rsid w:val="00CE2885"/>
    <w:rsid w:val="00CE28CD"/>
    <w:rsid w:val="00CE28F4"/>
    <w:rsid w:val="00CE2EAE"/>
    <w:rsid w:val="00CE311E"/>
    <w:rsid w:val="00CE3AAA"/>
    <w:rsid w:val="00CE3CC0"/>
    <w:rsid w:val="00CE3DE2"/>
    <w:rsid w:val="00CE3ECF"/>
    <w:rsid w:val="00CE43F4"/>
    <w:rsid w:val="00CE46F0"/>
    <w:rsid w:val="00CE483D"/>
    <w:rsid w:val="00CE529F"/>
    <w:rsid w:val="00CE5561"/>
    <w:rsid w:val="00CE60EB"/>
    <w:rsid w:val="00CE65DA"/>
    <w:rsid w:val="00CE65F9"/>
    <w:rsid w:val="00CE66F4"/>
    <w:rsid w:val="00CE68E7"/>
    <w:rsid w:val="00CE6965"/>
    <w:rsid w:val="00CE72F1"/>
    <w:rsid w:val="00CE7873"/>
    <w:rsid w:val="00CE7EED"/>
    <w:rsid w:val="00CF0452"/>
    <w:rsid w:val="00CF083F"/>
    <w:rsid w:val="00CF0A22"/>
    <w:rsid w:val="00CF0C3F"/>
    <w:rsid w:val="00CF11A6"/>
    <w:rsid w:val="00CF149D"/>
    <w:rsid w:val="00CF186A"/>
    <w:rsid w:val="00CF1930"/>
    <w:rsid w:val="00CF2087"/>
    <w:rsid w:val="00CF20AD"/>
    <w:rsid w:val="00CF21CA"/>
    <w:rsid w:val="00CF226A"/>
    <w:rsid w:val="00CF2AE9"/>
    <w:rsid w:val="00CF2BFE"/>
    <w:rsid w:val="00CF2D34"/>
    <w:rsid w:val="00CF3B15"/>
    <w:rsid w:val="00CF3F8E"/>
    <w:rsid w:val="00CF5771"/>
    <w:rsid w:val="00CF5D12"/>
    <w:rsid w:val="00CF5EEE"/>
    <w:rsid w:val="00CF62DC"/>
    <w:rsid w:val="00CF6496"/>
    <w:rsid w:val="00CF6646"/>
    <w:rsid w:val="00CF69B7"/>
    <w:rsid w:val="00CF6FA4"/>
    <w:rsid w:val="00CF71BD"/>
    <w:rsid w:val="00CF737A"/>
    <w:rsid w:val="00CF7F09"/>
    <w:rsid w:val="00D00823"/>
    <w:rsid w:val="00D00DA6"/>
    <w:rsid w:val="00D00EC4"/>
    <w:rsid w:val="00D00EC8"/>
    <w:rsid w:val="00D021D1"/>
    <w:rsid w:val="00D02912"/>
    <w:rsid w:val="00D0297B"/>
    <w:rsid w:val="00D02984"/>
    <w:rsid w:val="00D02A7F"/>
    <w:rsid w:val="00D03291"/>
    <w:rsid w:val="00D03444"/>
    <w:rsid w:val="00D03647"/>
    <w:rsid w:val="00D03780"/>
    <w:rsid w:val="00D04163"/>
    <w:rsid w:val="00D04B25"/>
    <w:rsid w:val="00D04D3F"/>
    <w:rsid w:val="00D051DA"/>
    <w:rsid w:val="00D051E4"/>
    <w:rsid w:val="00D05719"/>
    <w:rsid w:val="00D05B9A"/>
    <w:rsid w:val="00D063DB"/>
    <w:rsid w:val="00D0742A"/>
    <w:rsid w:val="00D07C08"/>
    <w:rsid w:val="00D1099F"/>
    <w:rsid w:val="00D112A3"/>
    <w:rsid w:val="00D113D2"/>
    <w:rsid w:val="00D11880"/>
    <w:rsid w:val="00D1197B"/>
    <w:rsid w:val="00D119B8"/>
    <w:rsid w:val="00D121FD"/>
    <w:rsid w:val="00D126EB"/>
    <w:rsid w:val="00D12847"/>
    <w:rsid w:val="00D12895"/>
    <w:rsid w:val="00D12B91"/>
    <w:rsid w:val="00D12E10"/>
    <w:rsid w:val="00D13408"/>
    <w:rsid w:val="00D1342A"/>
    <w:rsid w:val="00D14728"/>
    <w:rsid w:val="00D14C4C"/>
    <w:rsid w:val="00D14CE7"/>
    <w:rsid w:val="00D14D56"/>
    <w:rsid w:val="00D14E49"/>
    <w:rsid w:val="00D151BA"/>
    <w:rsid w:val="00D15AF7"/>
    <w:rsid w:val="00D15C1B"/>
    <w:rsid w:val="00D1633A"/>
    <w:rsid w:val="00D16877"/>
    <w:rsid w:val="00D168AA"/>
    <w:rsid w:val="00D16FBF"/>
    <w:rsid w:val="00D16FCA"/>
    <w:rsid w:val="00D1727A"/>
    <w:rsid w:val="00D173D0"/>
    <w:rsid w:val="00D177CC"/>
    <w:rsid w:val="00D17963"/>
    <w:rsid w:val="00D204D2"/>
    <w:rsid w:val="00D20D3B"/>
    <w:rsid w:val="00D20FC0"/>
    <w:rsid w:val="00D21213"/>
    <w:rsid w:val="00D21D76"/>
    <w:rsid w:val="00D22053"/>
    <w:rsid w:val="00D2245B"/>
    <w:rsid w:val="00D225A5"/>
    <w:rsid w:val="00D22E4D"/>
    <w:rsid w:val="00D22E58"/>
    <w:rsid w:val="00D23926"/>
    <w:rsid w:val="00D23A35"/>
    <w:rsid w:val="00D23D61"/>
    <w:rsid w:val="00D2461D"/>
    <w:rsid w:val="00D2479D"/>
    <w:rsid w:val="00D2480B"/>
    <w:rsid w:val="00D25064"/>
    <w:rsid w:val="00D254EF"/>
    <w:rsid w:val="00D25B95"/>
    <w:rsid w:val="00D25BC4"/>
    <w:rsid w:val="00D25F21"/>
    <w:rsid w:val="00D2606F"/>
    <w:rsid w:val="00D26219"/>
    <w:rsid w:val="00D2623F"/>
    <w:rsid w:val="00D267F4"/>
    <w:rsid w:val="00D26C21"/>
    <w:rsid w:val="00D26ED4"/>
    <w:rsid w:val="00D26EE8"/>
    <w:rsid w:val="00D27663"/>
    <w:rsid w:val="00D27D95"/>
    <w:rsid w:val="00D30C94"/>
    <w:rsid w:val="00D30CDC"/>
    <w:rsid w:val="00D30D0A"/>
    <w:rsid w:val="00D30EEA"/>
    <w:rsid w:val="00D311B7"/>
    <w:rsid w:val="00D311E8"/>
    <w:rsid w:val="00D311F4"/>
    <w:rsid w:val="00D31A9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67A"/>
    <w:rsid w:val="00D35A7D"/>
    <w:rsid w:val="00D35DFE"/>
    <w:rsid w:val="00D3627F"/>
    <w:rsid w:val="00D36E4D"/>
    <w:rsid w:val="00D3740C"/>
    <w:rsid w:val="00D3741E"/>
    <w:rsid w:val="00D376D6"/>
    <w:rsid w:val="00D37934"/>
    <w:rsid w:val="00D400B9"/>
    <w:rsid w:val="00D40BD1"/>
    <w:rsid w:val="00D40CAA"/>
    <w:rsid w:val="00D40F5F"/>
    <w:rsid w:val="00D40F93"/>
    <w:rsid w:val="00D414CA"/>
    <w:rsid w:val="00D418B0"/>
    <w:rsid w:val="00D41931"/>
    <w:rsid w:val="00D41AAF"/>
    <w:rsid w:val="00D427B0"/>
    <w:rsid w:val="00D42C1A"/>
    <w:rsid w:val="00D42F77"/>
    <w:rsid w:val="00D430C1"/>
    <w:rsid w:val="00D43971"/>
    <w:rsid w:val="00D43D93"/>
    <w:rsid w:val="00D43F91"/>
    <w:rsid w:val="00D44123"/>
    <w:rsid w:val="00D445AF"/>
    <w:rsid w:val="00D44724"/>
    <w:rsid w:val="00D44815"/>
    <w:rsid w:val="00D44C62"/>
    <w:rsid w:val="00D4531E"/>
    <w:rsid w:val="00D46377"/>
    <w:rsid w:val="00D4658D"/>
    <w:rsid w:val="00D46606"/>
    <w:rsid w:val="00D472B2"/>
    <w:rsid w:val="00D4769D"/>
    <w:rsid w:val="00D476D8"/>
    <w:rsid w:val="00D477A5"/>
    <w:rsid w:val="00D47C8D"/>
    <w:rsid w:val="00D50DF1"/>
    <w:rsid w:val="00D50E38"/>
    <w:rsid w:val="00D50FDA"/>
    <w:rsid w:val="00D51A50"/>
    <w:rsid w:val="00D51AE2"/>
    <w:rsid w:val="00D51CBA"/>
    <w:rsid w:val="00D51D78"/>
    <w:rsid w:val="00D51F83"/>
    <w:rsid w:val="00D5213F"/>
    <w:rsid w:val="00D52193"/>
    <w:rsid w:val="00D529CF"/>
    <w:rsid w:val="00D52A72"/>
    <w:rsid w:val="00D53842"/>
    <w:rsid w:val="00D53F0E"/>
    <w:rsid w:val="00D5439D"/>
    <w:rsid w:val="00D5446D"/>
    <w:rsid w:val="00D548D5"/>
    <w:rsid w:val="00D54A4C"/>
    <w:rsid w:val="00D54FA6"/>
    <w:rsid w:val="00D551D0"/>
    <w:rsid w:val="00D55325"/>
    <w:rsid w:val="00D55451"/>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536"/>
    <w:rsid w:val="00D6282C"/>
    <w:rsid w:val="00D628FF"/>
    <w:rsid w:val="00D62A21"/>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2772"/>
    <w:rsid w:val="00D72791"/>
    <w:rsid w:val="00D7281F"/>
    <w:rsid w:val="00D72A0A"/>
    <w:rsid w:val="00D72A68"/>
    <w:rsid w:val="00D72A8E"/>
    <w:rsid w:val="00D73323"/>
    <w:rsid w:val="00D7397E"/>
    <w:rsid w:val="00D74271"/>
    <w:rsid w:val="00D746E9"/>
    <w:rsid w:val="00D748B6"/>
    <w:rsid w:val="00D74D11"/>
    <w:rsid w:val="00D75316"/>
    <w:rsid w:val="00D7560D"/>
    <w:rsid w:val="00D75631"/>
    <w:rsid w:val="00D75B4F"/>
    <w:rsid w:val="00D75E8E"/>
    <w:rsid w:val="00D75FBB"/>
    <w:rsid w:val="00D765E3"/>
    <w:rsid w:val="00D7685E"/>
    <w:rsid w:val="00D7686A"/>
    <w:rsid w:val="00D76DB5"/>
    <w:rsid w:val="00D76DBB"/>
    <w:rsid w:val="00D76E6F"/>
    <w:rsid w:val="00D77522"/>
    <w:rsid w:val="00D77A05"/>
    <w:rsid w:val="00D8000D"/>
    <w:rsid w:val="00D800D9"/>
    <w:rsid w:val="00D80332"/>
    <w:rsid w:val="00D804AF"/>
    <w:rsid w:val="00D80503"/>
    <w:rsid w:val="00D81082"/>
    <w:rsid w:val="00D812CD"/>
    <w:rsid w:val="00D81782"/>
    <w:rsid w:val="00D81CD1"/>
    <w:rsid w:val="00D81ECD"/>
    <w:rsid w:val="00D821AA"/>
    <w:rsid w:val="00D82FBA"/>
    <w:rsid w:val="00D84733"/>
    <w:rsid w:val="00D8484E"/>
    <w:rsid w:val="00D853D8"/>
    <w:rsid w:val="00D85481"/>
    <w:rsid w:val="00D85539"/>
    <w:rsid w:val="00D86332"/>
    <w:rsid w:val="00D8691B"/>
    <w:rsid w:val="00D86A55"/>
    <w:rsid w:val="00D86F4E"/>
    <w:rsid w:val="00D86FA7"/>
    <w:rsid w:val="00D8788F"/>
    <w:rsid w:val="00D87AE8"/>
    <w:rsid w:val="00D901AD"/>
    <w:rsid w:val="00D90FC2"/>
    <w:rsid w:val="00D91B64"/>
    <w:rsid w:val="00D9285F"/>
    <w:rsid w:val="00D92BD5"/>
    <w:rsid w:val="00D92C75"/>
    <w:rsid w:val="00D9328F"/>
    <w:rsid w:val="00D933E5"/>
    <w:rsid w:val="00D93775"/>
    <w:rsid w:val="00D93994"/>
    <w:rsid w:val="00D939D6"/>
    <w:rsid w:val="00D94248"/>
    <w:rsid w:val="00D945A2"/>
    <w:rsid w:val="00D94DA9"/>
    <w:rsid w:val="00D968AD"/>
    <w:rsid w:val="00D96B49"/>
    <w:rsid w:val="00D97018"/>
    <w:rsid w:val="00D9752F"/>
    <w:rsid w:val="00D976EA"/>
    <w:rsid w:val="00D97B2D"/>
    <w:rsid w:val="00D97FDE"/>
    <w:rsid w:val="00DA0490"/>
    <w:rsid w:val="00DA097A"/>
    <w:rsid w:val="00DA09D4"/>
    <w:rsid w:val="00DA0D26"/>
    <w:rsid w:val="00DA0E25"/>
    <w:rsid w:val="00DA1496"/>
    <w:rsid w:val="00DA1E99"/>
    <w:rsid w:val="00DA2E5A"/>
    <w:rsid w:val="00DA2E6C"/>
    <w:rsid w:val="00DA31E2"/>
    <w:rsid w:val="00DA31FB"/>
    <w:rsid w:val="00DA3A2D"/>
    <w:rsid w:val="00DA4BE0"/>
    <w:rsid w:val="00DA4DD1"/>
    <w:rsid w:val="00DA64EF"/>
    <w:rsid w:val="00DA65CD"/>
    <w:rsid w:val="00DA6B3D"/>
    <w:rsid w:val="00DA7026"/>
    <w:rsid w:val="00DB0721"/>
    <w:rsid w:val="00DB1041"/>
    <w:rsid w:val="00DB112C"/>
    <w:rsid w:val="00DB24B8"/>
    <w:rsid w:val="00DB2612"/>
    <w:rsid w:val="00DB2632"/>
    <w:rsid w:val="00DB2B05"/>
    <w:rsid w:val="00DB2C67"/>
    <w:rsid w:val="00DB311B"/>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B46"/>
    <w:rsid w:val="00DC2452"/>
    <w:rsid w:val="00DC2683"/>
    <w:rsid w:val="00DC3685"/>
    <w:rsid w:val="00DC3798"/>
    <w:rsid w:val="00DC3C05"/>
    <w:rsid w:val="00DC4873"/>
    <w:rsid w:val="00DC4890"/>
    <w:rsid w:val="00DC518B"/>
    <w:rsid w:val="00DC53EF"/>
    <w:rsid w:val="00DC5591"/>
    <w:rsid w:val="00DC55A1"/>
    <w:rsid w:val="00DC648C"/>
    <w:rsid w:val="00DC6944"/>
    <w:rsid w:val="00DC6B36"/>
    <w:rsid w:val="00DC6BE7"/>
    <w:rsid w:val="00DC7B2E"/>
    <w:rsid w:val="00DC7D04"/>
    <w:rsid w:val="00DC7E26"/>
    <w:rsid w:val="00DD0543"/>
    <w:rsid w:val="00DD10C1"/>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C71"/>
    <w:rsid w:val="00DE0F40"/>
    <w:rsid w:val="00DE0F7B"/>
    <w:rsid w:val="00DE1C35"/>
    <w:rsid w:val="00DE1DD9"/>
    <w:rsid w:val="00DE241F"/>
    <w:rsid w:val="00DE3203"/>
    <w:rsid w:val="00DE36A8"/>
    <w:rsid w:val="00DE389C"/>
    <w:rsid w:val="00DE3A8B"/>
    <w:rsid w:val="00DE3B11"/>
    <w:rsid w:val="00DE4312"/>
    <w:rsid w:val="00DE4362"/>
    <w:rsid w:val="00DE480D"/>
    <w:rsid w:val="00DE48EB"/>
    <w:rsid w:val="00DE501D"/>
    <w:rsid w:val="00DE5204"/>
    <w:rsid w:val="00DE5B30"/>
    <w:rsid w:val="00DE5CCC"/>
    <w:rsid w:val="00DE61C1"/>
    <w:rsid w:val="00DF0678"/>
    <w:rsid w:val="00DF08CD"/>
    <w:rsid w:val="00DF08CE"/>
    <w:rsid w:val="00DF0AAC"/>
    <w:rsid w:val="00DF0B2A"/>
    <w:rsid w:val="00DF0B9C"/>
    <w:rsid w:val="00DF0D25"/>
    <w:rsid w:val="00DF0FB2"/>
    <w:rsid w:val="00DF1655"/>
    <w:rsid w:val="00DF179B"/>
    <w:rsid w:val="00DF18D4"/>
    <w:rsid w:val="00DF1BE9"/>
    <w:rsid w:val="00DF23B8"/>
    <w:rsid w:val="00DF23BF"/>
    <w:rsid w:val="00DF2713"/>
    <w:rsid w:val="00DF2930"/>
    <w:rsid w:val="00DF2D34"/>
    <w:rsid w:val="00DF4109"/>
    <w:rsid w:val="00DF48D9"/>
    <w:rsid w:val="00DF4F30"/>
    <w:rsid w:val="00DF4FD9"/>
    <w:rsid w:val="00DF52AE"/>
    <w:rsid w:val="00DF5863"/>
    <w:rsid w:val="00DF58E4"/>
    <w:rsid w:val="00DF5B18"/>
    <w:rsid w:val="00DF5B2D"/>
    <w:rsid w:val="00DF61BE"/>
    <w:rsid w:val="00DF6BD3"/>
    <w:rsid w:val="00DF6EED"/>
    <w:rsid w:val="00DF6F03"/>
    <w:rsid w:val="00DF7F66"/>
    <w:rsid w:val="00E000D8"/>
    <w:rsid w:val="00E00578"/>
    <w:rsid w:val="00E005F1"/>
    <w:rsid w:val="00E00918"/>
    <w:rsid w:val="00E00BEC"/>
    <w:rsid w:val="00E00C19"/>
    <w:rsid w:val="00E00C6B"/>
    <w:rsid w:val="00E0147E"/>
    <w:rsid w:val="00E014F1"/>
    <w:rsid w:val="00E0174A"/>
    <w:rsid w:val="00E01D99"/>
    <w:rsid w:val="00E01DF9"/>
    <w:rsid w:val="00E02055"/>
    <w:rsid w:val="00E021EB"/>
    <w:rsid w:val="00E0250F"/>
    <w:rsid w:val="00E029DB"/>
    <w:rsid w:val="00E02F80"/>
    <w:rsid w:val="00E03305"/>
    <w:rsid w:val="00E037FC"/>
    <w:rsid w:val="00E03939"/>
    <w:rsid w:val="00E03A6A"/>
    <w:rsid w:val="00E03E41"/>
    <w:rsid w:val="00E04C1C"/>
    <w:rsid w:val="00E0521B"/>
    <w:rsid w:val="00E052E2"/>
    <w:rsid w:val="00E0562D"/>
    <w:rsid w:val="00E05DF4"/>
    <w:rsid w:val="00E06306"/>
    <w:rsid w:val="00E06662"/>
    <w:rsid w:val="00E066C1"/>
    <w:rsid w:val="00E06CA2"/>
    <w:rsid w:val="00E06D69"/>
    <w:rsid w:val="00E074F1"/>
    <w:rsid w:val="00E07B80"/>
    <w:rsid w:val="00E07E94"/>
    <w:rsid w:val="00E07F9C"/>
    <w:rsid w:val="00E107A4"/>
    <w:rsid w:val="00E10BEB"/>
    <w:rsid w:val="00E10DD2"/>
    <w:rsid w:val="00E11560"/>
    <w:rsid w:val="00E1196E"/>
    <w:rsid w:val="00E127BB"/>
    <w:rsid w:val="00E12863"/>
    <w:rsid w:val="00E129AA"/>
    <w:rsid w:val="00E129BE"/>
    <w:rsid w:val="00E12CB4"/>
    <w:rsid w:val="00E130C6"/>
    <w:rsid w:val="00E13A1B"/>
    <w:rsid w:val="00E140AE"/>
    <w:rsid w:val="00E140D1"/>
    <w:rsid w:val="00E14183"/>
    <w:rsid w:val="00E14795"/>
    <w:rsid w:val="00E1487A"/>
    <w:rsid w:val="00E14938"/>
    <w:rsid w:val="00E1534A"/>
    <w:rsid w:val="00E1573A"/>
    <w:rsid w:val="00E15F5C"/>
    <w:rsid w:val="00E16641"/>
    <w:rsid w:val="00E1777E"/>
    <w:rsid w:val="00E17AB6"/>
    <w:rsid w:val="00E17EAD"/>
    <w:rsid w:val="00E20E20"/>
    <w:rsid w:val="00E20EC9"/>
    <w:rsid w:val="00E21022"/>
    <w:rsid w:val="00E210C2"/>
    <w:rsid w:val="00E212CA"/>
    <w:rsid w:val="00E21561"/>
    <w:rsid w:val="00E21B69"/>
    <w:rsid w:val="00E21F1C"/>
    <w:rsid w:val="00E2237B"/>
    <w:rsid w:val="00E22831"/>
    <w:rsid w:val="00E229AC"/>
    <w:rsid w:val="00E22DE9"/>
    <w:rsid w:val="00E22FE2"/>
    <w:rsid w:val="00E235D4"/>
    <w:rsid w:val="00E236B4"/>
    <w:rsid w:val="00E236C5"/>
    <w:rsid w:val="00E23CF1"/>
    <w:rsid w:val="00E23F2E"/>
    <w:rsid w:val="00E25027"/>
    <w:rsid w:val="00E25450"/>
    <w:rsid w:val="00E254E5"/>
    <w:rsid w:val="00E257DB"/>
    <w:rsid w:val="00E25855"/>
    <w:rsid w:val="00E25BDE"/>
    <w:rsid w:val="00E25CD9"/>
    <w:rsid w:val="00E2601E"/>
    <w:rsid w:val="00E26022"/>
    <w:rsid w:val="00E263FF"/>
    <w:rsid w:val="00E264BD"/>
    <w:rsid w:val="00E267D2"/>
    <w:rsid w:val="00E276FF"/>
    <w:rsid w:val="00E2770D"/>
    <w:rsid w:val="00E27A1E"/>
    <w:rsid w:val="00E27C2B"/>
    <w:rsid w:val="00E30845"/>
    <w:rsid w:val="00E309CF"/>
    <w:rsid w:val="00E30B16"/>
    <w:rsid w:val="00E30C34"/>
    <w:rsid w:val="00E317CB"/>
    <w:rsid w:val="00E32508"/>
    <w:rsid w:val="00E3256A"/>
    <w:rsid w:val="00E326D5"/>
    <w:rsid w:val="00E32A5F"/>
    <w:rsid w:val="00E32D70"/>
    <w:rsid w:val="00E3379B"/>
    <w:rsid w:val="00E3397F"/>
    <w:rsid w:val="00E34020"/>
    <w:rsid w:val="00E34274"/>
    <w:rsid w:val="00E3583B"/>
    <w:rsid w:val="00E35883"/>
    <w:rsid w:val="00E35F9D"/>
    <w:rsid w:val="00E36728"/>
    <w:rsid w:val="00E369A4"/>
    <w:rsid w:val="00E3728F"/>
    <w:rsid w:val="00E4022B"/>
    <w:rsid w:val="00E42E10"/>
    <w:rsid w:val="00E42F24"/>
    <w:rsid w:val="00E43145"/>
    <w:rsid w:val="00E434ED"/>
    <w:rsid w:val="00E43596"/>
    <w:rsid w:val="00E43759"/>
    <w:rsid w:val="00E43B9B"/>
    <w:rsid w:val="00E43EB6"/>
    <w:rsid w:val="00E4437D"/>
    <w:rsid w:val="00E44492"/>
    <w:rsid w:val="00E44998"/>
    <w:rsid w:val="00E44C01"/>
    <w:rsid w:val="00E459D3"/>
    <w:rsid w:val="00E45BAC"/>
    <w:rsid w:val="00E45EE7"/>
    <w:rsid w:val="00E46037"/>
    <w:rsid w:val="00E46457"/>
    <w:rsid w:val="00E464B7"/>
    <w:rsid w:val="00E4685F"/>
    <w:rsid w:val="00E46EE4"/>
    <w:rsid w:val="00E47059"/>
    <w:rsid w:val="00E4762E"/>
    <w:rsid w:val="00E47EB0"/>
    <w:rsid w:val="00E501E0"/>
    <w:rsid w:val="00E5033D"/>
    <w:rsid w:val="00E50531"/>
    <w:rsid w:val="00E50B8C"/>
    <w:rsid w:val="00E50CF6"/>
    <w:rsid w:val="00E50EAD"/>
    <w:rsid w:val="00E51129"/>
    <w:rsid w:val="00E51330"/>
    <w:rsid w:val="00E51437"/>
    <w:rsid w:val="00E51AC3"/>
    <w:rsid w:val="00E51F21"/>
    <w:rsid w:val="00E51F35"/>
    <w:rsid w:val="00E53458"/>
    <w:rsid w:val="00E53BCA"/>
    <w:rsid w:val="00E53D8A"/>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1F1A"/>
    <w:rsid w:val="00E62106"/>
    <w:rsid w:val="00E62975"/>
    <w:rsid w:val="00E62ED3"/>
    <w:rsid w:val="00E633DE"/>
    <w:rsid w:val="00E63690"/>
    <w:rsid w:val="00E638FB"/>
    <w:rsid w:val="00E64249"/>
    <w:rsid w:val="00E648AB"/>
    <w:rsid w:val="00E651B7"/>
    <w:rsid w:val="00E653C2"/>
    <w:rsid w:val="00E65674"/>
    <w:rsid w:val="00E65A14"/>
    <w:rsid w:val="00E65B7D"/>
    <w:rsid w:val="00E66093"/>
    <w:rsid w:val="00E660A7"/>
    <w:rsid w:val="00E660D4"/>
    <w:rsid w:val="00E66F05"/>
    <w:rsid w:val="00E66FD5"/>
    <w:rsid w:val="00E6734C"/>
    <w:rsid w:val="00E6766D"/>
    <w:rsid w:val="00E67793"/>
    <w:rsid w:val="00E67AC5"/>
    <w:rsid w:val="00E707B4"/>
    <w:rsid w:val="00E71053"/>
    <w:rsid w:val="00E713FD"/>
    <w:rsid w:val="00E71469"/>
    <w:rsid w:val="00E717B4"/>
    <w:rsid w:val="00E71AE3"/>
    <w:rsid w:val="00E71DB5"/>
    <w:rsid w:val="00E72433"/>
    <w:rsid w:val="00E72967"/>
    <w:rsid w:val="00E72AAC"/>
    <w:rsid w:val="00E72C31"/>
    <w:rsid w:val="00E72D3E"/>
    <w:rsid w:val="00E72DBF"/>
    <w:rsid w:val="00E72E73"/>
    <w:rsid w:val="00E72F3E"/>
    <w:rsid w:val="00E732BD"/>
    <w:rsid w:val="00E7344F"/>
    <w:rsid w:val="00E73E95"/>
    <w:rsid w:val="00E7464A"/>
    <w:rsid w:val="00E74755"/>
    <w:rsid w:val="00E747A2"/>
    <w:rsid w:val="00E749FC"/>
    <w:rsid w:val="00E74B31"/>
    <w:rsid w:val="00E756ED"/>
    <w:rsid w:val="00E75A04"/>
    <w:rsid w:val="00E76062"/>
    <w:rsid w:val="00E764C6"/>
    <w:rsid w:val="00E76F85"/>
    <w:rsid w:val="00E77508"/>
    <w:rsid w:val="00E7752F"/>
    <w:rsid w:val="00E77569"/>
    <w:rsid w:val="00E77B75"/>
    <w:rsid w:val="00E80385"/>
    <w:rsid w:val="00E808A4"/>
    <w:rsid w:val="00E81DD1"/>
    <w:rsid w:val="00E822A5"/>
    <w:rsid w:val="00E8271E"/>
    <w:rsid w:val="00E82A19"/>
    <w:rsid w:val="00E83095"/>
    <w:rsid w:val="00E83278"/>
    <w:rsid w:val="00E8365A"/>
    <w:rsid w:val="00E83F23"/>
    <w:rsid w:val="00E84091"/>
    <w:rsid w:val="00E84465"/>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345"/>
    <w:rsid w:val="00E9208A"/>
    <w:rsid w:val="00E92E42"/>
    <w:rsid w:val="00E934A7"/>
    <w:rsid w:val="00E937CD"/>
    <w:rsid w:val="00E93876"/>
    <w:rsid w:val="00E938A4"/>
    <w:rsid w:val="00E93918"/>
    <w:rsid w:val="00E9398E"/>
    <w:rsid w:val="00E94202"/>
    <w:rsid w:val="00E94CD8"/>
    <w:rsid w:val="00E9529B"/>
    <w:rsid w:val="00E958C8"/>
    <w:rsid w:val="00E95D59"/>
    <w:rsid w:val="00E965DC"/>
    <w:rsid w:val="00E96723"/>
    <w:rsid w:val="00E9770F"/>
    <w:rsid w:val="00EA00DF"/>
    <w:rsid w:val="00EA01CF"/>
    <w:rsid w:val="00EA0764"/>
    <w:rsid w:val="00EA07D0"/>
    <w:rsid w:val="00EA096F"/>
    <w:rsid w:val="00EA12FA"/>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608F"/>
    <w:rsid w:val="00EA622A"/>
    <w:rsid w:val="00EA63BC"/>
    <w:rsid w:val="00EA65B9"/>
    <w:rsid w:val="00EA68DA"/>
    <w:rsid w:val="00EA6BE7"/>
    <w:rsid w:val="00EA6E0D"/>
    <w:rsid w:val="00EA7056"/>
    <w:rsid w:val="00EA7101"/>
    <w:rsid w:val="00EA7155"/>
    <w:rsid w:val="00EA7699"/>
    <w:rsid w:val="00EA77A4"/>
    <w:rsid w:val="00EA7EBE"/>
    <w:rsid w:val="00EB031C"/>
    <w:rsid w:val="00EB04FC"/>
    <w:rsid w:val="00EB1127"/>
    <w:rsid w:val="00EB1907"/>
    <w:rsid w:val="00EB213B"/>
    <w:rsid w:val="00EB2A36"/>
    <w:rsid w:val="00EB2B00"/>
    <w:rsid w:val="00EB2B0C"/>
    <w:rsid w:val="00EB33B5"/>
    <w:rsid w:val="00EB37D4"/>
    <w:rsid w:val="00EB37E7"/>
    <w:rsid w:val="00EB39CD"/>
    <w:rsid w:val="00EB3D7E"/>
    <w:rsid w:val="00EB3E93"/>
    <w:rsid w:val="00EB4A1C"/>
    <w:rsid w:val="00EB4AB9"/>
    <w:rsid w:val="00EB4B9D"/>
    <w:rsid w:val="00EB4CB9"/>
    <w:rsid w:val="00EB5641"/>
    <w:rsid w:val="00EB6126"/>
    <w:rsid w:val="00EB62D6"/>
    <w:rsid w:val="00EB655B"/>
    <w:rsid w:val="00EB6D33"/>
    <w:rsid w:val="00EB6F3D"/>
    <w:rsid w:val="00EB72CB"/>
    <w:rsid w:val="00EB7ABC"/>
    <w:rsid w:val="00EC02AE"/>
    <w:rsid w:val="00EC02B6"/>
    <w:rsid w:val="00EC0513"/>
    <w:rsid w:val="00EC07A8"/>
    <w:rsid w:val="00EC0CB1"/>
    <w:rsid w:val="00EC0E7C"/>
    <w:rsid w:val="00EC15F9"/>
    <w:rsid w:val="00EC1FF5"/>
    <w:rsid w:val="00EC2279"/>
    <w:rsid w:val="00EC2559"/>
    <w:rsid w:val="00EC268D"/>
    <w:rsid w:val="00EC2716"/>
    <w:rsid w:val="00EC285D"/>
    <w:rsid w:val="00EC2891"/>
    <w:rsid w:val="00EC2D4B"/>
    <w:rsid w:val="00EC2D66"/>
    <w:rsid w:val="00EC2FE0"/>
    <w:rsid w:val="00EC3BBF"/>
    <w:rsid w:val="00EC3C61"/>
    <w:rsid w:val="00EC3C8F"/>
    <w:rsid w:val="00EC3F5B"/>
    <w:rsid w:val="00EC444D"/>
    <w:rsid w:val="00EC4660"/>
    <w:rsid w:val="00EC4779"/>
    <w:rsid w:val="00EC47B5"/>
    <w:rsid w:val="00EC4848"/>
    <w:rsid w:val="00EC48D2"/>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10CF"/>
    <w:rsid w:val="00ED120D"/>
    <w:rsid w:val="00ED1283"/>
    <w:rsid w:val="00ED157B"/>
    <w:rsid w:val="00ED2378"/>
    <w:rsid w:val="00ED327F"/>
    <w:rsid w:val="00ED328D"/>
    <w:rsid w:val="00ED33CB"/>
    <w:rsid w:val="00ED3B3D"/>
    <w:rsid w:val="00ED3F4C"/>
    <w:rsid w:val="00ED463B"/>
    <w:rsid w:val="00ED46FA"/>
    <w:rsid w:val="00ED4A05"/>
    <w:rsid w:val="00ED4A45"/>
    <w:rsid w:val="00ED4CFB"/>
    <w:rsid w:val="00ED520B"/>
    <w:rsid w:val="00ED5318"/>
    <w:rsid w:val="00ED5F65"/>
    <w:rsid w:val="00ED5F94"/>
    <w:rsid w:val="00ED6282"/>
    <w:rsid w:val="00ED629E"/>
    <w:rsid w:val="00ED706D"/>
    <w:rsid w:val="00ED71B0"/>
    <w:rsid w:val="00ED7591"/>
    <w:rsid w:val="00ED78C1"/>
    <w:rsid w:val="00ED7DDD"/>
    <w:rsid w:val="00EE00B1"/>
    <w:rsid w:val="00EE0444"/>
    <w:rsid w:val="00EE0FB9"/>
    <w:rsid w:val="00EE185D"/>
    <w:rsid w:val="00EE1AAB"/>
    <w:rsid w:val="00EE1EEB"/>
    <w:rsid w:val="00EE22DD"/>
    <w:rsid w:val="00EE24CC"/>
    <w:rsid w:val="00EE24F2"/>
    <w:rsid w:val="00EE2572"/>
    <w:rsid w:val="00EE284F"/>
    <w:rsid w:val="00EE3481"/>
    <w:rsid w:val="00EE3655"/>
    <w:rsid w:val="00EE3939"/>
    <w:rsid w:val="00EE3A75"/>
    <w:rsid w:val="00EE3F74"/>
    <w:rsid w:val="00EE3FFF"/>
    <w:rsid w:val="00EE4232"/>
    <w:rsid w:val="00EE46F0"/>
    <w:rsid w:val="00EE5378"/>
    <w:rsid w:val="00EE539C"/>
    <w:rsid w:val="00EE56EC"/>
    <w:rsid w:val="00EE57EA"/>
    <w:rsid w:val="00EE57F7"/>
    <w:rsid w:val="00EE5AE9"/>
    <w:rsid w:val="00EE5D93"/>
    <w:rsid w:val="00EE62C1"/>
    <w:rsid w:val="00EE646B"/>
    <w:rsid w:val="00EE6538"/>
    <w:rsid w:val="00EE6601"/>
    <w:rsid w:val="00EE6FB0"/>
    <w:rsid w:val="00EE736A"/>
    <w:rsid w:val="00EE7CCA"/>
    <w:rsid w:val="00EE7F9D"/>
    <w:rsid w:val="00EF03B5"/>
    <w:rsid w:val="00EF05EC"/>
    <w:rsid w:val="00EF070C"/>
    <w:rsid w:val="00EF092A"/>
    <w:rsid w:val="00EF0BF6"/>
    <w:rsid w:val="00EF0DA2"/>
    <w:rsid w:val="00EF1128"/>
    <w:rsid w:val="00EF1E09"/>
    <w:rsid w:val="00EF21CF"/>
    <w:rsid w:val="00EF24C2"/>
    <w:rsid w:val="00EF24EF"/>
    <w:rsid w:val="00EF2D56"/>
    <w:rsid w:val="00EF2E7C"/>
    <w:rsid w:val="00EF3548"/>
    <w:rsid w:val="00EF3918"/>
    <w:rsid w:val="00EF3A14"/>
    <w:rsid w:val="00EF3DE2"/>
    <w:rsid w:val="00EF40D4"/>
    <w:rsid w:val="00EF4994"/>
    <w:rsid w:val="00EF4A9E"/>
    <w:rsid w:val="00EF4AA4"/>
    <w:rsid w:val="00EF4D54"/>
    <w:rsid w:val="00EF50A0"/>
    <w:rsid w:val="00EF50B5"/>
    <w:rsid w:val="00EF520C"/>
    <w:rsid w:val="00EF5846"/>
    <w:rsid w:val="00EF5FB6"/>
    <w:rsid w:val="00EF67B3"/>
    <w:rsid w:val="00EF6939"/>
    <w:rsid w:val="00EF7412"/>
    <w:rsid w:val="00EF7760"/>
    <w:rsid w:val="00EF7EE4"/>
    <w:rsid w:val="00F00069"/>
    <w:rsid w:val="00F000A7"/>
    <w:rsid w:val="00F009C0"/>
    <w:rsid w:val="00F0157A"/>
    <w:rsid w:val="00F017B2"/>
    <w:rsid w:val="00F025CB"/>
    <w:rsid w:val="00F02A14"/>
    <w:rsid w:val="00F02B6D"/>
    <w:rsid w:val="00F02DDC"/>
    <w:rsid w:val="00F02E1D"/>
    <w:rsid w:val="00F03FBE"/>
    <w:rsid w:val="00F044D8"/>
    <w:rsid w:val="00F04B36"/>
    <w:rsid w:val="00F04CDA"/>
    <w:rsid w:val="00F05B26"/>
    <w:rsid w:val="00F05CC0"/>
    <w:rsid w:val="00F05E95"/>
    <w:rsid w:val="00F05F5A"/>
    <w:rsid w:val="00F065B1"/>
    <w:rsid w:val="00F0661A"/>
    <w:rsid w:val="00F068C7"/>
    <w:rsid w:val="00F070EB"/>
    <w:rsid w:val="00F071DE"/>
    <w:rsid w:val="00F07ADD"/>
    <w:rsid w:val="00F07D2C"/>
    <w:rsid w:val="00F10230"/>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46B4"/>
    <w:rsid w:val="00F14A6F"/>
    <w:rsid w:val="00F14C7C"/>
    <w:rsid w:val="00F14F5B"/>
    <w:rsid w:val="00F15809"/>
    <w:rsid w:val="00F158A9"/>
    <w:rsid w:val="00F15E23"/>
    <w:rsid w:val="00F15F01"/>
    <w:rsid w:val="00F1642A"/>
    <w:rsid w:val="00F17C98"/>
    <w:rsid w:val="00F17CCE"/>
    <w:rsid w:val="00F203BA"/>
    <w:rsid w:val="00F2059D"/>
    <w:rsid w:val="00F208C2"/>
    <w:rsid w:val="00F21A1A"/>
    <w:rsid w:val="00F21D28"/>
    <w:rsid w:val="00F21FBE"/>
    <w:rsid w:val="00F22619"/>
    <w:rsid w:val="00F2312F"/>
    <w:rsid w:val="00F2313C"/>
    <w:rsid w:val="00F234B9"/>
    <w:rsid w:val="00F23A01"/>
    <w:rsid w:val="00F23E44"/>
    <w:rsid w:val="00F24032"/>
    <w:rsid w:val="00F24445"/>
    <w:rsid w:val="00F2572E"/>
    <w:rsid w:val="00F2574D"/>
    <w:rsid w:val="00F25A3A"/>
    <w:rsid w:val="00F25CDF"/>
    <w:rsid w:val="00F25E64"/>
    <w:rsid w:val="00F264D6"/>
    <w:rsid w:val="00F27B87"/>
    <w:rsid w:val="00F27E82"/>
    <w:rsid w:val="00F30611"/>
    <w:rsid w:val="00F3068B"/>
    <w:rsid w:val="00F30F81"/>
    <w:rsid w:val="00F30FB2"/>
    <w:rsid w:val="00F31FE8"/>
    <w:rsid w:val="00F3216B"/>
    <w:rsid w:val="00F322CE"/>
    <w:rsid w:val="00F32A2A"/>
    <w:rsid w:val="00F330D2"/>
    <w:rsid w:val="00F3320F"/>
    <w:rsid w:val="00F33501"/>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3C0"/>
    <w:rsid w:val="00F41645"/>
    <w:rsid w:val="00F41884"/>
    <w:rsid w:val="00F418CC"/>
    <w:rsid w:val="00F41EAC"/>
    <w:rsid w:val="00F422DE"/>
    <w:rsid w:val="00F423B9"/>
    <w:rsid w:val="00F42C6F"/>
    <w:rsid w:val="00F43926"/>
    <w:rsid w:val="00F43B36"/>
    <w:rsid w:val="00F43B5D"/>
    <w:rsid w:val="00F43B83"/>
    <w:rsid w:val="00F43E69"/>
    <w:rsid w:val="00F4417D"/>
    <w:rsid w:val="00F4455B"/>
    <w:rsid w:val="00F45032"/>
    <w:rsid w:val="00F4514C"/>
    <w:rsid w:val="00F457D2"/>
    <w:rsid w:val="00F45F9E"/>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2090"/>
    <w:rsid w:val="00F5244C"/>
    <w:rsid w:val="00F5244F"/>
    <w:rsid w:val="00F52AFF"/>
    <w:rsid w:val="00F52B0A"/>
    <w:rsid w:val="00F53102"/>
    <w:rsid w:val="00F5322F"/>
    <w:rsid w:val="00F5339E"/>
    <w:rsid w:val="00F5345A"/>
    <w:rsid w:val="00F53808"/>
    <w:rsid w:val="00F53D8F"/>
    <w:rsid w:val="00F53ED1"/>
    <w:rsid w:val="00F55079"/>
    <w:rsid w:val="00F55FEF"/>
    <w:rsid w:val="00F56244"/>
    <w:rsid w:val="00F56286"/>
    <w:rsid w:val="00F569A6"/>
    <w:rsid w:val="00F56D9B"/>
    <w:rsid w:val="00F57578"/>
    <w:rsid w:val="00F57C59"/>
    <w:rsid w:val="00F57CA8"/>
    <w:rsid w:val="00F57FCF"/>
    <w:rsid w:val="00F60C4F"/>
    <w:rsid w:val="00F612B5"/>
    <w:rsid w:val="00F61B97"/>
    <w:rsid w:val="00F6219E"/>
    <w:rsid w:val="00F626E1"/>
    <w:rsid w:val="00F62D18"/>
    <w:rsid w:val="00F62F15"/>
    <w:rsid w:val="00F63531"/>
    <w:rsid w:val="00F63C45"/>
    <w:rsid w:val="00F63DBA"/>
    <w:rsid w:val="00F6404E"/>
    <w:rsid w:val="00F643E5"/>
    <w:rsid w:val="00F6512E"/>
    <w:rsid w:val="00F6527B"/>
    <w:rsid w:val="00F65D07"/>
    <w:rsid w:val="00F660DE"/>
    <w:rsid w:val="00F6629E"/>
    <w:rsid w:val="00F6646F"/>
    <w:rsid w:val="00F6647A"/>
    <w:rsid w:val="00F668E5"/>
    <w:rsid w:val="00F66AB3"/>
    <w:rsid w:val="00F66D1D"/>
    <w:rsid w:val="00F66D49"/>
    <w:rsid w:val="00F679DF"/>
    <w:rsid w:val="00F67BCB"/>
    <w:rsid w:val="00F67E7C"/>
    <w:rsid w:val="00F67EA4"/>
    <w:rsid w:val="00F702F3"/>
    <w:rsid w:val="00F7044A"/>
    <w:rsid w:val="00F706B8"/>
    <w:rsid w:val="00F70823"/>
    <w:rsid w:val="00F70BD8"/>
    <w:rsid w:val="00F71E29"/>
    <w:rsid w:val="00F725DC"/>
    <w:rsid w:val="00F7267D"/>
    <w:rsid w:val="00F729BC"/>
    <w:rsid w:val="00F72BA6"/>
    <w:rsid w:val="00F73AEE"/>
    <w:rsid w:val="00F73D08"/>
    <w:rsid w:val="00F73F2A"/>
    <w:rsid w:val="00F7404F"/>
    <w:rsid w:val="00F74797"/>
    <w:rsid w:val="00F75594"/>
    <w:rsid w:val="00F758B8"/>
    <w:rsid w:val="00F75DE2"/>
    <w:rsid w:val="00F76807"/>
    <w:rsid w:val="00F76C33"/>
    <w:rsid w:val="00F77010"/>
    <w:rsid w:val="00F77744"/>
    <w:rsid w:val="00F77973"/>
    <w:rsid w:val="00F77B6C"/>
    <w:rsid w:val="00F80024"/>
    <w:rsid w:val="00F801CF"/>
    <w:rsid w:val="00F801F5"/>
    <w:rsid w:val="00F8079B"/>
    <w:rsid w:val="00F80A21"/>
    <w:rsid w:val="00F813F8"/>
    <w:rsid w:val="00F817E7"/>
    <w:rsid w:val="00F8194F"/>
    <w:rsid w:val="00F81D72"/>
    <w:rsid w:val="00F82548"/>
    <w:rsid w:val="00F82640"/>
    <w:rsid w:val="00F8269B"/>
    <w:rsid w:val="00F826BB"/>
    <w:rsid w:val="00F82C21"/>
    <w:rsid w:val="00F82E79"/>
    <w:rsid w:val="00F838A1"/>
    <w:rsid w:val="00F8393C"/>
    <w:rsid w:val="00F84E60"/>
    <w:rsid w:val="00F85042"/>
    <w:rsid w:val="00F850B7"/>
    <w:rsid w:val="00F85159"/>
    <w:rsid w:val="00F85FE0"/>
    <w:rsid w:val="00F86FAB"/>
    <w:rsid w:val="00F87055"/>
    <w:rsid w:val="00F87C26"/>
    <w:rsid w:val="00F90280"/>
    <w:rsid w:val="00F90B28"/>
    <w:rsid w:val="00F912CF"/>
    <w:rsid w:val="00F9180D"/>
    <w:rsid w:val="00F9189E"/>
    <w:rsid w:val="00F91BF4"/>
    <w:rsid w:val="00F91C1E"/>
    <w:rsid w:val="00F92255"/>
    <w:rsid w:val="00F926EF"/>
    <w:rsid w:val="00F92DCF"/>
    <w:rsid w:val="00F93332"/>
    <w:rsid w:val="00F93C37"/>
    <w:rsid w:val="00F93E49"/>
    <w:rsid w:val="00F94115"/>
    <w:rsid w:val="00F94606"/>
    <w:rsid w:val="00F94C56"/>
    <w:rsid w:val="00F9537D"/>
    <w:rsid w:val="00F9575A"/>
    <w:rsid w:val="00F95A0A"/>
    <w:rsid w:val="00F962C7"/>
    <w:rsid w:val="00F96DC0"/>
    <w:rsid w:val="00F96DE4"/>
    <w:rsid w:val="00FA0692"/>
    <w:rsid w:val="00FA0A87"/>
    <w:rsid w:val="00FA0DE0"/>
    <w:rsid w:val="00FA0EA8"/>
    <w:rsid w:val="00FA0EC5"/>
    <w:rsid w:val="00FA1229"/>
    <w:rsid w:val="00FA167F"/>
    <w:rsid w:val="00FA16F7"/>
    <w:rsid w:val="00FA1A4E"/>
    <w:rsid w:val="00FA1C8A"/>
    <w:rsid w:val="00FA1FCC"/>
    <w:rsid w:val="00FA2918"/>
    <w:rsid w:val="00FA2B83"/>
    <w:rsid w:val="00FA2CDF"/>
    <w:rsid w:val="00FA3318"/>
    <w:rsid w:val="00FA3356"/>
    <w:rsid w:val="00FA4991"/>
    <w:rsid w:val="00FA4F1E"/>
    <w:rsid w:val="00FA50F3"/>
    <w:rsid w:val="00FA5F13"/>
    <w:rsid w:val="00FA65AE"/>
    <w:rsid w:val="00FA6C99"/>
    <w:rsid w:val="00FA7206"/>
    <w:rsid w:val="00FA7CC4"/>
    <w:rsid w:val="00FB0367"/>
    <w:rsid w:val="00FB0592"/>
    <w:rsid w:val="00FB0B51"/>
    <w:rsid w:val="00FB0D5C"/>
    <w:rsid w:val="00FB0DD7"/>
    <w:rsid w:val="00FB1099"/>
    <w:rsid w:val="00FB1AB7"/>
    <w:rsid w:val="00FB1F25"/>
    <w:rsid w:val="00FB2161"/>
    <w:rsid w:val="00FB2510"/>
    <w:rsid w:val="00FB28B1"/>
    <w:rsid w:val="00FB2D3C"/>
    <w:rsid w:val="00FB36D4"/>
    <w:rsid w:val="00FB4372"/>
    <w:rsid w:val="00FB4380"/>
    <w:rsid w:val="00FB4A61"/>
    <w:rsid w:val="00FB4D93"/>
    <w:rsid w:val="00FB52C2"/>
    <w:rsid w:val="00FB57A3"/>
    <w:rsid w:val="00FB5B1A"/>
    <w:rsid w:val="00FB6539"/>
    <w:rsid w:val="00FB655C"/>
    <w:rsid w:val="00FB6865"/>
    <w:rsid w:val="00FB6986"/>
    <w:rsid w:val="00FB69FC"/>
    <w:rsid w:val="00FB7039"/>
    <w:rsid w:val="00FB7814"/>
    <w:rsid w:val="00FB7903"/>
    <w:rsid w:val="00FB7AFF"/>
    <w:rsid w:val="00FC1039"/>
    <w:rsid w:val="00FC1F69"/>
    <w:rsid w:val="00FC1F6E"/>
    <w:rsid w:val="00FC1FD0"/>
    <w:rsid w:val="00FC2052"/>
    <w:rsid w:val="00FC2991"/>
    <w:rsid w:val="00FC2B89"/>
    <w:rsid w:val="00FC2C04"/>
    <w:rsid w:val="00FC2CBD"/>
    <w:rsid w:val="00FC34D4"/>
    <w:rsid w:val="00FC3A65"/>
    <w:rsid w:val="00FC430F"/>
    <w:rsid w:val="00FC446A"/>
    <w:rsid w:val="00FC44A0"/>
    <w:rsid w:val="00FC4C2B"/>
    <w:rsid w:val="00FC5721"/>
    <w:rsid w:val="00FC582B"/>
    <w:rsid w:val="00FC5A0C"/>
    <w:rsid w:val="00FC5EF0"/>
    <w:rsid w:val="00FC66D8"/>
    <w:rsid w:val="00FC74BB"/>
    <w:rsid w:val="00FC7E9C"/>
    <w:rsid w:val="00FC7ECA"/>
    <w:rsid w:val="00FC7FDC"/>
    <w:rsid w:val="00FD0223"/>
    <w:rsid w:val="00FD0B0F"/>
    <w:rsid w:val="00FD0D35"/>
    <w:rsid w:val="00FD0FF0"/>
    <w:rsid w:val="00FD22F9"/>
    <w:rsid w:val="00FD2F3E"/>
    <w:rsid w:val="00FD2FC8"/>
    <w:rsid w:val="00FD3002"/>
    <w:rsid w:val="00FD3367"/>
    <w:rsid w:val="00FD33B2"/>
    <w:rsid w:val="00FD34E4"/>
    <w:rsid w:val="00FD359F"/>
    <w:rsid w:val="00FD3768"/>
    <w:rsid w:val="00FD43C9"/>
    <w:rsid w:val="00FD44D1"/>
    <w:rsid w:val="00FD4573"/>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B0A"/>
    <w:rsid w:val="00FE2E75"/>
    <w:rsid w:val="00FE2FBE"/>
    <w:rsid w:val="00FE31B0"/>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41"/>
    <w:rsid w:val="00FF1A87"/>
    <w:rsid w:val="00FF21FF"/>
    <w:rsid w:val="00FF22AF"/>
    <w:rsid w:val="00FF230A"/>
    <w:rsid w:val="00FF23E7"/>
    <w:rsid w:val="00FF2431"/>
    <w:rsid w:val="00FF248A"/>
    <w:rsid w:val="00FF2F55"/>
    <w:rsid w:val="00FF2FAE"/>
    <w:rsid w:val="00FF3307"/>
    <w:rsid w:val="00FF369D"/>
    <w:rsid w:val="00FF3730"/>
    <w:rsid w:val="00FF3871"/>
    <w:rsid w:val="00FF3A90"/>
    <w:rsid w:val="00FF3D74"/>
    <w:rsid w:val="00FF43C0"/>
    <w:rsid w:val="00FF5845"/>
    <w:rsid w:val="00FF5F1D"/>
    <w:rsid w:val="00FF6514"/>
    <w:rsid w:val="00FF65EC"/>
    <w:rsid w:val="00FF6BB2"/>
    <w:rsid w:val="00FF6D5F"/>
    <w:rsid w:val="00FF7036"/>
    <w:rsid w:val="00FF718D"/>
    <w:rsid w:val="00FF7214"/>
    <w:rsid w:val="00FF7936"/>
    <w:rsid w:val="00FF7F33"/>
    <w:rsid w:val="044367B0"/>
    <w:rsid w:val="048F6BA5"/>
    <w:rsid w:val="05622D08"/>
    <w:rsid w:val="05E5600D"/>
    <w:rsid w:val="08CE2271"/>
    <w:rsid w:val="09711719"/>
    <w:rsid w:val="09786754"/>
    <w:rsid w:val="09F9205B"/>
    <w:rsid w:val="09FF76A4"/>
    <w:rsid w:val="0AD16353"/>
    <w:rsid w:val="0BB83A54"/>
    <w:rsid w:val="0D65008E"/>
    <w:rsid w:val="0E097B78"/>
    <w:rsid w:val="0E8D65A6"/>
    <w:rsid w:val="0FA02DE0"/>
    <w:rsid w:val="10246BE4"/>
    <w:rsid w:val="10D553B0"/>
    <w:rsid w:val="116B5255"/>
    <w:rsid w:val="11B106FA"/>
    <w:rsid w:val="121F6283"/>
    <w:rsid w:val="130D0300"/>
    <w:rsid w:val="13301502"/>
    <w:rsid w:val="14DB2FAF"/>
    <w:rsid w:val="159D4A33"/>
    <w:rsid w:val="15CA4090"/>
    <w:rsid w:val="17DA0877"/>
    <w:rsid w:val="190A4633"/>
    <w:rsid w:val="1A9165C6"/>
    <w:rsid w:val="1AAF3863"/>
    <w:rsid w:val="1ABC669E"/>
    <w:rsid w:val="1D8E7A4B"/>
    <w:rsid w:val="1D9E447D"/>
    <w:rsid w:val="1E536D8B"/>
    <w:rsid w:val="1EB660FC"/>
    <w:rsid w:val="1EEF0DDB"/>
    <w:rsid w:val="1FC42B64"/>
    <w:rsid w:val="207F20CD"/>
    <w:rsid w:val="218115E2"/>
    <w:rsid w:val="266B0F78"/>
    <w:rsid w:val="27C45A95"/>
    <w:rsid w:val="27CB36AE"/>
    <w:rsid w:val="28232516"/>
    <w:rsid w:val="282C0639"/>
    <w:rsid w:val="2AF65419"/>
    <w:rsid w:val="2CAD5165"/>
    <w:rsid w:val="2E7E3F56"/>
    <w:rsid w:val="2E8458C2"/>
    <w:rsid w:val="30144EC2"/>
    <w:rsid w:val="3156044E"/>
    <w:rsid w:val="32446D0C"/>
    <w:rsid w:val="33C80504"/>
    <w:rsid w:val="343479E4"/>
    <w:rsid w:val="35952AEC"/>
    <w:rsid w:val="365C0720"/>
    <w:rsid w:val="37364B9A"/>
    <w:rsid w:val="37A278A0"/>
    <w:rsid w:val="38E5211B"/>
    <w:rsid w:val="39AB02EF"/>
    <w:rsid w:val="39F02B60"/>
    <w:rsid w:val="3B332043"/>
    <w:rsid w:val="3BA16432"/>
    <w:rsid w:val="3BC21DC3"/>
    <w:rsid w:val="3C424C38"/>
    <w:rsid w:val="3E26436F"/>
    <w:rsid w:val="3EB5522B"/>
    <w:rsid w:val="3EB56DDC"/>
    <w:rsid w:val="41CB4EF1"/>
    <w:rsid w:val="424109D0"/>
    <w:rsid w:val="42990C13"/>
    <w:rsid w:val="436A002C"/>
    <w:rsid w:val="43E81381"/>
    <w:rsid w:val="447F2AC9"/>
    <w:rsid w:val="4690622E"/>
    <w:rsid w:val="47F52B14"/>
    <w:rsid w:val="494D0F35"/>
    <w:rsid w:val="49670139"/>
    <w:rsid w:val="49725D2E"/>
    <w:rsid w:val="4BED4B1B"/>
    <w:rsid w:val="4D412EE0"/>
    <w:rsid w:val="4DE6145D"/>
    <w:rsid w:val="4E071A80"/>
    <w:rsid w:val="4E4667F5"/>
    <w:rsid w:val="4FCB1C0C"/>
    <w:rsid w:val="505B4922"/>
    <w:rsid w:val="510846F1"/>
    <w:rsid w:val="513153E2"/>
    <w:rsid w:val="51FB09CD"/>
    <w:rsid w:val="520D74BE"/>
    <w:rsid w:val="522377D2"/>
    <w:rsid w:val="536778A9"/>
    <w:rsid w:val="53C5787A"/>
    <w:rsid w:val="541615DB"/>
    <w:rsid w:val="570B7614"/>
    <w:rsid w:val="5789229C"/>
    <w:rsid w:val="57FA3BB0"/>
    <w:rsid w:val="58CB2D41"/>
    <w:rsid w:val="59AD3E0E"/>
    <w:rsid w:val="59F35F3A"/>
    <w:rsid w:val="5A4C5F01"/>
    <w:rsid w:val="5AB665E6"/>
    <w:rsid w:val="5C474AC3"/>
    <w:rsid w:val="5D9D6F75"/>
    <w:rsid w:val="5DD9617D"/>
    <w:rsid w:val="5E9706DB"/>
    <w:rsid w:val="5F7A7D2B"/>
    <w:rsid w:val="60956CE9"/>
    <w:rsid w:val="60C213F0"/>
    <w:rsid w:val="619066B6"/>
    <w:rsid w:val="63364DBE"/>
    <w:rsid w:val="63E04B73"/>
    <w:rsid w:val="64676419"/>
    <w:rsid w:val="64D85DCB"/>
    <w:rsid w:val="66676BB6"/>
    <w:rsid w:val="679C545F"/>
    <w:rsid w:val="681177DB"/>
    <w:rsid w:val="68476C4F"/>
    <w:rsid w:val="688F2159"/>
    <w:rsid w:val="68C0684E"/>
    <w:rsid w:val="6A2B35EE"/>
    <w:rsid w:val="6B561EC7"/>
    <w:rsid w:val="6C0F3F64"/>
    <w:rsid w:val="6DA877B4"/>
    <w:rsid w:val="6EF50787"/>
    <w:rsid w:val="6F7F6FC0"/>
    <w:rsid w:val="70DB1624"/>
    <w:rsid w:val="71152CAD"/>
    <w:rsid w:val="72FC3295"/>
    <w:rsid w:val="75EC12C7"/>
    <w:rsid w:val="76FB60B3"/>
    <w:rsid w:val="780E553D"/>
    <w:rsid w:val="787F731B"/>
    <w:rsid w:val="7CAD1877"/>
    <w:rsid w:val="7D882BC9"/>
    <w:rsid w:val="7F342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name="FollowedHyperlink"/>
    <w:lsdException w:qFormat="1" w:uiPriority="99" w:semiHidden="0" w:name="Strong"/>
    <w:lsdException w:qFormat="1" w:uiPriority="99"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68"/>
    <w:qFormat/>
    <w:uiPriority w:val="9"/>
    <w:pPr>
      <w:keepNext/>
      <w:keepLines/>
      <w:numPr>
        <w:ilvl w:val="0"/>
        <w:numId w:val="1"/>
      </w:numPr>
      <w:tabs>
        <w:tab w:val="left" w:pos="0"/>
      </w:tabs>
      <w:ind w:firstLineChars="0"/>
      <w:jc w:val="center"/>
      <w:outlineLvl w:val="0"/>
    </w:pPr>
    <w:rPr>
      <w:b/>
      <w:bCs/>
      <w:kern w:val="44"/>
      <w:sz w:val="32"/>
      <w:szCs w:val="44"/>
    </w:rPr>
  </w:style>
  <w:style w:type="paragraph" w:styleId="3">
    <w:name w:val="heading 2"/>
    <w:basedOn w:val="1"/>
    <w:next w:val="1"/>
    <w:link w:val="269"/>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4">
    <w:name w:val="heading 3"/>
    <w:basedOn w:val="1"/>
    <w:next w:val="1"/>
    <w:link w:val="270"/>
    <w:unhideWhenUsed/>
    <w:qFormat/>
    <w:uiPriority w:val="9"/>
    <w:pPr>
      <w:tabs>
        <w:tab w:val="left" w:pos="0"/>
      </w:tabs>
      <w:ind w:firstLine="0" w:firstLineChars="0"/>
      <w:jc w:val="left"/>
      <w:outlineLvl w:val="2"/>
    </w:pPr>
    <w:rPr>
      <w:rFonts w:ascii="Times New Roman" w:hAnsi="Times New Roman" w:eastAsia="宋体"/>
      <w:b/>
    </w:rPr>
  </w:style>
  <w:style w:type="paragraph" w:styleId="5">
    <w:name w:val="heading 4"/>
    <w:basedOn w:val="6"/>
    <w:next w:val="1"/>
    <w:link w:val="53"/>
    <w:unhideWhenUsed/>
    <w:qFormat/>
    <w:uiPriority w:val="9"/>
    <w:pPr>
      <w:numPr>
        <w:ilvl w:val="3"/>
        <w:numId w:val="1"/>
      </w:numPr>
      <w:tabs>
        <w:tab w:val="left" w:pos="0"/>
      </w:tabs>
      <w:outlineLvl w:val="3"/>
    </w:pPr>
    <w:rPr>
      <w:rFonts w:ascii="Times New Roman" w:hAnsi="Times New Roman" w:eastAsiaTheme="majorEastAsia"/>
      <w:sz w:val="24"/>
      <w:szCs w:val="28"/>
    </w:rPr>
  </w:style>
  <w:style w:type="paragraph" w:styleId="7">
    <w:name w:val="heading 5"/>
    <w:basedOn w:val="1"/>
    <w:next w:val="1"/>
    <w:link w:val="54"/>
    <w:unhideWhenUsed/>
    <w:qFormat/>
    <w:uiPriority w:val="9"/>
    <w:pPr>
      <w:keepNext/>
      <w:keepLines/>
      <w:ind w:firstLine="0" w:firstLineChars="0"/>
      <w:outlineLvl w:val="4"/>
    </w:pPr>
    <w:rPr>
      <w:bCs/>
      <w:szCs w:val="28"/>
    </w:rPr>
  </w:style>
  <w:style w:type="paragraph" w:styleId="8">
    <w:name w:val="heading 6"/>
    <w:basedOn w:val="1"/>
    <w:next w:val="1"/>
    <w:link w:val="120"/>
    <w:semiHidden/>
    <w:unhideWhenUsed/>
    <w:qFormat/>
    <w:uiPriority w:val="9"/>
    <w:pPr>
      <w:keepNext/>
      <w:keepLines/>
      <w:outlineLvl w:val="5"/>
    </w:pPr>
    <w:rPr>
      <w:rFonts w:ascii="Arial" w:hAnsi="Arial"/>
    </w:rPr>
  </w:style>
  <w:style w:type="paragraph" w:styleId="9">
    <w:name w:val="heading 7"/>
    <w:basedOn w:val="1"/>
    <w:next w:val="1"/>
    <w:link w:val="188"/>
    <w:semiHidden/>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189"/>
    <w:semiHidden/>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190"/>
    <w:semiHidden/>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52"/>
    <w:qFormat/>
    <w:uiPriority w:val="0"/>
    <w:pPr>
      <w:numPr>
        <w:ilvl w:val="0"/>
        <w:numId w:val="0"/>
      </w:numPr>
    </w:pPr>
  </w:style>
  <w:style w:type="paragraph" w:styleId="12">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3">
    <w:name w:val="Normal Indent"/>
    <w:basedOn w:val="1"/>
    <w:next w:val="14"/>
    <w:unhideWhenUsed/>
    <w:qFormat/>
    <w:uiPriority w:val="99"/>
    <w:pPr>
      <w:ind w:firstLine="420"/>
    </w:pPr>
    <w:rPr>
      <w:rFonts w:hint="eastAsia"/>
    </w:rPr>
  </w:style>
  <w:style w:type="paragraph" w:styleId="14">
    <w:name w:val="Body Text First Indent"/>
    <w:basedOn w:val="15"/>
    <w:link w:val="122"/>
    <w:unhideWhenUsed/>
    <w:qFormat/>
    <w:uiPriority w:val="99"/>
    <w:pPr>
      <w:spacing w:before="154"/>
      <w:ind w:left="121" w:firstLine="420" w:firstLineChars="100"/>
    </w:pPr>
    <w:rPr>
      <w:rFonts w:hint="eastAsia" w:ascii="仿宋" w:hAnsi="仿宋" w:eastAsia="仿宋"/>
      <w:szCs w:val="21"/>
    </w:rPr>
  </w:style>
  <w:style w:type="paragraph" w:styleId="15">
    <w:name w:val="Body Text"/>
    <w:basedOn w:val="1"/>
    <w:link w:val="55"/>
    <w:unhideWhenUsed/>
    <w:qFormat/>
    <w:uiPriority w:val="99"/>
    <w:pPr>
      <w:ind w:firstLine="560"/>
    </w:pPr>
    <w:rPr>
      <w:szCs w:val="24"/>
    </w:rPr>
  </w:style>
  <w:style w:type="paragraph" w:styleId="16">
    <w:name w:val="caption"/>
    <w:basedOn w:val="1"/>
    <w:next w:val="17"/>
    <w:link w:val="56"/>
    <w:unhideWhenUsed/>
    <w:qFormat/>
    <w:uiPriority w:val="35"/>
    <w:pPr>
      <w:keepNext/>
      <w:ind w:firstLine="0" w:firstLineChars="0"/>
      <w:jc w:val="center"/>
    </w:pPr>
    <w:rPr>
      <w:b/>
      <w:sz w:val="21"/>
    </w:rPr>
  </w:style>
  <w:style w:type="paragraph" w:customStyle="1" w:styleId="17">
    <w:name w:val="表内文字"/>
    <w:basedOn w:val="1"/>
    <w:next w:val="1"/>
    <w:link w:val="140"/>
    <w:qFormat/>
    <w:uiPriority w:val="0"/>
    <w:pPr>
      <w:spacing w:line="240" w:lineRule="auto"/>
      <w:ind w:firstLine="0" w:firstLineChars="0"/>
      <w:jc w:val="center"/>
    </w:pPr>
    <w:rPr>
      <w:sz w:val="21"/>
    </w:rPr>
  </w:style>
  <w:style w:type="paragraph" w:styleId="18">
    <w:name w:val="annotation text"/>
    <w:basedOn w:val="1"/>
    <w:link w:val="84"/>
    <w:unhideWhenUsed/>
    <w:qFormat/>
    <w:uiPriority w:val="99"/>
    <w:pPr>
      <w:jc w:val="left"/>
    </w:pPr>
  </w:style>
  <w:style w:type="paragraph" w:styleId="19">
    <w:name w:val="Body Text Indent"/>
    <w:basedOn w:val="1"/>
    <w:link w:val="57"/>
    <w:semiHidden/>
    <w:unhideWhenUsed/>
    <w:qFormat/>
    <w:uiPriority w:val="99"/>
    <w:pPr>
      <w:spacing w:after="120"/>
      <w:ind w:left="420" w:leftChars="200"/>
    </w:pPr>
  </w:style>
  <w:style w:type="paragraph" w:styleId="20">
    <w:name w:val="Block Text"/>
    <w:basedOn w:val="1"/>
    <w:link w:val="271"/>
    <w:unhideWhenUsed/>
    <w:qFormat/>
    <w:uiPriority w:val="99"/>
    <w:pPr>
      <w:pBdr>
        <w:top w:val="single" w:color="auto" w:sz="6" w:space="3"/>
        <w:left w:val="single" w:color="auto" w:sz="6" w:space="3"/>
        <w:bottom w:val="single" w:color="auto" w:sz="6" w:space="3"/>
        <w:right w:val="single" w:color="auto" w:sz="6" w:space="3"/>
      </w:pBdr>
      <w:spacing w:before="60" w:beforeLines="0" w:after="60" w:afterLines="0"/>
      <w:ind w:left="360" w:right="360"/>
    </w:pPr>
    <w:rPr>
      <w:rFonts w:hint="default"/>
      <w:i/>
      <w:sz w:val="24"/>
      <w:szCs w:val="24"/>
    </w:rPr>
  </w:style>
  <w:style w:type="paragraph" w:styleId="21">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2">
    <w:name w:val="toc 3"/>
    <w:basedOn w:val="1"/>
    <w:next w:val="1"/>
    <w:unhideWhenUsed/>
    <w:qFormat/>
    <w:uiPriority w:val="39"/>
    <w:pPr>
      <w:ind w:left="840" w:leftChars="400"/>
    </w:pPr>
  </w:style>
  <w:style w:type="paragraph" w:styleId="23">
    <w:name w:val="Plain Text"/>
    <w:basedOn w:val="1"/>
    <w:link w:val="58"/>
    <w:qFormat/>
    <w:uiPriority w:val="0"/>
    <w:pPr>
      <w:ind w:firstLine="1044"/>
    </w:pPr>
    <w:rPr>
      <w:rFonts w:ascii="宋体" w:hAnsi="Courier New" w:eastAsia="仿宋_GB2312" w:cs="Courier New"/>
    </w:rPr>
  </w:style>
  <w:style w:type="paragraph" w:styleId="24">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5">
    <w:name w:val="Balloon Text"/>
    <w:basedOn w:val="1"/>
    <w:link w:val="86"/>
    <w:qFormat/>
    <w:uiPriority w:val="0"/>
    <w:pPr>
      <w:spacing w:line="240" w:lineRule="auto"/>
    </w:pPr>
    <w:rPr>
      <w:sz w:val="18"/>
      <w:szCs w:val="18"/>
    </w:rPr>
  </w:style>
  <w:style w:type="paragraph" w:styleId="26">
    <w:name w:val="footer"/>
    <w:basedOn w:val="1"/>
    <w:link w:val="59"/>
    <w:unhideWhenUsed/>
    <w:qFormat/>
    <w:uiPriority w:val="99"/>
    <w:pPr>
      <w:tabs>
        <w:tab w:val="center" w:pos="4153"/>
        <w:tab w:val="right" w:pos="8306"/>
      </w:tabs>
      <w:snapToGrid w:val="0"/>
      <w:ind w:firstLine="0" w:firstLineChars="0"/>
      <w:jc w:val="center"/>
    </w:pPr>
    <w:rPr>
      <w:sz w:val="18"/>
      <w:szCs w:val="18"/>
    </w:rPr>
  </w:style>
  <w:style w:type="paragraph" w:styleId="27">
    <w:name w:val="header"/>
    <w:basedOn w:val="1"/>
    <w:link w:val="60"/>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8">
    <w:name w:val="toc 1"/>
    <w:basedOn w:val="1"/>
    <w:next w:val="1"/>
    <w:unhideWhenUsed/>
    <w:qFormat/>
    <w:uiPriority w:val="39"/>
    <w:pPr>
      <w:tabs>
        <w:tab w:val="right" w:leader="dot" w:pos="9060"/>
      </w:tabs>
      <w:ind w:firstLine="0" w:firstLineChars="0"/>
      <w:jc w:val="center"/>
    </w:pPr>
    <w:rPr>
      <w:b/>
      <w:sz w:val="28"/>
    </w:rPr>
  </w:style>
  <w:style w:type="paragraph" w:styleId="29">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30">
    <w:name w:val="Subtitle"/>
    <w:basedOn w:val="1"/>
    <w:next w:val="1"/>
    <w:link w:val="6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1">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2">
    <w:name w:val="table of figures"/>
    <w:basedOn w:val="1"/>
    <w:next w:val="1"/>
    <w:semiHidden/>
    <w:unhideWhenUsed/>
    <w:qFormat/>
    <w:uiPriority w:val="99"/>
    <w:pPr>
      <w:ind w:left="200" w:leftChars="200" w:hanging="200" w:hangingChars="200"/>
    </w:pPr>
  </w:style>
  <w:style w:type="paragraph" w:styleId="33">
    <w:name w:val="toc 2"/>
    <w:basedOn w:val="1"/>
    <w:next w:val="1"/>
    <w:unhideWhenUsed/>
    <w:qFormat/>
    <w:uiPriority w:val="39"/>
    <w:pPr>
      <w:tabs>
        <w:tab w:val="right" w:leader="dot" w:pos="9060"/>
      </w:tabs>
      <w:ind w:firstLine="560"/>
      <w:jc w:val="center"/>
    </w:pPr>
    <w:rPr>
      <w:sz w:val="28"/>
    </w:rPr>
  </w:style>
  <w:style w:type="paragraph" w:styleId="3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5">
    <w:name w:val="HTML Preformatted"/>
    <w:basedOn w:val="1"/>
    <w:link w:val="193"/>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6">
    <w:name w:val="Normal (Web)"/>
    <w:basedOn w:val="1"/>
    <w:link w:val="219"/>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7">
    <w:name w:val="Title"/>
    <w:basedOn w:val="1"/>
    <w:next w:val="1"/>
    <w:link w:val="159"/>
    <w:qFormat/>
    <w:uiPriority w:val="10"/>
    <w:pPr>
      <w:spacing w:before="240" w:after="60"/>
      <w:jc w:val="center"/>
      <w:outlineLvl w:val="0"/>
    </w:pPr>
    <w:rPr>
      <w:rFonts w:asciiTheme="majorHAnsi" w:hAnsiTheme="majorHAnsi" w:eastAsiaTheme="majorEastAsia" w:cstheme="majorBidi"/>
      <w:b/>
      <w:bCs/>
      <w:sz w:val="32"/>
      <w:szCs w:val="32"/>
    </w:rPr>
  </w:style>
  <w:style w:type="paragraph" w:styleId="38">
    <w:name w:val="annotation subject"/>
    <w:basedOn w:val="18"/>
    <w:next w:val="18"/>
    <w:link w:val="85"/>
    <w:semiHidden/>
    <w:unhideWhenUsed/>
    <w:qFormat/>
    <w:uiPriority w:val="99"/>
    <w:rPr>
      <w:b/>
      <w:bCs/>
    </w:rPr>
  </w:style>
  <w:style w:type="paragraph" w:styleId="39">
    <w:name w:val="Body Text First Indent 2"/>
    <w:basedOn w:val="19"/>
    <w:link w:val="62"/>
    <w:qFormat/>
    <w:uiPriority w:val="0"/>
    <w:pPr>
      <w:ind w:firstLine="420"/>
    </w:pPr>
    <w:rPr>
      <w:rFonts w:eastAsia="仿宋_GB2312"/>
      <w:szCs w:val="22"/>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unhideWhenUsed/>
    <w:qFormat/>
    <w:uiPriority w:val="99"/>
    <w:rPr>
      <w:rFonts w:hint="default"/>
      <w:b/>
      <w:sz w:val="24"/>
      <w:szCs w:val="24"/>
    </w:rPr>
  </w:style>
  <w:style w:type="character" w:styleId="44">
    <w:name w:val="FollowedHyperlink"/>
    <w:basedOn w:val="42"/>
    <w:semiHidden/>
    <w:unhideWhenUsed/>
    <w:qFormat/>
    <w:uiPriority w:val="99"/>
    <w:rPr>
      <w:color w:val="800080" w:themeColor="followedHyperlink"/>
      <w:u w:val="single"/>
      <w14:textFill>
        <w14:solidFill>
          <w14:schemeClr w14:val="folHlink"/>
        </w14:solidFill>
      </w14:textFill>
    </w:rPr>
  </w:style>
  <w:style w:type="character" w:styleId="45">
    <w:name w:val="Emphasis"/>
    <w:unhideWhenUsed/>
    <w:qFormat/>
    <w:uiPriority w:val="99"/>
    <w:rPr>
      <w:rFonts w:hint="default"/>
      <w:sz w:val="24"/>
      <w:szCs w:val="24"/>
    </w:rPr>
  </w:style>
  <w:style w:type="character" w:styleId="46">
    <w:name w:val="Hyperlink"/>
    <w:basedOn w:val="42"/>
    <w:unhideWhenUsed/>
    <w:qFormat/>
    <w:uiPriority w:val="99"/>
    <w:rPr>
      <w:color w:val="0000FF" w:themeColor="hyperlink"/>
      <w:u w:val="single"/>
      <w14:textFill>
        <w14:solidFill>
          <w14:schemeClr w14:val="hlink"/>
        </w14:solidFill>
      </w14:textFill>
    </w:rPr>
  </w:style>
  <w:style w:type="character" w:styleId="47">
    <w:name w:val="HTML Code"/>
    <w:unhideWhenUsed/>
    <w:qFormat/>
    <w:uiPriority w:val="99"/>
    <w:rPr>
      <w:rFonts w:hint="eastAsia" w:ascii="Courier New" w:hAnsi="Courier New"/>
      <w:sz w:val="24"/>
      <w:szCs w:val="24"/>
    </w:rPr>
  </w:style>
  <w:style w:type="character" w:styleId="48">
    <w:name w:val="annotation reference"/>
    <w:basedOn w:val="42"/>
    <w:semiHidden/>
    <w:unhideWhenUsed/>
    <w:qFormat/>
    <w:uiPriority w:val="99"/>
    <w:rPr>
      <w:sz w:val="21"/>
      <w:szCs w:val="21"/>
    </w:rPr>
  </w:style>
  <w:style w:type="character" w:customStyle="1" w:styleId="49">
    <w:name w:val="标题 1 字符"/>
    <w:basedOn w:val="42"/>
    <w:link w:val="2"/>
    <w:qFormat/>
    <w:uiPriority w:val="9"/>
    <w:rPr>
      <w:rFonts w:ascii="Times New Roman" w:hAnsi="Times New Roman"/>
      <w:b/>
      <w:bCs/>
      <w:kern w:val="44"/>
      <w:sz w:val="32"/>
      <w:szCs w:val="44"/>
    </w:rPr>
  </w:style>
  <w:style w:type="character" w:customStyle="1" w:styleId="50">
    <w:name w:val="标题 2 字符"/>
    <w:basedOn w:val="42"/>
    <w:link w:val="3"/>
    <w:qFormat/>
    <w:uiPriority w:val="9"/>
    <w:rPr>
      <w:rFonts w:ascii="Times New Roman" w:hAnsi="Times New Roman" w:cstheme="majorBidi"/>
      <w:b/>
      <w:bCs/>
      <w:kern w:val="2"/>
      <w:sz w:val="28"/>
      <w:szCs w:val="32"/>
    </w:rPr>
  </w:style>
  <w:style w:type="character" w:customStyle="1" w:styleId="51">
    <w:name w:val="标题 3 字符"/>
    <w:basedOn w:val="42"/>
    <w:link w:val="4"/>
    <w:qFormat/>
    <w:uiPriority w:val="9"/>
    <w:rPr>
      <w:rFonts w:ascii="Times New Roman" w:hAnsi="Times New Roman" w:cstheme="majorBidi"/>
      <w:b/>
      <w:bCs/>
      <w:kern w:val="2"/>
      <w:sz w:val="24"/>
      <w:szCs w:val="32"/>
    </w:rPr>
  </w:style>
  <w:style w:type="character" w:customStyle="1" w:styleId="52">
    <w:name w:val="基准-无缩进 Char"/>
    <w:basedOn w:val="51"/>
    <w:link w:val="6"/>
    <w:qFormat/>
    <w:uiPriority w:val="0"/>
    <w:rPr>
      <w:rFonts w:ascii="Times New Roman" w:hAnsi="Times New Roman" w:eastAsia="宋体" w:cs="Times New Roman"/>
      <w:kern w:val="2"/>
      <w:sz w:val="24"/>
      <w:szCs w:val="32"/>
    </w:rPr>
  </w:style>
  <w:style w:type="character" w:customStyle="1" w:styleId="53">
    <w:name w:val="标题 4 字符"/>
    <w:basedOn w:val="42"/>
    <w:link w:val="5"/>
    <w:qFormat/>
    <w:uiPriority w:val="9"/>
    <w:rPr>
      <w:rFonts w:ascii="Times New Roman" w:hAnsi="Times New Roman" w:eastAsiaTheme="majorEastAsia" w:cstheme="majorBidi"/>
      <w:b/>
      <w:kern w:val="2"/>
      <w:sz w:val="24"/>
      <w:szCs w:val="28"/>
    </w:rPr>
  </w:style>
  <w:style w:type="character" w:customStyle="1" w:styleId="54">
    <w:name w:val="标题 5 字符"/>
    <w:basedOn w:val="42"/>
    <w:link w:val="7"/>
    <w:qFormat/>
    <w:uiPriority w:val="9"/>
    <w:rPr>
      <w:rFonts w:ascii="Times New Roman" w:hAnsi="Times New Roman" w:eastAsia="宋体" w:cs="Times New Roman"/>
      <w:bCs/>
      <w:sz w:val="24"/>
      <w:szCs w:val="28"/>
    </w:rPr>
  </w:style>
  <w:style w:type="character" w:customStyle="1" w:styleId="55">
    <w:name w:val="正文文本 字符"/>
    <w:link w:val="15"/>
    <w:qFormat/>
    <w:uiPriority w:val="99"/>
    <w:rPr>
      <w:rFonts w:ascii="Times New Roman" w:hAnsi="Times New Roman" w:eastAsia="宋体" w:cs="Times New Roman"/>
      <w:kern w:val="2"/>
      <w:sz w:val="24"/>
      <w:szCs w:val="24"/>
    </w:rPr>
  </w:style>
  <w:style w:type="character" w:customStyle="1" w:styleId="56">
    <w:name w:val="题注 字符"/>
    <w:link w:val="16"/>
    <w:qFormat/>
    <w:uiPriority w:val="35"/>
    <w:rPr>
      <w:rFonts w:ascii="Times New Roman" w:hAnsi="Times New Roman"/>
      <w:b/>
      <w:kern w:val="2"/>
      <w:sz w:val="21"/>
      <w:szCs w:val="21"/>
    </w:rPr>
  </w:style>
  <w:style w:type="character" w:customStyle="1" w:styleId="57">
    <w:name w:val="正文文本缩进 字符"/>
    <w:basedOn w:val="42"/>
    <w:link w:val="19"/>
    <w:semiHidden/>
    <w:qFormat/>
    <w:uiPriority w:val="99"/>
    <w:rPr>
      <w:rFonts w:ascii="Times New Roman" w:hAnsi="Times New Roman" w:eastAsia="宋体" w:cs="Times New Roman"/>
      <w:kern w:val="2"/>
      <w:sz w:val="24"/>
      <w:szCs w:val="21"/>
    </w:rPr>
  </w:style>
  <w:style w:type="character" w:customStyle="1" w:styleId="58">
    <w:name w:val="纯文本 字符"/>
    <w:basedOn w:val="42"/>
    <w:link w:val="23"/>
    <w:qFormat/>
    <w:uiPriority w:val="0"/>
    <w:rPr>
      <w:rFonts w:ascii="宋体" w:hAnsi="Courier New" w:eastAsia="仿宋_GB2312" w:cs="Courier New"/>
      <w:kern w:val="2"/>
      <w:sz w:val="24"/>
      <w:szCs w:val="21"/>
    </w:rPr>
  </w:style>
  <w:style w:type="character" w:customStyle="1" w:styleId="59">
    <w:name w:val="页脚 字符"/>
    <w:basedOn w:val="42"/>
    <w:link w:val="26"/>
    <w:qFormat/>
    <w:uiPriority w:val="99"/>
    <w:rPr>
      <w:rFonts w:ascii="Times New Roman" w:hAnsi="Times New Roman"/>
      <w:kern w:val="2"/>
      <w:sz w:val="18"/>
      <w:szCs w:val="18"/>
    </w:rPr>
  </w:style>
  <w:style w:type="character" w:customStyle="1" w:styleId="60">
    <w:name w:val="页眉 字符"/>
    <w:basedOn w:val="42"/>
    <w:link w:val="27"/>
    <w:qFormat/>
    <w:uiPriority w:val="99"/>
    <w:rPr>
      <w:rFonts w:ascii="Times New Roman" w:hAnsi="Times New Roman" w:eastAsia="楷体"/>
      <w:kern w:val="2"/>
      <w:sz w:val="18"/>
      <w:szCs w:val="18"/>
    </w:rPr>
  </w:style>
  <w:style w:type="character" w:customStyle="1" w:styleId="61">
    <w:name w:val="副标题 字符"/>
    <w:basedOn w:val="42"/>
    <w:link w:val="30"/>
    <w:qFormat/>
    <w:uiPriority w:val="11"/>
    <w:rPr>
      <w:rFonts w:eastAsia="宋体" w:asciiTheme="majorHAnsi" w:hAnsiTheme="majorHAnsi" w:cstheme="majorBidi"/>
      <w:b/>
      <w:bCs/>
      <w:kern w:val="28"/>
      <w:sz w:val="32"/>
      <w:szCs w:val="32"/>
    </w:rPr>
  </w:style>
  <w:style w:type="character" w:customStyle="1" w:styleId="62">
    <w:name w:val="正文文本首行缩进 2 字符"/>
    <w:basedOn w:val="57"/>
    <w:link w:val="39"/>
    <w:qFormat/>
    <w:uiPriority w:val="0"/>
    <w:rPr>
      <w:rFonts w:ascii="Times New Roman" w:hAnsi="Times New Roman" w:eastAsia="仿宋_GB2312" w:cs="Times New Roman"/>
      <w:kern w:val="2"/>
      <w:sz w:val="24"/>
      <w:szCs w:val="22"/>
    </w:rPr>
  </w:style>
  <w:style w:type="paragraph" w:customStyle="1" w:styleId="63">
    <w:name w:val="图表名称"/>
    <w:basedOn w:val="1"/>
    <w:link w:val="196"/>
    <w:qFormat/>
    <w:uiPriority w:val="0"/>
    <w:pPr>
      <w:ind w:firstLine="480"/>
      <w:jc w:val="center"/>
    </w:pPr>
    <w:rPr>
      <w:b/>
      <w:sz w:val="21"/>
    </w:rPr>
  </w:style>
  <w:style w:type="paragraph" w:customStyle="1" w:styleId="64">
    <w:name w:val="封面标题"/>
    <w:basedOn w:val="1"/>
    <w:next w:val="1"/>
    <w:link w:val="65"/>
    <w:qFormat/>
    <w:uiPriority w:val="0"/>
    <w:pPr>
      <w:ind w:firstLine="0" w:firstLineChars="0"/>
      <w:jc w:val="center"/>
    </w:pPr>
    <w:rPr>
      <w:b/>
      <w:sz w:val="32"/>
    </w:rPr>
  </w:style>
  <w:style w:type="character" w:customStyle="1" w:styleId="65">
    <w:name w:val="封面标题 Char"/>
    <w:basedOn w:val="42"/>
    <w:link w:val="64"/>
    <w:qFormat/>
    <w:uiPriority w:val="0"/>
    <w:rPr>
      <w:rFonts w:ascii="Times New Roman" w:hAnsi="Times New Roman"/>
      <w:b/>
      <w:kern w:val="2"/>
      <w:sz w:val="32"/>
      <w:szCs w:val="21"/>
    </w:rPr>
  </w:style>
  <w:style w:type="paragraph" w:customStyle="1" w:styleId="66">
    <w:name w:val="图表标题"/>
    <w:basedOn w:val="67"/>
    <w:next w:val="1"/>
    <w:link w:val="69"/>
    <w:qFormat/>
    <w:uiPriority w:val="0"/>
    <w:pPr>
      <w:ind w:firstLine="0" w:firstLineChars="0"/>
      <w:jc w:val="center"/>
    </w:pPr>
    <w:rPr>
      <w:rFonts w:eastAsia="宋体"/>
      <w:b/>
      <w:sz w:val="21"/>
    </w:rPr>
  </w:style>
  <w:style w:type="paragraph" w:customStyle="1" w:styleId="67">
    <w:name w:val="正文部分"/>
    <w:basedOn w:val="1"/>
    <w:link w:val="68"/>
    <w:qFormat/>
    <w:uiPriority w:val="0"/>
    <w:rPr>
      <w:rFonts w:eastAsia="仿宋_GB2312"/>
      <w:szCs w:val="22"/>
    </w:rPr>
  </w:style>
  <w:style w:type="character" w:customStyle="1" w:styleId="68">
    <w:name w:val="正文部分 Char"/>
    <w:link w:val="67"/>
    <w:qFormat/>
    <w:uiPriority w:val="0"/>
    <w:rPr>
      <w:rFonts w:ascii="Times New Roman" w:hAnsi="Times New Roman" w:eastAsia="仿宋_GB2312" w:cs="Times New Roman"/>
      <w:kern w:val="2"/>
      <w:sz w:val="24"/>
      <w:szCs w:val="22"/>
    </w:rPr>
  </w:style>
  <w:style w:type="character" w:customStyle="1" w:styleId="69">
    <w:name w:val="图表标题 Char"/>
    <w:link w:val="66"/>
    <w:qFormat/>
    <w:uiPriority w:val="0"/>
    <w:rPr>
      <w:rFonts w:ascii="Times New Roman" w:hAnsi="Times New Roman"/>
      <w:b/>
      <w:kern w:val="2"/>
      <w:sz w:val="21"/>
      <w:szCs w:val="22"/>
    </w:rPr>
  </w:style>
  <w:style w:type="paragraph" w:customStyle="1" w:styleId="70">
    <w:name w:val="样式 宋体 四号 行距: 固定值 25 磅"/>
    <w:basedOn w:val="1"/>
    <w:qFormat/>
    <w:uiPriority w:val="0"/>
    <w:pPr>
      <w:spacing w:line="440" w:lineRule="exact"/>
    </w:pPr>
    <w:rPr>
      <w:rFonts w:ascii="宋体" w:hAnsi="宋体" w:eastAsia="仿宋_GB2312"/>
      <w:szCs w:val="20"/>
    </w:rPr>
  </w:style>
  <w:style w:type="character" w:customStyle="1" w:styleId="71">
    <w:name w:val="图表文字 Char"/>
    <w:link w:val="72"/>
    <w:qFormat/>
    <w:uiPriority w:val="0"/>
    <w:rPr>
      <w:rFonts w:ascii="Times New Roman" w:hAnsi="Times New Roman" w:eastAsia="宋体" w:cs="宋体"/>
      <w:color w:val="000000"/>
      <w:sz w:val="21"/>
      <w:szCs w:val="24"/>
    </w:rPr>
  </w:style>
  <w:style w:type="paragraph" w:customStyle="1" w:styleId="72">
    <w:name w:val="图表文字"/>
    <w:link w:val="71"/>
    <w:qFormat/>
    <w:uiPriority w:val="0"/>
    <w:pPr>
      <w:jc w:val="center"/>
    </w:pPr>
    <w:rPr>
      <w:rFonts w:ascii="Times New Roman" w:hAnsi="Times New Roman" w:eastAsia="宋体" w:cs="宋体"/>
      <w:color w:val="000000"/>
      <w:sz w:val="21"/>
      <w:szCs w:val="24"/>
      <w:lang w:val="en-US" w:eastAsia="zh-CN" w:bidi="ar-SA"/>
    </w:rPr>
  </w:style>
  <w:style w:type="character" w:customStyle="1" w:styleId="73">
    <w:name w:val="fontstyle01"/>
    <w:basedOn w:val="42"/>
    <w:qFormat/>
    <w:uiPriority w:val="0"/>
    <w:rPr>
      <w:rFonts w:hint="eastAsia" w:ascii="宋体" w:hAnsi="宋体" w:eastAsia="宋体"/>
      <w:color w:val="000000"/>
      <w:sz w:val="48"/>
      <w:szCs w:val="48"/>
    </w:rPr>
  </w:style>
  <w:style w:type="paragraph" w:customStyle="1" w:styleId="74">
    <w:name w:val="表格文字"/>
    <w:basedOn w:val="1"/>
    <w:qFormat/>
    <w:uiPriority w:val="0"/>
    <w:pPr>
      <w:ind w:firstLine="0" w:firstLineChars="0"/>
      <w:jc w:val="center"/>
    </w:pPr>
    <w:rPr>
      <w:rFonts w:hint="eastAsia" w:eastAsia="仿宋"/>
      <w:sz w:val="18"/>
      <w:szCs w:val="18"/>
    </w:rPr>
  </w:style>
  <w:style w:type="paragraph" w:customStyle="1" w:styleId="75">
    <w:name w:val="Table Paragraph"/>
    <w:basedOn w:val="1"/>
    <w:qFormat/>
    <w:uiPriority w:val="1"/>
    <w:pPr>
      <w:jc w:val="center"/>
    </w:pPr>
    <w:rPr>
      <w:rFonts w:ascii="宋体" w:hAnsi="宋体" w:cs="宋体"/>
    </w:rPr>
  </w:style>
  <w:style w:type="paragraph" w:customStyle="1" w:styleId="76">
    <w:name w:val="表格正文"/>
    <w:basedOn w:val="1"/>
    <w:qFormat/>
    <w:uiPriority w:val="0"/>
    <w:pPr>
      <w:spacing w:line="240" w:lineRule="auto"/>
      <w:ind w:firstLine="0" w:firstLineChars="0"/>
      <w:jc w:val="center"/>
    </w:pPr>
    <w:rPr>
      <w:color w:val="000000"/>
      <w:sz w:val="21"/>
      <w:szCs w:val="20"/>
    </w:rPr>
  </w:style>
  <w:style w:type="paragraph" w:customStyle="1" w:styleId="77">
    <w:name w:val="!正文仿小四"/>
    <w:basedOn w:val="1"/>
    <w:qFormat/>
    <w:uiPriority w:val="0"/>
    <w:pPr>
      <w:jc w:val="left"/>
    </w:pPr>
    <w:rPr>
      <w:rFonts w:eastAsia="仿宋_GB2312"/>
      <w:szCs w:val="22"/>
    </w:rPr>
  </w:style>
  <w:style w:type="paragraph" w:styleId="78">
    <w:name w:val="List Paragraph"/>
    <w:basedOn w:val="1"/>
    <w:link w:val="112"/>
    <w:qFormat/>
    <w:uiPriority w:val="99"/>
    <w:pPr>
      <w:ind w:firstLine="420"/>
    </w:pPr>
  </w:style>
  <w:style w:type="paragraph" w:customStyle="1" w:styleId="79">
    <w:name w:val="单位及日期"/>
    <w:basedOn w:val="64"/>
    <w:link w:val="80"/>
    <w:qFormat/>
    <w:uiPriority w:val="0"/>
    <w:rPr>
      <w:sz w:val="28"/>
    </w:rPr>
  </w:style>
  <w:style w:type="character" w:customStyle="1" w:styleId="80">
    <w:name w:val="单位及日期 Char"/>
    <w:basedOn w:val="65"/>
    <w:link w:val="79"/>
    <w:qFormat/>
    <w:uiPriority w:val="0"/>
    <w:rPr>
      <w:rFonts w:ascii="Times New Roman" w:hAnsi="Times New Roman"/>
      <w:kern w:val="2"/>
      <w:sz w:val="28"/>
      <w:szCs w:val="21"/>
    </w:rPr>
  </w:style>
  <w:style w:type="paragraph" w:customStyle="1" w:styleId="81">
    <w:name w:val="校审"/>
    <w:basedOn w:val="1"/>
    <w:link w:val="82"/>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82">
    <w:name w:val="校审 Char"/>
    <w:basedOn w:val="42"/>
    <w:link w:val="81"/>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83">
    <w:name w:val="Grid Table Light"/>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4">
    <w:name w:val="批注文字 字符"/>
    <w:basedOn w:val="42"/>
    <w:link w:val="18"/>
    <w:qFormat/>
    <w:uiPriority w:val="99"/>
    <w:rPr>
      <w:rFonts w:ascii="Times New Roman" w:hAnsi="Times New Roman"/>
      <w:kern w:val="2"/>
      <w:sz w:val="24"/>
      <w:szCs w:val="21"/>
    </w:rPr>
  </w:style>
  <w:style w:type="character" w:customStyle="1" w:styleId="85">
    <w:name w:val="批注主题 字符"/>
    <w:basedOn w:val="84"/>
    <w:link w:val="38"/>
    <w:semiHidden/>
    <w:qFormat/>
    <w:uiPriority w:val="99"/>
    <w:rPr>
      <w:rFonts w:ascii="Times New Roman" w:hAnsi="Times New Roman"/>
      <w:b/>
      <w:bCs/>
      <w:kern w:val="2"/>
      <w:sz w:val="24"/>
      <w:szCs w:val="21"/>
    </w:rPr>
  </w:style>
  <w:style w:type="character" w:customStyle="1" w:styleId="86">
    <w:name w:val="批注框文本 字符"/>
    <w:basedOn w:val="42"/>
    <w:link w:val="25"/>
    <w:qFormat/>
    <w:uiPriority w:val="0"/>
    <w:rPr>
      <w:rFonts w:ascii="Times New Roman" w:hAnsi="Times New Roman"/>
      <w:kern w:val="2"/>
      <w:sz w:val="18"/>
      <w:szCs w:val="18"/>
    </w:rPr>
  </w:style>
  <w:style w:type="paragraph" w:customStyle="1" w:styleId="87">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88">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9">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2">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3">
    <w:name w:val="正文B"/>
    <w:basedOn w:val="1"/>
    <w:link w:val="94"/>
    <w:qFormat/>
    <w:uiPriority w:val="0"/>
    <w:pPr>
      <w:ind w:firstLine="560"/>
    </w:pPr>
    <w:rPr>
      <w:rFonts w:ascii="宋体" w:hAnsi="宋体" w:eastAsia="黑体" w:cs="宋体"/>
      <w:color w:val="FF0000"/>
      <w:kern w:val="0"/>
      <w:szCs w:val="24"/>
    </w:rPr>
  </w:style>
  <w:style w:type="character" w:customStyle="1" w:styleId="94">
    <w:name w:val="正文B Char"/>
    <w:link w:val="93"/>
    <w:qFormat/>
    <w:uiPriority w:val="0"/>
    <w:rPr>
      <w:rFonts w:ascii="宋体" w:hAnsi="宋体" w:eastAsia="黑体" w:cs="宋体"/>
      <w:color w:val="FF0000"/>
      <w:sz w:val="24"/>
      <w:szCs w:val="24"/>
    </w:rPr>
  </w:style>
  <w:style w:type="paragraph" w:customStyle="1" w:styleId="95">
    <w:name w:val="带编号正文"/>
    <w:basedOn w:val="1"/>
    <w:link w:val="96"/>
    <w:qFormat/>
    <w:uiPriority w:val="0"/>
    <w:pPr>
      <w:ind w:firstLine="0" w:firstLineChars="0"/>
    </w:pPr>
  </w:style>
  <w:style w:type="character" w:customStyle="1" w:styleId="96">
    <w:name w:val="带编号正文 字符"/>
    <w:basedOn w:val="42"/>
    <w:link w:val="95"/>
    <w:qFormat/>
    <w:uiPriority w:val="0"/>
    <w:rPr>
      <w:rFonts w:ascii="Times New Roman" w:hAnsi="Times New Roman"/>
      <w:kern w:val="2"/>
      <w:sz w:val="24"/>
      <w:szCs w:val="21"/>
    </w:rPr>
  </w:style>
  <w:style w:type="paragraph" w:customStyle="1" w:styleId="97">
    <w:name w:val="带编号"/>
    <w:basedOn w:val="95"/>
    <w:link w:val="98"/>
    <w:qFormat/>
    <w:uiPriority w:val="0"/>
    <w:pPr>
      <w:ind w:firstLine="200" w:firstLineChars="200"/>
    </w:pPr>
  </w:style>
  <w:style w:type="character" w:customStyle="1" w:styleId="98">
    <w:name w:val="带编号 字符"/>
    <w:basedOn w:val="96"/>
    <w:link w:val="97"/>
    <w:qFormat/>
    <w:uiPriority w:val="0"/>
    <w:rPr>
      <w:rFonts w:ascii="Times New Roman" w:hAnsi="Times New Roman"/>
      <w:kern w:val="2"/>
      <w:sz w:val="24"/>
      <w:szCs w:val="21"/>
    </w:rPr>
  </w:style>
  <w:style w:type="paragraph" w:customStyle="1" w:styleId="99">
    <w:name w:val="（1）"/>
    <w:basedOn w:val="95"/>
    <w:link w:val="100"/>
    <w:qFormat/>
    <w:uiPriority w:val="0"/>
    <w:pPr>
      <w:ind w:firstLine="200" w:firstLineChars="200"/>
    </w:pPr>
  </w:style>
  <w:style w:type="character" w:customStyle="1" w:styleId="100">
    <w:name w:val="（1） 字符"/>
    <w:basedOn w:val="96"/>
    <w:link w:val="99"/>
    <w:qFormat/>
    <w:uiPriority w:val="0"/>
    <w:rPr>
      <w:rFonts w:ascii="Times New Roman" w:hAnsi="Times New Roman"/>
      <w:kern w:val="2"/>
      <w:sz w:val="24"/>
      <w:szCs w:val="21"/>
    </w:rPr>
  </w:style>
  <w:style w:type="paragraph" w:customStyle="1" w:styleId="101">
    <w:name w:val="正文2.13"/>
    <w:basedOn w:val="1"/>
    <w:qFormat/>
    <w:uiPriority w:val="99"/>
    <w:pPr>
      <w:topLinePunct/>
      <w:adjustRightInd w:val="0"/>
      <w:snapToGrid w:val="0"/>
    </w:pPr>
    <w:rPr>
      <w:rFonts w:ascii="Calibri" w:hAnsi="Calibri" w:eastAsia="仿宋_GB2312"/>
      <w:szCs w:val="24"/>
    </w:rPr>
  </w:style>
  <w:style w:type="paragraph" w:customStyle="1" w:styleId="102">
    <w:name w:val="正文1"/>
    <w:basedOn w:val="1"/>
    <w:link w:val="176"/>
    <w:qFormat/>
    <w:uiPriority w:val="0"/>
    <w:pPr>
      <w:adjustRightInd w:val="0"/>
      <w:snapToGrid w:val="0"/>
      <w:jc w:val="left"/>
    </w:pPr>
    <w:rPr>
      <w:rFonts w:ascii="Calibri" w:hAnsi="Calibri"/>
      <w:kern w:val="0"/>
      <w:szCs w:val="24"/>
    </w:rPr>
  </w:style>
  <w:style w:type="paragraph" w:customStyle="1" w:styleId="103">
    <w:name w:val="公式"/>
    <w:basedOn w:val="1"/>
    <w:next w:val="1"/>
    <w:link w:val="104"/>
    <w:qFormat/>
    <w:uiPriority w:val="0"/>
    <w:pPr>
      <w:tabs>
        <w:tab w:val="left" w:pos="360"/>
      </w:tabs>
      <w:ind w:firstLine="0" w:firstLineChars="0"/>
      <w:jc w:val="center"/>
    </w:pPr>
    <w:rPr>
      <w:rFonts w:eastAsia="仿宋"/>
      <w:szCs w:val="22"/>
    </w:rPr>
  </w:style>
  <w:style w:type="character" w:customStyle="1" w:styleId="104">
    <w:name w:val="公式 字符"/>
    <w:basedOn w:val="57"/>
    <w:link w:val="103"/>
    <w:qFormat/>
    <w:uiPriority w:val="0"/>
    <w:rPr>
      <w:rFonts w:ascii="Times New Roman" w:hAnsi="Times New Roman" w:eastAsia="仿宋" w:cs="Times New Roman"/>
      <w:kern w:val="2"/>
      <w:sz w:val="24"/>
      <w:szCs w:val="22"/>
    </w:rPr>
  </w:style>
  <w:style w:type="paragraph" w:customStyle="1" w:styleId="105">
    <w:name w:val="正文文本不缩进"/>
    <w:basedOn w:val="19"/>
    <w:link w:val="106"/>
    <w:qFormat/>
    <w:uiPriority w:val="0"/>
    <w:pPr>
      <w:tabs>
        <w:tab w:val="left" w:pos="360"/>
      </w:tabs>
      <w:spacing w:after="0"/>
      <w:ind w:left="0" w:leftChars="0" w:firstLine="0" w:firstLineChars="0"/>
    </w:pPr>
    <w:rPr>
      <w:rFonts w:eastAsia="仿宋"/>
      <w:szCs w:val="22"/>
    </w:rPr>
  </w:style>
  <w:style w:type="character" w:customStyle="1" w:styleId="106">
    <w:name w:val="正文文本不缩进 字符"/>
    <w:basedOn w:val="57"/>
    <w:link w:val="105"/>
    <w:qFormat/>
    <w:uiPriority w:val="0"/>
    <w:rPr>
      <w:rFonts w:ascii="Times New Roman" w:hAnsi="Times New Roman" w:eastAsia="仿宋" w:cs="Times New Roman"/>
      <w:kern w:val="2"/>
      <w:sz w:val="24"/>
      <w:szCs w:val="22"/>
    </w:rPr>
  </w:style>
  <w:style w:type="paragraph" w:customStyle="1" w:styleId="107">
    <w:name w:val="图表头"/>
    <w:basedOn w:val="1"/>
    <w:next w:val="72"/>
    <w:link w:val="108"/>
    <w:qFormat/>
    <w:uiPriority w:val="0"/>
    <w:pPr>
      <w:ind w:firstLine="0" w:firstLineChars="0"/>
      <w:jc w:val="center"/>
    </w:pPr>
    <w:rPr>
      <w:rFonts w:eastAsia="仿宋"/>
      <w:b/>
      <w:sz w:val="21"/>
      <w:szCs w:val="18"/>
    </w:rPr>
  </w:style>
  <w:style w:type="character" w:customStyle="1" w:styleId="108">
    <w:name w:val="图表头 字符"/>
    <w:basedOn w:val="42"/>
    <w:link w:val="107"/>
    <w:qFormat/>
    <w:uiPriority w:val="0"/>
    <w:rPr>
      <w:rFonts w:ascii="Times New Roman" w:hAnsi="Times New Roman" w:eastAsia="仿宋"/>
      <w:b/>
      <w:kern w:val="2"/>
      <w:sz w:val="21"/>
      <w:szCs w:val="18"/>
    </w:rPr>
  </w:style>
  <w:style w:type="character" w:customStyle="1" w:styleId="109">
    <w:name w:val="图表文字 字符"/>
    <w:qFormat/>
    <w:uiPriority w:val="0"/>
    <w:rPr>
      <w:rFonts w:ascii="Times New Roman" w:hAnsi="Times New Roman" w:eastAsia="宋体" w:cs="宋体"/>
      <w:b/>
      <w:bCs/>
      <w:sz w:val="21"/>
      <w:szCs w:val="21"/>
    </w:rPr>
  </w:style>
  <w:style w:type="paragraph" w:customStyle="1" w:styleId="110">
    <w:name w:val="Revision"/>
    <w:hidden/>
    <w:semiHidden/>
    <w:qFormat/>
    <w:uiPriority w:val="99"/>
    <w:rPr>
      <w:rFonts w:ascii="Times New Roman" w:hAnsi="Times New Roman" w:eastAsia="宋体" w:cs="Times New Roman"/>
      <w:kern w:val="2"/>
      <w:sz w:val="24"/>
      <w:szCs w:val="21"/>
      <w:lang w:val="en-US" w:eastAsia="zh-CN" w:bidi="ar-SA"/>
    </w:rPr>
  </w:style>
  <w:style w:type="paragraph" w:customStyle="1" w:styleId="111">
    <w:name w:val="带（）编号正文"/>
    <w:basedOn w:val="1"/>
    <w:link w:val="113"/>
    <w:qFormat/>
    <w:uiPriority w:val="0"/>
    <w:pPr>
      <w:numPr>
        <w:ilvl w:val="0"/>
        <w:numId w:val="2"/>
      </w:numPr>
      <w:adjustRightInd w:val="0"/>
      <w:ind w:firstLine="0" w:firstLineChars="0"/>
    </w:pPr>
  </w:style>
  <w:style w:type="character" w:customStyle="1" w:styleId="112">
    <w:name w:val="列表段落 字符"/>
    <w:basedOn w:val="42"/>
    <w:link w:val="78"/>
    <w:qFormat/>
    <w:uiPriority w:val="99"/>
    <w:rPr>
      <w:rFonts w:ascii="Times New Roman" w:hAnsi="Times New Roman"/>
      <w:kern w:val="2"/>
      <w:sz w:val="24"/>
      <w:szCs w:val="21"/>
    </w:rPr>
  </w:style>
  <w:style w:type="character" w:customStyle="1" w:styleId="113">
    <w:name w:val="带（）编号正文 字符"/>
    <w:basedOn w:val="112"/>
    <w:link w:val="111"/>
    <w:qFormat/>
    <w:uiPriority w:val="0"/>
    <w:rPr>
      <w:rFonts w:ascii="Times New Roman" w:hAnsi="Times New Roman"/>
      <w:kern w:val="2"/>
      <w:sz w:val="24"/>
      <w:szCs w:val="21"/>
    </w:rPr>
  </w:style>
  <w:style w:type="table" w:customStyle="1" w:styleId="114">
    <w:name w:val="样式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15">
    <w:name w:val="样式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16">
    <w:name w:val="题注—图片"/>
    <w:basedOn w:val="16"/>
    <w:next w:val="1"/>
    <w:link w:val="118"/>
    <w:qFormat/>
    <w:uiPriority w:val="0"/>
    <w:pPr>
      <w:keepNext w:val="0"/>
    </w:pPr>
  </w:style>
  <w:style w:type="paragraph" w:customStyle="1" w:styleId="117">
    <w:name w:val="图片"/>
    <w:basedOn w:val="16"/>
    <w:next w:val="116"/>
    <w:link w:val="119"/>
    <w:qFormat/>
    <w:uiPriority w:val="0"/>
  </w:style>
  <w:style w:type="character" w:customStyle="1" w:styleId="118">
    <w:name w:val="题注—图片 字符"/>
    <w:basedOn w:val="56"/>
    <w:link w:val="116"/>
    <w:qFormat/>
    <w:uiPriority w:val="0"/>
    <w:rPr>
      <w:rFonts w:ascii="Times New Roman" w:hAnsi="Times New Roman"/>
      <w:kern w:val="2"/>
      <w:sz w:val="21"/>
      <w:szCs w:val="21"/>
    </w:rPr>
  </w:style>
  <w:style w:type="character" w:customStyle="1" w:styleId="119">
    <w:name w:val="图片 字符"/>
    <w:basedOn w:val="56"/>
    <w:link w:val="117"/>
    <w:qFormat/>
    <w:uiPriority w:val="0"/>
    <w:rPr>
      <w:rFonts w:ascii="Times New Roman" w:hAnsi="Times New Roman"/>
      <w:kern w:val="2"/>
      <w:sz w:val="21"/>
      <w:szCs w:val="21"/>
    </w:rPr>
  </w:style>
  <w:style w:type="character" w:customStyle="1" w:styleId="120">
    <w:name w:val="标题 6 字符"/>
    <w:basedOn w:val="42"/>
    <w:link w:val="8"/>
    <w:semiHidden/>
    <w:qFormat/>
    <w:uiPriority w:val="9"/>
    <w:rPr>
      <w:rFonts w:ascii="Arial" w:hAnsi="Arial"/>
      <w:kern w:val="2"/>
      <w:sz w:val="24"/>
      <w:szCs w:val="21"/>
    </w:rPr>
  </w:style>
  <w:style w:type="paragraph" w:customStyle="1" w:styleId="121">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22">
    <w:name w:val="正文文本首行缩进 字符"/>
    <w:basedOn w:val="55"/>
    <w:link w:val="14"/>
    <w:qFormat/>
    <w:uiPriority w:val="99"/>
    <w:rPr>
      <w:rFonts w:ascii="仿宋" w:hAnsi="仿宋" w:eastAsia="仿宋" w:cs="Times New Roman"/>
      <w:kern w:val="2"/>
      <w:sz w:val="24"/>
      <w:szCs w:val="21"/>
    </w:rPr>
  </w:style>
  <w:style w:type="table" w:customStyle="1" w:styleId="123">
    <w:name w:val="网格型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网格型浅色1"/>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5">
    <w:name w:val="Table Normal1"/>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6">
    <w:name w:val="样式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27">
    <w:name w:val="样式2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8">
    <w:name w:val="题注-图片"/>
    <w:basedOn w:val="16"/>
    <w:next w:val="1"/>
    <w:link w:val="129"/>
    <w:qFormat/>
    <w:uiPriority w:val="0"/>
    <w:pPr>
      <w:keepNext w:val="0"/>
      <w:ind w:firstLine="480"/>
    </w:pPr>
    <w:rPr>
      <w:b w:val="0"/>
    </w:rPr>
  </w:style>
  <w:style w:type="character" w:customStyle="1" w:styleId="129">
    <w:name w:val="题注-图片 字符"/>
    <w:basedOn w:val="42"/>
    <w:link w:val="128"/>
    <w:qFormat/>
    <w:uiPriority w:val="0"/>
    <w:rPr>
      <w:rFonts w:ascii="Times New Roman" w:hAnsi="Times New Roman"/>
      <w:kern w:val="2"/>
      <w:sz w:val="21"/>
      <w:szCs w:val="21"/>
    </w:rPr>
  </w:style>
  <w:style w:type="table" w:customStyle="1" w:styleId="130">
    <w:name w:val="样式1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1">
    <w:name w:val="6级带编号正文"/>
    <w:link w:val="169"/>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32">
    <w:name w:val="样式1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3">
    <w:name w:val="说明文本"/>
    <w:basedOn w:val="1"/>
    <w:link w:val="134"/>
    <w:qFormat/>
    <w:uiPriority w:val="0"/>
    <w:pPr>
      <w:ind w:firstLine="480"/>
    </w:pPr>
    <w:rPr>
      <w:rFonts w:eastAsia="楷体"/>
      <w:color w:val="FF0000"/>
      <w:sz w:val="21"/>
    </w:rPr>
  </w:style>
  <w:style w:type="character" w:customStyle="1" w:styleId="134">
    <w:name w:val="说明文本 字符"/>
    <w:basedOn w:val="42"/>
    <w:link w:val="133"/>
    <w:qFormat/>
    <w:uiPriority w:val="0"/>
    <w:rPr>
      <w:rFonts w:ascii="Times New Roman" w:hAnsi="Times New Roman" w:eastAsia="楷体"/>
      <w:color w:val="FF0000"/>
      <w:kern w:val="2"/>
      <w:sz w:val="21"/>
      <w:szCs w:val="21"/>
    </w:rPr>
  </w:style>
  <w:style w:type="table" w:customStyle="1" w:styleId="135">
    <w:name w:val="样式16"/>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6">
    <w:name w:val="样式12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7">
    <w:name w:val="样式14"/>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8">
    <w:name w:val="样式14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9">
    <w:name w:val="表格标准"/>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0">
    <w:name w:val="表内文字 Char"/>
    <w:link w:val="17"/>
    <w:qFormat/>
    <w:uiPriority w:val="0"/>
    <w:rPr>
      <w:rFonts w:ascii="Times New Roman" w:hAnsi="Times New Roman"/>
      <w:kern w:val="2"/>
      <w:sz w:val="21"/>
      <w:szCs w:val="21"/>
    </w:rPr>
  </w:style>
  <w:style w:type="table" w:customStyle="1" w:styleId="141">
    <w:name w:val="样式15"/>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样式2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43">
    <w:name w:val="方案样式：图片名称"/>
    <w:next w:val="1"/>
    <w:qFormat/>
    <w:uiPriority w:val="0"/>
    <w:pPr>
      <w:tabs>
        <w:tab w:val="left" w:pos="420"/>
      </w:tabs>
      <w:jc w:val="center"/>
    </w:pPr>
    <w:rPr>
      <w:rFonts w:ascii="Calibri" w:hAnsi="Calibri" w:eastAsia="宋体" w:cs="Times New Roman"/>
      <w:b/>
      <w:sz w:val="21"/>
      <w:lang w:val="en-US" w:eastAsia="zh-CN" w:bidi="ar-SA"/>
    </w:rPr>
  </w:style>
  <w:style w:type="table" w:customStyle="1" w:styleId="144">
    <w:name w:val="样式17"/>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5">
    <w:name w:val="样式18"/>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6">
    <w:name w:val="样式19"/>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7">
    <w:name w:val="表格标准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8">
    <w:name w:val="图表样式 字符"/>
    <w:link w:val="149"/>
    <w:qFormat/>
    <w:uiPriority w:val="0"/>
    <w:rPr>
      <w:rFonts w:cs="宋体"/>
      <w:b/>
      <w:snapToGrid w:val="0"/>
      <w:color w:val="000000"/>
      <w:sz w:val="21"/>
      <w:szCs w:val="24"/>
    </w:rPr>
  </w:style>
  <w:style w:type="paragraph" w:customStyle="1" w:styleId="149">
    <w:name w:val="图表样式"/>
    <w:basedOn w:val="1"/>
    <w:next w:val="1"/>
    <w:link w:val="148"/>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50">
    <w:name w:val="正文标准"/>
    <w:basedOn w:val="1"/>
    <w:link w:val="151"/>
    <w:qFormat/>
    <w:uiPriority w:val="0"/>
    <w:pPr>
      <w:autoSpaceDE w:val="0"/>
      <w:autoSpaceDN w:val="0"/>
    </w:pPr>
    <w:rPr>
      <w:snapToGrid w:val="0"/>
      <w:szCs w:val="24"/>
    </w:rPr>
  </w:style>
  <w:style w:type="character" w:customStyle="1" w:styleId="151">
    <w:name w:val="正文标准 Char"/>
    <w:link w:val="150"/>
    <w:qFormat/>
    <w:uiPriority w:val="0"/>
    <w:rPr>
      <w:rFonts w:ascii="Times New Roman" w:hAnsi="Times New Roman"/>
      <w:snapToGrid w:val="0"/>
      <w:kern w:val="2"/>
      <w:sz w:val="24"/>
      <w:szCs w:val="24"/>
    </w:rPr>
  </w:style>
  <w:style w:type="table" w:customStyle="1" w:styleId="152">
    <w:name w:val="表格标准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53">
    <w:name w:val="TOC Heading"/>
    <w:basedOn w:val="2"/>
    <w:next w:val="1"/>
    <w:unhideWhenUsed/>
    <w:qFormat/>
    <w:uiPriority w:val="39"/>
    <w:pPr>
      <w:widowControl/>
      <w:numPr>
        <w:numId w:val="0"/>
      </w:numPr>
      <w:tabs>
        <w:tab w:val="clear" w:pos="0"/>
      </w:tabs>
      <w:spacing w:before="24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54">
    <w:name w:val="！正文"/>
    <w:basedOn w:val="1"/>
    <w:link w:val="155"/>
    <w:qFormat/>
    <w:uiPriority w:val="0"/>
    <w:pPr>
      <w:textAlignment w:val="baseline"/>
    </w:pPr>
    <w:rPr>
      <w:color w:val="000000"/>
      <w:kern w:val="0"/>
      <w:szCs w:val="24"/>
    </w:rPr>
  </w:style>
  <w:style w:type="character" w:customStyle="1" w:styleId="155">
    <w:name w:val="！正文 字符"/>
    <w:link w:val="154"/>
    <w:qFormat/>
    <w:uiPriority w:val="0"/>
    <w:rPr>
      <w:rFonts w:ascii="Times New Roman" w:hAnsi="Times New Roman"/>
      <w:color w:val="000000"/>
      <w:sz w:val="24"/>
      <w:szCs w:val="24"/>
    </w:rPr>
  </w:style>
  <w:style w:type="paragraph" w:customStyle="1" w:styleId="156">
    <w:name w:val="5级标题"/>
    <w:basedOn w:val="7"/>
    <w:next w:val="1"/>
    <w:link w:val="157"/>
    <w:qFormat/>
    <w:uiPriority w:val="0"/>
    <w:pPr>
      <w:numPr>
        <w:ilvl w:val="4"/>
        <w:numId w:val="1"/>
      </w:numPr>
    </w:pPr>
    <w:rPr>
      <w:b/>
    </w:rPr>
  </w:style>
  <w:style w:type="character" w:customStyle="1" w:styleId="157">
    <w:name w:val="5级标题 字符"/>
    <w:basedOn w:val="54"/>
    <w:link w:val="156"/>
    <w:qFormat/>
    <w:uiPriority w:val="0"/>
    <w:rPr>
      <w:rFonts w:ascii="Times New Roman" w:hAnsi="Times New Roman" w:eastAsia="宋体" w:cs="Times New Roman"/>
      <w:b/>
      <w:kern w:val="2"/>
      <w:sz w:val="24"/>
      <w:szCs w:val="28"/>
    </w:rPr>
  </w:style>
  <w:style w:type="table" w:customStyle="1" w:styleId="158">
    <w:name w:val="表格标准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9">
    <w:name w:val="标题 字符"/>
    <w:basedOn w:val="42"/>
    <w:link w:val="37"/>
    <w:qFormat/>
    <w:uiPriority w:val="10"/>
    <w:rPr>
      <w:rFonts w:asciiTheme="majorHAnsi" w:hAnsiTheme="majorHAnsi" w:eastAsiaTheme="majorEastAsia" w:cstheme="majorBidi"/>
      <w:b/>
      <w:bCs/>
      <w:kern w:val="2"/>
      <w:sz w:val="32"/>
      <w:szCs w:val="32"/>
    </w:rPr>
  </w:style>
  <w:style w:type="paragraph" w:styleId="160">
    <w:name w:val="No Spacing"/>
    <w:qFormat/>
    <w:uiPriority w:val="1"/>
    <w:pPr>
      <w:widowControl w:val="0"/>
      <w:spacing w:line="360" w:lineRule="auto"/>
      <w:jc w:val="center"/>
    </w:pPr>
    <w:rPr>
      <w:rFonts w:ascii="黑体" w:hAnsi="黑体" w:eastAsia="黑体" w:cs="Times New Roman"/>
      <w:sz w:val="21"/>
      <w:lang w:val="en-US" w:eastAsia="zh-CN" w:bidi="ar-SA"/>
    </w:rPr>
  </w:style>
  <w:style w:type="paragraph" w:customStyle="1" w:styleId="161">
    <w:name w:val="正文编写"/>
    <w:basedOn w:val="1"/>
    <w:qFormat/>
    <w:uiPriority w:val="0"/>
    <w:rPr>
      <w:rFonts w:asciiTheme="minorHAnsi" w:hAnsiTheme="minorHAnsi" w:eastAsiaTheme="minorEastAsia" w:cstheme="minorBidi"/>
      <w:kern w:val="0"/>
      <w:sz w:val="20"/>
      <w:szCs w:val="20"/>
    </w:rPr>
  </w:style>
  <w:style w:type="table" w:customStyle="1" w:styleId="162">
    <w:name w:val="方案表格"/>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63">
    <w:name w:val="正文C"/>
    <w:basedOn w:val="1"/>
    <w:link w:val="164"/>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64">
    <w:name w:val="正文C Char"/>
    <w:link w:val="163"/>
    <w:qFormat/>
    <w:uiPriority w:val="0"/>
    <w:rPr>
      <w:rFonts w:ascii="宋体" w:hAnsi="宋体" w:cs="宋体"/>
      <w:color w:val="4F6228" w:themeColor="accent3" w:themeShade="80"/>
      <w:sz w:val="24"/>
      <w:szCs w:val="24"/>
    </w:rPr>
  </w:style>
  <w:style w:type="paragraph" w:customStyle="1" w:styleId="165">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66">
    <w:name w:val="5级带编号正文"/>
    <w:basedOn w:val="1"/>
    <w:link w:val="168"/>
    <w:qFormat/>
    <w:uiPriority w:val="0"/>
    <w:pPr>
      <w:numPr>
        <w:ilvl w:val="0"/>
        <w:numId w:val="4"/>
      </w:numPr>
      <w:ind w:firstLine="0" w:firstLineChars="0"/>
    </w:pPr>
    <w:rPr>
      <w:rFonts w:cs="宋体"/>
      <w:color w:val="4F6228" w:themeColor="accent3" w:themeShade="80"/>
    </w:rPr>
  </w:style>
  <w:style w:type="paragraph" w:customStyle="1" w:styleId="167">
    <w:name w:val="表格"/>
    <w:basedOn w:val="1"/>
    <w:link w:val="180"/>
    <w:qFormat/>
    <w:uiPriority w:val="0"/>
    <w:pPr>
      <w:adjustRightInd w:val="0"/>
      <w:snapToGrid w:val="0"/>
      <w:spacing w:line="500" w:lineRule="exact"/>
      <w:jc w:val="center"/>
    </w:pPr>
    <w:rPr>
      <w:rFonts w:ascii="仿宋" w:hAnsi="Calibri" w:eastAsia="仿宋"/>
      <w:b/>
      <w:sz w:val="21"/>
      <w:szCs w:val="20"/>
    </w:rPr>
  </w:style>
  <w:style w:type="character" w:customStyle="1" w:styleId="168">
    <w:name w:val="5级带编号正文 字符"/>
    <w:basedOn w:val="164"/>
    <w:link w:val="166"/>
    <w:qFormat/>
    <w:uiPriority w:val="0"/>
    <w:rPr>
      <w:rFonts w:ascii="Times New Roman" w:hAnsi="Times New Roman" w:cs="宋体"/>
      <w:color w:val="4F6228" w:themeColor="accent3" w:themeShade="80"/>
      <w:kern w:val="2"/>
      <w:sz w:val="24"/>
      <w:szCs w:val="21"/>
    </w:rPr>
  </w:style>
  <w:style w:type="character" w:customStyle="1" w:styleId="169">
    <w:name w:val="6级带编号正文 字符"/>
    <w:basedOn w:val="42"/>
    <w:link w:val="131"/>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70">
    <w:name w:val="71表格五号"/>
    <w:basedOn w:val="1"/>
    <w:qFormat/>
    <w:uiPriority w:val="0"/>
    <w:pPr>
      <w:adjustRightInd w:val="0"/>
      <w:snapToGrid w:val="0"/>
      <w:spacing w:line="300" w:lineRule="auto"/>
      <w:ind w:firstLine="0" w:firstLineChars="0"/>
      <w:jc w:val="center"/>
    </w:pPr>
    <w:rPr>
      <w:rFonts w:eastAsia="仿宋" w:cs="宋体"/>
      <w:snapToGrid w:val="0"/>
      <w:kern w:val="0"/>
      <w:sz w:val="21"/>
    </w:rPr>
  </w:style>
  <w:style w:type="paragraph" w:customStyle="1" w:styleId="171">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172">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73">
    <w:name w:val="A正文格式11-16"/>
    <w:basedOn w:val="1"/>
    <w:link w:val="174"/>
    <w:qFormat/>
    <w:uiPriority w:val="0"/>
    <w:pPr>
      <w:adjustRightInd w:val="0"/>
      <w:snapToGrid w:val="0"/>
      <w:ind w:firstLine="480"/>
    </w:pPr>
    <w:rPr>
      <w:szCs w:val="24"/>
    </w:rPr>
  </w:style>
  <w:style w:type="character" w:customStyle="1" w:styleId="174">
    <w:name w:val="A正文格式11-16 字符"/>
    <w:link w:val="173"/>
    <w:qFormat/>
    <w:uiPriority w:val="0"/>
    <w:rPr>
      <w:rFonts w:ascii="Times New Roman" w:hAnsi="Times New Roman"/>
      <w:kern w:val="2"/>
      <w:sz w:val="24"/>
      <w:szCs w:val="24"/>
    </w:rPr>
  </w:style>
  <w:style w:type="character" w:customStyle="1" w:styleId="175">
    <w:name w:val="NormalCharacter"/>
    <w:semiHidden/>
    <w:qFormat/>
    <w:uiPriority w:val="0"/>
  </w:style>
  <w:style w:type="character" w:customStyle="1" w:styleId="176">
    <w:name w:val="正文1 字符"/>
    <w:basedOn w:val="42"/>
    <w:link w:val="102"/>
    <w:qFormat/>
    <w:uiPriority w:val="0"/>
    <w:rPr>
      <w:sz w:val="24"/>
      <w:szCs w:val="24"/>
    </w:rPr>
  </w:style>
  <w:style w:type="paragraph" w:customStyle="1" w:styleId="177">
    <w:name w:val="图表正文"/>
    <w:basedOn w:val="1"/>
    <w:next w:val="1"/>
    <w:qFormat/>
    <w:uiPriority w:val="0"/>
    <w:pPr>
      <w:spacing w:line="240" w:lineRule="auto"/>
      <w:ind w:firstLine="0" w:firstLineChars="0"/>
      <w:jc w:val="center"/>
    </w:pPr>
    <w:rPr>
      <w:sz w:val="21"/>
      <w:szCs w:val="22"/>
    </w:rPr>
  </w:style>
  <w:style w:type="paragraph" w:customStyle="1" w:styleId="178">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79">
    <w:name w:val="正文文本 字符1"/>
    <w:qFormat/>
    <w:uiPriority w:val="0"/>
    <w:rPr>
      <w:rFonts w:eastAsia="宋体"/>
      <w:kern w:val="2"/>
      <w:sz w:val="28"/>
      <w:szCs w:val="24"/>
      <w:lang w:val="en-US" w:eastAsia="zh-CN" w:bidi="ar-SA"/>
    </w:rPr>
  </w:style>
  <w:style w:type="character" w:customStyle="1" w:styleId="180">
    <w:name w:val="表格 字符"/>
    <w:link w:val="167"/>
    <w:qFormat/>
    <w:uiPriority w:val="0"/>
    <w:rPr>
      <w:rFonts w:ascii="仿宋" w:eastAsia="仿宋"/>
      <w:b/>
      <w:kern w:val="2"/>
      <w:sz w:val="21"/>
    </w:rPr>
  </w:style>
  <w:style w:type="paragraph" w:customStyle="1" w:styleId="181">
    <w:name w:val="图片居中"/>
    <w:basedOn w:val="1"/>
    <w:link w:val="218"/>
    <w:qFormat/>
    <w:uiPriority w:val="0"/>
    <w:pPr>
      <w:spacing w:line="240" w:lineRule="auto"/>
      <w:ind w:firstLine="0" w:firstLineChars="0"/>
      <w:jc w:val="center"/>
    </w:pPr>
  </w:style>
  <w:style w:type="paragraph" w:customStyle="1" w:styleId="182">
    <w:name w:val="K正文"/>
    <w:basedOn w:val="1"/>
    <w:link w:val="202"/>
    <w:qFormat/>
    <w:uiPriority w:val="0"/>
    <w:pPr>
      <w:jc w:val="left"/>
    </w:pPr>
    <w:rPr>
      <w:rFonts w:cs="宋体" w:eastAsiaTheme="minorEastAsia"/>
      <w:szCs w:val="24"/>
    </w:rPr>
  </w:style>
  <w:style w:type="table" w:customStyle="1" w:styleId="183">
    <w:name w:val="样式3"/>
    <w:qFormat/>
    <w:uiPriority w:val="99"/>
    <w:rPr>
      <w:rFonts w:ascii="Times New Roman" w:hAnsi="Times New Roman"/>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
    <w:tcPr>
      <w:vAlign w:val="center"/>
    </w:tcPr>
    <w:tblStylePr w:type="firstRow">
      <w:tcPr>
        <w:shd w:val="clear" w:color="auto" w:fill="9FD3A4"/>
      </w:tcPr>
    </w:tblStylePr>
  </w:style>
  <w:style w:type="paragraph" w:customStyle="1" w:styleId="184">
    <w:name w:val="图片格式"/>
    <w:basedOn w:val="76"/>
    <w:qFormat/>
    <w:uiPriority w:val="0"/>
    <w:pPr>
      <w:keepNext/>
      <w:spacing w:line="360" w:lineRule="auto"/>
    </w:pPr>
  </w:style>
  <w:style w:type="paragraph" w:customStyle="1" w:styleId="185">
    <w:name w:val="表头-模板"/>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186">
    <w:name w:val="表格正文-模板"/>
    <w:qFormat/>
    <w:uiPriority w:val="0"/>
    <w:pPr>
      <w:widowControl w:val="0"/>
      <w:jc w:val="both"/>
    </w:pPr>
    <w:rPr>
      <w:rFonts w:ascii="Times New Roman" w:hAnsi="Times New Roman" w:eastAsia="宋体" w:cs="Times New Roman"/>
      <w:kern w:val="2"/>
      <w:sz w:val="21"/>
      <w:szCs w:val="21"/>
      <w:lang w:val="en-US" w:eastAsia="zh-CN" w:bidi="ar-SA"/>
    </w:rPr>
  </w:style>
  <w:style w:type="table" w:customStyle="1" w:styleId="187">
    <w:name w:val="样式15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188">
    <w:name w:val="标题 7 字符"/>
    <w:basedOn w:val="42"/>
    <w:link w:val="9"/>
    <w:semiHidden/>
    <w:qFormat/>
    <w:uiPriority w:val="9"/>
    <w:rPr>
      <w:rFonts w:ascii="Times New Roman" w:hAnsi="Times New Roman"/>
      <w:b/>
      <w:bCs/>
      <w:kern w:val="2"/>
      <w:sz w:val="24"/>
      <w:szCs w:val="24"/>
    </w:rPr>
  </w:style>
  <w:style w:type="character" w:customStyle="1" w:styleId="189">
    <w:name w:val="标题 8 字符"/>
    <w:basedOn w:val="42"/>
    <w:link w:val="10"/>
    <w:semiHidden/>
    <w:qFormat/>
    <w:uiPriority w:val="9"/>
    <w:rPr>
      <w:rFonts w:asciiTheme="majorHAnsi" w:hAnsiTheme="majorHAnsi" w:eastAsiaTheme="majorEastAsia" w:cstheme="majorBidi"/>
      <w:kern w:val="2"/>
      <w:sz w:val="24"/>
      <w:szCs w:val="24"/>
    </w:rPr>
  </w:style>
  <w:style w:type="character" w:customStyle="1" w:styleId="190">
    <w:name w:val="标题 9 字符"/>
    <w:basedOn w:val="42"/>
    <w:link w:val="11"/>
    <w:semiHidden/>
    <w:qFormat/>
    <w:uiPriority w:val="9"/>
    <w:rPr>
      <w:rFonts w:asciiTheme="majorHAnsi" w:hAnsiTheme="majorHAnsi" w:eastAsiaTheme="majorEastAsia" w:cstheme="majorBidi"/>
      <w:kern w:val="2"/>
      <w:sz w:val="21"/>
      <w:szCs w:val="21"/>
    </w:rPr>
  </w:style>
  <w:style w:type="table" w:customStyle="1" w:styleId="191">
    <w:name w:val="表格标准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92">
    <w:name w:val="表格标准1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93">
    <w:name w:val="HTML 预设格式 字符"/>
    <w:basedOn w:val="42"/>
    <w:link w:val="35"/>
    <w:semiHidden/>
    <w:qFormat/>
    <w:uiPriority w:val="99"/>
    <w:rPr>
      <w:rFonts w:ascii="宋体" w:hAnsi="宋体"/>
      <w:sz w:val="24"/>
      <w:szCs w:val="24"/>
    </w:rPr>
  </w:style>
  <w:style w:type="character" w:styleId="194">
    <w:name w:val="Placeholder Text"/>
    <w:basedOn w:val="42"/>
    <w:semiHidden/>
    <w:qFormat/>
    <w:uiPriority w:val="99"/>
    <w:rPr>
      <w:color w:val="808080"/>
    </w:rPr>
  </w:style>
  <w:style w:type="table" w:customStyle="1" w:styleId="195">
    <w:name w:val="网格型2"/>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6">
    <w:name w:val="图表名称 Char"/>
    <w:link w:val="63"/>
    <w:qFormat/>
    <w:uiPriority w:val="0"/>
    <w:rPr>
      <w:rFonts w:ascii="Times New Roman" w:hAnsi="Times New Roman"/>
      <w:b/>
      <w:kern w:val="2"/>
      <w:sz w:val="21"/>
      <w:szCs w:val="21"/>
    </w:rPr>
  </w:style>
  <w:style w:type="paragraph" w:customStyle="1" w:styleId="197">
    <w:name w:val="图文字（新）"/>
    <w:basedOn w:val="1"/>
    <w:next w:val="1"/>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198">
    <w:name w:val="!图表题仿五"/>
    <w:basedOn w:val="77"/>
    <w:qFormat/>
    <w:uiPriority w:val="0"/>
    <w:pPr>
      <w:ind w:firstLine="0" w:firstLineChars="0"/>
      <w:jc w:val="center"/>
    </w:pPr>
    <w:rPr>
      <w:b/>
      <w:color w:val="0000FF"/>
      <w:sz w:val="21"/>
    </w:rPr>
  </w:style>
  <w:style w:type="character" w:customStyle="1" w:styleId="199">
    <w:name w:val="未处理的提及1"/>
    <w:basedOn w:val="42"/>
    <w:semiHidden/>
    <w:unhideWhenUsed/>
    <w:qFormat/>
    <w:uiPriority w:val="99"/>
    <w:rPr>
      <w:color w:val="605E5C"/>
      <w:shd w:val="clear" w:color="auto" w:fill="E1DFDD"/>
    </w:rPr>
  </w:style>
  <w:style w:type="table" w:customStyle="1" w:styleId="200">
    <w:name w:val="网格型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网格型12"/>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2">
    <w:name w:val="K正文 Char"/>
    <w:link w:val="182"/>
    <w:qFormat/>
    <w:uiPriority w:val="0"/>
    <w:rPr>
      <w:rFonts w:ascii="Times New Roman" w:hAnsi="Times New Roman" w:cs="宋体" w:eastAsiaTheme="minorEastAsia"/>
      <w:kern w:val="2"/>
      <w:sz w:val="24"/>
      <w:szCs w:val="24"/>
    </w:rPr>
  </w:style>
  <w:style w:type="paragraph" w:customStyle="1" w:styleId="203">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04">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205">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206">
    <w:name w:val="网格型浅色2"/>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7">
    <w:name w:val="Table Normal2"/>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08">
    <w:name w:val="网格型浅色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9">
    <w:name w:val="Table Normal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210">
    <w:name w:val="L图表标题"/>
    <w:basedOn w:val="16"/>
    <w:link w:val="213"/>
    <w:qFormat/>
    <w:uiPriority w:val="0"/>
    <w:pPr>
      <w:keepNext w:val="0"/>
      <w:spacing w:line="240" w:lineRule="auto"/>
    </w:pPr>
    <w:rPr>
      <w:szCs w:val="22"/>
    </w:rPr>
  </w:style>
  <w:style w:type="character" w:customStyle="1" w:styleId="211">
    <w:name w:val="!正文 Char"/>
    <w:link w:val="212"/>
    <w:qFormat/>
    <w:uiPriority w:val="0"/>
    <w:rPr>
      <w:rFonts w:eastAsia="仿宋_GB2312"/>
      <w:sz w:val="24"/>
      <w:szCs w:val="24"/>
    </w:rPr>
  </w:style>
  <w:style w:type="paragraph" w:customStyle="1" w:styleId="212">
    <w:name w:val="!正文"/>
    <w:basedOn w:val="1"/>
    <w:link w:val="211"/>
    <w:qFormat/>
    <w:uiPriority w:val="0"/>
    <w:rPr>
      <w:rFonts w:ascii="Calibri" w:hAnsi="Calibri" w:eastAsia="仿宋_GB2312"/>
      <w:kern w:val="0"/>
      <w:szCs w:val="24"/>
    </w:rPr>
  </w:style>
  <w:style w:type="character" w:customStyle="1" w:styleId="213">
    <w:name w:val="L图表标题 字符"/>
    <w:link w:val="210"/>
    <w:qFormat/>
    <w:uiPriority w:val="0"/>
    <w:rPr>
      <w:rFonts w:ascii="Times New Roman" w:hAnsi="Times New Roman"/>
      <w:b/>
      <w:kern w:val="2"/>
      <w:sz w:val="21"/>
      <w:szCs w:val="22"/>
    </w:rPr>
  </w:style>
  <w:style w:type="paragraph" w:customStyle="1" w:styleId="214">
    <w:name w:val="L正文文本"/>
    <w:basedOn w:val="1"/>
    <w:link w:val="215"/>
    <w:qFormat/>
    <w:uiPriority w:val="0"/>
    <w:rPr>
      <w:color w:val="000000" w:themeColor="text1"/>
      <w14:textFill>
        <w14:solidFill>
          <w14:schemeClr w14:val="tx1"/>
        </w14:solidFill>
      </w14:textFill>
    </w:rPr>
  </w:style>
  <w:style w:type="character" w:customStyle="1" w:styleId="215">
    <w:name w:val="L正文文本 字符"/>
    <w:basedOn w:val="42"/>
    <w:link w:val="214"/>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216">
    <w:name w:val="加粗"/>
    <w:basedOn w:val="214"/>
    <w:link w:val="217"/>
    <w:qFormat/>
    <w:uiPriority w:val="0"/>
    <w:pPr>
      <w:ind w:firstLine="480"/>
    </w:pPr>
    <w:rPr>
      <w:b/>
      <w:bCs/>
    </w:rPr>
  </w:style>
  <w:style w:type="character" w:customStyle="1" w:styleId="217">
    <w:name w:val="加粗 字符"/>
    <w:basedOn w:val="215"/>
    <w:link w:val="216"/>
    <w:qFormat/>
    <w:uiPriority w:val="0"/>
    <w:rPr>
      <w:rFonts w:ascii="Times New Roman" w:hAnsi="Times New Roman"/>
      <w:b/>
      <w:bCs/>
      <w:color w:val="000000" w:themeColor="text1"/>
      <w:kern w:val="2"/>
      <w:sz w:val="24"/>
      <w:szCs w:val="21"/>
      <w14:textFill>
        <w14:solidFill>
          <w14:schemeClr w14:val="tx1"/>
        </w14:solidFill>
      </w14:textFill>
    </w:rPr>
  </w:style>
  <w:style w:type="character" w:customStyle="1" w:styleId="218">
    <w:name w:val="图片居中 字符"/>
    <w:basedOn w:val="42"/>
    <w:link w:val="181"/>
    <w:qFormat/>
    <w:uiPriority w:val="0"/>
    <w:rPr>
      <w:rFonts w:ascii="Times New Roman" w:hAnsi="Times New Roman"/>
      <w:kern w:val="2"/>
      <w:sz w:val="24"/>
      <w:szCs w:val="21"/>
    </w:rPr>
  </w:style>
  <w:style w:type="character" w:customStyle="1" w:styleId="219">
    <w:name w:val="普通(网站) 字符"/>
    <w:link w:val="36"/>
    <w:qFormat/>
    <w:locked/>
    <w:uiPriority w:val="99"/>
    <w:rPr>
      <w:rFonts w:ascii="宋体" w:hAnsi="宋体" w:cs="宋体"/>
      <w:sz w:val="24"/>
      <w:szCs w:val="24"/>
    </w:rPr>
  </w:style>
  <w:style w:type="paragraph" w:customStyle="1" w:styleId="220">
    <w:name w:val="插图"/>
    <w:next w:val="1"/>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221">
    <w:name w:val="正文-昌赣 Char"/>
    <w:link w:val="222"/>
    <w:qFormat/>
    <w:locked/>
    <w:uiPriority w:val="0"/>
    <w:rPr>
      <w:rFonts w:ascii="Tahoma" w:eastAsia="Tahoma"/>
      <w:color w:val="000000"/>
      <w:kern w:val="20"/>
      <w:sz w:val="28"/>
      <w:szCs w:val="28"/>
    </w:rPr>
  </w:style>
  <w:style w:type="paragraph" w:customStyle="1" w:styleId="222">
    <w:name w:val="正文-昌赣"/>
    <w:basedOn w:val="1"/>
    <w:link w:val="221"/>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223">
    <w:name w:val="abc"/>
    <w:basedOn w:val="1"/>
    <w:qFormat/>
    <w:uiPriority w:val="99"/>
    <w:pPr>
      <w:adjustRightInd w:val="0"/>
      <w:snapToGrid w:val="0"/>
      <w:jc w:val="left"/>
    </w:pPr>
    <w:rPr>
      <w:rFonts w:ascii="宋体" w:hAnsi="宋体"/>
      <w:kern w:val="0"/>
      <w:szCs w:val="24"/>
      <w:lang w:eastAsia="en-US" w:bidi="en-US"/>
    </w:rPr>
  </w:style>
  <w:style w:type="paragraph" w:customStyle="1" w:styleId="224">
    <w:name w:val="大标题"/>
    <w:basedOn w:val="2"/>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25">
    <w:name w:val="品茗标题2"/>
    <w:basedOn w:val="3"/>
    <w:next w:val="1"/>
    <w:qFormat/>
    <w:uiPriority w:val="0"/>
    <w:pPr>
      <w:numPr>
        <w:numId w:val="5"/>
      </w:numPr>
    </w:pPr>
    <w:rPr>
      <w:rFonts w:ascii="宋体" w:hAnsi="宋体"/>
      <w:color w:val="000000"/>
    </w:rPr>
  </w:style>
  <w:style w:type="paragraph" w:customStyle="1" w:styleId="226">
    <w:name w:val="图名"/>
    <w:qFormat/>
    <w:uiPriority w:val="0"/>
    <w:pPr>
      <w:jc w:val="center"/>
    </w:pPr>
    <w:rPr>
      <w:rFonts w:ascii="宋体" w:hAnsi="宋体" w:eastAsia="宋体" w:cs="Times New Roman"/>
      <w:b/>
      <w:sz w:val="21"/>
      <w:szCs w:val="21"/>
      <w:lang w:val="en-US" w:eastAsia="zh-CN" w:bidi="ar-SA"/>
    </w:rPr>
  </w:style>
  <w:style w:type="table" w:customStyle="1" w:styleId="227">
    <w:name w:val="标准样式272"/>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28">
    <w:name w:val="样式152"/>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29">
    <w:name w:val="表格标准1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0">
    <w:name w:val="表格标准14"/>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1">
    <w:name w:val="网格型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浅色3"/>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33">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34">
    <w:name w:val="样式110"/>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5">
    <w:name w:val="样式2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36">
    <w:name w:val="网格型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
    <w:name w:val="网格型浅色12"/>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38">
    <w:name w:val="Table Normal12"/>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39">
    <w:name w:val="样式1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0">
    <w:name w:val="样式21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1">
    <w:name w:val="样式12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2">
    <w:name w:val="样式13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3">
    <w:name w:val="样式161"/>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4">
    <w:name w:val="样式12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5">
    <w:name w:val="样式14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6">
    <w:name w:val="样式14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7">
    <w:name w:val="表格标准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48">
    <w:name w:val="样式15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9">
    <w:name w:val="样式2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50">
    <w:name w:val="样式17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1">
    <w:name w:val="样式18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2">
    <w:name w:val="样式19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3">
    <w:name w:val="表格标准15"/>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4">
    <w:name w:val="表格标准1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5">
    <w:name w:val="样式15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6">
    <w:name w:val="表格标准1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7">
    <w:name w:val="表格标准13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8">
    <w:name w:val="网格型21"/>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网格型1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121"/>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网格型浅色21"/>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2">
    <w:name w:val="Table Normal2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63">
    <w:name w:val="网格型浅色1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4">
    <w:name w:val="Table Normal1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265">
    <w:name w:val="方案表格1"/>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266">
    <w:name w:val="标准样式2721"/>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67">
    <w:name w:val="样式1521"/>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268">
    <w:name w:val="heading 1 Text"/>
    <w:basedOn w:val="42"/>
    <w:link w:val="2"/>
    <w:unhideWhenUsed/>
    <w:qFormat/>
    <w:uiPriority w:val="99"/>
    <w:rPr>
      <w:rFonts w:hint="default"/>
      <w:b/>
      <w:sz w:val="32"/>
      <w:szCs w:val="24"/>
    </w:rPr>
  </w:style>
  <w:style w:type="character" w:customStyle="1" w:styleId="269">
    <w:name w:val="heading 2 Text"/>
    <w:basedOn w:val="42"/>
    <w:link w:val="3"/>
    <w:unhideWhenUsed/>
    <w:qFormat/>
    <w:uiPriority w:val="99"/>
    <w:rPr>
      <w:rFonts w:hint="eastAsia" w:ascii="宋体" w:hAnsi="宋体" w:eastAsia="宋体"/>
      <w:b/>
      <w:sz w:val="28"/>
      <w:szCs w:val="24"/>
    </w:rPr>
  </w:style>
  <w:style w:type="character" w:customStyle="1" w:styleId="270">
    <w:name w:val="heading 3 Text"/>
    <w:basedOn w:val="42"/>
    <w:link w:val="4"/>
    <w:unhideWhenUsed/>
    <w:qFormat/>
    <w:uiPriority w:val="99"/>
    <w:rPr>
      <w:rFonts w:hint="default" w:ascii="Times New Roman" w:hAnsi="Times New Roman" w:eastAsia="宋体"/>
      <w:b/>
      <w:sz w:val="26"/>
      <w:szCs w:val="24"/>
    </w:rPr>
  </w:style>
  <w:style w:type="character" w:customStyle="1" w:styleId="271">
    <w:name w:val="Block Text Text"/>
    <w:basedOn w:val="42"/>
    <w:link w:val="20"/>
    <w:unhideWhenUsed/>
    <w:qFormat/>
    <w:uiPriority w:val="99"/>
    <w:rPr>
      <w:rFonts w:hint="default"/>
      <w:i/>
      <w:sz w:val="24"/>
      <w:szCs w:val="24"/>
    </w:rPr>
  </w:style>
  <w:style w:type="paragraph" w:customStyle="1" w:styleId="272">
    <w:name w:val="Table Text"/>
    <w:basedOn w:val="1"/>
    <w:autoRedefine/>
    <w:semiHidden/>
    <w:qFormat/>
    <w:uiPriority w:val="0"/>
    <w:rPr>
      <w:rFonts w:ascii="宋体" w:hAnsi="宋体" w:eastAsia="宋体" w:cs="宋体"/>
      <w:sz w:val="24"/>
      <w:szCs w:val="24"/>
    </w:rPr>
  </w:style>
  <w:style w:type="character" w:customStyle="1" w:styleId="273">
    <w:name w:val="font21"/>
    <w:basedOn w:val="42"/>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2.png"/><Relationship Id="rId98" Type="http://schemas.openxmlformats.org/officeDocument/2006/relationships/image" Target="media/image81.png"/><Relationship Id="rId97" Type="http://schemas.openxmlformats.org/officeDocument/2006/relationships/image" Target="media/image80.png"/><Relationship Id="rId96" Type="http://schemas.openxmlformats.org/officeDocument/2006/relationships/image" Target="media/image79.png"/><Relationship Id="rId95" Type="http://schemas.openxmlformats.org/officeDocument/2006/relationships/image" Target="media/image78.png"/><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2.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footer" Target="footer1.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header" Target="header3.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86.jpeg"/><Relationship Id="rId102" Type="http://schemas.openxmlformats.org/officeDocument/2006/relationships/image" Target="media/image85.jpeg"/><Relationship Id="rId101" Type="http://schemas.openxmlformats.org/officeDocument/2006/relationships/image" Target="media/image84.png"/><Relationship Id="rId100" Type="http://schemas.openxmlformats.org/officeDocument/2006/relationships/image" Target="media/image83.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165C3-3CB2-411E-9D5D-1417F1DE00B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119</Pages>
  <Words>4098</Words>
  <Characters>5096</Characters>
  <Lines>626</Lines>
  <Paragraphs>176</Paragraphs>
  <TotalTime>68</TotalTime>
  <ScaleCrop>false</ScaleCrop>
  <LinksUpToDate>false</LinksUpToDate>
  <CharactersWithSpaces>5287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StudentWenB</cp:lastModifiedBy>
  <cp:lastPrinted>2023-05-29T00:19:00Z</cp:lastPrinted>
  <dcterms:modified xsi:type="dcterms:W3CDTF">2024-10-24T09:44:26Z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MTWinEqns">
    <vt:bool>true</vt:bool>
  </property>
  <property fmtid="{D5CDD505-2E9C-101B-9397-08002B2CF9AE}" pid="4" name="ICV">
    <vt:lpwstr>93BFCA3A73FB4764A509C1573366BBDC_13</vt:lpwstr>
  </property>
</Properties>
</file>