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28A74">
      <w:pPr>
        <w:numPr>
          <w:ilvl w:val="0"/>
          <w:numId w:val="0"/>
        </w:numPr>
        <w:rPr>
          <w:color w:val="0000FF"/>
        </w:rPr>
      </w:pPr>
    </w:p>
    <w:p w14:paraId="02CAE9FC">
      <w:pPr>
        <w:ind w:firstLine="560"/>
        <w:jc w:val="right"/>
        <w:rPr>
          <w:bCs/>
          <w:color w:val="0000FF"/>
          <w:sz w:val="28"/>
          <w:szCs w:val="28"/>
        </w:rPr>
      </w:pPr>
      <w:r>
        <w:rPr>
          <w:rFonts w:ascii="黑体" w:hAnsi="黑体" w:eastAsia="黑体"/>
          <w:color w:val="0000FF"/>
          <w:sz w:val="28"/>
          <w:szCs w:val="28"/>
        </w:rPr>
        <w:t>方案编号</w:t>
      </w:r>
    </w:p>
    <w:p w14:paraId="004E32F5">
      <w:pPr>
        <w:ind w:firstLine="562" w:firstLineChars="201"/>
        <w:jc w:val="left"/>
        <w:rPr>
          <w:bCs/>
          <w:color w:val="auto"/>
          <w:sz w:val="28"/>
          <w:szCs w:val="28"/>
        </w:rPr>
      </w:pPr>
    </w:p>
    <w:p w14:paraId="270387E4">
      <w:pPr>
        <w:ind w:firstLine="0" w:firstLineChars="0"/>
        <w:jc w:val="center"/>
        <w:outlineLvl w:val="9"/>
        <w:rPr>
          <w:rFonts w:hint="eastAsia" w:ascii="宋体" w:hAnsi="宋体" w:eastAsia="宋体" w:cs="宋体"/>
          <w:b/>
          <w:bCs/>
          <w:color w:val="auto"/>
          <w:sz w:val="44"/>
          <w:szCs w:val="44"/>
          <w:lang w:val="en-US" w:eastAsia="zh-CN"/>
        </w:rPr>
      </w:pPr>
      <w:bookmarkStart w:id="0" w:name="_Toc40778419"/>
      <w:bookmarkStart w:id="1" w:name="_Toc40445698"/>
      <w:bookmarkStart w:id="2" w:name="_Toc13281"/>
      <w:bookmarkStart w:id="3" w:name="_Toc40446029"/>
      <w:bookmarkStart w:id="4" w:name="_Toc40273440"/>
      <w:r>
        <w:rPr>
          <w:rFonts w:hint="eastAsia" w:ascii="宋体" w:hAnsi="宋体" w:eastAsia="宋体" w:cs="宋体"/>
          <w:b/>
          <w:bCs/>
          <w:color w:val="auto"/>
          <w:sz w:val="44"/>
          <w:szCs w:val="44"/>
          <w:lang w:val="en-US" w:eastAsia="zh-CN"/>
        </w:rPr>
        <w:t>　彭州市龙兴寺片区PZ2024-16地块商住建设项目</w:t>
      </w:r>
    </w:p>
    <w:p w14:paraId="38F2A638">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施工升降机拆除</w:t>
      </w:r>
      <w:r>
        <w:rPr>
          <w:rFonts w:hint="eastAsia" w:ascii="宋体" w:hAnsi="宋体"/>
          <w:b/>
          <w:color w:val="auto"/>
          <w:sz w:val="40"/>
          <w:szCs w:val="40"/>
        </w:rPr>
        <w:t>专项施工方案</w:t>
      </w:r>
      <w:bookmarkEnd w:id="5"/>
    </w:p>
    <w:bookmarkEnd w:id="0"/>
    <w:bookmarkEnd w:id="1"/>
    <w:bookmarkEnd w:id="2"/>
    <w:bookmarkEnd w:id="3"/>
    <w:bookmarkEnd w:id="4"/>
    <w:p w14:paraId="4CB90CD0">
      <w:pPr>
        <w:ind w:firstLine="562" w:firstLineChars="201"/>
        <w:jc w:val="left"/>
        <w:rPr>
          <w:bCs/>
          <w:color w:val="auto"/>
          <w:sz w:val="28"/>
          <w:szCs w:val="28"/>
        </w:rPr>
      </w:pPr>
    </w:p>
    <w:p w14:paraId="751944FE">
      <w:pPr>
        <w:ind w:firstLine="562" w:firstLineChars="201"/>
        <w:jc w:val="left"/>
        <w:rPr>
          <w:bCs/>
          <w:color w:val="auto"/>
          <w:sz w:val="28"/>
          <w:szCs w:val="28"/>
        </w:rPr>
      </w:pPr>
    </w:p>
    <w:p w14:paraId="57C56830">
      <w:pPr>
        <w:ind w:firstLine="0" w:firstLineChars="0"/>
        <w:jc w:val="center"/>
        <w:rPr>
          <w:color w:val="auto"/>
          <w:sz w:val="28"/>
          <w:szCs w:val="28"/>
        </w:rPr>
      </w:pPr>
      <w:r>
        <w:rPr>
          <w:color w:val="auto"/>
          <w:sz w:val="28"/>
          <w:szCs w:val="28"/>
        </w:rPr>
        <w:drawing>
          <wp:inline distT="0" distB="0" distL="0" distR="0">
            <wp:extent cx="2247900" cy="2647950"/>
            <wp:effectExtent l="19050" t="0" r="0" b="0"/>
            <wp:docPr id="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
                    <pic:cNvPicPr>
                      <a:picLocks noChangeAspect="1" noChangeArrowheads="1"/>
                    </pic:cNvPicPr>
                  </pic:nvPicPr>
                  <pic:blipFill>
                    <a:blip r:embed="rId20" cstate="print"/>
                    <a:srcRect/>
                    <a:stretch>
                      <a:fillRect/>
                    </a:stretch>
                  </pic:blipFill>
                  <pic:spPr>
                    <a:xfrm>
                      <a:off x="0" y="0"/>
                      <a:ext cx="2247900" cy="2647950"/>
                    </a:xfrm>
                    <a:prstGeom prst="rect">
                      <a:avLst/>
                    </a:prstGeom>
                    <a:noFill/>
                    <a:ln w="9525">
                      <a:noFill/>
                      <a:miter lim="800000"/>
                      <a:headEnd/>
                      <a:tailEnd/>
                    </a:ln>
                  </pic:spPr>
                </pic:pic>
              </a:graphicData>
            </a:graphic>
          </wp:inline>
        </w:drawing>
      </w:r>
    </w:p>
    <w:p w14:paraId="38949DD4">
      <w:pPr>
        <w:ind w:firstLine="565" w:firstLineChars="201"/>
        <w:jc w:val="left"/>
        <w:rPr>
          <w:b/>
          <w:color w:val="auto"/>
          <w:sz w:val="28"/>
          <w:szCs w:val="28"/>
        </w:rPr>
      </w:pPr>
      <w:r>
        <w:rPr>
          <w:rFonts w:hint="eastAsia"/>
          <w:b/>
          <w:color w:val="auto"/>
          <w:sz w:val="28"/>
          <w:szCs w:val="28"/>
        </w:rPr>
        <w:t xml:space="preserve">                                </w:t>
      </w:r>
    </w:p>
    <w:p w14:paraId="4250733A">
      <w:pPr>
        <w:ind w:firstLine="562" w:firstLineChars="201"/>
        <w:jc w:val="left"/>
        <w:rPr>
          <w:bCs/>
          <w:color w:val="auto"/>
          <w:sz w:val="28"/>
          <w:szCs w:val="28"/>
        </w:rPr>
      </w:pPr>
    </w:p>
    <w:p w14:paraId="1088683C">
      <w:pPr>
        <w:ind w:firstLine="562" w:firstLineChars="201"/>
        <w:jc w:val="left"/>
        <w:rPr>
          <w:bCs/>
          <w:color w:val="auto"/>
          <w:sz w:val="28"/>
          <w:szCs w:val="28"/>
        </w:rPr>
      </w:pPr>
    </w:p>
    <w:p w14:paraId="0D9E7F8C">
      <w:pPr>
        <w:ind w:left="0" w:leftChars="0" w:firstLine="0" w:firstLineChars="0"/>
        <w:jc w:val="left"/>
        <w:rPr>
          <w:bCs/>
          <w:color w:val="auto"/>
          <w:sz w:val="28"/>
          <w:szCs w:val="28"/>
        </w:rPr>
      </w:pPr>
    </w:p>
    <w:p w14:paraId="6607BE15">
      <w:pPr>
        <w:ind w:firstLine="562" w:firstLineChars="201"/>
        <w:jc w:val="left"/>
        <w:rPr>
          <w:bCs/>
          <w:color w:val="auto"/>
          <w:sz w:val="28"/>
          <w:szCs w:val="28"/>
        </w:rPr>
      </w:pPr>
    </w:p>
    <w:p w14:paraId="0E6B585D">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5D616B4F">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1CE9956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bookmarkStart w:id="6" w:name="_Toc277275498"/>
      <w:bookmarkEnd w:id="6"/>
      <w:bookmarkStart w:id="7" w:name="_Toc276521510"/>
      <w:bookmarkEnd w:id="7"/>
      <w:bookmarkStart w:id="8" w:name="_Toc271909489"/>
      <w:bookmarkEnd w:id="8"/>
    </w:p>
    <w:p w14:paraId="72F01838">
      <w:pPr>
        <w:ind w:firstLine="562" w:firstLineChars="201"/>
        <w:jc w:val="left"/>
        <w:rPr>
          <w:bCs/>
          <w:color w:val="auto"/>
          <w:sz w:val="28"/>
          <w:szCs w:val="28"/>
        </w:rPr>
      </w:pPr>
      <w:r>
        <w:rPr>
          <w:bCs/>
          <w:color w:val="auto"/>
          <w:sz w:val="28"/>
          <w:szCs w:val="28"/>
        </w:rPr>
        <w:br w:type="page"/>
      </w:r>
    </w:p>
    <w:p w14:paraId="7AE29C24">
      <w:pPr>
        <w:ind w:firstLine="562" w:firstLineChars="201"/>
        <w:jc w:val="left"/>
        <w:rPr>
          <w:bCs/>
          <w:color w:val="auto"/>
          <w:sz w:val="28"/>
          <w:szCs w:val="28"/>
        </w:rPr>
      </w:pPr>
    </w:p>
    <w:p w14:paraId="4075E45A">
      <w:pPr>
        <w:ind w:firstLine="562" w:firstLineChars="201"/>
        <w:jc w:val="left"/>
        <w:rPr>
          <w:bCs/>
          <w:color w:val="auto"/>
          <w:sz w:val="28"/>
          <w:szCs w:val="28"/>
        </w:rPr>
      </w:pPr>
    </w:p>
    <w:p w14:paraId="5E0AAE12">
      <w:pPr>
        <w:pStyle w:val="43"/>
        <w:rPr>
          <w:rFonts w:hint="default" w:ascii="宋体" w:hAnsi="宋体" w:eastAsia="宋体" w:cs="宋体"/>
          <w:b/>
          <w:bCs/>
          <w:color w:val="auto"/>
          <w:sz w:val="48"/>
          <w:szCs w:val="48"/>
          <w:lang w:val="en-US" w:eastAsia="zh-CN"/>
        </w:rPr>
      </w:pPr>
      <w:r>
        <w:rPr>
          <w:rFonts w:hint="eastAsia" w:ascii="宋体" w:hAnsi="宋体" w:eastAsia="宋体" w:cs="宋体"/>
          <w:b/>
          <w:bCs/>
          <w:color w:val="auto"/>
          <w:sz w:val="40"/>
          <w:szCs w:val="40"/>
          <w:lang w:val="en-US" w:eastAsia="zh-CN"/>
        </w:rPr>
        <w:t>彭州市龙兴寺片区PZ2024-16地块商住建设项目</w:t>
      </w:r>
    </w:p>
    <w:p w14:paraId="59DD8BC1">
      <w:pPr>
        <w:ind w:firstLine="0" w:firstLineChars="0"/>
        <w:jc w:val="center"/>
        <w:outlineLvl w:val="9"/>
        <w:rPr>
          <w:rFonts w:hint="eastAsia" w:ascii="宋体" w:hAnsi="宋体"/>
          <w:b/>
          <w:color w:val="auto"/>
          <w:sz w:val="36"/>
          <w:szCs w:val="36"/>
        </w:rPr>
      </w:pPr>
      <w:r>
        <w:rPr>
          <w:rFonts w:hint="eastAsia" w:ascii="宋体" w:hAnsi="宋体" w:cs="Times New Roman"/>
          <w:b/>
          <w:color w:val="auto"/>
          <w:sz w:val="36"/>
          <w:szCs w:val="36"/>
          <w:lang w:val="en-US" w:eastAsia="zh-CN"/>
        </w:rPr>
        <w:t>　施工升降机拆除</w:t>
      </w:r>
      <w:r>
        <w:rPr>
          <w:rFonts w:hint="eastAsia" w:ascii="宋体" w:hAnsi="宋体"/>
          <w:b/>
          <w:color w:val="auto"/>
          <w:sz w:val="36"/>
          <w:szCs w:val="36"/>
        </w:rPr>
        <w:t>专项施工方案</w:t>
      </w:r>
    </w:p>
    <w:p w14:paraId="159B7E0B">
      <w:pPr>
        <w:pStyle w:val="32"/>
        <w:rPr>
          <w:rFonts w:hint="eastAsia" w:ascii="宋体" w:hAnsi="宋体"/>
          <w:b/>
          <w:color w:val="auto"/>
          <w:sz w:val="40"/>
          <w:szCs w:val="40"/>
        </w:rPr>
      </w:pPr>
    </w:p>
    <w:p w14:paraId="2F6ECAFE">
      <w:pPr>
        <w:pStyle w:val="32"/>
        <w:rPr>
          <w:rFonts w:hint="eastAsia" w:ascii="宋体" w:hAnsi="宋体"/>
          <w:b/>
          <w:color w:val="auto"/>
          <w:sz w:val="10"/>
          <w:szCs w:val="10"/>
        </w:rPr>
      </w:pPr>
    </w:p>
    <w:p w14:paraId="06C6C6DA">
      <w:pPr>
        <w:ind w:firstLine="482" w:firstLineChars="201"/>
        <w:jc w:val="center"/>
        <w:rPr>
          <w:bCs/>
          <w:color w:val="auto"/>
          <w:sz w:val="28"/>
          <w:szCs w:val="28"/>
        </w:rPr>
      </w:pPr>
      <w:r>
        <w:rPr>
          <w:color w:val="auto"/>
        </w:rPr>
        <w:drawing>
          <wp:inline distT="0" distB="0" distL="0" distR="0">
            <wp:extent cx="4093210" cy="2509520"/>
            <wp:effectExtent l="0" t="0" r="2540" b="508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1"/>
                    <a:stretch>
                      <a:fillRect/>
                    </a:stretch>
                  </pic:blipFill>
                  <pic:spPr>
                    <a:xfrm>
                      <a:off x="0" y="0"/>
                      <a:ext cx="4093210" cy="2509520"/>
                    </a:xfrm>
                    <a:prstGeom prst="rect">
                      <a:avLst/>
                    </a:prstGeom>
                  </pic:spPr>
                </pic:pic>
              </a:graphicData>
            </a:graphic>
          </wp:inline>
        </w:drawing>
      </w:r>
    </w:p>
    <w:p w14:paraId="5755931D">
      <w:pPr>
        <w:ind w:firstLine="562" w:firstLineChars="201"/>
        <w:jc w:val="left"/>
        <w:rPr>
          <w:bCs/>
          <w:color w:val="auto"/>
          <w:sz w:val="28"/>
          <w:szCs w:val="28"/>
        </w:rPr>
      </w:pPr>
    </w:p>
    <w:p w14:paraId="4C966ABD">
      <w:pPr>
        <w:ind w:left="0" w:leftChars="0" w:firstLine="0" w:firstLineChars="0"/>
        <w:jc w:val="left"/>
        <w:rPr>
          <w:bCs/>
          <w:color w:val="auto"/>
          <w:sz w:val="28"/>
          <w:szCs w:val="28"/>
        </w:rPr>
      </w:pPr>
    </w:p>
    <w:p w14:paraId="788603B6">
      <w:pPr>
        <w:pStyle w:val="32"/>
        <w:rPr>
          <w:color w:val="auto"/>
        </w:rPr>
      </w:pPr>
    </w:p>
    <w:p w14:paraId="77F529D6">
      <w:pPr>
        <w:keepNext w:val="0"/>
        <w:keepLines w:val="0"/>
        <w:pageBreakBefore w:val="0"/>
        <w:widowControl w:val="0"/>
        <w:kinsoku/>
        <w:wordWrap/>
        <w:overflowPunct/>
        <w:topLinePunct w:val="0"/>
        <w:autoSpaceDE/>
        <w:autoSpaceDN/>
        <w:bidi w:val="0"/>
        <w:adjustRightInd/>
        <w:snapToGrid/>
        <w:spacing w:line="480" w:lineRule="auto"/>
        <w:ind w:firstLine="2800" w:firstLineChars="1000"/>
        <w:jc w:val="left"/>
        <w:textAlignment w:val="auto"/>
        <w:rPr>
          <w:bCs/>
          <w:color w:val="auto"/>
          <w:sz w:val="28"/>
          <w:szCs w:val="28"/>
        </w:rPr>
      </w:pPr>
      <w:r>
        <w:rPr>
          <w:rFonts w:hint="eastAsia"/>
          <w:bCs/>
          <w:color w:val="auto"/>
          <w:sz w:val="28"/>
          <w:szCs w:val="28"/>
        </w:rPr>
        <w:t xml:space="preserve">编 制：  </w:t>
      </w:r>
      <w:r>
        <w:rPr>
          <w:rFonts w:hint="eastAsia"/>
          <w:bCs/>
          <w:color w:val="auto"/>
          <w:sz w:val="28"/>
          <w:szCs w:val="28"/>
          <w:u w:val="single"/>
        </w:rPr>
        <w:t xml:space="preserve">                    </w:t>
      </w:r>
    </w:p>
    <w:p w14:paraId="17BEA36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w:t>
      </w:r>
      <w:r>
        <w:rPr>
          <w:rFonts w:hint="eastAsia"/>
          <w:bCs/>
          <w:color w:val="auto"/>
          <w:sz w:val="28"/>
          <w:szCs w:val="28"/>
        </w:rPr>
        <w:t xml:space="preserve">审 核：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6A19F6C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审 批</w:t>
      </w:r>
      <w:r>
        <w:rPr>
          <w:rFonts w:hint="eastAsia"/>
          <w:bCs/>
          <w:color w:val="auto"/>
          <w:sz w:val="28"/>
          <w:szCs w:val="28"/>
        </w:rPr>
        <w:t xml:space="preserve">：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54A737DC">
      <w:pPr>
        <w:ind w:firstLine="0" w:firstLineChars="0"/>
        <w:jc w:val="both"/>
        <w:rPr>
          <w:b/>
          <w:color w:val="auto"/>
          <w:sz w:val="48"/>
          <w:szCs w:val="32"/>
        </w:rPr>
      </w:pPr>
    </w:p>
    <w:p w14:paraId="7E6E0EA2">
      <w:pPr>
        <w:pStyle w:val="32"/>
        <w:rPr>
          <w:b/>
          <w:color w:val="auto"/>
          <w:sz w:val="48"/>
          <w:szCs w:val="32"/>
        </w:rPr>
      </w:pPr>
    </w:p>
    <w:p w14:paraId="29867964">
      <w:pPr>
        <w:pStyle w:val="32"/>
        <w:keepNext w:val="0"/>
        <w:keepLines w:val="0"/>
        <w:pageBreakBefore w:val="0"/>
        <w:widowControl w:val="0"/>
        <w:kinsoku/>
        <w:wordWrap/>
        <w:overflowPunct/>
        <w:topLinePunct w:val="0"/>
        <w:bidi w:val="0"/>
        <w:snapToGrid/>
        <w:spacing w:line="360" w:lineRule="auto"/>
        <w:jc w:val="center"/>
        <w:textAlignment w:val="auto"/>
        <w:rPr>
          <w:rFonts w:hint="eastAsia"/>
          <w:b/>
          <w:color w:val="auto"/>
          <w:sz w:val="36"/>
          <w:szCs w:val="36"/>
          <w:lang w:eastAsia="zh-CN"/>
        </w:rPr>
      </w:pPr>
      <w:r>
        <w:rPr>
          <w:rFonts w:hint="eastAsia"/>
          <w:b/>
          <w:color w:val="auto"/>
          <w:sz w:val="32"/>
          <w:szCs w:val="32"/>
          <w:lang w:val="en-US" w:eastAsia="zh-CN"/>
        </w:rPr>
        <w:t xml:space="preserve">     </w:t>
      </w:r>
      <w:r>
        <w:rPr>
          <w:rFonts w:hint="eastAsia"/>
          <w:b/>
          <w:color w:val="auto"/>
          <w:sz w:val="28"/>
          <w:szCs w:val="28"/>
          <w:lang w:val="en-US" w:eastAsia="zh-CN"/>
        </w:rPr>
        <w:t xml:space="preserve"> </w:t>
      </w:r>
      <w:r>
        <w:rPr>
          <w:rFonts w:hint="eastAsia"/>
          <w:b/>
          <w:color w:val="auto"/>
          <w:sz w:val="36"/>
          <w:szCs w:val="36"/>
          <w:lang w:val="en-US" w:eastAsia="zh-CN"/>
        </w:rPr>
        <w:t>四川科斗文智能装备有限公司</w:t>
      </w:r>
    </w:p>
    <w:p w14:paraId="6533E860">
      <w:pPr>
        <w:pStyle w:val="32"/>
        <w:keepNext w:val="0"/>
        <w:keepLines w:val="0"/>
        <w:pageBreakBefore w:val="0"/>
        <w:widowControl w:val="0"/>
        <w:kinsoku/>
        <w:wordWrap/>
        <w:overflowPunct/>
        <w:topLinePunct w:val="0"/>
        <w:bidi w:val="0"/>
        <w:snapToGrid/>
        <w:spacing w:line="360" w:lineRule="auto"/>
        <w:jc w:val="center"/>
        <w:textAlignment w:val="auto"/>
        <w:rPr>
          <w:rFonts w:hint="default"/>
          <w:b/>
          <w:color w:val="auto"/>
          <w:sz w:val="36"/>
          <w:szCs w:val="36"/>
          <w:lang w:val="en-US" w:eastAsia="zh-CN"/>
        </w:rPr>
      </w:pPr>
      <w:r>
        <w:rPr>
          <w:rFonts w:hint="eastAsia"/>
          <w:b/>
          <w:color w:val="auto"/>
          <w:sz w:val="36"/>
          <w:szCs w:val="36"/>
          <w:lang w:val="en-US" w:eastAsia="zh-CN"/>
        </w:rPr>
        <w:t xml:space="preserve">      </w:t>
      </w:r>
      <w:r>
        <w:rPr>
          <w:rFonts w:hint="default"/>
          <w:b/>
          <w:color w:val="auto"/>
          <w:sz w:val="36"/>
          <w:szCs w:val="36"/>
          <w:lang w:val="en-US" w:eastAsia="zh-CN"/>
        </w:rPr>
        <w:t>202</w:t>
      </w:r>
      <w:r>
        <w:rPr>
          <w:rFonts w:hint="eastAsia"/>
          <w:b/>
          <w:color w:val="auto"/>
          <w:sz w:val="36"/>
          <w:szCs w:val="36"/>
          <w:lang w:val="en-US" w:eastAsia="zh-CN"/>
        </w:rPr>
        <w:t>5年11月</w:t>
      </w:r>
    </w:p>
    <w:p w14:paraId="6016FF9D">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425" w:num="1"/>
          <w:docGrid w:linePitch="498" w:charSpace="17788"/>
        </w:sectPr>
      </w:pPr>
    </w:p>
    <w:sdt>
      <w:sdtPr>
        <w:rPr>
          <w:rFonts w:ascii="宋体" w:hAnsi="宋体" w:eastAsia="宋体" w:cs="Times New Roman"/>
          <w:color w:val="auto"/>
          <w:kern w:val="2"/>
          <w:sz w:val="32"/>
          <w:szCs w:val="32"/>
          <w:lang w:val="en-US" w:eastAsia="zh-CN" w:bidi="ar-SA"/>
        </w:rPr>
        <w:id w:val="147462089"/>
        <w15:color w:val="DBDBDB"/>
        <w:docPartObj>
          <w:docPartGallery w:val="Table of Contents"/>
          <w:docPartUnique/>
        </w:docPartObj>
      </w:sdtPr>
      <w:sdtEndPr>
        <w:rPr>
          <w:rFonts w:ascii="Times New Roman" w:hAnsi="Times New Roman" w:eastAsia="宋体" w:cs="Times New Roman"/>
          <w:b/>
          <w:color w:val="auto"/>
          <w:kern w:val="2"/>
          <w:sz w:val="28"/>
          <w:szCs w:val="32"/>
          <w:lang w:val="en-US" w:eastAsia="zh-CN" w:bidi="ar-SA"/>
        </w:rPr>
      </w:sdtEndPr>
      <w:sdtContent>
        <w:p w14:paraId="744EEAE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5906A294">
          <w:pPr>
            <w:pStyle w:val="20"/>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_Toc22275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ascii="Times New Roman" w:hAnsi="Times New Roman" w:eastAsia="宋体" w:cs="Times New Roman"/>
            </w:rPr>
            <w:t>工程概况</w:t>
          </w:r>
          <w:r>
            <w:tab/>
          </w:r>
          <w:r>
            <w:fldChar w:fldCharType="begin"/>
          </w:r>
          <w:r>
            <w:instrText xml:space="preserve"> PAGEREF _Toc22275 \h </w:instrText>
          </w:r>
          <w:r>
            <w:fldChar w:fldCharType="separate"/>
          </w:r>
          <w:r>
            <w:t>3</w:t>
          </w:r>
          <w:r>
            <w:fldChar w:fldCharType="end"/>
          </w:r>
          <w:r>
            <w:rPr>
              <w:rFonts w:hint="eastAsia" w:ascii="宋体" w:hAnsi="宋体" w:eastAsia="宋体" w:cs="宋体"/>
              <w:color w:val="auto"/>
              <w:szCs w:val="24"/>
            </w:rPr>
            <w:fldChar w:fldCharType="end"/>
          </w:r>
        </w:p>
        <w:p w14:paraId="227E70A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_Toc31724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1.1 </w:t>
          </w:r>
          <w:r>
            <w:rPr>
              <w:rFonts w:hint="eastAsia"/>
            </w:rPr>
            <w:t>工程</w:t>
          </w:r>
          <w:r>
            <w:rPr>
              <w:rFonts w:hint="eastAsia" w:eastAsia="宋体"/>
              <w:lang w:eastAsia="zh-CN"/>
            </w:rPr>
            <w:t>概况</w:t>
          </w:r>
          <w:r>
            <w:tab/>
          </w:r>
          <w:r>
            <w:fldChar w:fldCharType="begin"/>
          </w:r>
          <w:r>
            <w:instrText xml:space="preserve"> PAGEREF _Toc31724 \h </w:instrText>
          </w:r>
          <w:r>
            <w:fldChar w:fldCharType="separate"/>
          </w:r>
          <w:r>
            <w:t>3</w:t>
          </w:r>
          <w:r>
            <w:fldChar w:fldCharType="end"/>
          </w:r>
          <w:r>
            <w:rPr>
              <w:rFonts w:hint="eastAsia" w:ascii="宋体" w:hAnsi="宋体" w:eastAsia="宋体" w:cs="宋体"/>
              <w:color w:val="auto"/>
              <w:szCs w:val="24"/>
            </w:rPr>
            <w:fldChar w:fldCharType="end"/>
          </w:r>
        </w:p>
        <w:p w14:paraId="19F04EC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_Toc8703 </w:instrText>
          </w:r>
          <w:r>
            <w:rPr>
              <w:rFonts w:hint="eastAsia" w:ascii="宋体" w:hAnsi="宋体" w:eastAsia="宋体" w:cs="宋体"/>
              <w:szCs w:val="24"/>
            </w:rPr>
            <w:fldChar w:fldCharType="separate"/>
          </w:r>
          <w:r>
            <w:rPr>
              <w:rFonts w:hint="default" w:ascii="宋体" w:hAnsi="宋体" w:eastAsia="宋体" w:cs="宋体"/>
            </w:rPr>
            <w:t xml:space="preserve">1.2 </w:t>
          </w:r>
          <w:r>
            <w:rPr>
              <w:rFonts w:hint="eastAsia"/>
            </w:rPr>
            <w:t>施工平面</w:t>
          </w:r>
          <w:r>
            <w:rPr>
              <w:rFonts w:hint="eastAsia"/>
              <w:lang w:val="en-US" w:eastAsia="zh-CN"/>
            </w:rPr>
            <w:t>及立面</w:t>
          </w:r>
          <w:r>
            <w:rPr>
              <w:rFonts w:hint="eastAsia"/>
            </w:rPr>
            <w:t>布置</w:t>
          </w:r>
          <w:r>
            <w:tab/>
          </w:r>
          <w:r>
            <w:fldChar w:fldCharType="begin"/>
          </w:r>
          <w:r>
            <w:instrText xml:space="preserve"> PAGEREF _Toc8703 \h </w:instrText>
          </w:r>
          <w:r>
            <w:fldChar w:fldCharType="separate"/>
          </w:r>
          <w:r>
            <w:t>5</w:t>
          </w:r>
          <w:r>
            <w:fldChar w:fldCharType="end"/>
          </w:r>
          <w:r>
            <w:rPr>
              <w:rFonts w:hint="eastAsia" w:ascii="宋体" w:hAnsi="宋体" w:eastAsia="宋体" w:cs="宋体"/>
              <w:color w:val="auto"/>
              <w:szCs w:val="24"/>
            </w:rPr>
            <w:fldChar w:fldCharType="end"/>
          </w:r>
        </w:p>
        <w:p w14:paraId="144817B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_Toc29966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施工要求</w:t>
          </w:r>
          <w:r>
            <w:tab/>
          </w:r>
          <w:r>
            <w:fldChar w:fldCharType="begin"/>
          </w:r>
          <w:r>
            <w:instrText xml:space="preserve"> PAGEREF _Toc29966 \h </w:instrText>
          </w:r>
          <w:r>
            <w:fldChar w:fldCharType="separate"/>
          </w:r>
          <w:r>
            <w:t>6</w:t>
          </w:r>
          <w:r>
            <w:fldChar w:fldCharType="end"/>
          </w:r>
          <w:r>
            <w:rPr>
              <w:rFonts w:hint="eastAsia" w:ascii="宋体" w:hAnsi="宋体" w:eastAsia="宋体" w:cs="宋体"/>
              <w:color w:val="auto"/>
              <w:szCs w:val="24"/>
            </w:rPr>
            <w:fldChar w:fldCharType="end"/>
          </w:r>
        </w:p>
        <w:p w14:paraId="04C00B9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_Toc24825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危险源辨识及分析</w:t>
          </w:r>
          <w:r>
            <w:tab/>
          </w:r>
          <w:r>
            <w:fldChar w:fldCharType="begin"/>
          </w:r>
          <w:r>
            <w:instrText xml:space="preserve"> PAGEREF _Toc24825 \h </w:instrText>
          </w:r>
          <w:r>
            <w:fldChar w:fldCharType="separate"/>
          </w:r>
          <w:r>
            <w:t>7</w:t>
          </w:r>
          <w:r>
            <w:fldChar w:fldCharType="end"/>
          </w:r>
          <w:r>
            <w:rPr>
              <w:rFonts w:hint="eastAsia" w:ascii="宋体" w:hAnsi="宋体" w:eastAsia="宋体" w:cs="宋体"/>
              <w:color w:val="auto"/>
              <w:szCs w:val="24"/>
            </w:rPr>
            <w:fldChar w:fldCharType="end"/>
          </w:r>
        </w:p>
        <w:p w14:paraId="22124B7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_Toc3875 </w:instrText>
          </w:r>
          <w:r>
            <w:rPr>
              <w:rFonts w:hint="eastAsia" w:ascii="宋体" w:hAnsi="宋体" w:eastAsia="宋体" w:cs="宋体"/>
              <w:szCs w:val="24"/>
            </w:rPr>
            <w:fldChar w:fldCharType="separate"/>
          </w:r>
          <w:r>
            <w:rPr>
              <w:rFonts w:hint="default" w:ascii="宋体" w:hAnsi="宋体" w:eastAsia="宋体" w:cs="宋体"/>
            </w:rPr>
            <w:t xml:space="preserve">1.5 </w:t>
          </w:r>
          <w:r>
            <w:rPr>
              <w:rFonts w:hint="eastAsia" w:ascii="宋体" w:hAnsi="宋体" w:cs="宋体"/>
              <w:szCs w:val="28"/>
              <w:lang w:val="en-US" w:eastAsia="zh-CN"/>
            </w:rPr>
            <w:t>参建</w:t>
          </w:r>
          <w:r>
            <w:rPr>
              <w:rFonts w:hint="eastAsia" w:ascii="宋体" w:hAnsi="宋体" w:eastAsia="宋体" w:cs="宋体"/>
              <w:szCs w:val="28"/>
              <w:lang w:val="en-US" w:eastAsia="zh-CN"/>
            </w:rPr>
            <w:t>各方责任主体</w:t>
          </w:r>
          <w:r>
            <w:tab/>
          </w:r>
          <w:r>
            <w:fldChar w:fldCharType="begin"/>
          </w:r>
          <w:r>
            <w:instrText xml:space="preserve"> PAGEREF _Toc3875 \h </w:instrText>
          </w:r>
          <w:r>
            <w:fldChar w:fldCharType="separate"/>
          </w:r>
          <w:r>
            <w:t>9</w:t>
          </w:r>
          <w:r>
            <w:fldChar w:fldCharType="end"/>
          </w:r>
          <w:r>
            <w:rPr>
              <w:rFonts w:hint="eastAsia" w:ascii="宋体" w:hAnsi="宋体" w:eastAsia="宋体" w:cs="宋体"/>
              <w:color w:val="auto"/>
              <w:szCs w:val="24"/>
            </w:rPr>
            <w:fldChar w:fldCharType="end"/>
          </w:r>
        </w:p>
        <w:p w14:paraId="7C9256FB">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_Toc2896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编制说明、依据及适用范围</w:t>
          </w:r>
          <w:r>
            <w:tab/>
          </w:r>
          <w:r>
            <w:fldChar w:fldCharType="begin"/>
          </w:r>
          <w:r>
            <w:instrText xml:space="preserve"> PAGEREF _Toc2896 \h </w:instrText>
          </w:r>
          <w:r>
            <w:fldChar w:fldCharType="separate"/>
          </w:r>
          <w:r>
            <w:t>10</w:t>
          </w:r>
          <w:r>
            <w:fldChar w:fldCharType="end"/>
          </w:r>
          <w:r>
            <w:rPr>
              <w:rFonts w:hint="eastAsia" w:ascii="宋体" w:hAnsi="宋体" w:eastAsia="宋体" w:cs="宋体"/>
              <w:color w:val="auto"/>
              <w:szCs w:val="24"/>
            </w:rPr>
            <w:fldChar w:fldCharType="end"/>
          </w:r>
        </w:p>
        <w:p w14:paraId="7667C30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_Toc11640 </w:instrText>
          </w:r>
          <w:r>
            <w:rPr>
              <w:rFonts w:hint="eastAsia" w:ascii="宋体" w:hAnsi="宋体" w:eastAsia="宋体" w:cs="宋体"/>
              <w:szCs w:val="24"/>
            </w:rPr>
            <w:fldChar w:fldCharType="separate"/>
          </w:r>
          <w:r>
            <w:rPr>
              <w:rFonts w:hint="default" w:ascii="宋体" w:hAnsi="宋体" w:eastAsia="宋体" w:cs="宋体"/>
            </w:rPr>
            <w:t xml:space="preserve">2.1 </w:t>
          </w:r>
          <w:r>
            <w:rPr>
              <w:rFonts w:hint="eastAsia"/>
            </w:rPr>
            <w:t>编制说明</w:t>
          </w:r>
          <w:r>
            <w:tab/>
          </w:r>
          <w:r>
            <w:fldChar w:fldCharType="begin"/>
          </w:r>
          <w:r>
            <w:instrText xml:space="preserve"> PAGEREF _Toc11640 \h </w:instrText>
          </w:r>
          <w:r>
            <w:fldChar w:fldCharType="separate"/>
          </w:r>
          <w:r>
            <w:t>10</w:t>
          </w:r>
          <w:r>
            <w:fldChar w:fldCharType="end"/>
          </w:r>
          <w:r>
            <w:rPr>
              <w:rFonts w:hint="eastAsia" w:ascii="宋体" w:hAnsi="宋体" w:eastAsia="宋体" w:cs="宋体"/>
              <w:color w:val="auto"/>
              <w:szCs w:val="24"/>
            </w:rPr>
            <w:fldChar w:fldCharType="end"/>
          </w:r>
        </w:p>
        <w:p w14:paraId="0DE0442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_Toc17122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2.2 </w:t>
          </w:r>
          <w:r>
            <w:rPr>
              <w:rFonts w:hint="eastAsia"/>
              <w:lang w:val="en-US" w:eastAsia="zh-CN"/>
            </w:rPr>
            <w:t>编制依据</w:t>
          </w:r>
          <w:r>
            <w:tab/>
          </w:r>
          <w:r>
            <w:fldChar w:fldCharType="begin"/>
          </w:r>
          <w:r>
            <w:instrText xml:space="preserve"> PAGEREF _Toc17122 \h </w:instrText>
          </w:r>
          <w:r>
            <w:fldChar w:fldCharType="separate"/>
          </w:r>
          <w:r>
            <w:t>10</w:t>
          </w:r>
          <w:r>
            <w:fldChar w:fldCharType="end"/>
          </w:r>
          <w:r>
            <w:rPr>
              <w:rFonts w:hint="eastAsia" w:ascii="宋体" w:hAnsi="宋体" w:eastAsia="宋体" w:cs="宋体"/>
              <w:color w:val="auto"/>
              <w:szCs w:val="24"/>
            </w:rPr>
            <w:fldChar w:fldCharType="end"/>
          </w:r>
        </w:p>
        <w:p w14:paraId="66D3A51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_Toc3886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编制原则</w:t>
          </w:r>
          <w:r>
            <w:tab/>
          </w:r>
          <w:r>
            <w:fldChar w:fldCharType="begin"/>
          </w:r>
          <w:r>
            <w:instrText xml:space="preserve"> PAGEREF _Toc3886 \h </w:instrText>
          </w:r>
          <w:r>
            <w:fldChar w:fldCharType="separate"/>
          </w:r>
          <w:r>
            <w:t>11</w:t>
          </w:r>
          <w:r>
            <w:fldChar w:fldCharType="end"/>
          </w:r>
          <w:r>
            <w:rPr>
              <w:rFonts w:hint="eastAsia" w:ascii="宋体" w:hAnsi="宋体" w:eastAsia="宋体" w:cs="宋体"/>
              <w:color w:val="auto"/>
              <w:szCs w:val="24"/>
            </w:rPr>
            <w:fldChar w:fldCharType="end"/>
          </w:r>
        </w:p>
        <w:p w14:paraId="4F5D595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_Toc17441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适用范围</w:t>
          </w:r>
          <w:r>
            <w:tab/>
          </w:r>
          <w:r>
            <w:fldChar w:fldCharType="begin"/>
          </w:r>
          <w:r>
            <w:instrText xml:space="preserve"> PAGEREF _Toc17441 \h </w:instrText>
          </w:r>
          <w:r>
            <w:fldChar w:fldCharType="separate"/>
          </w:r>
          <w:r>
            <w:t>11</w:t>
          </w:r>
          <w:r>
            <w:fldChar w:fldCharType="end"/>
          </w:r>
          <w:r>
            <w:rPr>
              <w:rFonts w:hint="eastAsia" w:ascii="宋体" w:hAnsi="宋体" w:eastAsia="宋体" w:cs="宋体"/>
              <w:color w:val="auto"/>
              <w:szCs w:val="24"/>
            </w:rPr>
            <w:fldChar w:fldCharType="end"/>
          </w:r>
        </w:p>
        <w:p w14:paraId="120B06D6">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_Toc22905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_Toc22905 \h </w:instrText>
          </w:r>
          <w:r>
            <w:fldChar w:fldCharType="separate"/>
          </w:r>
          <w:r>
            <w:t>12</w:t>
          </w:r>
          <w:r>
            <w:fldChar w:fldCharType="end"/>
          </w:r>
          <w:r>
            <w:rPr>
              <w:rFonts w:hint="eastAsia" w:ascii="宋体" w:hAnsi="宋体" w:eastAsia="宋体" w:cs="宋体"/>
              <w:color w:val="auto"/>
              <w:szCs w:val="24"/>
            </w:rPr>
            <w:fldChar w:fldCharType="end"/>
          </w:r>
        </w:p>
        <w:p w14:paraId="5383875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_Toc14281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_Toc14281 \h </w:instrText>
          </w:r>
          <w:r>
            <w:fldChar w:fldCharType="separate"/>
          </w:r>
          <w:r>
            <w:t>12</w:t>
          </w:r>
          <w:r>
            <w:fldChar w:fldCharType="end"/>
          </w:r>
          <w:r>
            <w:rPr>
              <w:rFonts w:hint="eastAsia" w:ascii="宋体" w:hAnsi="宋体" w:eastAsia="宋体" w:cs="宋体"/>
              <w:color w:val="auto"/>
              <w:szCs w:val="24"/>
            </w:rPr>
            <w:fldChar w:fldCharType="end"/>
          </w:r>
        </w:p>
        <w:p w14:paraId="2BE5C2D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_Toc20732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_Toc20732 \h </w:instrText>
          </w:r>
          <w:r>
            <w:fldChar w:fldCharType="separate"/>
          </w:r>
          <w:r>
            <w:t>12</w:t>
          </w:r>
          <w:r>
            <w:fldChar w:fldCharType="end"/>
          </w:r>
          <w:r>
            <w:rPr>
              <w:rFonts w:hint="eastAsia" w:ascii="宋体" w:hAnsi="宋体" w:eastAsia="宋体" w:cs="宋体"/>
              <w:color w:val="auto"/>
              <w:szCs w:val="24"/>
            </w:rPr>
            <w:fldChar w:fldCharType="end"/>
          </w:r>
        </w:p>
        <w:p w14:paraId="62D1ECE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_Toc31597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_Toc31597 \h </w:instrText>
          </w:r>
          <w:r>
            <w:fldChar w:fldCharType="separate"/>
          </w:r>
          <w:r>
            <w:t>12</w:t>
          </w:r>
          <w:r>
            <w:fldChar w:fldCharType="end"/>
          </w:r>
          <w:r>
            <w:rPr>
              <w:rFonts w:hint="eastAsia" w:ascii="宋体" w:hAnsi="宋体" w:eastAsia="宋体" w:cs="宋体"/>
              <w:color w:val="auto"/>
              <w:szCs w:val="24"/>
            </w:rPr>
            <w:fldChar w:fldCharType="end"/>
          </w:r>
        </w:p>
        <w:p w14:paraId="0B4DE69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_Toc8876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_Toc8876 \h </w:instrText>
          </w:r>
          <w:r>
            <w:fldChar w:fldCharType="separate"/>
          </w:r>
          <w:r>
            <w:t>13</w:t>
          </w:r>
          <w:r>
            <w:fldChar w:fldCharType="end"/>
          </w:r>
          <w:r>
            <w:rPr>
              <w:rFonts w:hint="eastAsia" w:ascii="宋体" w:hAnsi="宋体" w:eastAsia="宋体" w:cs="宋体"/>
              <w:color w:val="auto"/>
              <w:szCs w:val="24"/>
            </w:rPr>
            <w:fldChar w:fldCharType="end"/>
          </w:r>
        </w:p>
        <w:p w14:paraId="050A9C42">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_Toc24365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_Toc24365 \h </w:instrText>
          </w:r>
          <w:r>
            <w:fldChar w:fldCharType="separate"/>
          </w:r>
          <w:r>
            <w:t>14</w:t>
          </w:r>
          <w:r>
            <w:fldChar w:fldCharType="end"/>
          </w:r>
          <w:r>
            <w:rPr>
              <w:rFonts w:hint="eastAsia" w:ascii="宋体" w:hAnsi="宋体" w:eastAsia="宋体" w:cs="宋体"/>
              <w:color w:val="auto"/>
              <w:szCs w:val="24"/>
            </w:rPr>
            <w:fldChar w:fldCharType="end"/>
          </w:r>
        </w:p>
        <w:p w14:paraId="4A47C6C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_Toc24865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_Toc24865 \h </w:instrText>
          </w:r>
          <w:r>
            <w:fldChar w:fldCharType="separate"/>
          </w:r>
          <w:r>
            <w:t>14</w:t>
          </w:r>
          <w:r>
            <w:fldChar w:fldCharType="end"/>
          </w:r>
          <w:r>
            <w:rPr>
              <w:rFonts w:hint="eastAsia" w:ascii="宋体" w:hAnsi="宋体" w:eastAsia="宋体" w:cs="宋体"/>
              <w:color w:val="auto"/>
              <w:szCs w:val="24"/>
            </w:rPr>
            <w:fldChar w:fldCharType="end"/>
          </w:r>
        </w:p>
        <w:p w14:paraId="1F3C2EA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_Toc2641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_Toc2641 \h </w:instrText>
          </w:r>
          <w:r>
            <w:fldChar w:fldCharType="separate"/>
          </w:r>
          <w:r>
            <w:t>14</w:t>
          </w:r>
          <w:r>
            <w:fldChar w:fldCharType="end"/>
          </w:r>
          <w:r>
            <w:rPr>
              <w:rFonts w:hint="eastAsia" w:ascii="宋体" w:hAnsi="宋体" w:eastAsia="宋体" w:cs="宋体"/>
              <w:color w:val="auto"/>
              <w:szCs w:val="24"/>
            </w:rPr>
            <w:fldChar w:fldCharType="end"/>
          </w:r>
        </w:p>
        <w:p w14:paraId="405FEF1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_Toc16717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_Toc16717 \h </w:instrText>
          </w:r>
          <w:r>
            <w:fldChar w:fldCharType="separate"/>
          </w:r>
          <w:r>
            <w:t>17</w:t>
          </w:r>
          <w:r>
            <w:fldChar w:fldCharType="end"/>
          </w:r>
          <w:r>
            <w:rPr>
              <w:rFonts w:hint="eastAsia" w:ascii="宋体" w:hAnsi="宋体" w:eastAsia="宋体" w:cs="宋体"/>
              <w:color w:val="auto"/>
              <w:szCs w:val="24"/>
            </w:rPr>
            <w:fldChar w:fldCharType="end"/>
          </w:r>
        </w:p>
        <w:p w14:paraId="32DC7C2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_Toc1446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rPr>
            <w:t>施工工艺流程图</w:t>
          </w:r>
          <w:r>
            <w:tab/>
          </w:r>
          <w:r>
            <w:fldChar w:fldCharType="begin"/>
          </w:r>
          <w:r>
            <w:instrText xml:space="preserve"> PAGEREF _Toc1446 \h </w:instrText>
          </w:r>
          <w:r>
            <w:fldChar w:fldCharType="separate"/>
          </w:r>
          <w:r>
            <w:t>18</w:t>
          </w:r>
          <w:r>
            <w:fldChar w:fldCharType="end"/>
          </w:r>
          <w:r>
            <w:rPr>
              <w:rFonts w:hint="eastAsia" w:ascii="宋体" w:hAnsi="宋体" w:eastAsia="宋体" w:cs="宋体"/>
              <w:color w:val="auto"/>
              <w:szCs w:val="24"/>
            </w:rPr>
            <w:fldChar w:fldCharType="end"/>
          </w:r>
        </w:p>
        <w:p w14:paraId="0B770CA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_Toc14817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rPr>
            <w:t>施工方法</w:t>
          </w:r>
          <w:r>
            <w:tab/>
          </w:r>
          <w:r>
            <w:fldChar w:fldCharType="begin"/>
          </w:r>
          <w:r>
            <w:instrText xml:space="preserve"> PAGEREF _Toc14817 \h </w:instrText>
          </w:r>
          <w:r>
            <w:fldChar w:fldCharType="separate"/>
          </w:r>
          <w:r>
            <w:t>18</w:t>
          </w:r>
          <w:r>
            <w:fldChar w:fldCharType="end"/>
          </w:r>
          <w:r>
            <w:rPr>
              <w:rFonts w:hint="eastAsia" w:ascii="宋体" w:hAnsi="宋体" w:eastAsia="宋体" w:cs="宋体"/>
              <w:color w:val="auto"/>
              <w:szCs w:val="24"/>
            </w:rPr>
            <w:fldChar w:fldCharType="end"/>
          </w:r>
        </w:p>
        <w:p w14:paraId="62C0D46C">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_Toc8651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ascii="黑体" w:hAnsi="黑体" w:eastAsia="黑体" w:cs="宋体"/>
              <w:kern w:val="0"/>
              <w:szCs w:val="32"/>
              <w:lang w:val="zh-CN"/>
            </w:rPr>
            <w:t>施工保证措施</w:t>
          </w:r>
          <w:r>
            <w:tab/>
          </w:r>
          <w:r>
            <w:fldChar w:fldCharType="begin"/>
          </w:r>
          <w:r>
            <w:instrText xml:space="preserve"> PAGEREF _Toc8651 \h </w:instrText>
          </w:r>
          <w:r>
            <w:fldChar w:fldCharType="separate"/>
          </w:r>
          <w:r>
            <w:t>25</w:t>
          </w:r>
          <w:r>
            <w:fldChar w:fldCharType="end"/>
          </w:r>
          <w:r>
            <w:rPr>
              <w:rFonts w:hint="eastAsia" w:ascii="宋体" w:hAnsi="宋体" w:eastAsia="宋体" w:cs="宋体"/>
              <w:color w:val="auto"/>
              <w:szCs w:val="24"/>
            </w:rPr>
            <w:fldChar w:fldCharType="end"/>
          </w:r>
        </w:p>
        <w:p w14:paraId="5C654B4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_Toc751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组织保障措施</w:t>
          </w:r>
          <w:r>
            <w:tab/>
          </w:r>
          <w:r>
            <w:fldChar w:fldCharType="begin"/>
          </w:r>
          <w:r>
            <w:instrText xml:space="preserve"> PAGEREF _Toc751 \h </w:instrText>
          </w:r>
          <w:r>
            <w:fldChar w:fldCharType="separate"/>
          </w:r>
          <w:r>
            <w:t>25</w:t>
          </w:r>
          <w:r>
            <w:fldChar w:fldCharType="end"/>
          </w:r>
          <w:r>
            <w:rPr>
              <w:rFonts w:hint="eastAsia" w:ascii="宋体" w:hAnsi="宋体" w:eastAsia="宋体" w:cs="宋体"/>
              <w:color w:val="auto"/>
              <w:szCs w:val="24"/>
            </w:rPr>
            <w:fldChar w:fldCharType="end"/>
          </w:r>
        </w:p>
        <w:p w14:paraId="0F90565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_Toc24780 </w:instrText>
          </w:r>
          <w:r>
            <w:rPr>
              <w:rFonts w:hint="eastAsia" w:ascii="宋体" w:hAnsi="宋体" w:eastAsia="宋体" w:cs="宋体"/>
              <w:szCs w:val="24"/>
            </w:rPr>
            <w:fldChar w:fldCharType="separate"/>
          </w:r>
          <w:r>
            <w:rPr>
              <w:rFonts w:hint="default" w:ascii="宋体" w:hAnsi="宋体" w:eastAsia="宋体" w:cs="宋体"/>
            </w:rPr>
            <w:t xml:space="preserve">5.2 </w:t>
          </w:r>
          <w:r>
            <w:rPr>
              <w:rFonts w:hint="eastAsia"/>
            </w:rPr>
            <w:t>施工安全技术控制措施</w:t>
          </w:r>
          <w:r>
            <w:tab/>
          </w:r>
          <w:r>
            <w:fldChar w:fldCharType="begin"/>
          </w:r>
          <w:r>
            <w:instrText xml:space="preserve"> PAGEREF _Toc24780 \h </w:instrText>
          </w:r>
          <w:r>
            <w:fldChar w:fldCharType="separate"/>
          </w:r>
          <w:r>
            <w:t>26</w:t>
          </w:r>
          <w:r>
            <w:fldChar w:fldCharType="end"/>
          </w:r>
          <w:r>
            <w:rPr>
              <w:rFonts w:hint="eastAsia" w:ascii="宋体" w:hAnsi="宋体" w:eastAsia="宋体" w:cs="宋体"/>
              <w:color w:val="auto"/>
              <w:szCs w:val="24"/>
            </w:rPr>
            <w:fldChar w:fldCharType="end"/>
          </w:r>
        </w:p>
        <w:p w14:paraId="5DC7E3C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_Toc8074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rPr>
            <w:t>监测监控措施</w:t>
          </w:r>
          <w:r>
            <w:tab/>
          </w:r>
          <w:r>
            <w:fldChar w:fldCharType="begin"/>
          </w:r>
          <w:r>
            <w:instrText xml:space="preserve"> PAGEREF _Toc8074 \h </w:instrText>
          </w:r>
          <w:r>
            <w:fldChar w:fldCharType="separate"/>
          </w:r>
          <w:r>
            <w:t>35</w:t>
          </w:r>
          <w:r>
            <w:fldChar w:fldCharType="end"/>
          </w:r>
          <w:r>
            <w:rPr>
              <w:rFonts w:hint="eastAsia" w:ascii="宋体" w:hAnsi="宋体" w:eastAsia="宋体" w:cs="宋体"/>
              <w:color w:val="auto"/>
              <w:szCs w:val="24"/>
            </w:rPr>
            <w:fldChar w:fldCharType="end"/>
          </w:r>
        </w:p>
        <w:p w14:paraId="339C8CF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_Toc1474 </w:instrText>
          </w:r>
          <w:r>
            <w:rPr>
              <w:rFonts w:hint="eastAsia" w:ascii="宋体" w:hAnsi="宋体" w:eastAsia="宋体" w:cs="宋体"/>
              <w:szCs w:val="24"/>
            </w:rPr>
            <w:fldChar w:fldCharType="separate"/>
          </w:r>
          <w:r>
            <w:rPr>
              <w:rFonts w:hint="default" w:ascii="宋体" w:hAnsi="宋体" w:eastAsia="宋体" w:cs="宋体"/>
            </w:rPr>
            <w:t xml:space="preserve">5.4 </w:t>
          </w:r>
          <w:r>
            <w:rPr>
              <w:rFonts w:hint="eastAsia"/>
            </w:rPr>
            <w:t>特殊季节保证措施</w:t>
          </w:r>
          <w:r>
            <w:tab/>
          </w:r>
          <w:r>
            <w:fldChar w:fldCharType="begin"/>
          </w:r>
          <w:r>
            <w:instrText xml:space="preserve"> PAGEREF _Toc1474 \h </w:instrText>
          </w:r>
          <w:r>
            <w:fldChar w:fldCharType="separate"/>
          </w:r>
          <w:r>
            <w:t>37</w:t>
          </w:r>
          <w:r>
            <w:fldChar w:fldCharType="end"/>
          </w:r>
          <w:r>
            <w:rPr>
              <w:rFonts w:hint="eastAsia" w:ascii="宋体" w:hAnsi="宋体" w:eastAsia="宋体" w:cs="宋体"/>
              <w:color w:val="auto"/>
              <w:szCs w:val="24"/>
            </w:rPr>
            <w:fldChar w:fldCharType="end"/>
          </w:r>
        </w:p>
        <w:p w14:paraId="73B15A19">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_Toc10609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施工管理及作业人员配备和分工</w:t>
          </w:r>
          <w:r>
            <w:tab/>
          </w:r>
          <w:r>
            <w:fldChar w:fldCharType="begin"/>
          </w:r>
          <w:r>
            <w:instrText xml:space="preserve"> PAGEREF _Toc10609 \h </w:instrText>
          </w:r>
          <w:r>
            <w:fldChar w:fldCharType="separate"/>
          </w:r>
          <w:r>
            <w:t>39</w:t>
          </w:r>
          <w:r>
            <w:fldChar w:fldCharType="end"/>
          </w:r>
          <w:r>
            <w:rPr>
              <w:rFonts w:hint="eastAsia" w:ascii="宋体" w:hAnsi="宋体" w:eastAsia="宋体" w:cs="宋体"/>
              <w:color w:val="auto"/>
              <w:szCs w:val="24"/>
            </w:rPr>
            <w:fldChar w:fldCharType="end"/>
          </w:r>
        </w:p>
        <w:p w14:paraId="24E965A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_Toc16980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6.1 </w:t>
          </w:r>
          <w:r>
            <w:rPr>
              <w:rFonts w:hint="eastAsia" w:eastAsia="宋体"/>
              <w:lang w:val="en-US" w:eastAsia="zh-CN"/>
            </w:rPr>
            <w:t>施工管理人员配备和分工</w:t>
          </w:r>
          <w:r>
            <w:tab/>
          </w:r>
          <w:r>
            <w:fldChar w:fldCharType="begin"/>
          </w:r>
          <w:r>
            <w:instrText xml:space="preserve"> PAGEREF _Toc16980 \h </w:instrText>
          </w:r>
          <w:r>
            <w:fldChar w:fldCharType="separate"/>
          </w:r>
          <w:r>
            <w:t>39</w:t>
          </w:r>
          <w:r>
            <w:fldChar w:fldCharType="end"/>
          </w:r>
          <w:r>
            <w:rPr>
              <w:rFonts w:hint="eastAsia" w:ascii="宋体" w:hAnsi="宋体" w:eastAsia="宋体" w:cs="宋体"/>
              <w:color w:val="auto"/>
              <w:szCs w:val="24"/>
            </w:rPr>
            <w:fldChar w:fldCharType="end"/>
          </w:r>
        </w:p>
        <w:p w14:paraId="053BBED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_Toc5896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6.2 </w:t>
          </w:r>
          <w:r>
            <w:rPr>
              <w:rFonts w:hint="eastAsia" w:eastAsia="宋体"/>
              <w:lang w:val="en-US" w:eastAsia="zh-CN"/>
            </w:rPr>
            <w:t>作业人员配置</w:t>
          </w:r>
          <w:r>
            <w:tab/>
          </w:r>
          <w:r>
            <w:fldChar w:fldCharType="begin"/>
          </w:r>
          <w:r>
            <w:instrText xml:space="preserve"> PAGEREF _Toc5896 \h </w:instrText>
          </w:r>
          <w:r>
            <w:fldChar w:fldCharType="separate"/>
          </w:r>
          <w:r>
            <w:t>39</w:t>
          </w:r>
          <w:r>
            <w:fldChar w:fldCharType="end"/>
          </w:r>
          <w:r>
            <w:rPr>
              <w:rFonts w:hint="eastAsia" w:ascii="宋体" w:hAnsi="宋体" w:eastAsia="宋体" w:cs="宋体"/>
              <w:color w:val="auto"/>
              <w:szCs w:val="24"/>
            </w:rPr>
            <w:fldChar w:fldCharType="end"/>
          </w:r>
        </w:p>
        <w:p w14:paraId="487FDAD0">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_Toc31046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验收要求</w:t>
          </w:r>
          <w:r>
            <w:tab/>
          </w:r>
          <w:r>
            <w:fldChar w:fldCharType="begin"/>
          </w:r>
          <w:r>
            <w:instrText xml:space="preserve"> PAGEREF _Toc31046 \h </w:instrText>
          </w:r>
          <w:r>
            <w:fldChar w:fldCharType="separate"/>
          </w:r>
          <w:r>
            <w:t>41</w:t>
          </w:r>
          <w:r>
            <w:fldChar w:fldCharType="end"/>
          </w:r>
          <w:r>
            <w:rPr>
              <w:rFonts w:hint="eastAsia" w:ascii="宋体" w:hAnsi="宋体" w:eastAsia="宋体" w:cs="宋体"/>
              <w:color w:val="auto"/>
              <w:szCs w:val="24"/>
            </w:rPr>
            <w:fldChar w:fldCharType="end"/>
          </w:r>
        </w:p>
        <w:p w14:paraId="75B2886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_Toc13870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7.1 </w:t>
          </w:r>
          <w:r>
            <w:rPr>
              <w:rFonts w:hint="eastAsia" w:eastAsia="宋体"/>
              <w:lang w:val="en-US" w:eastAsia="zh-CN"/>
            </w:rPr>
            <w:t>验收要求</w:t>
          </w:r>
          <w:r>
            <w:tab/>
          </w:r>
          <w:r>
            <w:fldChar w:fldCharType="begin"/>
          </w:r>
          <w:r>
            <w:instrText xml:space="preserve"> PAGEREF _Toc13870 \h </w:instrText>
          </w:r>
          <w:r>
            <w:fldChar w:fldCharType="separate"/>
          </w:r>
          <w:r>
            <w:t>41</w:t>
          </w:r>
          <w:r>
            <w:fldChar w:fldCharType="end"/>
          </w:r>
          <w:r>
            <w:rPr>
              <w:rFonts w:hint="eastAsia" w:ascii="宋体" w:hAnsi="宋体" w:eastAsia="宋体" w:cs="宋体"/>
              <w:color w:val="auto"/>
              <w:szCs w:val="24"/>
            </w:rPr>
            <w:fldChar w:fldCharType="end"/>
          </w:r>
        </w:p>
        <w:p w14:paraId="6A1D5A5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_Toc1660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7.2 </w:t>
          </w:r>
          <w:r>
            <w:rPr>
              <w:rFonts w:hint="eastAsia" w:eastAsia="宋体"/>
              <w:lang w:val="en-US" w:eastAsia="zh-CN"/>
            </w:rPr>
            <w:t>验收程序</w:t>
          </w:r>
          <w:r>
            <w:tab/>
          </w:r>
          <w:r>
            <w:fldChar w:fldCharType="begin"/>
          </w:r>
          <w:r>
            <w:instrText xml:space="preserve"> PAGEREF _Toc1660 \h </w:instrText>
          </w:r>
          <w:r>
            <w:fldChar w:fldCharType="separate"/>
          </w:r>
          <w:r>
            <w:t>41</w:t>
          </w:r>
          <w:r>
            <w:fldChar w:fldCharType="end"/>
          </w:r>
          <w:r>
            <w:rPr>
              <w:rFonts w:hint="eastAsia" w:ascii="宋体" w:hAnsi="宋体" w:eastAsia="宋体" w:cs="宋体"/>
              <w:color w:val="auto"/>
              <w:szCs w:val="24"/>
            </w:rPr>
            <w:fldChar w:fldCharType="end"/>
          </w:r>
        </w:p>
        <w:p w14:paraId="2676B61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_Toc10931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7.3 </w:t>
          </w:r>
          <w:r>
            <w:rPr>
              <w:rFonts w:hint="eastAsia" w:eastAsia="宋体"/>
              <w:lang w:val="en-US" w:eastAsia="zh-CN"/>
            </w:rPr>
            <w:t>验收内容</w:t>
          </w:r>
          <w:r>
            <w:tab/>
          </w:r>
          <w:r>
            <w:fldChar w:fldCharType="begin"/>
          </w:r>
          <w:r>
            <w:instrText xml:space="preserve"> PAGEREF _Toc10931 \h </w:instrText>
          </w:r>
          <w:r>
            <w:fldChar w:fldCharType="separate"/>
          </w:r>
          <w:r>
            <w:t>41</w:t>
          </w:r>
          <w:r>
            <w:fldChar w:fldCharType="end"/>
          </w:r>
          <w:r>
            <w:rPr>
              <w:rFonts w:hint="eastAsia" w:ascii="宋体" w:hAnsi="宋体" w:eastAsia="宋体" w:cs="宋体"/>
              <w:color w:val="auto"/>
              <w:szCs w:val="24"/>
            </w:rPr>
            <w:fldChar w:fldCharType="end"/>
          </w:r>
        </w:p>
        <w:p w14:paraId="3FD6242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_Toc16410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7.4 </w:t>
          </w:r>
          <w:r>
            <w:rPr>
              <w:rFonts w:hint="eastAsia" w:eastAsia="宋体"/>
              <w:lang w:val="en-US" w:eastAsia="zh-CN"/>
            </w:rPr>
            <w:t>验收人员</w:t>
          </w:r>
          <w:r>
            <w:tab/>
          </w:r>
          <w:r>
            <w:fldChar w:fldCharType="begin"/>
          </w:r>
          <w:r>
            <w:instrText xml:space="preserve"> PAGEREF _Toc16410 \h </w:instrText>
          </w:r>
          <w:r>
            <w:fldChar w:fldCharType="separate"/>
          </w:r>
          <w:r>
            <w:t>42</w:t>
          </w:r>
          <w:r>
            <w:fldChar w:fldCharType="end"/>
          </w:r>
          <w:r>
            <w:rPr>
              <w:rFonts w:hint="eastAsia" w:ascii="宋体" w:hAnsi="宋体" w:eastAsia="宋体" w:cs="宋体"/>
              <w:color w:val="auto"/>
              <w:szCs w:val="24"/>
            </w:rPr>
            <w:fldChar w:fldCharType="end"/>
          </w:r>
        </w:p>
        <w:p w14:paraId="1BE6EDF1">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_Toc30068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应急处置</w:t>
          </w:r>
          <w:r>
            <w:rPr>
              <w:rFonts w:hint="eastAsia"/>
              <w:lang w:eastAsia="zh-CN"/>
            </w:rPr>
            <w:t>措施</w:t>
          </w:r>
          <w:r>
            <w:tab/>
          </w:r>
          <w:r>
            <w:fldChar w:fldCharType="begin"/>
          </w:r>
          <w:r>
            <w:instrText xml:space="preserve"> PAGEREF _Toc30068 \h </w:instrText>
          </w:r>
          <w:r>
            <w:fldChar w:fldCharType="separate"/>
          </w:r>
          <w:r>
            <w:t>43</w:t>
          </w:r>
          <w:r>
            <w:fldChar w:fldCharType="end"/>
          </w:r>
          <w:r>
            <w:rPr>
              <w:rFonts w:hint="eastAsia" w:ascii="宋体" w:hAnsi="宋体" w:eastAsia="宋体" w:cs="宋体"/>
              <w:color w:val="auto"/>
              <w:szCs w:val="24"/>
            </w:rPr>
            <w:fldChar w:fldCharType="end"/>
          </w:r>
        </w:p>
        <w:p w14:paraId="17DC573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_Toc16810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8.1 </w:t>
          </w:r>
          <w:r>
            <w:rPr>
              <w:rFonts w:hint="eastAsia" w:eastAsia="宋体"/>
              <w:lang w:val="en-US" w:eastAsia="zh-CN"/>
            </w:rPr>
            <w:t>组织机构及职责</w:t>
          </w:r>
          <w:r>
            <w:tab/>
          </w:r>
          <w:r>
            <w:fldChar w:fldCharType="begin"/>
          </w:r>
          <w:r>
            <w:instrText xml:space="preserve"> PAGEREF _Toc16810 \h </w:instrText>
          </w:r>
          <w:r>
            <w:fldChar w:fldCharType="separate"/>
          </w:r>
          <w:r>
            <w:t>43</w:t>
          </w:r>
          <w:r>
            <w:fldChar w:fldCharType="end"/>
          </w:r>
          <w:r>
            <w:rPr>
              <w:rFonts w:hint="eastAsia" w:ascii="宋体" w:hAnsi="宋体" w:eastAsia="宋体" w:cs="宋体"/>
              <w:color w:val="auto"/>
              <w:szCs w:val="24"/>
            </w:rPr>
            <w:fldChar w:fldCharType="end"/>
          </w:r>
        </w:p>
        <w:p w14:paraId="397E81F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_Toc29035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8.2 </w:t>
          </w:r>
          <w:r>
            <w:rPr>
              <w:rFonts w:hint="eastAsia" w:eastAsia="宋体"/>
              <w:lang w:val="en-US" w:eastAsia="zh-CN"/>
            </w:rPr>
            <w:t>预防与预警</w:t>
          </w:r>
          <w:r>
            <w:tab/>
          </w:r>
          <w:r>
            <w:fldChar w:fldCharType="begin"/>
          </w:r>
          <w:r>
            <w:instrText xml:space="preserve"> PAGEREF _Toc29035 \h </w:instrText>
          </w:r>
          <w:r>
            <w:fldChar w:fldCharType="separate"/>
          </w:r>
          <w:r>
            <w:t>44</w:t>
          </w:r>
          <w:r>
            <w:fldChar w:fldCharType="end"/>
          </w:r>
          <w:r>
            <w:rPr>
              <w:rFonts w:hint="eastAsia" w:ascii="宋体" w:hAnsi="宋体" w:eastAsia="宋体" w:cs="宋体"/>
              <w:color w:val="auto"/>
              <w:szCs w:val="24"/>
            </w:rPr>
            <w:fldChar w:fldCharType="end"/>
          </w:r>
        </w:p>
        <w:p w14:paraId="71DC0FE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_Toc22895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8.3 </w:t>
          </w:r>
          <w:r>
            <w:rPr>
              <w:rFonts w:hint="eastAsia" w:eastAsia="宋体"/>
              <w:lang w:val="en-US" w:eastAsia="zh-CN"/>
            </w:rPr>
            <w:t>应急响应程序</w:t>
          </w:r>
          <w:r>
            <w:tab/>
          </w:r>
          <w:r>
            <w:fldChar w:fldCharType="begin"/>
          </w:r>
          <w:r>
            <w:instrText xml:space="preserve"> PAGEREF _Toc22895 \h </w:instrText>
          </w:r>
          <w:r>
            <w:fldChar w:fldCharType="separate"/>
          </w:r>
          <w:r>
            <w:t>44</w:t>
          </w:r>
          <w:r>
            <w:fldChar w:fldCharType="end"/>
          </w:r>
          <w:r>
            <w:rPr>
              <w:rFonts w:hint="eastAsia" w:ascii="宋体" w:hAnsi="宋体" w:eastAsia="宋体" w:cs="宋体"/>
              <w:color w:val="auto"/>
              <w:szCs w:val="24"/>
            </w:rPr>
            <w:fldChar w:fldCharType="end"/>
          </w:r>
        </w:p>
        <w:p w14:paraId="7F9AC18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_Toc24120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8.4 </w:t>
          </w:r>
          <w:r>
            <w:rPr>
              <w:rFonts w:hint="eastAsia" w:eastAsia="宋体"/>
              <w:lang w:val="en-US" w:eastAsia="zh-CN"/>
            </w:rPr>
            <w:t>突发事件应急处置措施和预案</w:t>
          </w:r>
          <w:r>
            <w:tab/>
          </w:r>
          <w:r>
            <w:fldChar w:fldCharType="begin"/>
          </w:r>
          <w:r>
            <w:instrText xml:space="preserve"> PAGEREF _Toc24120 \h </w:instrText>
          </w:r>
          <w:r>
            <w:fldChar w:fldCharType="separate"/>
          </w:r>
          <w:r>
            <w:t>46</w:t>
          </w:r>
          <w:r>
            <w:fldChar w:fldCharType="end"/>
          </w:r>
          <w:r>
            <w:rPr>
              <w:rFonts w:hint="eastAsia" w:ascii="宋体" w:hAnsi="宋体" w:eastAsia="宋体" w:cs="宋体"/>
              <w:color w:val="auto"/>
              <w:szCs w:val="24"/>
            </w:rPr>
            <w:fldChar w:fldCharType="end"/>
          </w:r>
        </w:p>
        <w:p w14:paraId="4064ED9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_Toc29007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8.5 </w:t>
          </w:r>
          <w:r>
            <w:rPr>
              <w:rFonts w:hint="eastAsia" w:eastAsia="宋体"/>
              <w:lang w:val="en-US" w:eastAsia="zh-CN"/>
            </w:rPr>
            <w:t>施工现场的急救步骤</w:t>
          </w:r>
          <w:r>
            <w:tab/>
          </w:r>
          <w:r>
            <w:fldChar w:fldCharType="begin"/>
          </w:r>
          <w:r>
            <w:instrText xml:space="preserve"> PAGEREF _Toc29007 \h </w:instrText>
          </w:r>
          <w:r>
            <w:fldChar w:fldCharType="separate"/>
          </w:r>
          <w:r>
            <w:t>51</w:t>
          </w:r>
          <w:r>
            <w:fldChar w:fldCharType="end"/>
          </w:r>
          <w:r>
            <w:rPr>
              <w:rFonts w:hint="eastAsia" w:ascii="宋体" w:hAnsi="宋体" w:eastAsia="宋体" w:cs="宋体"/>
              <w:color w:val="auto"/>
              <w:szCs w:val="24"/>
            </w:rPr>
            <w:fldChar w:fldCharType="end"/>
          </w:r>
        </w:p>
        <w:p w14:paraId="4C9574B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_Toc3047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8.6 </w:t>
          </w:r>
          <w:r>
            <w:rPr>
              <w:rFonts w:hint="eastAsia" w:eastAsia="宋体"/>
              <w:lang w:val="en-US" w:eastAsia="zh-CN"/>
            </w:rPr>
            <w:t>应急保障</w:t>
          </w:r>
          <w:r>
            <w:tab/>
          </w:r>
          <w:r>
            <w:fldChar w:fldCharType="begin"/>
          </w:r>
          <w:r>
            <w:instrText xml:space="preserve"> PAGEREF _Toc3047 \h </w:instrText>
          </w:r>
          <w:r>
            <w:fldChar w:fldCharType="separate"/>
          </w:r>
          <w:r>
            <w:t>51</w:t>
          </w:r>
          <w:r>
            <w:fldChar w:fldCharType="end"/>
          </w:r>
          <w:r>
            <w:rPr>
              <w:rFonts w:hint="eastAsia" w:ascii="宋体" w:hAnsi="宋体" w:eastAsia="宋体" w:cs="宋体"/>
              <w:color w:val="auto"/>
              <w:szCs w:val="24"/>
            </w:rPr>
            <w:fldChar w:fldCharType="end"/>
          </w:r>
        </w:p>
        <w:p w14:paraId="3C0CBBCB">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_Toc22515 </w:instrText>
          </w:r>
          <w:r>
            <w:rPr>
              <w:rFonts w:hint="eastAsia" w:ascii="宋体" w:hAnsi="宋体" w:eastAsia="宋体" w:cs="宋体"/>
              <w:szCs w:val="24"/>
            </w:rPr>
            <w:fldChar w:fldCharType="separate"/>
          </w:r>
          <w:r>
            <w:rPr>
              <w:rFonts w:hint="default" w:ascii="宋体" w:hAnsi="宋体" w:eastAsia="宋体" w:cs="宋体"/>
              <w:szCs w:val="32"/>
            </w:rPr>
            <w:t xml:space="preserve">9 </w:t>
          </w:r>
          <w:r>
            <w:rPr>
              <w:rFonts w:hint="eastAsia"/>
            </w:rPr>
            <w:t>计算书及相关施工图纸</w:t>
          </w:r>
          <w:r>
            <w:tab/>
          </w:r>
          <w:r>
            <w:fldChar w:fldCharType="begin"/>
          </w:r>
          <w:r>
            <w:instrText xml:space="preserve"> PAGEREF _Toc22515 \h </w:instrText>
          </w:r>
          <w:r>
            <w:fldChar w:fldCharType="separate"/>
          </w:r>
          <w:r>
            <w:t>55</w:t>
          </w:r>
          <w:r>
            <w:fldChar w:fldCharType="end"/>
          </w:r>
          <w:r>
            <w:rPr>
              <w:rFonts w:hint="eastAsia" w:ascii="宋体" w:hAnsi="宋体" w:eastAsia="宋体" w:cs="宋体"/>
              <w:color w:val="auto"/>
              <w:szCs w:val="24"/>
            </w:rPr>
            <w:fldChar w:fldCharType="end"/>
          </w:r>
        </w:p>
        <w:p w14:paraId="46C85D7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_Toc6663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9.1 </w:t>
          </w:r>
          <w:r>
            <w:rPr>
              <w:rFonts w:hint="eastAsia" w:eastAsia="宋体"/>
              <w:lang w:val="en-US" w:eastAsia="zh-CN"/>
            </w:rPr>
            <w:t>吊装分析</w:t>
          </w:r>
          <w:r>
            <w:tab/>
          </w:r>
          <w:r>
            <w:fldChar w:fldCharType="begin"/>
          </w:r>
          <w:r>
            <w:instrText xml:space="preserve"> PAGEREF _Toc6663 \h </w:instrText>
          </w:r>
          <w:r>
            <w:fldChar w:fldCharType="separate"/>
          </w:r>
          <w:r>
            <w:t>55</w:t>
          </w:r>
          <w:r>
            <w:fldChar w:fldCharType="end"/>
          </w:r>
          <w:r>
            <w:rPr>
              <w:rFonts w:hint="eastAsia" w:ascii="宋体" w:hAnsi="宋体" w:eastAsia="宋体" w:cs="宋体"/>
              <w:color w:val="auto"/>
              <w:szCs w:val="24"/>
            </w:rPr>
            <w:fldChar w:fldCharType="end"/>
          </w:r>
        </w:p>
        <w:p w14:paraId="51F37F4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_Toc13330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9.2 </w:t>
          </w:r>
          <w:r>
            <w:rPr>
              <w:rFonts w:hint="eastAsia" w:eastAsia="宋体"/>
              <w:lang w:val="en-US" w:eastAsia="zh-CN"/>
            </w:rPr>
            <w:t>吊索具选型计算</w:t>
          </w:r>
          <w:r>
            <w:tab/>
          </w:r>
          <w:r>
            <w:fldChar w:fldCharType="begin"/>
          </w:r>
          <w:r>
            <w:instrText xml:space="preserve"> PAGEREF _Toc13330 \h </w:instrText>
          </w:r>
          <w:r>
            <w:fldChar w:fldCharType="separate"/>
          </w:r>
          <w:r>
            <w:t>56</w:t>
          </w:r>
          <w:r>
            <w:fldChar w:fldCharType="end"/>
          </w:r>
          <w:r>
            <w:rPr>
              <w:rFonts w:hint="eastAsia" w:ascii="宋体" w:hAnsi="宋体" w:eastAsia="宋体" w:cs="宋体"/>
              <w:color w:val="auto"/>
              <w:szCs w:val="24"/>
            </w:rPr>
            <w:fldChar w:fldCharType="end"/>
          </w:r>
        </w:p>
        <w:p w14:paraId="179F66D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_Toc3146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9.3 </w:t>
          </w:r>
          <w:r>
            <w:rPr>
              <w:rFonts w:hint="eastAsia" w:eastAsia="宋体"/>
              <w:lang w:val="en-US" w:eastAsia="zh-CN"/>
            </w:rPr>
            <w:t>施工平面布置示意图</w:t>
          </w:r>
          <w:r>
            <w:tab/>
          </w:r>
          <w:r>
            <w:fldChar w:fldCharType="begin"/>
          </w:r>
          <w:r>
            <w:instrText xml:space="preserve"> PAGEREF _Toc3146 \h </w:instrText>
          </w:r>
          <w:r>
            <w:fldChar w:fldCharType="separate"/>
          </w:r>
          <w:r>
            <w:t>58</w:t>
          </w:r>
          <w:r>
            <w:fldChar w:fldCharType="end"/>
          </w:r>
          <w:r>
            <w:rPr>
              <w:rFonts w:hint="eastAsia" w:ascii="宋体" w:hAnsi="宋体" w:eastAsia="宋体" w:cs="宋体"/>
              <w:color w:val="auto"/>
              <w:szCs w:val="24"/>
            </w:rPr>
            <w:fldChar w:fldCharType="end"/>
          </w:r>
        </w:p>
        <w:p w14:paraId="3B58D37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headerReference r:id="rId11" w:type="default"/>
              <w:footerReference r:id="rId12" w:type="default"/>
              <w:pgSz w:w="11906" w:h="16838"/>
              <w:pgMar w:top="1418" w:right="1418" w:bottom="1418" w:left="1418" w:header="851" w:footer="992" w:gutter="0"/>
              <w:pgNumType w:fmt="decimal" w:start="1"/>
              <w:cols w:space="425" w:num="1"/>
              <w:docGrid w:linePitch="498" w:charSpace="17788"/>
            </w:sectPr>
          </w:pPr>
          <w:r>
            <w:rPr>
              <w:rFonts w:hint="eastAsia" w:ascii="宋体" w:hAnsi="宋体" w:eastAsia="宋体" w:cs="宋体"/>
              <w:color w:val="auto"/>
              <w:szCs w:val="24"/>
            </w:rPr>
            <w:fldChar w:fldCharType="end"/>
          </w:r>
        </w:p>
      </w:sdtContent>
    </w:sdt>
    <w:p w14:paraId="01FE4193">
      <w:pPr>
        <w:pStyle w:val="6"/>
        <w:spacing w:before="156" w:after="156"/>
        <w:rPr>
          <w:rFonts w:hint="eastAsia" w:ascii="Times New Roman" w:hAnsi="Times New Roman" w:eastAsia="宋体" w:cs="Times New Roman"/>
          <w:color w:val="auto"/>
        </w:rPr>
      </w:pPr>
      <w:bookmarkStart w:id="9" w:name="_Toc40778420"/>
      <w:bookmarkStart w:id="10" w:name="_Toc3812"/>
      <w:bookmarkStart w:id="11" w:name="_Toc20658"/>
      <w:bookmarkStart w:id="12" w:name="_Toc22275"/>
      <w:bookmarkStart w:id="13" w:name="_Toc17866"/>
      <w:bookmarkStart w:id="14" w:name="_Toc40778431"/>
      <w:r>
        <w:rPr>
          <w:rFonts w:hint="eastAsia" w:ascii="Times New Roman" w:hAnsi="Times New Roman" w:eastAsia="宋体" w:cs="Times New Roman"/>
          <w:color w:val="auto"/>
        </w:rPr>
        <w:t>工程概况</w:t>
      </w:r>
      <w:bookmarkEnd w:id="9"/>
      <w:bookmarkEnd w:id="10"/>
      <w:bookmarkEnd w:id="11"/>
      <w:bookmarkEnd w:id="12"/>
    </w:p>
    <w:p w14:paraId="26D78CD5">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default" w:eastAsia="宋体"/>
          <w:color w:val="auto"/>
          <w:lang w:val="en-US" w:eastAsia="zh-CN"/>
        </w:rPr>
      </w:pPr>
      <w:bookmarkStart w:id="15" w:name="_Toc40778421"/>
      <w:bookmarkStart w:id="16" w:name="_Toc12207"/>
      <w:bookmarkStart w:id="17" w:name="_Toc20044"/>
      <w:bookmarkStart w:id="18" w:name="_Toc7961"/>
      <w:bookmarkStart w:id="19" w:name="_Toc31724"/>
      <w:r>
        <w:rPr>
          <w:rFonts w:hint="eastAsia"/>
        </w:rPr>
        <w:t>工程</w:t>
      </w:r>
      <w:bookmarkEnd w:id="15"/>
      <w:bookmarkEnd w:id="16"/>
      <w:bookmarkEnd w:id="17"/>
      <w:bookmarkEnd w:id="18"/>
      <w:r>
        <w:rPr>
          <w:rFonts w:hint="eastAsia" w:eastAsia="宋体"/>
          <w:color w:val="auto"/>
          <w:lang w:eastAsia="zh-CN"/>
        </w:rPr>
        <w:t>概况</w:t>
      </w:r>
      <w:bookmarkEnd w:id="19"/>
    </w:p>
    <w:p w14:paraId="4937E999">
      <w:pPr>
        <w:pStyle w:val="8"/>
        <w:tabs>
          <w:tab w:val="right" w:leader="dot" w:pos="9060"/>
        </w:tabs>
        <w:bidi w:val="0"/>
        <w:ind w:left="0" w:leftChars="0" w:firstLine="0" w:firstLineChars="0"/>
        <w:outlineLvl w:val="2"/>
        <w:rPr>
          <w:rFonts w:hint="default"/>
          <w:b/>
          <w:bCs/>
          <w:lang w:val="en-US" w:eastAsia="zh-CN"/>
        </w:rPr>
      </w:pPr>
      <w:bookmarkStart w:id="20" w:name="_Toc18239"/>
      <w:bookmarkStart w:id="21" w:name="_Toc40778423"/>
      <w:bookmarkStart w:id="22" w:name="_Toc24090"/>
      <w:r>
        <w:rPr>
          <w:rFonts w:hint="default"/>
          <w:b/>
          <w:bCs/>
          <w:lang w:val="en-US" w:eastAsia="zh-CN"/>
        </w:rPr>
        <w:t>项目概况</w:t>
      </w:r>
    </w:p>
    <w:p w14:paraId="27684343">
      <w:pPr>
        <w:spacing w:line="360" w:lineRule="auto"/>
        <w:ind w:firstLine="480"/>
        <w:rPr>
          <w:rFonts w:hint="eastAsia" w:ascii="宋体" w:hAnsi="宋体" w:eastAsia="宋体" w:cs="宋体"/>
          <w:kern w:val="2"/>
          <w:sz w:val="24"/>
          <w:szCs w:val="21"/>
          <w:lang w:val="en-US" w:eastAsia="zh-CN" w:bidi="ar-SA"/>
        </w:rPr>
      </w:pPr>
      <w:r>
        <w:rPr>
          <w:rFonts w:hint="eastAsia" w:ascii="宋体" w:hAnsi="宋体" w:eastAsia="宋体" w:cs="宋体"/>
          <w:color w:val="000000" w:themeColor="text1"/>
          <w:kern w:val="15"/>
          <w:sz w:val="24"/>
          <w:szCs w:val="24"/>
          <w:lang w:val="en-US" w:eastAsia="zh-CN" w:bidi="ar-SA"/>
          <w14:textFill>
            <w14:solidFill>
              <w14:schemeClr w14:val="tx1"/>
            </w14:solidFill>
          </w14:textFill>
        </w:rPr>
        <w:t>本工程位于彭州市龙兴寺商圈龙锦大道、延秀路、民业路和滨河南路间。该地块东侧为建成小区-龙锦小区。北临官渠郊野公园和人民渠(饮用水水源</w:t>
      </w:r>
      <w:r>
        <w:rPr>
          <w:rFonts w:hint="eastAsia" w:ascii="宋体" w:hAnsi="宋体" w:cs="宋体"/>
          <w:color w:val="000000" w:themeColor="text1"/>
          <w:kern w:val="15"/>
          <w:sz w:val="24"/>
          <w:szCs w:val="24"/>
          <w:lang w:val="en-US" w:eastAsia="zh-CN" w:bidi="ar-SA"/>
          <w14:textFill>
            <w14:solidFill>
              <w14:schemeClr w14:val="tx1"/>
            </w14:solidFill>
          </w14:textFill>
        </w:rPr>
        <w:t>，</w:t>
      </w:r>
      <w:r>
        <w:rPr>
          <w:rFonts w:hint="eastAsia" w:ascii="宋体" w:hAnsi="宋体" w:eastAsia="宋体" w:cs="宋体"/>
          <w:color w:val="000000" w:themeColor="text1"/>
          <w:kern w:val="15"/>
          <w:sz w:val="24"/>
          <w:szCs w:val="24"/>
          <w:lang w:val="en-US" w:eastAsia="zh-CN" w:bidi="ar-SA"/>
          <w14:textFill>
            <w14:solidFill>
              <w14:schemeClr w14:val="tx1"/>
            </w14:solidFill>
          </w14:textFill>
        </w:rPr>
        <w:t>贯穿彭州全境)。南临龙兴寺水街。西侧为建成小区-水岸名都。中间为弹性道路和河道绿廊。</w:t>
      </w:r>
      <w:r>
        <w:rPr>
          <w:rFonts w:hint="eastAsia" w:ascii="宋体" w:hAnsi="宋体" w:eastAsia="宋体" w:cs="宋体"/>
          <w:sz w:val="24"/>
          <w:szCs w:val="24"/>
        </w:rPr>
        <w:t>项目包含</w:t>
      </w:r>
      <w:r>
        <w:rPr>
          <w:rFonts w:hint="eastAsia" w:ascii="宋体" w:hAnsi="宋体" w:eastAsia="宋体" w:cs="宋体"/>
          <w:sz w:val="24"/>
          <w:szCs w:val="24"/>
          <w:lang w:val="en-US" w:eastAsia="zh-CN"/>
        </w:rPr>
        <w:t>14栋建筑</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其中</w:t>
      </w:r>
      <w:r>
        <w:rPr>
          <w:rFonts w:hint="eastAsia" w:ascii="宋体" w:hAnsi="宋体" w:eastAsia="宋体" w:cs="宋体"/>
          <w:sz w:val="24"/>
          <w:szCs w:val="24"/>
        </w:rPr>
        <w:t>1栋</w:t>
      </w:r>
      <w:r>
        <w:rPr>
          <w:rFonts w:hint="eastAsia" w:ascii="宋体" w:hAnsi="宋体" w:eastAsia="宋体" w:cs="宋体"/>
          <w:sz w:val="24"/>
          <w:szCs w:val="24"/>
          <w:lang w:val="en-US" w:eastAsia="zh-CN"/>
        </w:rPr>
        <w:t>6</w:t>
      </w:r>
      <w:r>
        <w:rPr>
          <w:rFonts w:hint="eastAsia" w:ascii="宋体" w:hAnsi="宋体" w:eastAsia="宋体" w:cs="宋体"/>
          <w:sz w:val="24"/>
          <w:szCs w:val="24"/>
        </w:rPr>
        <w:t>F</w:t>
      </w:r>
      <w:r>
        <w:rPr>
          <w:rFonts w:hint="eastAsia" w:ascii="宋体" w:hAnsi="宋体" w:eastAsia="宋体" w:cs="宋体"/>
          <w:sz w:val="24"/>
          <w:szCs w:val="24"/>
          <w:lang w:val="en-US" w:eastAsia="zh-CN"/>
        </w:rPr>
        <w:t>叠拼、8</w:t>
      </w:r>
      <w:r>
        <w:rPr>
          <w:rFonts w:hint="eastAsia" w:ascii="宋体" w:hAnsi="宋体" w:eastAsia="宋体" w:cs="宋体"/>
          <w:sz w:val="24"/>
          <w:szCs w:val="24"/>
        </w:rPr>
        <w:t>栋</w:t>
      </w:r>
      <w:r>
        <w:rPr>
          <w:rFonts w:hint="eastAsia" w:ascii="宋体" w:hAnsi="宋体" w:eastAsia="宋体" w:cs="宋体"/>
          <w:sz w:val="24"/>
          <w:szCs w:val="24"/>
          <w:lang w:val="en-US" w:eastAsia="zh-CN"/>
        </w:rPr>
        <w:t>4</w:t>
      </w:r>
      <w:r>
        <w:rPr>
          <w:rFonts w:hint="eastAsia" w:ascii="宋体" w:hAnsi="宋体" w:eastAsia="宋体" w:cs="宋体"/>
          <w:sz w:val="24"/>
          <w:szCs w:val="24"/>
        </w:rPr>
        <w:t>F</w:t>
      </w:r>
      <w:r>
        <w:rPr>
          <w:rFonts w:hint="eastAsia" w:ascii="宋体" w:hAnsi="宋体" w:eastAsia="宋体" w:cs="宋体"/>
          <w:sz w:val="24"/>
          <w:szCs w:val="24"/>
          <w:lang w:val="en-US" w:eastAsia="zh-CN"/>
        </w:rPr>
        <w:t>叠拼、4</w:t>
      </w:r>
      <w:r>
        <w:rPr>
          <w:rFonts w:hint="eastAsia" w:ascii="宋体" w:hAnsi="宋体" w:eastAsia="宋体" w:cs="宋体"/>
          <w:sz w:val="24"/>
          <w:szCs w:val="24"/>
        </w:rPr>
        <w:t>栋</w:t>
      </w:r>
      <w:r>
        <w:rPr>
          <w:rFonts w:hint="eastAsia" w:ascii="宋体" w:hAnsi="宋体" w:eastAsia="宋体" w:cs="宋体"/>
          <w:sz w:val="24"/>
          <w:szCs w:val="24"/>
          <w:lang w:val="en-US" w:eastAsia="zh-CN"/>
        </w:rPr>
        <w:t>3</w:t>
      </w:r>
      <w:r>
        <w:rPr>
          <w:rFonts w:hint="eastAsia" w:ascii="宋体" w:hAnsi="宋体" w:eastAsia="宋体" w:cs="宋体"/>
          <w:sz w:val="24"/>
          <w:szCs w:val="24"/>
        </w:rPr>
        <w:t>F</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局部4F</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合院、1栋1层物业管理办公用房（前期售楼部）</w:t>
      </w:r>
      <w:r>
        <w:rPr>
          <w:rFonts w:hint="eastAsia" w:ascii="宋体" w:hAnsi="宋体" w:cs="宋体"/>
          <w:sz w:val="24"/>
          <w:szCs w:val="24"/>
          <w:lang w:eastAsia="zh-CN"/>
        </w:rPr>
        <w:t>，</w:t>
      </w:r>
      <w:r>
        <w:rPr>
          <w:rFonts w:hint="eastAsia" w:ascii="宋体" w:hAnsi="宋体" w:eastAsia="宋体" w:cs="宋体"/>
          <w:sz w:val="24"/>
          <w:szCs w:val="24"/>
        </w:rPr>
        <w:t>整体设一层地下室</w:t>
      </w:r>
      <w:r>
        <w:rPr>
          <w:rFonts w:hint="eastAsia" w:ascii="宋体" w:hAnsi="宋体" w:eastAsia="宋体" w:cs="宋体"/>
          <w:kern w:val="2"/>
          <w:sz w:val="24"/>
          <w:szCs w:val="21"/>
          <w:lang w:val="en-US" w:eastAsia="zh-CN" w:bidi="ar-SA"/>
        </w:rPr>
        <w:t>。项目16号地块用地面积32485.82㎡</w:t>
      </w:r>
      <w:r>
        <w:rPr>
          <w:rFonts w:hint="eastAsia" w:ascii="宋体" w:hAnsi="宋体" w:cs="宋体"/>
          <w:kern w:val="2"/>
          <w:sz w:val="24"/>
          <w:szCs w:val="21"/>
          <w:lang w:val="en-US" w:eastAsia="zh-CN" w:bidi="ar-SA"/>
        </w:rPr>
        <w:t>，</w:t>
      </w:r>
      <w:r>
        <w:rPr>
          <w:rFonts w:hint="eastAsia" w:ascii="宋体" w:hAnsi="宋体" w:eastAsia="宋体" w:cs="宋体"/>
          <w:kern w:val="2"/>
          <w:sz w:val="24"/>
          <w:szCs w:val="21"/>
          <w:lang w:val="en-US" w:eastAsia="zh-CN" w:bidi="ar-SA"/>
        </w:rPr>
        <w:t>总建面57539.26㎡。</w:t>
      </w:r>
    </w:p>
    <w:p w14:paraId="3084A2AB">
      <w:pPr>
        <w:pStyle w:val="8"/>
        <w:tabs>
          <w:tab w:val="right" w:leader="dot" w:pos="9060"/>
        </w:tabs>
        <w:bidi w:val="0"/>
        <w:ind w:left="0" w:leftChars="0" w:firstLine="0" w:firstLineChars="0"/>
        <w:outlineLvl w:val="2"/>
        <w:rPr>
          <w:rFonts w:hint="eastAsia" w:ascii="Times New Roman" w:hAnsi="Times New Roman" w:eastAsia="宋体"/>
          <w:b/>
          <w:bCs/>
          <w:lang w:val="en-US" w:eastAsia="zh-CN"/>
        </w:rPr>
      </w:pPr>
      <w:r>
        <w:rPr>
          <w:rFonts w:hint="eastAsia" w:ascii="Times New Roman" w:hAnsi="Times New Roman" w:eastAsia="宋体"/>
          <w:b/>
          <w:bCs/>
          <w:lang w:val="en-US" w:eastAsia="zh-CN"/>
        </w:rPr>
        <w:t>周边环境情况</w:t>
      </w:r>
    </w:p>
    <w:p w14:paraId="2A938849">
      <w:pPr>
        <w:pStyle w:val="4"/>
        <w:rPr>
          <w:rFonts w:hint="eastAsia"/>
          <w:lang w:val="en-US" w:eastAsia="zh-CN"/>
        </w:rPr>
      </w:pPr>
      <w:r>
        <w:rPr>
          <w:rFonts w:hint="eastAsia"/>
          <w:lang w:val="en-US" w:eastAsia="zh-CN"/>
        </w:rPr>
        <w:t>本工程场地内无岩溶、滑坡、危岩和崩塌、泥石流、采空区、地面沉降、地裂缝等不良地质作用及地质灾害；无埋藏的河道、沟滨、墓穴、防空洞、孤石及溶洞等对工程不利的埋藏物。</w:t>
      </w:r>
    </w:p>
    <w:p w14:paraId="497A7202">
      <w:pPr>
        <w:pStyle w:val="4"/>
        <w:rPr>
          <w:rFonts w:hint="eastAsia"/>
          <w:lang w:val="en-US" w:eastAsia="zh-CN"/>
        </w:rPr>
      </w:pPr>
      <w:r>
        <w:rPr>
          <w:rFonts w:hint="eastAsia"/>
          <w:lang w:val="en-US" w:eastAsia="zh-CN"/>
        </w:rPr>
        <w:t>经现场踏勘，建筑物四周较为开阔空旷，地势较为平坦，每侧5.0m范围内未见构筑物、建筑物及地下管道、电缆及天然气管道等隐蔽设施。</w:t>
      </w:r>
    </w:p>
    <w:p w14:paraId="1F295138">
      <w:pPr>
        <w:pStyle w:val="8"/>
        <w:tabs>
          <w:tab w:val="right" w:leader="dot" w:pos="9060"/>
        </w:tabs>
        <w:bidi w:val="0"/>
        <w:ind w:left="0" w:leftChars="0" w:firstLine="0" w:firstLineChars="0"/>
        <w:outlineLvl w:val="2"/>
        <w:rPr>
          <w:rFonts w:hint="eastAsia" w:ascii="Times New Roman" w:hAnsi="Times New Roman" w:eastAsia="宋体"/>
          <w:b/>
          <w:bCs/>
          <w:lang w:val="en-US" w:eastAsia="zh-CN"/>
        </w:rPr>
      </w:pPr>
      <w:r>
        <w:rPr>
          <w:rFonts w:hint="eastAsia" w:ascii="宋体" w:hAnsi="宋体" w:eastAsia="宋体" w:cs="宋体"/>
          <w:b/>
          <w:bCs/>
          <w:kern w:val="2"/>
          <w:sz w:val="24"/>
          <w:szCs w:val="21"/>
          <w:lang w:val="en-US" w:eastAsia="zh-CN" w:bidi="ar-SA"/>
        </w:rPr>
        <w:t>工程水文地质情</w:t>
      </w:r>
      <w:r>
        <w:rPr>
          <w:rFonts w:hint="eastAsia" w:ascii="Times New Roman" w:hAnsi="Times New Roman" w:eastAsia="宋体"/>
          <w:b/>
          <w:bCs/>
          <w:lang w:val="en-US" w:eastAsia="zh-CN"/>
        </w:rPr>
        <w:t>况</w:t>
      </w:r>
    </w:p>
    <w:p w14:paraId="72F2F456">
      <w:pPr>
        <w:pStyle w:val="50"/>
        <w:keepNext w:val="0"/>
        <w:keepLines w:val="0"/>
        <w:pageBreakBefore w:val="0"/>
        <w:widowControl w:val="0"/>
        <w:kinsoku/>
        <w:wordWrap/>
        <w:overflowPunct/>
        <w:topLinePunct w:val="0"/>
        <w:autoSpaceDE/>
        <w:autoSpaceDN/>
        <w:bidi w:val="0"/>
        <w:spacing w:before="0" w:beforeLines="0" w:after="0" w:afterLines="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拟建场地内未发现江、河、湖泊等大的地表水体。场地东侧存在一条人工渠。</w:t>
      </w:r>
    </w:p>
    <w:p w14:paraId="1ADB0184">
      <w:pPr>
        <w:keepNext w:val="0"/>
        <w:keepLines w:val="0"/>
        <w:pageBreakBefore w:val="0"/>
        <w:widowControl w:val="0"/>
        <w:kinsoku/>
        <w:wordWrap/>
        <w:overflowPunct/>
        <w:topLinePunct w:val="0"/>
        <w:autoSpaceDE/>
        <w:autoSpaceDN/>
        <w:bidi w:val="0"/>
        <w:spacing w:before="0" w:beforeLines="0" w:after="0" w:afterLines="0" w:line="360" w:lineRule="auto"/>
        <w:ind w:firstLine="480" w:firstLineChars="200"/>
        <w:rPr>
          <w:rFonts w:hint="eastAsia" w:ascii="宋体" w:hAnsi="宋体" w:eastAsia="宋体" w:cs="宋体"/>
          <w:sz w:val="24"/>
        </w:rPr>
      </w:pPr>
      <w:r>
        <w:rPr>
          <w:rFonts w:hint="eastAsia" w:ascii="宋体" w:hAnsi="宋体" w:eastAsia="宋体" w:cs="宋体"/>
          <w:sz w:val="24"/>
          <w:szCs w:val="24"/>
        </w:rPr>
        <w:t>根据区域地质资料及钻探揭示，场地内地下水主要为赋存于人工填土中的上层滞水及卵石层中的孔隙潜水，</w:t>
      </w:r>
      <w:r>
        <w:rPr>
          <w:rFonts w:hint="eastAsia" w:ascii="宋体" w:hAnsi="宋体" w:eastAsia="宋体" w:cs="宋体"/>
          <w:sz w:val="24"/>
        </w:rPr>
        <w:t>上层滞水：分布于填土中，无统一地下水位，水量较小，容易明排疏干，主要受大气降水及周边汇水补给，对工程影响不大。主要分布于场地地势低洼地段，并向场地低洼处排泄至场地外。</w:t>
      </w:r>
    </w:p>
    <w:p w14:paraId="12E1D8FF">
      <w:pPr>
        <w:keepNext w:val="0"/>
        <w:keepLines w:val="0"/>
        <w:pageBreakBefore w:val="0"/>
        <w:widowControl w:val="0"/>
        <w:kinsoku/>
        <w:wordWrap/>
        <w:overflowPunct/>
        <w:topLinePunct w:val="0"/>
        <w:autoSpaceDE/>
        <w:autoSpaceDN/>
        <w:bidi w:val="0"/>
        <w:spacing w:before="0" w:beforeLines="0" w:after="0" w:afterLines="0" w:line="360" w:lineRule="auto"/>
        <w:ind w:firstLine="482"/>
        <w:textAlignment w:val="baseline"/>
        <w:rPr>
          <w:rFonts w:hint="eastAsia" w:ascii="宋体" w:hAnsi="宋体" w:eastAsia="宋体" w:cs="宋体"/>
          <w:sz w:val="24"/>
          <w:szCs w:val="24"/>
        </w:rPr>
      </w:pPr>
      <w:r>
        <w:rPr>
          <w:rFonts w:hint="eastAsia" w:ascii="宋体" w:hAnsi="宋体" w:eastAsia="宋体" w:cs="宋体"/>
          <w:sz w:val="24"/>
          <w:szCs w:val="24"/>
        </w:rPr>
        <w:t>孔隙潜水</w:t>
      </w:r>
      <w:r>
        <w:rPr>
          <w:rFonts w:hint="eastAsia" w:ascii="宋体" w:hAnsi="宋体" w:eastAsia="宋体" w:cs="宋体"/>
          <w:sz w:val="24"/>
        </w:rPr>
        <w:t>：</w:t>
      </w:r>
      <w:r>
        <w:rPr>
          <w:rFonts w:hint="eastAsia" w:ascii="宋体" w:hAnsi="宋体" w:eastAsia="宋体" w:cs="宋体"/>
          <w:sz w:val="24"/>
          <w:szCs w:val="24"/>
        </w:rPr>
        <w:t>孔隙潜水是本场地主要的地下水类型，水量丰富，对本工程基础设计和施工影响较大。第四系松散层中孔隙潜水具微承压性，地下水的补给来源主要是大气降水，以地下径流方式通过含水层排泄，</w:t>
      </w:r>
      <w:r>
        <w:rPr>
          <w:rFonts w:hint="eastAsia" w:ascii="宋体" w:hAnsi="宋体" w:eastAsia="宋体" w:cs="宋体"/>
          <w:sz w:val="24"/>
          <w:szCs w:val="24"/>
          <w:lang w:eastAsia="zh-CN"/>
        </w:rPr>
        <w:t>少部分</w:t>
      </w:r>
      <w:r>
        <w:rPr>
          <w:rFonts w:hint="eastAsia" w:ascii="宋体" w:hAnsi="宋体" w:eastAsia="宋体" w:cs="宋体"/>
          <w:sz w:val="24"/>
          <w:szCs w:val="24"/>
        </w:rPr>
        <w:t>以蒸发方式排泄。卵石层属强透水层，水位随季节性降水变化。</w:t>
      </w:r>
    </w:p>
    <w:p w14:paraId="1C50B619">
      <w:pPr>
        <w:keepNext w:val="0"/>
        <w:keepLines w:val="0"/>
        <w:pageBreakBefore w:val="0"/>
        <w:widowControl w:val="0"/>
        <w:kinsoku/>
        <w:wordWrap/>
        <w:overflowPunct/>
        <w:topLinePunct w:val="0"/>
        <w:autoSpaceDE/>
        <w:autoSpaceDN/>
        <w:bidi w:val="0"/>
        <w:spacing w:before="0" w:beforeLines="0" w:after="0" w:afterLines="0"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根据区域水文地质资料，场地潜水地下水位年变化幅度为2.00-3.00m，其中12、1、2月为枯水期，7、8、9月为丰水期。</w:t>
      </w:r>
    </w:p>
    <w:p w14:paraId="4AAE4C81">
      <w:pPr>
        <w:rPr>
          <w:rFonts w:hint="eastAsia" w:ascii="宋体" w:hAnsi="宋体" w:eastAsia="宋体" w:cs="宋体"/>
          <w:sz w:val="24"/>
          <w:szCs w:val="24"/>
        </w:rPr>
      </w:pPr>
      <w:r>
        <w:rPr>
          <w:rFonts w:hint="eastAsia" w:ascii="宋体" w:hAnsi="宋体" w:eastAsia="宋体" w:cs="宋体"/>
          <w:sz w:val="24"/>
          <w:szCs w:val="24"/>
        </w:rPr>
        <w:t>勘察期间处于枯水期，受周边降水影响，测得场地孔隙潜水水位埋深在6～8m之间。经查阅场地附近水文资料，正常丰水期地下水位高程建议按610.00m考虑。该场地砂卵石层的综合渗透系数（K）可取25m/d。</w:t>
      </w:r>
    </w:p>
    <w:p w14:paraId="5FBBCCF6">
      <w:pPr>
        <w:pStyle w:val="8"/>
        <w:tabs>
          <w:tab w:val="right" w:leader="dot" w:pos="9060"/>
        </w:tabs>
        <w:bidi w:val="0"/>
        <w:ind w:left="0" w:leftChars="0" w:firstLine="0" w:firstLineChars="0"/>
        <w:outlineLvl w:val="2"/>
        <w:rPr>
          <w:rFonts w:hint="eastAsia" w:ascii="Times New Roman" w:hAnsi="Times New Roman" w:eastAsia="宋体"/>
          <w:b/>
          <w:bCs/>
          <w:lang w:val="en-US" w:eastAsia="zh-CN"/>
        </w:rPr>
      </w:pPr>
      <w:r>
        <w:rPr>
          <w:rFonts w:hint="eastAsia" w:ascii="宋体" w:hAnsi="宋体" w:eastAsia="宋体" w:cs="宋体"/>
          <w:b/>
          <w:bCs/>
          <w:kern w:val="2"/>
          <w:sz w:val="24"/>
          <w:szCs w:val="21"/>
          <w:lang w:val="zh-CN" w:eastAsia="zh-CN" w:bidi="ar-SA"/>
        </w:rPr>
        <w:t>气候特征和季节性天气</w:t>
      </w:r>
    </w:p>
    <w:p w14:paraId="3AE748E0">
      <w:pPr>
        <w:keepNext w:val="0"/>
        <w:keepLines w:val="0"/>
        <w:pageBreakBefore w:val="0"/>
        <w:widowControl w:val="0"/>
        <w:kinsoku/>
        <w:wordWrap/>
        <w:overflowPunct/>
        <w:topLinePunct w:val="0"/>
        <w:autoSpaceDE/>
        <w:autoSpaceDN/>
        <w:bidi w:val="0"/>
        <w:spacing w:before="0" w:beforeLines="0" w:after="0" w:afterLines="0" w:line="360" w:lineRule="auto"/>
        <w:ind w:firstLine="480" w:firstLineChars="200"/>
        <w:rPr>
          <w:rFonts w:hint="eastAsia" w:ascii="宋体" w:hAnsi="宋体" w:eastAsia="宋体" w:cs="宋体"/>
          <w:sz w:val="24"/>
          <w:szCs w:val="24"/>
          <w:lang w:val="en-US" w:eastAsia="zh-CN"/>
        </w:rPr>
      </w:pPr>
      <w:bookmarkStart w:id="23" w:name="_Hlk133701392"/>
      <w:r>
        <w:rPr>
          <w:rFonts w:hint="eastAsia" w:ascii="宋体" w:hAnsi="宋体" w:eastAsia="宋体" w:cs="宋体"/>
          <w:sz w:val="24"/>
          <w:szCs w:val="24"/>
          <w:lang w:val="en-US" w:eastAsia="zh-CN"/>
        </w:rPr>
        <w:t>彭州市地处四川盆地亚热带湿润气候区的盆地北部区，气候温和，雨量充沛，四季分明，无霜期长，日照偏少，高温期与多雨期同季。灾害性天气主要表现为干旱、暴雨、秋绵雨、低温冷害、大风和冰雹。受纬度和地形地势影响，彭州市境内气温由东南向西北逐渐降低，日照逐渐递减，无霜期逐渐缩短，降水量逐渐增多，平坝、丘陵、低山区、高山区的气候差异明显。年平均气温为</w:t>
      </w:r>
      <w:r>
        <w:rPr>
          <w:rFonts w:hint="default" w:ascii="宋体" w:hAnsi="宋体" w:eastAsia="宋体" w:cs="宋体"/>
          <w:sz w:val="24"/>
          <w:szCs w:val="24"/>
          <w:lang w:val="en-US" w:eastAsia="zh-CN"/>
        </w:rPr>
        <w:t>15.9℃，最热的7月月均气温为25.1℃，最冷的1月月均气温为</w:t>
      </w:r>
      <w:r>
        <w:rPr>
          <w:rFonts w:hint="eastAsia" w:ascii="宋体" w:hAnsi="宋体" w:eastAsia="宋体" w:cs="宋体"/>
          <w:sz w:val="24"/>
          <w:szCs w:val="24"/>
          <w:lang w:val="en-US" w:eastAsia="zh-CN"/>
        </w:rPr>
        <w:t>4.4.6</w:t>
      </w:r>
      <w:r>
        <w:rPr>
          <w:rFonts w:hint="default" w:ascii="宋体" w:hAnsi="宋体" w:eastAsia="宋体" w:cs="宋体"/>
          <w:sz w:val="24"/>
          <w:szCs w:val="24"/>
          <w:lang w:val="en-US" w:eastAsia="zh-CN"/>
        </w:rPr>
        <w:t>℃。全市多年平均降水量为867毫米，</w:t>
      </w:r>
      <w:r>
        <w:rPr>
          <w:rFonts w:hint="eastAsia" w:ascii="宋体" w:hAnsi="宋体" w:eastAsia="宋体" w:cs="宋体"/>
          <w:sz w:val="24"/>
          <w:szCs w:val="24"/>
          <w:lang w:val="en-US" w:eastAsia="zh-CN"/>
        </w:rPr>
        <w:t>降水时间分布不均，降水主要集中在</w:t>
      </w:r>
      <w:r>
        <w:rPr>
          <w:rFonts w:hint="default" w:ascii="宋体" w:hAnsi="宋体" w:eastAsia="宋体" w:cs="宋体"/>
          <w:sz w:val="24"/>
          <w:szCs w:val="24"/>
          <w:lang w:val="en-US" w:eastAsia="zh-CN"/>
        </w:rPr>
        <w:t>6～9月份，占全年总降水量的75%。夏季降水的强度大，秋季绵雨多。历年平均日照时数为1131.0小时。</w:t>
      </w:r>
    </w:p>
    <w:p w14:paraId="14947852">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outlineLvl w:val="9"/>
        <w:rPr>
          <w:rFonts w:hint="eastAsia" w:ascii="宋体" w:hAnsi="宋体" w:eastAsia="宋体"/>
          <w:szCs w:val="24"/>
          <w:lang w:eastAsia="zh-CN"/>
        </w:rPr>
      </w:pPr>
      <w:r>
        <w:rPr>
          <w:rFonts w:hint="eastAsia" w:ascii="宋体" w:hAnsi="宋体" w:eastAsia="宋体"/>
          <w:szCs w:val="24"/>
          <w:lang w:eastAsia="zh-CN"/>
        </w:rPr>
        <w:drawing>
          <wp:inline distT="0" distB="0" distL="114300" distR="114300">
            <wp:extent cx="5720080" cy="2719705"/>
            <wp:effectExtent l="0" t="0" r="13970" b="4445"/>
            <wp:docPr id="10" name="图片 18" descr="16927626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1692762612746"/>
                    <pic:cNvPicPr>
                      <a:picLocks noChangeAspect="1"/>
                    </pic:cNvPicPr>
                  </pic:nvPicPr>
                  <pic:blipFill>
                    <a:blip r:embed="rId22"/>
                    <a:stretch>
                      <a:fillRect/>
                    </a:stretch>
                  </pic:blipFill>
                  <pic:spPr>
                    <a:xfrm>
                      <a:off x="0" y="0"/>
                      <a:ext cx="5720080" cy="2719705"/>
                    </a:xfrm>
                    <a:prstGeom prst="rect">
                      <a:avLst/>
                    </a:prstGeom>
                    <a:noFill/>
                    <a:ln>
                      <a:noFill/>
                    </a:ln>
                  </pic:spPr>
                </pic:pic>
              </a:graphicData>
            </a:graphic>
          </wp:inline>
        </w:drawing>
      </w:r>
    </w:p>
    <w:p w14:paraId="672A1F6B">
      <w:pPr>
        <w:jc w:val="center"/>
        <w:rPr>
          <w:rFonts w:hint="default"/>
          <w:b/>
          <w:bCs/>
          <w:sz w:val="21"/>
          <w:szCs w:val="21"/>
          <w:lang w:val="en-US" w:eastAsia="zh-CN"/>
        </w:rPr>
      </w:pPr>
      <w:r>
        <w:rPr>
          <w:rFonts w:hint="eastAsia" w:ascii="宋体" w:hAnsi="宋体"/>
          <w:b/>
          <w:bCs/>
          <w:sz w:val="21"/>
          <w:szCs w:val="21"/>
          <w:lang w:val="en-US" w:eastAsia="zh-CN"/>
        </w:rPr>
        <w:t>图1.1-1全年温度曲线图</w:t>
      </w:r>
    </w:p>
    <w:bookmarkEnd w:id="23"/>
    <w:p w14:paraId="4C1A7E97">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根据彭州市历史气象资料的分析，一般确定6月1日至9月31日为雨期施工阶段</w:t>
      </w:r>
    </w:p>
    <w:p w14:paraId="6F4BAB76">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24" w:name="_Toc8703"/>
      <w:r>
        <w:rPr>
          <w:rFonts w:hint="eastAsia"/>
          <w:color w:val="auto"/>
        </w:rPr>
        <w:t>施工平面</w:t>
      </w:r>
      <w:r>
        <w:rPr>
          <w:rFonts w:hint="eastAsia"/>
          <w:color w:val="auto"/>
          <w:lang w:val="en-US" w:eastAsia="zh-CN"/>
        </w:rPr>
        <w:t>及立面</w:t>
      </w:r>
      <w:r>
        <w:rPr>
          <w:rFonts w:hint="eastAsia"/>
          <w:color w:val="auto"/>
        </w:rPr>
        <w:t>布置</w:t>
      </w:r>
      <w:bookmarkEnd w:id="20"/>
      <w:bookmarkEnd w:id="21"/>
      <w:bookmarkEnd w:id="22"/>
      <w:bookmarkEnd w:id="24"/>
    </w:p>
    <w:p w14:paraId="6A4F1A9E">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施工升降机</w:t>
      </w:r>
      <w:r>
        <w:rPr>
          <w:rFonts w:hint="eastAsia"/>
          <w:color w:val="auto"/>
          <w:lang w:eastAsia="zh-CN"/>
        </w:rPr>
        <w:t>布置</w:t>
      </w:r>
      <w:r>
        <w:rPr>
          <w:rFonts w:hint="eastAsia"/>
          <w:color w:val="auto"/>
          <w:lang w:val="en-US" w:eastAsia="zh-CN"/>
        </w:rPr>
        <w:t>如下图。</w:t>
      </w:r>
    </w:p>
    <w:p w14:paraId="14067896">
      <w:pPr>
        <w:pStyle w:val="32"/>
        <w:jc w:val="center"/>
        <w:rPr>
          <w:rFonts w:hint="eastAsia"/>
          <w:color w:val="auto"/>
          <w:lang w:val="en-US" w:eastAsia="zh-CN"/>
        </w:rPr>
      </w:pPr>
      <w:r>
        <w:drawing>
          <wp:inline distT="0" distB="0" distL="114300" distR="114300">
            <wp:extent cx="4758055" cy="3321050"/>
            <wp:effectExtent l="0" t="0" r="444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758055" cy="3321050"/>
                    </a:xfrm>
                    <a:prstGeom prst="rect">
                      <a:avLst/>
                    </a:prstGeom>
                    <a:noFill/>
                    <a:ln>
                      <a:noFill/>
                    </a:ln>
                  </pic:spPr>
                </pic:pic>
              </a:graphicData>
            </a:graphic>
          </wp:inline>
        </w:drawing>
      </w:r>
    </w:p>
    <w:p w14:paraId="39DD78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rPr>
      </w:pPr>
      <w:r>
        <w:rPr>
          <w:rFonts w:hint="eastAsia" w:ascii="宋体" w:hAnsi="宋体" w:cs="宋体"/>
          <w:b/>
          <w:bCs/>
          <w:color w:val="auto"/>
          <w:sz w:val="21"/>
        </w:rPr>
        <w:t>图</w:t>
      </w:r>
      <w:r>
        <w:rPr>
          <w:rFonts w:hint="eastAsia" w:ascii="宋体" w:hAnsi="宋体" w:cs="宋体"/>
          <w:b/>
          <w:bCs/>
          <w:color w:val="auto"/>
          <w:sz w:val="21"/>
          <w:lang w:val="en-US" w:eastAsia="zh-CN"/>
        </w:rPr>
        <w:t>1</w:t>
      </w:r>
      <w:r>
        <w:rPr>
          <w:rFonts w:hint="eastAsia" w:ascii="宋体" w:hAnsi="宋体" w:cs="宋体"/>
          <w:b/>
          <w:bCs/>
          <w:color w:val="auto"/>
          <w:sz w:val="21"/>
        </w:rPr>
        <w:t>.</w:t>
      </w:r>
      <w:r>
        <w:rPr>
          <w:rFonts w:hint="eastAsia" w:ascii="宋体" w:hAnsi="宋体" w:cs="宋体"/>
          <w:b/>
          <w:bCs/>
          <w:color w:val="auto"/>
          <w:sz w:val="21"/>
          <w:lang w:val="en-US" w:eastAsia="zh-CN"/>
        </w:rPr>
        <w:t>2</w:t>
      </w:r>
      <w:r>
        <w:rPr>
          <w:rFonts w:hint="eastAsia" w:ascii="宋体" w:hAnsi="宋体" w:cs="宋体"/>
          <w:b/>
          <w:bCs/>
          <w:color w:val="auto"/>
          <w:sz w:val="21"/>
        </w:rPr>
        <w:t>-1</w:t>
      </w:r>
      <w:r>
        <w:rPr>
          <w:rFonts w:hint="eastAsia" w:ascii="宋体" w:hAnsi="宋体" w:cs="宋体"/>
          <w:b/>
          <w:bCs/>
          <w:color w:val="auto"/>
          <w:sz w:val="21"/>
          <w:lang w:val="en-US" w:eastAsia="zh-CN"/>
        </w:rPr>
        <w:t>施工升降机</w:t>
      </w:r>
      <w:r>
        <w:rPr>
          <w:rFonts w:hint="eastAsia" w:ascii="宋体" w:hAnsi="宋体" w:cs="宋体"/>
          <w:b/>
          <w:bCs/>
          <w:color w:val="auto"/>
          <w:sz w:val="21"/>
        </w:rPr>
        <w:t>平面布置图</w:t>
      </w:r>
    </w:p>
    <w:p w14:paraId="6B3D85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lang w:eastAsia="zh-CN"/>
        </w:rPr>
      </w:pPr>
      <w:r>
        <w:rPr>
          <w:rFonts w:hint="eastAsia" w:ascii="宋体" w:hAnsi="宋体" w:cs="宋体"/>
          <w:b/>
          <w:bCs/>
          <w:color w:val="auto"/>
          <w:sz w:val="21"/>
          <w:lang w:eastAsia="zh-CN"/>
        </w:rPr>
        <w:drawing>
          <wp:inline distT="0" distB="0" distL="114300" distR="114300">
            <wp:extent cx="3568065" cy="4452620"/>
            <wp:effectExtent l="0" t="0" r="13335" b="5080"/>
            <wp:docPr id="6" name="图片 6" descr="PZ2024-16号地块二期施工电梯布置方案 Model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Z2024-16号地块二期施工电梯布置方案 Model (1)_1"/>
                    <pic:cNvPicPr>
                      <a:picLocks noChangeAspect="1"/>
                    </pic:cNvPicPr>
                  </pic:nvPicPr>
                  <pic:blipFill>
                    <a:blip r:embed="rId24"/>
                    <a:srcRect t="5845" b="5971"/>
                    <a:stretch>
                      <a:fillRect/>
                    </a:stretch>
                  </pic:blipFill>
                  <pic:spPr>
                    <a:xfrm>
                      <a:off x="0" y="0"/>
                      <a:ext cx="3568065" cy="4452620"/>
                    </a:xfrm>
                    <a:prstGeom prst="rect">
                      <a:avLst/>
                    </a:prstGeom>
                  </pic:spPr>
                </pic:pic>
              </a:graphicData>
            </a:graphic>
          </wp:inline>
        </w:drawing>
      </w:r>
    </w:p>
    <w:p w14:paraId="063CC4C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ascii="宋体" w:hAnsi="宋体" w:cs="宋体"/>
          <w:b/>
          <w:bCs/>
          <w:color w:val="auto"/>
          <w:sz w:val="21"/>
        </w:rPr>
        <w:t>图</w:t>
      </w:r>
      <w:r>
        <w:rPr>
          <w:rFonts w:hint="eastAsia" w:ascii="宋体" w:hAnsi="宋体" w:cs="宋体"/>
          <w:b/>
          <w:bCs/>
          <w:color w:val="auto"/>
          <w:sz w:val="21"/>
          <w:lang w:val="en-US" w:eastAsia="zh-CN"/>
        </w:rPr>
        <w:t>1</w:t>
      </w:r>
      <w:r>
        <w:rPr>
          <w:rFonts w:hint="eastAsia" w:ascii="宋体" w:hAnsi="宋体" w:cs="宋体"/>
          <w:b/>
          <w:bCs/>
          <w:color w:val="auto"/>
          <w:sz w:val="21"/>
        </w:rPr>
        <w:t>.</w:t>
      </w:r>
      <w:r>
        <w:rPr>
          <w:rFonts w:hint="eastAsia" w:ascii="宋体" w:hAnsi="宋体" w:cs="宋体"/>
          <w:b/>
          <w:bCs/>
          <w:color w:val="auto"/>
          <w:sz w:val="21"/>
          <w:lang w:val="en-US" w:eastAsia="zh-CN"/>
        </w:rPr>
        <w:t>2</w:t>
      </w:r>
      <w:r>
        <w:rPr>
          <w:rFonts w:hint="eastAsia" w:ascii="宋体" w:hAnsi="宋体" w:cs="宋体"/>
          <w:b/>
          <w:bCs/>
          <w:color w:val="auto"/>
          <w:sz w:val="21"/>
        </w:rPr>
        <w:t>-</w:t>
      </w:r>
      <w:r>
        <w:rPr>
          <w:rFonts w:hint="eastAsia" w:ascii="宋体" w:hAnsi="宋体" w:cs="宋体"/>
          <w:b/>
          <w:bCs/>
          <w:color w:val="auto"/>
          <w:sz w:val="21"/>
          <w:lang w:val="en-US" w:eastAsia="zh-CN"/>
        </w:rPr>
        <w:t>2施工升降机立</w:t>
      </w:r>
      <w:r>
        <w:rPr>
          <w:rFonts w:hint="eastAsia" w:ascii="宋体" w:hAnsi="宋体" w:cs="宋体"/>
          <w:b/>
          <w:bCs/>
          <w:color w:val="auto"/>
          <w:sz w:val="21"/>
        </w:rPr>
        <w:t>面布置图</w:t>
      </w:r>
    </w:p>
    <w:p w14:paraId="22CA54D1">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25" w:name="_Toc40778424"/>
      <w:bookmarkStart w:id="26" w:name="_Toc29202"/>
      <w:bookmarkStart w:id="27" w:name="_Toc933"/>
      <w:bookmarkStart w:id="28" w:name="_Toc29966"/>
      <w:r>
        <w:rPr>
          <w:rFonts w:hint="eastAsia"/>
          <w:color w:val="auto"/>
        </w:rPr>
        <w:t>施工要求</w:t>
      </w:r>
      <w:bookmarkEnd w:id="25"/>
      <w:bookmarkEnd w:id="26"/>
      <w:bookmarkEnd w:id="27"/>
      <w:bookmarkEnd w:id="28"/>
    </w:p>
    <w:p w14:paraId="134A8983">
      <w:pPr>
        <w:pStyle w:val="8"/>
        <w:tabs>
          <w:tab w:val="left" w:pos="0"/>
        </w:tabs>
      </w:pPr>
      <w:bookmarkStart w:id="29" w:name="_Toc3182"/>
      <w:bookmarkStart w:id="30" w:name="_Toc40778425"/>
      <w:bookmarkStart w:id="31" w:name="_Hlk109141060"/>
      <w:bookmarkStart w:id="32" w:name="_Toc4915"/>
      <w:r>
        <w:rPr>
          <w:rFonts w:hint="eastAsia"/>
          <w:lang w:val="en-US" w:eastAsia="zh-CN"/>
        </w:rPr>
        <w:t>工</w:t>
      </w:r>
      <w:r>
        <w:rPr>
          <w:rFonts w:hint="eastAsia"/>
        </w:rPr>
        <w:t>期要求</w:t>
      </w:r>
    </w:p>
    <w:p w14:paraId="6B929903">
      <w:pPr>
        <w:ind w:firstLine="480"/>
        <w:rPr>
          <w:highlight w:val="yellow"/>
        </w:rPr>
      </w:pPr>
      <w:r>
        <w:rPr>
          <w:rFonts w:hint="eastAsia"/>
        </w:rPr>
        <w:t>根据总体施工进度安排，</w:t>
      </w:r>
      <w:r>
        <w:rPr>
          <w:rFonts w:hint="eastAsia"/>
          <w:lang w:val="en-US" w:eastAsia="zh-CN"/>
        </w:rPr>
        <w:t>施工升降机拆除</w:t>
      </w:r>
      <w:r>
        <w:rPr>
          <w:rFonts w:hint="eastAsia"/>
        </w:rPr>
        <w:t>毕总工期为</w:t>
      </w:r>
      <w:r>
        <w:rPr>
          <w:rFonts w:hint="eastAsia"/>
          <w:lang w:val="en-US" w:eastAsia="zh-CN"/>
        </w:rPr>
        <w:t>3</w:t>
      </w:r>
      <w:r>
        <w:rPr>
          <w:rFonts w:hint="eastAsia"/>
        </w:rPr>
        <w:t>天，施工计划开始时间为202</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日，完成时间为202</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55A2B14C">
      <w:pPr>
        <w:pStyle w:val="8"/>
        <w:tabs>
          <w:tab w:val="left" w:pos="0"/>
        </w:tabs>
      </w:pPr>
      <w:r>
        <w:rPr>
          <w:rFonts w:hint="eastAsia"/>
        </w:rPr>
        <w:t>质量要求</w:t>
      </w:r>
    </w:p>
    <w:p w14:paraId="6BD7BE10">
      <w:pPr>
        <w:numPr>
          <w:ilvl w:val="0"/>
          <w:numId w:val="5"/>
        </w:numPr>
      </w:pPr>
      <w:r>
        <w:t>不发生质量事故，不发生造成社会恶劣影响的其他事件</w:t>
      </w:r>
      <w:r>
        <w:rPr>
          <w:rFonts w:hint="eastAsia"/>
        </w:rPr>
        <w:t>；</w:t>
      </w:r>
    </w:p>
    <w:p w14:paraId="1EB33855">
      <w:pPr>
        <w:numPr>
          <w:ilvl w:val="0"/>
          <w:numId w:val="5"/>
        </w:numPr>
      </w:pPr>
      <w:r>
        <w:rPr>
          <w:rFonts w:hint="eastAsia"/>
        </w:rPr>
        <w:t>工程质量符合合同、图纸及规范要求。</w:t>
      </w:r>
    </w:p>
    <w:p w14:paraId="5023E3D3">
      <w:pPr>
        <w:pStyle w:val="8"/>
        <w:tabs>
          <w:tab w:val="left" w:pos="0"/>
        </w:tabs>
      </w:pPr>
      <w:r>
        <w:rPr>
          <w:rFonts w:hint="eastAsia"/>
        </w:rPr>
        <w:t>安全文明施工要求</w:t>
      </w:r>
    </w:p>
    <w:p w14:paraId="3E3EFFD3">
      <w:pPr>
        <w:numPr>
          <w:ilvl w:val="0"/>
          <w:numId w:val="6"/>
        </w:numPr>
      </w:pPr>
      <w:r>
        <w:rPr>
          <w:rFonts w:hint="eastAsia"/>
        </w:rPr>
        <w:t>一般及较大安全事故发生率为0；</w:t>
      </w:r>
    </w:p>
    <w:p w14:paraId="28037E93">
      <w:pPr>
        <w:numPr>
          <w:ilvl w:val="0"/>
          <w:numId w:val="6"/>
        </w:numPr>
      </w:pPr>
      <w:r>
        <w:rPr>
          <w:rFonts w:hint="eastAsia"/>
        </w:rPr>
        <w:t>人员受伤事故发生率为0；</w:t>
      </w:r>
    </w:p>
    <w:p w14:paraId="548ECD23">
      <w:pPr>
        <w:numPr>
          <w:ilvl w:val="0"/>
          <w:numId w:val="6"/>
        </w:numPr>
      </w:pPr>
      <w:r>
        <w:rPr>
          <w:rFonts w:hint="eastAsia"/>
        </w:rPr>
        <w:t>所有进场施工人员安全教育考核率达100%，特殊岗位操作人员持证上岗率达100%；</w:t>
      </w:r>
    </w:p>
    <w:p w14:paraId="28C8BB7A">
      <w:pPr>
        <w:numPr>
          <w:ilvl w:val="0"/>
          <w:numId w:val="6"/>
        </w:numPr>
      </w:pPr>
      <w:r>
        <w:rPr>
          <w:rFonts w:hint="eastAsia"/>
        </w:rPr>
        <w:t>各种防护用品、设施合格率达100%，施工安全技术交底率达100%。</w:t>
      </w:r>
    </w:p>
    <w:bookmarkEnd w:id="29"/>
    <w:bookmarkEnd w:id="30"/>
    <w:bookmarkEnd w:id="31"/>
    <w:p w14:paraId="6D1498B0">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33" w:name="_Toc24825"/>
      <w:r>
        <w:rPr>
          <w:rFonts w:hint="eastAsia"/>
          <w:color w:val="auto"/>
        </w:rPr>
        <w:t>危险源辨识及分析</w:t>
      </w:r>
      <w:bookmarkEnd w:id="32"/>
      <w:bookmarkEnd w:id="33"/>
      <w:bookmarkStart w:id="34" w:name="_Toc903"/>
      <w:bookmarkStart w:id="35" w:name="_Toc1775"/>
    </w:p>
    <w:bookmarkEnd w:id="34"/>
    <w:bookmarkEnd w:id="35"/>
    <w:p w14:paraId="797B0DFE">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风险源辨识与评价</w:t>
      </w:r>
    </w:p>
    <w:p w14:paraId="5C59C890">
      <w:pPr>
        <w:ind w:firstLine="480"/>
      </w:pPr>
      <w:r>
        <w:rPr>
          <w:rFonts w:hint="eastAsia"/>
        </w:rPr>
        <w:t>危险因素分析、识别表见表1.4.1-1所示。</w:t>
      </w:r>
    </w:p>
    <w:p w14:paraId="44F2C40C">
      <w:pPr>
        <w:pStyle w:val="13"/>
        <w:jc w:val="center"/>
        <w:rPr>
          <w:rFonts w:hint="eastAsia" w:ascii="宋体" w:hAnsi="宋体" w:eastAsia="宋体" w:cs="宋体"/>
          <w:b/>
          <w:bCs/>
          <w:color w:val="auto"/>
          <w:kern w:val="0"/>
          <w:sz w:val="21"/>
          <w:szCs w:val="21"/>
          <w:lang w:val="en-US" w:eastAsia="zh-CN" w:bidi="ar-SA"/>
        </w:rPr>
      </w:pPr>
      <w:bookmarkStart w:id="36" w:name="_Ref77863896"/>
      <w:r>
        <w:rPr>
          <w:rFonts w:hint="eastAsia" w:ascii="宋体" w:hAnsi="宋体" w:eastAsia="宋体" w:cs="宋体"/>
          <w:b/>
          <w:bCs/>
          <w:color w:val="auto"/>
          <w:kern w:val="0"/>
          <w:sz w:val="21"/>
          <w:szCs w:val="21"/>
          <w:lang w:val="en-US" w:eastAsia="zh-CN" w:bidi="ar-SA"/>
        </w:rPr>
        <w:t>表</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3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1.4.1</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3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bookmarkEnd w:id="36"/>
      <w:r>
        <w:rPr>
          <w:rFonts w:hint="eastAsia" w:ascii="宋体" w:hAnsi="宋体" w:eastAsia="宋体" w:cs="宋体"/>
          <w:b/>
          <w:bCs/>
          <w:color w:val="auto"/>
          <w:kern w:val="0"/>
          <w:sz w:val="21"/>
          <w:szCs w:val="21"/>
          <w:lang w:val="en-US" w:eastAsia="zh-CN" w:bidi="ar-SA"/>
        </w:rPr>
        <w:t xml:space="preserve"> 风险因素分析、识别表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90"/>
        <w:gridCol w:w="4961"/>
        <w:gridCol w:w="1487"/>
      </w:tblGrid>
      <w:tr w14:paraId="33152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0" w:type="auto"/>
            <w:shd w:val="clear" w:color="auto" w:fill="auto"/>
            <w:noWrap/>
            <w:vAlign w:val="center"/>
          </w:tcPr>
          <w:p w14:paraId="35CBB5E0">
            <w:pPr>
              <w:pStyle w:val="30"/>
              <w:rPr>
                <w:b/>
                <w:bCs/>
              </w:rPr>
            </w:pPr>
            <w:r>
              <w:rPr>
                <w:rFonts w:hint="eastAsia"/>
                <w:b/>
                <w:bCs/>
              </w:rPr>
              <w:t>序号</w:t>
            </w:r>
          </w:p>
        </w:tc>
        <w:tc>
          <w:tcPr>
            <w:tcW w:w="1190" w:type="dxa"/>
            <w:shd w:val="clear" w:color="auto" w:fill="auto"/>
            <w:vAlign w:val="center"/>
          </w:tcPr>
          <w:p w14:paraId="421662B1">
            <w:pPr>
              <w:pStyle w:val="30"/>
              <w:rPr>
                <w:b/>
                <w:bCs/>
              </w:rPr>
            </w:pPr>
            <w:r>
              <w:rPr>
                <w:rFonts w:hint="eastAsia"/>
                <w:b/>
                <w:bCs/>
              </w:rPr>
              <w:t>活动内容</w:t>
            </w:r>
          </w:p>
        </w:tc>
        <w:tc>
          <w:tcPr>
            <w:tcW w:w="4961" w:type="dxa"/>
            <w:shd w:val="clear" w:color="auto" w:fill="auto"/>
            <w:vAlign w:val="center"/>
          </w:tcPr>
          <w:p w14:paraId="0683A6C8">
            <w:pPr>
              <w:pStyle w:val="30"/>
              <w:rPr>
                <w:b/>
                <w:bCs/>
              </w:rPr>
            </w:pPr>
            <w:r>
              <w:rPr>
                <w:rFonts w:hint="eastAsia"/>
                <w:b/>
                <w:bCs/>
              </w:rPr>
              <w:t>危害因素</w:t>
            </w:r>
          </w:p>
        </w:tc>
        <w:tc>
          <w:tcPr>
            <w:tcW w:w="1487" w:type="dxa"/>
            <w:shd w:val="clear" w:color="auto" w:fill="auto"/>
            <w:vAlign w:val="center"/>
          </w:tcPr>
          <w:p w14:paraId="08AB8C22">
            <w:pPr>
              <w:pStyle w:val="30"/>
              <w:rPr>
                <w:b/>
                <w:bCs/>
              </w:rPr>
            </w:pPr>
            <w:r>
              <w:rPr>
                <w:rFonts w:hint="eastAsia"/>
                <w:b/>
                <w:bCs/>
              </w:rPr>
              <w:t>潜在事故类型</w:t>
            </w:r>
          </w:p>
        </w:tc>
      </w:tr>
      <w:tr w14:paraId="40B16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32CD12A">
            <w:pPr>
              <w:pStyle w:val="30"/>
              <w:numPr>
                <w:ilvl w:val="0"/>
                <w:numId w:val="7"/>
              </w:numPr>
              <w:rPr>
                <w:b w:val="0"/>
                <w:bCs w:val="0"/>
              </w:rPr>
            </w:pPr>
          </w:p>
        </w:tc>
        <w:tc>
          <w:tcPr>
            <w:tcW w:w="1190" w:type="dxa"/>
            <w:vMerge w:val="restart"/>
            <w:shd w:val="clear" w:color="auto" w:fill="auto"/>
            <w:vAlign w:val="center"/>
          </w:tcPr>
          <w:p w14:paraId="4348DBB7">
            <w:pPr>
              <w:pStyle w:val="30"/>
              <w:rPr>
                <w:b w:val="0"/>
                <w:bCs w:val="0"/>
              </w:rPr>
            </w:pPr>
            <w:r>
              <w:rPr>
                <w:rFonts w:hint="eastAsia"/>
                <w:b w:val="0"/>
                <w:bCs w:val="0"/>
              </w:rPr>
              <w:t>施工准备</w:t>
            </w:r>
          </w:p>
        </w:tc>
        <w:tc>
          <w:tcPr>
            <w:tcW w:w="4961" w:type="dxa"/>
            <w:shd w:val="clear" w:color="auto" w:fill="auto"/>
            <w:vAlign w:val="center"/>
          </w:tcPr>
          <w:p w14:paraId="67510926">
            <w:pPr>
              <w:pStyle w:val="30"/>
              <w:rPr>
                <w:b w:val="0"/>
                <w:bCs w:val="0"/>
              </w:rPr>
            </w:pPr>
            <w:r>
              <w:rPr>
                <w:rFonts w:hint="eastAsia"/>
                <w:b w:val="0"/>
                <w:bCs w:val="0"/>
              </w:rPr>
              <w:t>作业人员进场未进行安全培训教育和风险告知；未对作业人员进行安全技术交底或交底不充分</w:t>
            </w:r>
          </w:p>
        </w:tc>
        <w:tc>
          <w:tcPr>
            <w:tcW w:w="1487" w:type="dxa"/>
            <w:vMerge w:val="restart"/>
            <w:shd w:val="clear" w:color="auto" w:fill="auto"/>
            <w:vAlign w:val="center"/>
          </w:tcPr>
          <w:p w14:paraId="18244581">
            <w:pPr>
              <w:pStyle w:val="30"/>
              <w:rPr>
                <w:b w:val="0"/>
                <w:bCs w:val="0"/>
              </w:rPr>
            </w:pPr>
            <w:r>
              <w:rPr>
                <w:rFonts w:hint="eastAsia"/>
                <w:b w:val="0"/>
                <w:bCs w:val="0"/>
              </w:rPr>
              <w:t>物体打击、起重伤害、高处坠落、车辆伤害、触电等</w:t>
            </w:r>
          </w:p>
        </w:tc>
      </w:tr>
      <w:tr w14:paraId="12D08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939D5D6">
            <w:pPr>
              <w:pStyle w:val="30"/>
              <w:numPr>
                <w:ilvl w:val="0"/>
                <w:numId w:val="7"/>
              </w:numPr>
              <w:rPr>
                <w:b w:val="0"/>
                <w:bCs w:val="0"/>
              </w:rPr>
            </w:pPr>
          </w:p>
        </w:tc>
        <w:tc>
          <w:tcPr>
            <w:tcW w:w="1190" w:type="dxa"/>
            <w:vMerge w:val="continue"/>
            <w:shd w:val="clear" w:color="auto" w:fill="auto"/>
            <w:vAlign w:val="center"/>
          </w:tcPr>
          <w:p w14:paraId="1167AE3E">
            <w:pPr>
              <w:pStyle w:val="30"/>
              <w:rPr>
                <w:b w:val="0"/>
                <w:bCs w:val="0"/>
              </w:rPr>
            </w:pPr>
          </w:p>
        </w:tc>
        <w:tc>
          <w:tcPr>
            <w:tcW w:w="4961" w:type="dxa"/>
            <w:shd w:val="clear" w:color="auto" w:fill="auto"/>
            <w:vAlign w:val="center"/>
          </w:tcPr>
          <w:p w14:paraId="4BB5FF25">
            <w:pPr>
              <w:pStyle w:val="30"/>
              <w:rPr>
                <w:b w:val="0"/>
                <w:bCs w:val="0"/>
              </w:rPr>
            </w:pPr>
            <w:r>
              <w:rPr>
                <w:rFonts w:hint="eastAsia"/>
                <w:b w:val="0"/>
                <w:bCs w:val="0"/>
              </w:rPr>
              <w:t>作业人员未进行体检或带病作业</w:t>
            </w:r>
          </w:p>
        </w:tc>
        <w:tc>
          <w:tcPr>
            <w:tcW w:w="1487" w:type="dxa"/>
            <w:vMerge w:val="continue"/>
            <w:shd w:val="clear" w:color="auto" w:fill="auto"/>
            <w:vAlign w:val="center"/>
          </w:tcPr>
          <w:p w14:paraId="36A95643">
            <w:pPr>
              <w:pStyle w:val="30"/>
              <w:rPr>
                <w:b w:val="0"/>
                <w:bCs w:val="0"/>
              </w:rPr>
            </w:pPr>
          </w:p>
        </w:tc>
      </w:tr>
      <w:tr w14:paraId="7BE4C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4ED124A">
            <w:pPr>
              <w:pStyle w:val="30"/>
              <w:numPr>
                <w:ilvl w:val="0"/>
                <w:numId w:val="7"/>
              </w:numPr>
              <w:rPr>
                <w:b w:val="0"/>
                <w:bCs w:val="0"/>
              </w:rPr>
            </w:pPr>
          </w:p>
        </w:tc>
        <w:tc>
          <w:tcPr>
            <w:tcW w:w="1190" w:type="dxa"/>
            <w:vMerge w:val="continue"/>
            <w:shd w:val="clear" w:color="auto" w:fill="auto"/>
            <w:vAlign w:val="center"/>
          </w:tcPr>
          <w:p w14:paraId="58537385">
            <w:pPr>
              <w:pStyle w:val="30"/>
              <w:rPr>
                <w:b w:val="0"/>
                <w:bCs w:val="0"/>
              </w:rPr>
            </w:pPr>
          </w:p>
        </w:tc>
        <w:tc>
          <w:tcPr>
            <w:tcW w:w="4961" w:type="dxa"/>
            <w:shd w:val="clear" w:color="auto" w:fill="auto"/>
            <w:vAlign w:val="center"/>
          </w:tcPr>
          <w:p w14:paraId="68CC963E">
            <w:pPr>
              <w:pStyle w:val="30"/>
              <w:rPr>
                <w:b w:val="0"/>
                <w:bCs w:val="0"/>
              </w:rPr>
            </w:pPr>
            <w:r>
              <w:rPr>
                <w:rFonts w:hint="eastAsia"/>
                <w:b w:val="0"/>
                <w:bCs w:val="0"/>
              </w:rPr>
              <w:t>作业人员未正确佩戴和使用安全防护用品</w:t>
            </w:r>
          </w:p>
        </w:tc>
        <w:tc>
          <w:tcPr>
            <w:tcW w:w="1487" w:type="dxa"/>
            <w:vMerge w:val="continue"/>
            <w:shd w:val="clear" w:color="auto" w:fill="auto"/>
            <w:vAlign w:val="center"/>
          </w:tcPr>
          <w:p w14:paraId="12FD7DD3">
            <w:pPr>
              <w:pStyle w:val="30"/>
              <w:rPr>
                <w:b w:val="0"/>
                <w:bCs w:val="0"/>
              </w:rPr>
            </w:pPr>
          </w:p>
        </w:tc>
      </w:tr>
      <w:tr w14:paraId="76E53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C41FF06">
            <w:pPr>
              <w:pStyle w:val="30"/>
              <w:numPr>
                <w:ilvl w:val="0"/>
                <w:numId w:val="7"/>
              </w:numPr>
              <w:rPr>
                <w:b w:val="0"/>
                <w:bCs w:val="0"/>
              </w:rPr>
            </w:pPr>
          </w:p>
        </w:tc>
        <w:tc>
          <w:tcPr>
            <w:tcW w:w="1190" w:type="dxa"/>
            <w:vMerge w:val="continue"/>
            <w:shd w:val="clear" w:color="auto" w:fill="auto"/>
            <w:vAlign w:val="center"/>
          </w:tcPr>
          <w:p w14:paraId="26E714BD">
            <w:pPr>
              <w:pStyle w:val="30"/>
              <w:rPr>
                <w:b w:val="0"/>
                <w:bCs w:val="0"/>
              </w:rPr>
            </w:pPr>
          </w:p>
        </w:tc>
        <w:tc>
          <w:tcPr>
            <w:tcW w:w="4961" w:type="dxa"/>
            <w:shd w:val="clear" w:color="auto" w:fill="auto"/>
            <w:vAlign w:val="center"/>
          </w:tcPr>
          <w:p w14:paraId="00B48E4C">
            <w:pPr>
              <w:pStyle w:val="30"/>
              <w:rPr>
                <w:b w:val="0"/>
                <w:bCs w:val="0"/>
              </w:rPr>
            </w:pPr>
            <w:r>
              <w:rPr>
                <w:rFonts w:hint="eastAsia"/>
                <w:b w:val="0"/>
                <w:bCs w:val="0"/>
              </w:rPr>
              <w:t>特种作业人员未持证上岗或证件过期</w:t>
            </w:r>
          </w:p>
        </w:tc>
        <w:tc>
          <w:tcPr>
            <w:tcW w:w="1487" w:type="dxa"/>
            <w:vMerge w:val="continue"/>
            <w:shd w:val="clear" w:color="auto" w:fill="auto"/>
            <w:vAlign w:val="center"/>
          </w:tcPr>
          <w:p w14:paraId="39F99168">
            <w:pPr>
              <w:pStyle w:val="30"/>
              <w:rPr>
                <w:b w:val="0"/>
                <w:bCs w:val="0"/>
              </w:rPr>
            </w:pPr>
          </w:p>
        </w:tc>
      </w:tr>
      <w:tr w14:paraId="6EF60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F0EA4F0">
            <w:pPr>
              <w:pStyle w:val="30"/>
              <w:numPr>
                <w:ilvl w:val="0"/>
                <w:numId w:val="7"/>
              </w:numPr>
              <w:rPr>
                <w:b w:val="0"/>
                <w:bCs w:val="0"/>
              </w:rPr>
            </w:pPr>
          </w:p>
        </w:tc>
        <w:tc>
          <w:tcPr>
            <w:tcW w:w="1190" w:type="dxa"/>
            <w:vMerge w:val="continue"/>
            <w:shd w:val="clear" w:color="auto" w:fill="auto"/>
            <w:vAlign w:val="center"/>
          </w:tcPr>
          <w:p w14:paraId="371E2E5B">
            <w:pPr>
              <w:pStyle w:val="30"/>
              <w:rPr>
                <w:b w:val="0"/>
                <w:bCs w:val="0"/>
              </w:rPr>
            </w:pPr>
          </w:p>
        </w:tc>
        <w:tc>
          <w:tcPr>
            <w:tcW w:w="4961" w:type="dxa"/>
            <w:shd w:val="clear" w:color="auto" w:fill="auto"/>
            <w:vAlign w:val="center"/>
          </w:tcPr>
          <w:p w14:paraId="77C4800B">
            <w:pPr>
              <w:pStyle w:val="30"/>
              <w:rPr>
                <w:b w:val="0"/>
                <w:bCs w:val="0"/>
              </w:rPr>
            </w:pPr>
            <w:r>
              <w:rPr>
                <w:rFonts w:hint="eastAsia"/>
                <w:b w:val="0"/>
                <w:bCs w:val="0"/>
              </w:rPr>
              <w:t>材料、设备不合格，存在缺陷</w:t>
            </w:r>
          </w:p>
        </w:tc>
        <w:tc>
          <w:tcPr>
            <w:tcW w:w="1487" w:type="dxa"/>
            <w:vMerge w:val="continue"/>
            <w:shd w:val="clear" w:color="auto" w:fill="auto"/>
            <w:vAlign w:val="center"/>
          </w:tcPr>
          <w:p w14:paraId="0E6EC58D">
            <w:pPr>
              <w:pStyle w:val="30"/>
              <w:rPr>
                <w:b w:val="0"/>
                <w:bCs w:val="0"/>
              </w:rPr>
            </w:pPr>
          </w:p>
        </w:tc>
      </w:tr>
      <w:tr w14:paraId="15B11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407A81">
            <w:pPr>
              <w:pStyle w:val="30"/>
              <w:numPr>
                <w:ilvl w:val="0"/>
                <w:numId w:val="7"/>
              </w:numPr>
              <w:rPr>
                <w:b w:val="0"/>
                <w:bCs w:val="0"/>
              </w:rPr>
            </w:pPr>
          </w:p>
        </w:tc>
        <w:tc>
          <w:tcPr>
            <w:tcW w:w="1190" w:type="dxa"/>
            <w:vMerge w:val="continue"/>
            <w:shd w:val="clear" w:color="auto" w:fill="auto"/>
            <w:vAlign w:val="center"/>
          </w:tcPr>
          <w:p w14:paraId="33FF144A">
            <w:pPr>
              <w:pStyle w:val="30"/>
              <w:rPr>
                <w:b w:val="0"/>
                <w:bCs w:val="0"/>
              </w:rPr>
            </w:pPr>
          </w:p>
        </w:tc>
        <w:tc>
          <w:tcPr>
            <w:tcW w:w="4961" w:type="dxa"/>
            <w:shd w:val="clear" w:color="auto" w:fill="auto"/>
            <w:vAlign w:val="center"/>
          </w:tcPr>
          <w:p w14:paraId="78DE11B8">
            <w:pPr>
              <w:pStyle w:val="30"/>
              <w:rPr>
                <w:b w:val="0"/>
                <w:bCs w:val="0"/>
              </w:rPr>
            </w:pPr>
            <w:r>
              <w:rPr>
                <w:rFonts w:hint="eastAsia"/>
                <w:b w:val="0"/>
                <w:bCs w:val="0"/>
              </w:rPr>
              <w:t>气象跟踪不及时，恶劣天气施工</w:t>
            </w:r>
          </w:p>
        </w:tc>
        <w:tc>
          <w:tcPr>
            <w:tcW w:w="1487" w:type="dxa"/>
            <w:vMerge w:val="continue"/>
            <w:shd w:val="clear" w:color="auto" w:fill="auto"/>
            <w:vAlign w:val="center"/>
          </w:tcPr>
          <w:p w14:paraId="22DC7F24">
            <w:pPr>
              <w:pStyle w:val="30"/>
              <w:rPr>
                <w:b w:val="0"/>
                <w:bCs w:val="0"/>
              </w:rPr>
            </w:pPr>
          </w:p>
        </w:tc>
      </w:tr>
      <w:tr w14:paraId="711E1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90048CC">
            <w:pPr>
              <w:pStyle w:val="30"/>
              <w:numPr>
                <w:ilvl w:val="0"/>
                <w:numId w:val="7"/>
              </w:numPr>
              <w:rPr>
                <w:b w:val="0"/>
                <w:bCs w:val="0"/>
              </w:rPr>
            </w:pPr>
          </w:p>
        </w:tc>
        <w:tc>
          <w:tcPr>
            <w:tcW w:w="1190" w:type="dxa"/>
            <w:vMerge w:val="continue"/>
            <w:shd w:val="clear" w:color="auto" w:fill="auto"/>
            <w:vAlign w:val="center"/>
          </w:tcPr>
          <w:p w14:paraId="2E101F4F">
            <w:pPr>
              <w:pStyle w:val="30"/>
              <w:rPr>
                <w:b w:val="0"/>
                <w:bCs w:val="0"/>
              </w:rPr>
            </w:pPr>
          </w:p>
        </w:tc>
        <w:tc>
          <w:tcPr>
            <w:tcW w:w="4961" w:type="dxa"/>
            <w:shd w:val="clear" w:color="auto" w:fill="auto"/>
            <w:vAlign w:val="center"/>
          </w:tcPr>
          <w:p w14:paraId="22DD48F1">
            <w:pPr>
              <w:pStyle w:val="30"/>
              <w:rPr>
                <w:b w:val="0"/>
                <w:bCs w:val="0"/>
              </w:rPr>
            </w:pPr>
            <w:r>
              <w:rPr>
                <w:rFonts w:hint="eastAsia"/>
                <w:b w:val="0"/>
                <w:bCs w:val="0"/>
              </w:rPr>
              <w:t>辅助钢管附墙未安装或者安装不牢靠</w:t>
            </w:r>
          </w:p>
        </w:tc>
        <w:tc>
          <w:tcPr>
            <w:tcW w:w="1487" w:type="dxa"/>
            <w:shd w:val="clear" w:color="auto" w:fill="auto"/>
            <w:vAlign w:val="center"/>
          </w:tcPr>
          <w:p w14:paraId="7E417C95">
            <w:pPr>
              <w:pStyle w:val="30"/>
              <w:rPr>
                <w:b w:val="0"/>
                <w:bCs w:val="0"/>
              </w:rPr>
            </w:pPr>
            <w:r>
              <w:rPr>
                <w:rFonts w:hint="eastAsia"/>
                <w:b w:val="0"/>
                <w:bCs w:val="0"/>
              </w:rPr>
              <w:t>高处坠落</w:t>
            </w:r>
          </w:p>
        </w:tc>
      </w:tr>
      <w:tr w14:paraId="4937E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337B6D4">
            <w:pPr>
              <w:pStyle w:val="30"/>
              <w:numPr>
                <w:ilvl w:val="0"/>
                <w:numId w:val="7"/>
              </w:numPr>
              <w:rPr>
                <w:b w:val="0"/>
                <w:bCs w:val="0"/>
              </w:rPr>
            </w:pPr>
          </w:p>
        </w:tc>
        <w:tc>
          <w:tcPr>
            <w:tcW w:w="1190" w:type="dxa"/>
            <w:vMerge w:val="continue"/>
            <w:shd w:val="clear" w:color="auto" w:fill="auto"/>
            <w:vAlign w:val="center"/>
          </w:tcPr>
          <w:p w14:paraId="06DC1306">
            <w:pPr>
              <w:pStyle w:val="30"/>
              <w:rPr>
                <w:b w:val="0"/>
                <w:bCs w:val="0"/>
              </w:rPr>
            </w:pPr>
          </w:p>
        </w:tc>
        <w:tc>
          <w:tcPr>
            <w:tcW w:w="4961" w:type="dxa"/>
            <w:shd w:val="clear" w:color="auto" w:fill="auto"/>
            <w:vAlign w:val="center"/>
          </w:tcPr>
          <w:p w14:paraId="549D85FF">
            <w:pPr>
              <w:pStyle w:val="30"/>
              <w:rPr>
                <w:b w:val="0"/>
                <w:bCs w:val="0"/>
              </w:rPr>
            </w:pPr>
            <w:r>
              <w:rPr>
                <w:rFonts w:hint="eastAsia"/>
                <w:b w:val="0"/>
                <w:bCs w:val="0"/>
              </w:rPr>
              <w:t>未设置附墙安拆时的施工操作平台</w:t>
            </w:r>
          </w:p>
          <w:p w14:paraId="2930A879">
            <w:pPr>
              <w:pStyle w:val="30"/>
              <w:rPr>
                <w:b w:val="0"/>
                <w:bCs w:val="0"/>
              </w:rPr>
            </w:pPr>
            <w:r>
              <w:rPr>
                <w:rFonts w:hint="eastAsia"/>
                <w:b w:val="0"/>
                <w:bCs w:val="0"/>
              </w:rPr>
              <w:t>或操作平台不牢靠</w:t>
            </w:r>
          </w:p>
        </w:tc>
        <w:tc>
          <w:tcPr>
            <w:tcW w:w="1487" w:type="dxa"/>
            <w:shd w:val="clear" w:color="auto" w:fill="auto"/>
            <w:vAlign w:val="center"/>
          </w:tcPr>
          <w:p w14:paraId="3D31A78F">
            <w:pPr>
              <w:pStyle w:val="30"/>
              <w:rPr>
                <w:b w:val="0"/>
                <w:bCs w:val="0"/>
              </w:rPr>
            </w:pPr>
            <w:r>
              <w:rPr>
                <w:rFonts w:hint="eastAsia"/>
                <w:b w:val="0"/>
                <w:bCs w:val="0"/>
              </w:rPr>
              <w:t>高处坠落</w:t>
            </w:r>
          </w:p>
        </w:tc>
      </w:tr>
      <w:tr w14:paraId="6D635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7AD5930">
            <w:pPr>
              <w:pStyle w:val="30"/>
              <w:numPr>
                <w:ilvl w:val="0"/>
                <w:numId w:val="7"/>
              </w:numPr>
              <w:rPr>
                <w:b w:val="0"/>
                <w:bCs w:val="0"/>
              </w:rPr>
            </w:pPr>
          </w:p>
        </w:tc>
        <w:tc>
          <w:tcPr>
            <w:tcW w:w="1190" w:type="dxa"/>
            <w:vMerge w:val="continue"/>
            <w:shd w:val="clear" w:color="auto" w:fill="auto"/>
            <w:vAlign w:val="center"/>
          </w:tcPr>
          <w:p w14:paraId="7394BE9B">
            <w:pPr>
              <w:pStyle w:val="30"/>
              <w:rPr>
                <w:b w:val="0"/>
                <w:bCs w:val="0"/>
              </w:rPr>
            </w:pPr>
          </w:p>
        </w:tc>
        <w:tc>
          <w:tcPr>
            <w:tcW w:w="4961" w:type="dxa"/>
            <w:shd w:val="clear" w:color="auto" w:fill="auto"/>
            <w:vAlign w:val="center"/>
          </w:tcPr>
          <w:p w14:paraId="4786F721">
            <w:pPr>
              <w:pStyle w:val="30"/>
              <w:rPr>
                <w:b w:val="0"/>
                <w:bCs w:val="0"/>
              </w:rPr>
            </w:pPr>
            <w:r>
              <w:rPr>
                <w:rFonts w:hint="eastAsia"/>
                <w:b w:val="0"/>
                <w:bCs w:val="0"/>
              </w:rPr>
              <w:t>施工升降机拆卸队伍无资质证书或不符合要求</w:t>
            </w:r>
          </w:p>
        </w:tc>
        <w:tc>
          <w:tcPr>
            <w:tcW w:w="1487" w:type="dxa"/>
            <w:shd w:val="clear" w:color="auto" w:fill="auto"/>
            <w:vAlign w:val="center"/>
          </w:tcPr>
          <w:p w14:paraId="3A4C82A0">
            <w:pPr>
              <w:pStyle w:val="30"/>
              <w:rPr>
                <w:b w:val="0"/>
                <w:bCs w:val="0"/>
              </w:rPr>
            </w:pPr>
            <w:r>
              <w:rPr>
                <w:rFonts w:hint="eastAsia"/>
                <w:b w:val="0"/>
                <w:bCs w:val="0"/>
              </w:rPr>
              <w:t>高处坠落、物体打击</w:t>
            </w:r>
          </w:p>
        </w:tc>
      </w:tr>
      <w:tr w14:paraId="1D29B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6439C88">
            <w:pPr>
              <w:pStyle w:val="30"/>
              <w:numPr>
                <w:ilvl w:val="0"/>
                <w:numId w:val="7"/>
              </w:numPr>
              <w:rPr>
                <w:b w:val="0"/>
                <w:bCs w:val="0"/>
              </w:rPr>
            </w:pPr>
          </w:p>
        </w:tc>
        <w:tc>
          <w:tcPr>
            <w:tcW w:w="1190" w:type="dxa"/>
            <w:vMerge w:val="restart"/>
            <w:shd w:val="clear" w:color="auto" w:fill="auto"/>
            <w:vAlign w:val="center"/>
          </w:tcPr>
          <w:p w14:paraId="63D70EF5">
            <w:pPr>
              <w:pStyle w:val="30"/>
              <w:rPr>
                <w:b w:val="0"/>
                <w:bCs w:val="0"/>
              </w:rPr>
            </w:pPr>
            <w:r>
              <w:rPr>
                <w:rFonts w:hint="eastAsia"/>
                <w:b w:val="0"/>
                <w:bCs w:val="0"/>
              </w:rPr>
              <w:t>施工升降机拆除准备工作</w:t>
            </w:r>
          </w:p>
        </w:tc>
        <w:tc>
          <w:tcPr>
            <w:tcW w:w="4961" w:type="dxa"/>
            <w:shd w:val="clear" w:color="auto" w:fill="auto"/>
            <w:vAlign w:val="center"/>
          </w:tcPr>
          <w:p w14:paraId="55256988">
            <w:pPr>
              <w:pStyle w:val="30"/>
              <w:rPr>
                <w:b w:val="0"/>
                <w:bCs w:val="0"/>
              </w:rPr>
            </w:pPr>
            <w:r>
              <w:rPr>
                <w:rFonts w:hint="eastAsia"/>
                <w:b w:val="0"/>
                <w:bCs w:val="0"/>
              </w:rPr>
              <w:t>未设置施工升降机专用堆放场地或者堆放超高</w:t>
            </w:r>
          </w:p>
        </w:tc>
        <w:tc>
          <w:tcPr>
            <w:tcW w:w="1487" w:type="dxa"/>
            <w:shd w:val="clear" w:color="auto" w:fill="auto"/>
            <w:vAlign w:val="center"/>
          </w:tcPr>
          <w:p w14:paraId="7CD29AF4">
            <w:pPr>
              <w:pStyle w:val="30"/>
              <w:rPr>
                <w:b w:val="0"/>
                <w:bCs w:val="0"/>
              </w:rPr>
            </w:pPr>
            <w:r>
              <w:rPr>
                <w:rFonts w:hint="eastAsia"/>
                <w:b w:val="0"/>
                <w:bCs w:val="0"/>
              </w:rPr>
              <w:t>物体打击</w:t>
            </w:r>
          </w:p>
        </w:tc>
      </w:tr>
      <w:tr w14:paraId="72BAB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665DA18">
            <w:pPr>
              <w:pStyle w:val="30"/>
              <w:numPr>
                <w:ilvl w:val="0"/>
                <w:numId w:val="7"/>
              </w:numPr>
              <w:rPr>
                <w:b w:val="0"/>
                <w:bCs w:val="0"/>
              </w:rPr>
            </w:pPr>
          </w:p>
        </w:tc>
        <w:tc>
          <w:tcPr>
            <w:tcW w:w="1190" w:type="dxa"/>
            <w:vMerge w:val="continue"/>
            <w:shd w:val="clear" w:color="auto" w:fill="auto"/>
            <w:vAlign w:val="center"/>
          </w:tcPr>
          <w:p w14:paraId="60D8D768">
            <w:pPr>
              <w:pStyle w:val="30"/>
              <w:rPr>
                <w:b w:val="0"/>
                <w:bCs w:val="0"/>
              </w:rPr>
            </w:pPr>
          </w:p>
        </w:tc>
        <w:tc>
          <w:tcPr>
            <w:tcW w:w="4961" w:type="dxa"/>
            <w:shd w:val="clear" w:color="auto" w:fill="auto"/>
            <w:vAlign w:val="center"/>
          </w:tcPr>
          <w:p w14:paraId="35492C30">
            <w:pPr>
              <w:pStyle w:val="30"/>
              <w:rPr>
                <w:b w:val="0"/>
                <w:bCs w:val="0"/>
              </w:rPr>
            </w:pPr>
            <w:r>
              <w:rPr>
                <w:rFonts w:hint="eastAsia"/>
                <w:b w:val="0"/>
                <w:bCs w:val="0"/>
              </w:rPr>
              <w:t>拆卸过程中为准备专用工具和设备</w:t>
            </w:r>
          </w:p>
        </w:tc>
        <w:tc>
          <w:tcPr>
            <w:tcW w:w="1487" w:type="dxa"/>
            <w:shd w:val="clear" w:color="auto" w:fill="auto"/>
            <w:vAlign w:val="center"/>
          </w:tcPr>
          <w:p w14:paraId="667510B4">
            <w:pPr>
              <w:pStyle w:val="30"/>
              <w:rPr>
                <w:b w:val="0"/>
                <w:bCs w:val="0"/>
              </w:rPr>
            </w:pPr>
            <w:r>
              <w:rPr>
                <w:rFonts w:hint="eastAsia"/>
                <w:b w:val="0"/>
                <w:bCs w:val="0"/>
              </w:rPr>
              <w:t>物体打击</w:t>
            </w:r>
          </w:p>
        </w:tc>
      </w:tr>
      <w:tr w14:paraId="1E08F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EA671EB">
            <w:pPr>
              <w:pStyle w:val="30"/>
              <w:numPr>
                <w:ilvl w:val="0"/>
                <w:numId w:val="7"/>
              </w:numPr>
              <w:rPr>
                <w:b w:val="0"/>
                <w:bCs w:val="0"/>
              </w:rPr>
            </w:pPr>
          </w:p>
        </w:tc>
        <w:tc>
          <w:tcPr>
            <w:tcW w:w="1190" w:type="dxa"/>
            <w:vMerge w:val="continue"/>
            <w:shd w:val="clear" w:color="auto" w:fill="auto"/>
            <w:vAlign w:val="center"/>
          </w:tcPr>
          <w:p w14:paraId="6A85AF43">
            <w:pPr>
              <w:pStyle w:val="30"/>
              <w:rPr>
                <w:b w:val="0"/>
                <w:bCs w:val="0"/>
              </w:rPr>
            </w:pPr>
          </w:p>
        </w:tc>
        <w:tc>
          <w:tcPr>
            <w:tcW w:w="4961" w:type="dxa"/>
            <w:shd w:val="clear" w:color="auto" w:fill="auto"/>
            <w:vAlign w:val="center"/>
          </w:tcPr>
          <w:p w14:paraId="450E6057">
            <w:pPr>
              <w:pStyle w:val="30"/>
              <w:rPr>
                <w:b w:val="0"/>
                <w:bCs w:val="0"/>
              </w:rPr>
            </w:pPr>
            <w:r>
              <w:rPr>
                <w:rFonts w:hint="eastAsia"/>
                <w:b w:val="0"/>
                <w:bCs w:val="0"/>
              </w:rPr>
              <w:t>吊笼未拆除之前，有非拆卸作业人员在地面防护围栏内、施工升降机运行通道内、导轨架内以及附墙架上等区域活动。</w:t>
            </w:r>
          </w:p>
        </w:tc>
        <w:tc>
          <w:tcPr>
            <w:tcW w:w="1487" w:type="dxa"/>
            <w:shd w:val="clear" w:color="auto" w:fill="auto"/>
            <w:vAlign w:val="center"/>
          </w:tcPr>
          <w:p w14:paraId="7B494A17">
            <w:pPr>
              <w:pStyle w:val="30"/>
              <w:rPr>
                <w:b w:val="0"/>
                <w:bCs w:val="0"/>
              </w:rPr>
            </w:pPr>
            <w:r>
              <w:rPr>
                <w:rFonts w:hint="eastAsia"/>
                <w:b w:val="0"/>
                <w:bCs w:val="0"/>
              </w:rPr>
              <w:t>机械伤害</w:t>
            </w:r>
          </w:p>
        </w:tc>
      </w:tr>
      <w:tr w14:paraId="193FE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093172E">
            <w:pPr>
              <w:pStyle w:val="30"/>
              <w:numPr>
                <w:ilvl w:val="0"/>
                <w:numId w:val="7"/>
              </w:numPr>
              <w:rPr>
                <w:b w:val="0"/>
                <w:bCs w:val="0"/>
              </w:rPr>
            </w:pPr>
          </w:p>
        </w:tc>
        <w:tc>
          <w:tcPr>
            <w:tcW w:w="1190" w:type="dxa"/>
            <w:vMerge w:val="restart"/>
            <w:shd w:val="clear" w:color="auto" w:fill="auto"/>
            <w:vAlign w:val="center"/>
          </w:tcPr>
          <w:p w14:paraId="65787B7B">
            <w:pPr>
              <w:pStyle w:val="30"/>
              <w:rPr>
                <w:b w:val="0"/>
                <w:bCs w:val="0"/>
              </w:rPr>
            </w:pPr>
            <w:r>
              <w:rPr>
                <w:rFonts w:hint="eastAsia"/>
                <w:b w:val="0"/>
                <w:bCs w:val="0"/>
              </w:rPr>
              <w:t>导轨架以及附墙架拆除</w:t>
            </w:r>
          </w:p>
        </w:tc>
        <w:tc>
          <w:tcPr>
            <w:tcW w:w="4961" w:type="dxa"/>
            <w:shd w:val="clear" w:color="auto" w:fill="auto"/>
            <w:vAlign w:val="center"/>
          </w:tcPr>
          <w:p w14:paraId="747186EF">
            <w:pPr>
              <w:pStyle w:val="30"/>
              <w:rPr>
                <w:b w:val="0"/>
                <w:bCs w:val="0"/>
              </w:rPr>
            </w:pPr>
            <w:r>
              <w:rPr>
                <w:rFonts w:hint="eastAsia"/>
                <w:b w:val="0"/>
                <w:bCs w:val="0"/>
              </w:rPr>
              <w:t>待拆除节段与底下导轨架节段之间的连接未解除，进行拆除吊装作业</w:t>
            </w:r>
          </w:p>
        </w:tc>
        <w:tc>
          <w:tcPr>
            <w:tcW w:w="1487" w:type="dxa"/>
            <w:shd w:val="clear" w:color="auto" w:fill="auto"/>
            <w:vAlign w:val="center"/>
          </w:tcPr>
          <w:p w14:paraId="1B6930DB">
            <w:pPr>
              <w:pStyle w:val="30"/>
              <w:rPr>
                <w:b w:val="0"/>
                <w:bCs w:val="0"/>
              </w:rPr>
            </w:pPr>
            <w:r>
              <w:rPr>
                <w:rFonts w:hint="eastAsia"/>
                <w:b w:val="0"/>
                <w:bCs w:val="0"/>
              </w:rPr>
              <w:t>高处坠落、物体打击</w:t>
            </w:r>
          </w:p>
        </w:tc>
      </w:tr>
      <w:tr w14:paraId="2000B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EDF1EAC">
            <w:pPr>
              <w:pStyle w:val="30"/>
              <w:numPr>
                <w:ilvl w:val="0"/>
                <w:numId w:val="7"/>
              </w:numPr>
              <w:rPr>
                <w:b w:val="0"/>
                <w:bCs w:val="0"/>
              </w:rPr>
            </w:pPr>
          </w:p>
        </w:tc>
        <w:tc>
          <w:tcPr>
            <w:tcW w:w="1190" w:type="dxa"/>
            <w:vMerge w:val="continue"/>
            <w:shd w:val="clear" w:color="auto" w:fill="auto"/>
            <w:vAlign w:val="center"/>
          </w:tcPr>
          <w:p w14:paraId="43F6A2EB">
            <w:pPr>
              <w:pStyle w:val="30"/>
              <w:rPr>
                <w:b w:val="0"/>
                <w:bCs w:val="0"/>
              </w:rPr>
            </w:pPr>
          </w:p>
        </w:tc>
        <w:tc>
          <w:tcPr>
            <w:tcW w:w="4961" w:type="dxa"/>
            <w:shd w:val="clear" w:color="auto" w:fill="auto"/>
            <w:vAlign w:val="center"/>
          </w:tcPr>
          <w:p w14:paraId="1B312753">
            <w:pPr>
              <w:pStyle w:val="30"/>
              <w:rPr>
                <w:b w:val="0"/>
                <w:bCs w:val="0"/>
              </w:rPr>
            </w:pPr>
            <w:r>
              <w:rPr>
                <w:rFonts w:hint="eastAsia"/>
                <w:b w:val="0"/>
                <w:bCs w:val="0"/>
              </w:rPr>
              <w:t>拆除时，导轨架悬臂自由长度过长</w:t>
            </w:r>
          </w:p>
        </w:tc>
        <w:tc>
          <w:tcPr>
            <w:tcW w:w="1487" w:type="dxa"/>
            <w:shd w:val="clear" w:color="auto" w:fill="auto"/>
            <w:vAlign w:val="center"/>
          </w:tcPr>
          <w:p w14:paraId="343DB26D">
            <w:pPr>
              <w:pStyle w:val="30"/>
              <w:rPr>
                <w:b w:val="0"/>
                <w:bCs w:val="0"/>
              </w:rPr>
            </w:pPr>
            <w:r>
              <w:rPr>
                <w:rFonts w:hint="eastAsia"/>
                <w:b w:val="0"/>
                <w:bCs w:val="0"/>
              </w:rPr>
              <w:t>高处坠落、物体打击</w:t>
            </w:r>
          </w:p>
        </w:tc>
      </w:tr>
      <w:tr w14:paraId="7A484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21BB80A">
            <w:pPr>
              <w:pStyle w:val="30"/>
              <w:numPr>
                <w:ilvl w:val="0"/>
                <w:numId w:val="7"/>
              </w:numPr>
              <w:rPr>
                <w:b w:val="0"/>
                <w:bCs w:val="0"/>
              </w:rPr>
            </w:pPr>
          </w:p>
        </w:tc>
        <w:tc>
          <w:tcPr>
            <w:tcW w:w="1190" w:type="dxa"/>
            <w:vMerge w:val="continue"/>
            <w:shd w:val="clear" w:color="auto" w:fill="auto"/>
            <w:vAlign w:val="center"/>
          </w:tcPr>
          <w:p w14:paraId="2505C398">
            <w:pPr>
              <w:pStyle w:val="30"/>
              <w:rPr>
                <w:b w:val="0"/>
                <w:bCs w:val="0"/>
              </w:rPr>
            </w:pPr>
          </w:p>
        </w:tc>
        <w:tc>
          <w:tcPr>
            <w:tcW w:w="4961" w:type="dxa"/>
            <w:shd w:val="clear" w:color="auto" w:fill="auto"/>
            <w:vAlign w:val="center"/>
          </w:tcPr>
          <w:p w14:paraId="52B6705D">
            <w:pPr>
              <w:pStyle w:val="30"/>
              <w:rPr>
                <w:b w:val="0"/>
                <w:bCs w:val="0"/>
              </w:rPr>
            </w:pPr>
            <w:r>
              <w:rPr>
                <w:rFonts w:hint="eastAsia"/>
                <w:b w:val="0"/>
                <w:bCs w:val="0"/>
              </w:rPr>
              <w:t>与基础相连的导轨架在最后一个附墙架拆除后，不能保持各方向的稳定性。</w:t>
            </w:r>
          </w:p>
        </w:tc>
        <w:tc>
          <w:tcPr>
            <w:tcW w:w="1487" w:type="dxa"/>
            <w:shd w:val="clear" w:color="auto" w:fill="auto"/>
            <w:vAlign w:val="center"/>
          </w:tcPr>
          <w:p w14:paraId="5EE7CE50">
            <w:pPr>
              <w:pStyle w:val="30"/>
              <w:rPr>
                <w:b w:val="0"/>
                <w:bCs w:val="0"/>
              </w:rPr>
            </w:pPr>
            <w:r>
              <w:rPr>
                <w:rFonts w:hint="eastAsia"/>
                <w:b w:val="0"/>
                <w:bCs w:val="0"/>
              </w:rPr>
              <w:t>坍塌</w:t>
            </w:r>
          </w:p>
        </w:tc>
      </w:tr>
      <w:tr w14:paraId="45441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D8AB6F3">
            <w:pPr>
              <w:pStyle w:val="30"/>
              <w:numPr>
                <w:ilvl w:val="0"/>
                <w:numId w:val="7"/>
              </w:numPr>
              <w:rPr>
                <w:b w:val="0"/>
                <w:bCs w:val="0"/>
              </w:rPr>
            </w:pPr>
          </w:p>
        </w:tc>
        <w:tc>
          <w:tcPr>
            <w:tcW w:w="1190" w:type="dxa"/>
            <w:vMerge w:val="continue"/>
            <w:shd w:val="clear" w:color="auto" w:fill="auto"/>
            <w:vAlign w:val="center"/>
          </w:tcPr>
          <w:p w14:paraId="3BDD4C73">
            <w:pPr>
              <w:pStyle w:val="30"/>
              <w:rPr>
                <w:b w:val="0"/>
                <w:bCs w:val="0"/>
              </w:rPr>
            </w:pPr>
          </w:p>
        </w:tc>
        <w:tc>
          <w:tcPr>
            <w:tcW w:w="4961" w:type="dxa"/>
            <w:shd w:val="clear" w:color="auto" w:fill="auto"/>
            <w:vAlign w:val="center"/>
          </w:tcPr>
          <w:p w14:paraId="79FEECAE">
            <w:pPr>
              <w:pStyle w:val="30"/>
              <w:rPr>
                <w:b w:val="0"/>
                <w:bCs w:val="0"/>
              </w:rPr>
            </w:pPr>
            <w:r>
              <w:rPr>
                <w:rFonts w:hint="eastAsia"/>
                <w:b w:val="0"/>
                <w:bCs w:val="0"/>
              </w:rPr>
              <w:t>当拆卸作业不能连续完成时，未根据拆卸状态采取相应的安全措施。</w:t>
            </w:r>
          </w:p>
        </w:tc>
        <w:tc>
          <w:tcPr>
            <w:tcW w:w="1487" w:type="dxa"/>
            <w:shd w:val="clear" w:color="auto" w:fill="auto"/>
            <w:vAlign w:val="center"/>
          </w:tcPr>
          <w:p w14:paraId="4D243423">
            <w:pPr>
              <w:pStyle w:val="30"/>
              <w:rPr>
                <w:b w:val="0"/>
                <w:bCs w:val="0"/>
              </w:rPr>
            </w:pPr>
            <w:r>
              <w:rPr>
                <w:rFonts w:hint="eastAsia"/>
                <w:b w:val="0"/>
                <w:bCs w:val="0"/>
              </w:rPr>
              <w:t>机械伤害</w:t>
            </w:r>
          </w:p>
        </w:tc>
      </w:tr>
      <w:tr w14:paraId="50B19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6F9E6F3">
            <w:pPr>
              <w:pStyle w:val="30"/>
              <w:numPr>
                <w:ilvl w:val="0"/>
                <w:numId w:val="7"/>
              </w:numPr>
              <w:rPr>
                <w:b w:val="0"/>
                <w:bCs w:val="0"/>
              </w:rPr>
            </w:pPr>
          </w:p>
        </w:tc>
        <w:tc>
          <w:tcPr>
            <w:tcW w:w="1190" w:type="dxa"/>
            <w:vMerge w:val="continue"/>
            <w:shd w:val="clear" w:color="auto" w:fill="auto"/>
            <w:vAlign w:val="center"/>
          </w:tcPr>
          <w:p w14:paraId="18117AF5">
            <w:pPr>
              <w:pStyle w:val="30"/>
              <w:rPr>
                <w:b w:val="0"/>
                <w:bCs w:val="0"/>
              </w:rPr>
            </w:pPr>
          </w:p>
        </w:tc>
        <w:tc>
          <w:tcPr>
            <w:tcW w:w="4961" w:type="dxa"/>
            <w:shd w:val="clear" w:color="auto" w:fill="auto"/>
            <w:vAlign w:val="center"/>
          </w:tcPr>
          <w:p w14:paraId="32A0D0F6">
            <w:pPr>
              <w:pStyle w:val="30"/>
              <w:rPr>
                <w:b w:val="0"/>
                <w:bCs w:val="0"/>
              </w:rPr>
            </w:pPr>
            <w:r>
              <w:rPr>
                <w:rFonts w:hint="eastAsia"/>
                <w:b w:val="0"/>
                <w:bCs w:val="0"/>
              </w:rPr>
              <w:t>夜间进行施工升降机的拆卸作业。</w:t>
            </w:r>
          </w:p>
        </w:tc>
        <w:tc>
          <w:tcPr>
            <w:tcW w:w="1487" w:type="dxa"/>
            <w:shd w:val="clear" w:color="auto" w:fill="auto"/>
            <w:vAlign w:val="center"/>
          </w:tcPr>
          <w:p w14:paraId="375A9069">
            <w:pPr>
              <w:pStyle w:val="30"/>
              <w:rPr>
                <w:b w:val="0"/>
                <w:bCs w:val="0"/>
              </w:rPr>
            </w:pPr>
            <w:r>
              <w:rPr>
                <w:rFonts w:hint="eastAsia"/>
                <w:b w:val="0"/>
                <w:bCs w:val="0"/>
              </w:rPr>
              <w:t>高处坠落</w:t>
            </w:r>
          </w:p>
        </w:tc>
      </w:tr>
      <w:tr w14:paraId="44663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2C32C5A">
            <w:pPr>
              <w:pStyle w:val="30"/>
              <w:numPr>
                <w:ilvl w:val="0"/>
                <w:numId w:val="7"/>
              </w:numPr>
              <w:rPr>
                <w:b w:val="0"/>
                <w:bCs w:val="0"/>
              </w:rPr>
            </w:pPr>
          </w:p>
        </w:tc>
        <w:tc>
          <w:tcPr>
            <w:tcW w:w="1190" w:type="dxa"/>
            <w:vMerge w:val="restart"/>
            <w:shd w:val="clear" w:color="auto" w:fill="auto"/>
            <w:vAlign w:val="center"/>
          </w:tcPr>
          <w:p w14:paraId="085CFB68">
            <w:pPr>
              <w:pStyle w:val="30"/>
              <w:rPr>
                <w:b w:val="0"/>
                <w:bCs w:val="0"/>
              </w:rPr>
            </w:pPr>
            <w:r>
              <w:rPr>
                <w:rFonts w:hint="eastAsia"/>
                <w:b w:val="0"/>
                <w:bCs w:val="0"/>
              </w:rPr>
              <w:t>临时用电</w:t>
            </w:r>
          </w:p>
        </w:tc>
        <w:tc>
          <w:tcPr>
            <w:tcW w:w="4961" w:type="dxa"/>
            <w:shd w:val="clear" w:color="auto" w:fill="auto"/>
            <w:vAlign w:val="center"/>
          </w:tcPr>
          <w:p w14:paraId="14410822">
            <w:pPr>
              <w:pStyle w:val="30"/>
              <w:rPr>
                <w:b w:val="0"/>
                <w:bCs w:val="0"/>
              </w:rPr>
            </w:pPr>
            <w:r>
              <w:rPr>
                <w:rFonts w:hint="eastAsia"/>
                <w:b w:val="0"/>
                <w:bCs w:val="0"/>
              </w:rPr>
              <w:t>配电箱配置不符合要求，固定不牢</w:t>
            </w:r>
          </w:p>
        </w:tc>
        <w:tc>
          <w:tcPr>
            <w:tcW w:w="1487" w:type="dxa"/>
            <w:shd w:val="clear" w:color="auto" w:fill="auto"/>
            <w:vAlign w:val="center"/>
          </w:tcPr>
          <w:p w14:paraId="71A2C300">
            <w:pPr>
              <w:pStyle w:val="30"/>
              <w:rPr>
                <w:b w:val="0"/>
                <w:bCs w:val="0"/>
              </w:rPr>
            </w:pPr>
            <w:r>
              <w:rPr>
                <w:rFonts w:hint="eastAsia"/>
                <w:b w:val="0"/>
                <w:bCs w:val="0"/>
              </w:rPr>
              <w:t>触电</w:t>
            </w:r>
          </w:p>
        </w:tc>
      </w:tr>
      <w:tr w14:paraId="45591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D184FDA">
            <w:pPr>
              <w:pStyle w:val="30"/>
              <w:numPr>
                <w:ilvl w:val="0"/>
                <w:numId w:val="7"/>
              </w:numPr>
              <w:rPr>
                <w:b w:val="0"/>
                <w:bCs w:val="0"/>
              </w:rPr>
            </w:pPr>
          </w:p>
        </w:tc>
        <w:tc>
          <w:tcPr>
            <w:tcW w:w="1190" w:type="dxa"/>
            <w:vMerge w:val="continue"/>
            <w:shd w:val="clear" w:color="auto" w:fill="auto"/>
            <w:vAlign w:val="center"/>
          </w:tcPr>
          <w:p w14:paraId="58E33895">
            <w:pPr>
              <w:pStyle w:val="30"/>
              <w:rPr>
                <w:b w:val="0"/>
                <w:bCs w:val="0"/>
              </w:rPr>
            </w:pPr>
          </w:p>
        </w:tc>
        <w:tc>
          <w:tcPr>
            <w:tcW w:w="4961" w:type="dxa"/>
            <w:shd w:val="clear" w:color="auto" w:fill="auto"/>
            <w:vAlign w:val="center"/>
          </w:tcPr>
          <w:p w14:paraId="6ADD4141">
            <w:pPr>
              <w:pStyle w:val="30"/>
              <w:rPr>
                <w:b w:val="0"/>
                <w:bCs w:val="0"/>
              </w:rPr>
            </w:pPr>
            <w:r>
              <w:rPr>
                <w:rFonts w:hint="eastAsia"/>
                <w:b w:val="0"/>
                <w:bCs w:val="0"/>
              </w:rPr>
              <w:t>配电系统未按</w:t>
            </w:r>
            <w:r>
              <w:rPr>
                <w:b w:val="0"/>
                <w:bCs w:val="0"/>
              </w:rPr>
              <w:t>“</w:t>
            </w:r>
            <w:r>
              <w:rPr>
                <w:rFonts w:hint="eastAsia"/>
                <w:b w:val="0"/>
                <w:bCs w:val="0"/>
              </w:rPr>
              <w:t>三级配电、二级防护</w:t>
            </w:r>
            <w:r>
              <w:rPr>
                <w:b w:val="0"/>
                <w:bCs w:val="0"/>
              </w:rPr>
              <w:t>”</w:t>
            </w:r>
            <w:r>
              <w:rPr>
                <w:rFonts w:hint="eastAsia"/>
                <w:b w:val="0"/>
                <w:bCs w:val="0"/>
              </w:rPr>
              <w:t>进行设置</w:t>
            </w:r>
          </w:p>
        </w:tc>
        <w:tc>
          <w:tcPr>
            <w:tcW w:w="1487" w:type="dxa"/>
            <w:shd w:val="clear" w:color="auto" w:fill="auto"/>
            <w:vAlign w:val="center"/>
          </w:tcPr>
          <w:p w14:paraId="70064E76">
            <w:pPr>
              <w:pStyle w:val="30"/>
              <w:rPr>
                <w:b w:val="0"/>
                <w:bCs w:val="0"/>
              </w:rPr>
            </w:pPr>
            <w:r>
              <w:rPr>
                <w:rFonts w:hint="eastAsia"/>
                <w:b w:val="0"/>
                <w:bCs w:val="0"/>
              </w:rPr>
              <w:t>触电</w:t>
            </w:r>
          </w:p>
        </w:tc>
      </w:tr>
      <w:tr w14:paraId="3A627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BF9565A">
            <w:pPr>
              <w:pStyle w:val="30"/>
              <w:numPr>
                <w:ilvl w:val="0"/>
                <w:numId w:val="7"/>
              </w:numPr>
              <w:rPr>
                <w:b w:val="0"/>
                <w:bCs w:val="0"/>
              </w:rPr>
            </w:pPr>
          </w:p>
        </w:tc>
        <w:tc>
          <w:tcPr>
            <w:tcW w:w="1190" w:type="dxa"/>
            <w:vMerge w:val="continue"/>
            <w:shd w:val="clear" w:color="auto" w:fill="auto"/>
            <w:vAlign w:val="center"/>
          </w:tcPr>
          <w:p w14:paraId="7AA50463">
            <w:pPr>
              <w:pStyle w:val="30"/>
              <w:rPr>
                <w:b w:val="0"/>
                <w:bCs w:val="0"/>
              </w:rPr>
            </w:pPr>
          </w:p>
        </w:tc>
        <w:tc>
          <w:tcPr>
            <w:tcW w:w="4961" w:type="dxa"/>
            <w:shd w:val="clear" w:color="auto" w:fill="auto"/>
            <w:vAlign w:val="center"/>
          </w:tcPr>
          <w:p w14:paraId="2FA03DD6">
            <w:pPr>
              <w:pStyle w:val="30"/>
              <w:rPr>
                <w:b w:val="0"/>
                <w:bCs w:val="0"/>
              </w:rPr>
            </w:pPr>
            <w:r>
              <w:rPr>
                <w:rFonts w:hint="eastAsia"/>
                <w:b w:val="0"/>
                <w:bCs w:val="0"/>
              </w:rPr>
              <w:t>用电设备未做到</w:t>
            </w:r>
            <w:r>
              <w:rPr>
                <w:b w:val="0"/>
                <w:bCs w:val="0"/>
              </w:rPr>
              <w:t>“</w:t>
            </w:r>
            <w:r>
              <w:rPr>
                <w:rFonts w:hint="eastAsia"/>
                <w:b w:val="0"/>
                <w:bCs w:val="0"/>
              </w:rPr>
              <w:t>一机一闸一漏一箱</w:t>
            </w:r>
            <w:r>
              <w:rPr>
                <w:b w:val="0"/>
                <w:bCs w:val="0"/>
              </w:rPr>
              <w:t>”</w:t>
            </w:r>
          </w:p>
        </w:tc>
        <w:tc>
          <w:tcPr>
            <w:tcW w:w="1487" w:type="dxa"/>
            <w:shd w:val="clear" w:color="auto" w:fill="auto"/>
            <w:vAlign w:val="center"/>
          </w:tcPr>
          <w:p w14:paraId="6605A4F2">
            <w:pPr>
              <w:pStyle w:val="30"/>
              <w:rPr>
                <w:b w:val="0"/>
                <w:bCs w:val="0"/>
              </w:rPr>
            </w:pPr>
            <w:r>
              <w:rPr>
                <w:rFonts w:hint="eastAsia"/>
                <w:b w:val="0"/>
                <w:bCs w:val="0"/>
              </w:rPr>
              <w:t>触电</w:t>
            </w:r>
          </w:p>
        </w:tc>
      </w:tr>
      <w:tr w14:paraId="11DF4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90D6523">
            <w:pPr>
              <w:pStyle w:val="30"/>
              <w:numPr>
                <w:ilvl w:val="0"/>
                <w:numId w:val="7"/>
              </w:numPr>
              <w:rPr>
                <w:b w:val="0"/>
                <w:bCs w:val="0"/>
              </w:rPr>
            </w:pPr>
          </w:p>
        </w:tc>
        <w:tc>
          <w:tcPr>
            <w:tcW w:w="1190" w:type="dxa"/>
            <w:vMerge w:val="continue"/>
            <w:shd w:val="clear" w:color="auto" w:fill="auto"/>
            <w:vAlign w:val="center"/>
          </w:tcPr>
          <w:p w14:paraId="06071AC6">
            <w:pPr>
              <w:pStyle w:val="30"/>
              <w:rPr>
                <w:b w:val="0"/>
                <w:bCs w:val="0"/>
              </w:rPr>
            </w:pPr>
          </w:p>
        </w:tc>
        <w:tc>
          <w:tcPr>
            <w:tcW w:w="4961" w:type="dxa"/>
            <w:shd w:val="clear" w:color="auto" w:fill="auto"/>
            <w:vAlign w:val="center"/>
          </w:tcPr>
          <w:p w14:paraId="50CBCBB1">
            <w:pPr>
              <w:pStyle w:val="30"/>
              <w:rPr>
                <w:b w:val="0"/>
                <w:bCs w:val="0"/>
              </w:rPr>
            </w:pPr>
            <w:r>
              <w:rPr>
                <w:rFonts w:hint="eastAsia"/>
                <w:b w:val="0"/>
                <w:bCs w:val="0"/>
              </w:rPr>
              <w:t>非专业电工进行操作</w:t>
            </w:r>
          </w:p>
        </w:tc>
        <w:tc>
          <w:tcPr>
            <w:tcW w:w="1487" w:type="dxa"/>
            <w:shd w:val="clear" w:color="auto" w:fill="auto"/>
            <w:vAlign w:val="center"/>
          </w:tcPr>
          <w:p w14:paraId="6DADB39D">
            <w:pPr>
              <w:pStyle w:val="30"/>
              <w:rPr>
                <w:b w:val="0"/>
                <w:bCs w:val="0"/>
              </w:rPr>
            </w:pPr>
            <w:r>
              <w:rPr>
                <w:rFonts w:hint="eastAsia"/>
                <w:b w:val="0"/>
                <w:bCs w:val="0"/>
              </w:rPr>
              <w:t>触电</w:t>
            </w:r>
          </w:p>
        </w:tc>
      </w:tr>
      <w:tr w14:paraId="22E77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CC1D291">
            <w:pPr>
              <w:pStyle w:val="30"/>
              <w:numPr>
                <w:ilvl w:val="0"/>
                <w:numId w:val="7"/>
              </w:numPr>
              <w:rPr>
                <w:b w:val="0"/>
                <w:bCs w:val="0"/>
              </w:rPr>
            </w:pPr>
          </w:p>
        </w:tc>
        <w:tc>
          <w:tcPr>
            <w:tcW w:w="1190" w:type="dxa"/>
            <w:vMerge w:val="continue"/>
            <w:shd w:val="clear" w:color="auto" w:fill="auto"/>
            <w:vAlign w:val="center"/>
          </w:tcPr>
          <w:p w14:paraId="0B3AEC8F">
            <w:pPr>
              <w:pStyle w:val="30"/>
              <w:rPr>
                <w:b w:val="0"/>
                <w:bCs w:val="0"/>
              </w:rPr>
            </w:pPr>
          </w:p>
        </w:tc>
        <w:tc>
          <w:tcPr>
            <w:tcW w:w="4961" w:type="dxa"/>
            <w:shd w:val="clear" w:color="auto" w:fill="auto"/>
            <w:vAlign w:val="center"/>
          </w:tcPr>
          <w:p w14:paraId="436D0734">
            <w:pPr>
              <w:pStyle w:val="30"/>
              <w:rPr>
                <w:b w:val="0"/>
                <w:bCs w:val="0"/>
              </w:rPr>
            </w:pPr>
            <w:r>
              <w:rPr>
                <w:rFonts w:hint="eastAsia"/>
                <w:b w:val="0"/>
                <w:bCs w:val="0"/>
              </w:rPr>
              <w:t>电路配置与用电设备功率不匹配；使用非标电缆线或电缆绝缘强度不够，线路老化或电缆线破损</w:t>
            </w:r>
          </w:p>
        </w:tc>
        <w:tc>
          <w:tcPr>
            <w:tcW w:w="1487" w:type="dxa"/>
            <w:shd w:val="clear" w:color="auto" w:fill="auto"/>
            <w:vAlign w:val="center"/>
          </w:tcPr>
          <w:p w14:paraId="298B4754">
            <w:pPr>
              <w:pStyle w:val="30"/>
              <w:rPr>
                <w:b w:val="0"/>
                <w:bCs w:val="0"/>
              </w:rPr>
            </w:pPr>
            <w:r>
              <w:rPr>
                <w:rFonts w:hint="eastAsia"/>
                <w:b w:val="0"/>
                <w:bCs w:val="0"/>
              </w:rPr>
              <w:t>触电</w:t>
            </w:r>
          </w:p>
        </w:tc>
      </w:tr>
      <w:tr w14:paraId="2C3AC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2EF620D">
            <w:pPr>
              <w:pStyle w:val="30"/>
              <w:numPr>
                <w:ilvl w:val="0"/>
                <w:numId w:val="7"/>
              </w:numPr>
              <w:rPr>
                <w:b w:val="0"/>
                <w:bCs w:val="0"/>
              </w:rPr>
            </w:pPr>
          </w:p>
        </w:tc>
        <w:tc>
          <w:tcPr>
            <w:tcW w:w="1190" w:type="dxa"/>
            <w:vMerge w:val="continue"/>
            <w:shd w:val="clear" w:color="auto" w:fill="auto"/>
            <w:vAlign w:val="center"/>
          </w:tcPr>
          <w:p w14:paraId="63633FCC">
            <w:pPr>
              <w:pStyle w:val="30"/>
              <w:rPr>
                <w:b w:val="0"/>
                <w:bCs w:val="0"/>
              </w:rPr>
            </w:pPr>
          </w:p>
        </w:tc>
        <w:tc>
          <w:tcPr>
            <w:tcW w:w="4961" w:type="dxa"/>
            <w:shd w:val="clear" w:color="auto" w:fill="auto"/>
            <w:vAlign w:val="center"/>
          </w:tcPr>
          <w:p w14:paraId="1FB306C5">
            <w:pPr>
              <w:pStyle w:val="30"/>
              <w:rPr>
                <w:b w:val="0"/>
                <w:bCs w:val="0"/>
              </w:rPr>
            </w:pPr>
            <w:r>
              <w:rPr>
                <w:rFonts w:hint="eastAsia"/>
                <w:b w:val="0"/>
                <w:bCs w:val="0"/>
              </w:rPr>
              <w:t>电缆线未按规范要求敷设或架起；随意拖拽电缆，物料随意压盖电缆；用电设备雨天未防雨遮盖，雨后未检查就使用</w:t>
            </w:r>
          </w:p>
        </w:tc>
        <w:tc>
          <w:tcPr>
            <w:tcW w:w="1487" w:type="dxa"/>
            <w:shd w:val="clear" w:color="auto" w:fill="auto"/>
            <w:vAlign w:val="center"/>
          </w:tcPr>
          <w:p w14:paraId="01F4F74D">
            <w:pPr>
              <w:pStyle w:val="30"/>
              <w:rPr>
                <w:b w:val="0"/>
                <w:bCs w:val="0"/>
              </w:rPr>
            </w:pPr>
            <w:r>
              <w:rPr>
                <w:rFonts w:hint="eastAsia"/>
                <w:b w:val="0"/>
                <w:bCs w:val="0"/>
              </w:rPr>
              <w:t>触电</w:t>
            </w:r>
          </w:p>
        </w:tc>
      </w:tr>
      <w:tr w14:paraId="39417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0468D46">
            <w:pPr>
              <w:pStyle w:val="30"/>
              <w:numPr>
                <w:ilvl w:val="0"/>
                <w:numId w:val="7"/>
              </w:numPr>
              <w:rPr>
                <w:b w:val="0"/>
                <w:bCs w:val="0"/>
              </w:rPr>
            </w:pPr>
          </w:p>
        </w:tc>
        <w:tc>
          <w:tcPr>
            <w:tcW w:w="1190" w:type="dxa"/>
            <w:vMerge w:val="restart"/>
            <w:shd w:val="clear" w:color="auto" w:fill="auto"/>
            <w:vAlign w:val="center"/>
          </w:tcPr>
          <w:p w14:paraId="7F8AD4C9">
            <w:pPr>
              <w:pStyle w:val="30"/>
              <w:rPr>
                <w:b w:val="0"/>
                <w:bCs w:val="0"/>
              </w:rPr>
            </w:pPr>
            <w:r>
              <w:rPr>
                <w:rFonts w:hint="eastAsia"/>
                <w:b w:val="0"/>
                <w:bCs w:val="0"/>
              </w:rPr>
              <w:t>起重作业</w:t>
            </w:r>
          </w:p>
        </w:tc>
        <w:tc>
          <w:tcPr>
            <w:tcW w:w="4961" w:type="dxa"/>
            <w:shd w:val="clear" w:color="auto" w:fill="auto"/>
            <w:vAlign w:val="center"/>
          </w:tcPr>
          <w:p w14:paraId="6BA0E38F">
            <w:pPr>
              <w:pStyle w:val="30"/>
              <w:rPr>
                <w:b w:val="0"/>
                <w:bCs w:val="0"/>
              </w:rPr>
            </w:pPr>
            <w:r>
              <w:rPr>
                <w:rFonts w:hint="eastAsia"/>
                <w:b w:val="0"/>
                <w:bCs w:val="0"/>
              </w:rPr>
              <w:t>起重作业无专人指挥</w:t>
            </w:r>
          </w:p>
        </w:tc>
        <w:tc>
          <w:tcPr>
            <w:tcW w:w="1487" w:type="dxa"/>
            <w:shd w:val="clear" w:color="auto" w:fill="auto"/>
            <w:vAlign w:val="center"/>
          </w:tcPr>
          <w:p w14:paraId="6F52350B">
            <w:pPr>
              <w:pStyle w:val="30"/>
              <w:rPr>
                <w:b w:val="0"/>
                <w:bCs w:val="0"/>
              </w:rPr>
            </w:pPr>
            <w:r>
              <w:rPr>
                <w:rFonts w:hint="eastAsia"/>
                <w:b w:val="0"/>
                <w:bCs w:val="0"/>
              </w:rPr>
              <w:t>起重伤害、物体打击</w:t>
            </w:r>
          </w:p>
        </w:tc>
      </w:tr>
      <w:tr w14:paraId="7E932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D7F4F2E">
            <w:pPr>
              <w:pStyle w:val="30"/>
              <w:numPr>
                <w:ilvl w:val="0"/>
                <w:numId w:val="7"/>
              </w:numPr>
              <w:rPr>
                <w:b w:val="0"/>
                <w:bCs w:val="0"/>
              </w:rPr>
            </w:pPr>
          </w:p>
        </w:tc>
        <w:tc>
          <w:tcPr>
            <w:tcW w:w="1190" w:type="dxa"/>
            <w:vMerge w:val="continue"/>
            <w:shd w:val="clear" w:color="auto" w:fill="auto"/>
            <w:vAlign w:val="center"/>
          </w:tcPr>
          <w:p w14:paraId="62805C5E">
            <w:pPr>
              <w:pStyle w:val="30"/>
              <w:rPr>
                <w:b w:val="0"/>
                <w:bCs w:val="0"/>
              </w:rPr>
            </w:pPr>
          </w:p>
        </w:tc>
        <w:tc>
          <w:tcPr>
            <w:tcW w:w="4961" w:type="dxa"/>
            <w:shd w:val="clear" w:color="auto" w:fill="auto"/>
            <w:vAlign w:val="center"/>
          </w:tcPr>
          <w:p w14:paraId="417CE167">
            <w:pPr>
              <w:pStyle w:val="30"/>
              <w:rPr>
                <w:b w:val="0"/>
                <w:bCs w:val="0"/>
              </w:rPr>
            </w:pPr>
            <w:r>
              <w:rPr>
                <w:rFonts w:hint="eastAsia"/>
                <w:b w:val="0"/>
                <w:bCs w:val="0"/>
              </w:rPr>
              <w:t>起重吊装工索具选型有误、现场混用或连接不牢靠</w:t>
            </w:r>
          </w:p>
        </w:tc>
        <w:tc>
          <w:tcPr>
            <w:tcW w:w="1487" w:type="dxa"/>
            <w:shd w:val="clear" w:color="auto" w:fill="auto"/>
            <w:vAlign w:val="center"/>
          </w:tcPr>
          <w:p w14:paraId="407FA6E0">
            <w:pPr>
              <w:pStyle w:val="30"/>
              <w:rPr>
                <w:b w:val="0"/>
                <w:bCs w:val="0"/>
              </w:rPr>
            </w:pPr>
            <w:r>
              <w:rPr>
                <w:rFonts w:hint="eastAsia"/>
                <w:b w:val="0"/>
                <w:bCs w:val="0"/>
              </w:rPr>
              <w:t>起重伤害、物体打击</w:t>
            </w:r>
          </w:p>
        </w:tc>
      </w:tr>
      <w:tr w14:paraId="5A464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67AE77A">
            <w:pPr>
              <w:pStyle w:val="30"/>
              <w:numPr>
                <w:ilvl w:val="0"/>
                <w:numId w:val="7"/>
              </w:numPr>
              <w:rPr>
                <w:b w:val="0"/>
                <w:bCs w:val="0"/>
              </w:rPr>
            </w:pPr>
          </w:p>
        </w:tc>
        <w:tc>
          <w:tcPr>
            <w:tcW w:w="1190" w:type="dxa"/>
            <w:vMerge w:val="continue"/>
            <w:shd w:val="clear" w:color="auto" w:fill="auto"/>
            <w:vAlign w:val="center"/>
          </w:tcPr>
          <w:p w14:paraId="25D8AC1B">
            <w:pPr>
              <w:pStyle w:val="30"/>
              <w:rPr>
                <w:b w:val="0"/>
                <w:bCs w:val="0"/>
              </w:rPr>
            </w:pPr>
          </w:p>
        </w:tc>
        <w:tc>
          <w:tcPr>
            <w:tcW w:w="4961" w:type="dxa"/>
            <w:shd w:val="clear" w:color="auto" w:fill="auto"/>
            <w:vAlign w:val="center"/>
          </w:tcPr>
          <w:p w14:paraId="5D97691A">
            <w:pPr>
              <w:pStyle w:val="30"/>
              <w:rPr>
                <w:b w:val="0"/>
                <w:bCs w:val="0"/>
              </w:rPr>
            </w:pPr>
            <w:r>
              <w:rPr>
                <w:rFonts w:hint="eastAsia"/>
                <w:b w:val="0"/>
                <w:bCs w:val="0"/>
              </w:rPr>
              <w:t>不同起重设备共同作业时，操作不协调</w:t>
            </w:r>
          </w:p>
        </w:tc>
        <w:tc>
          <w:tcPr>
            <w:tcW w:w="1487" w:type="dxa"/>
            <w:shd w:val="clear" w:color="auto" w:fill="auto"/>
            <w:vAlign w:val="center"/>
          </w:tcPr>
          <w:p w14:paraId="2CD1DDFE">
            <w:pPr>
              <w:pStyle w:val="30"/>
              <w:rPr>
                <w:b w:val="0"/>
                <w:bCs w:val="0"/>
              </w:rPr>
            </w:pPr>
            <w:r>
              <w:rPr>
                <w:rFonts w:hint="eastAsia"/>
                <w:b w:val="0"/>
                <w:bCs w:val="0"/>
              </w:rPr>
              <w:t>起重伤害</w:t>
            </w:r>
          </w:p>
        </w:tc>
      </w:tr>
      <w:tr w14:paraId="6F41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186D563">
            <w:pPr>
              <w:pStyle w:val="30"/>
              <w:numPr>
                <w:ilvl w:val="0"/>
                <w:numId w:val="7"/>
              </w:numPr>
              <w:rPr>
                <w:b w:val="0"/>
                <w:bCs w:val="0"/>
              </w:rPr>
            </w:pPr>
          </w:p>
        </w:tc>
        <w:tc>
          <w:tcPr>
            <w:tcW w:w="1190" w:type="dxa"/>
            <w:vMerge w:val="continue"/>
            <w:shd w:val="clear" w:color="auto" w:fill="auto"/>
            <w:vAlign w:val="center"/>
          </w:tcPr>
          <w:p w14:paraId="183AB5C3">
            <w:pPr>
              <w:pStyle w:val="30"/>
              <w:rPr>
                <w:b w:val="0"/>
                <w:bCs w:val="0"/>
              </w:rPr>
            </w:pPr>
          </w:p>
        </w:tc>
        <w:tc>
          <w:tcPr>
            <w:tcW w:w="4961" w:type="dxa"/>
            <w:shd w:val="clear" w:color="auto" w:fill="auto"/>
            <w:vAlign w:val="center"/>
          </w:tcPr>
          <w:p w14:paraId="4C27DB33">
            <w:pPr>
              <w:pStyle w:val="30"/>
              <w:rPr>
                <w:b w:val="0"/>
                <w:bCs w:val="0"/>
              </w:rPr>
            </w:pPr>
            <w:r>
              <w:rPr>
                <w:rFonts w:hint="eastAsia"/>
                <w:b w:val="0"/>
                <w:bCs w:val="0"/>
                <w:lang w:eastAsia="zh-CN"/>
              </w:rPr>
              <w:t>汽车吊</w:t>
            </w:r>
            <w:r>
              <w:rPr>
                <w:rFonts w:hint="eastAsia"/>
                <w:b w:val="0"/>
                <w:bCs w:val="0"/>
              </w:rPr>
              <w:t>上部未装测风仪，</w:t>
            </w:r>
            <w:r>
              <w:rPr>
                <w:b w:val="0"/>
                <w:bCs w:val="0"/>
              </w:rPr>
              <w:t>6</w:t>
            </w:r>
            <w:r>
              <w:rPr>
                <w:rFonts w:hint="eastAsia"/>
                <w:b w:val="0"/>
                <w:bCs w:val="0"/>
              </w:rPr>
              <w:t>级以上风未停止作业</w:t>
            </w:r>
          </w:p>
        </w:tc>
        <w:tc>
          <w:tcPr>
            <w:tcW w:w="1487" w:type="dxa"/>
            <w:shd w:val="clear" w:color="auto" w:fill="auto"/>
            <w:vAlign w:val="center"/>
          </w:tcPr>
          <w:p w14:paraId="065B6F99">
            <w:pPr>
              <w:pStyle w:val="30"/>
              <w:rPr>
                <w:b w:val="0"/>
                <w:bCs w:val="0"/>
              </w:rPr>
            </w:pPr>
            <w:r>
              <w:rPr>
                <w:rFonts w:hint="eastAsia"/>
                <w:b w:val="0"/>
                <w:bCs w:val="0"/>
              </w:rPr>
              <w:t>起重伤害</w:t>
            </w:r>
          </w:p>
        </w:tc>
      </w:tr>
      <w:tr w14:paraId="4E7CF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A465027">
            <w:pPr>
              <w:pStyle w:val="30"/>
              <w:numPr>
                <w:ilvl w:val="0"/>
                <w:numId w:val="7"/>
              </w:numPr>
              <w:rPr>
                <w:b w:val="0"/>
                <w:bCs w:val="0"/>
              </w:rPr>
            </w:pPr>
          </w:p>
        </w:tc>
        <w:tc>
          <w:tcPr>
            <w:tcW w:w="1190" w:type="dxa"/>
            <w:vMerge w:val="continue"/>
            <w:shd w:val="clear" w:color="auto" w:fill="auto"/>
            <w:vAlign w:val="center"/>
          </w:tcPr>
          <w:p w14:paraId="41D74603">
            <w:pPr>
              <w:pStyle w:val="30"/>
              <w:rPr>
                <w:b w:val="0"/>
                <w:bCs w:val="0"/>
              </w:rPr>
            </w:pPr>
          </w:p>
        </w:tc>
        <w:tc>
          <w:tcPr>
            <w:tcW w:w="4961" w:type="dxa"/>
            <w:shd w:val="clear" w:color="auto" w:fill="auto"/>
            <w:vAlign w:val="center"/>
          </w:tcPr>
          <w:p w14:paraId="6AC28E98">
            <w:pPr>
              <w:pStyle w:val="30"/>
              <w:rPr>
                <w:b w:val="0"/>
                <w:bCs w:val="0"/>
              </w:rPr>
            </w:pPr>
            <w:r>
              <w:rPr>
                <w:rFonts w:hint="eastAsia"/>
                <w:b w:val="0"/>
                <w:bCs w:val="0"/>
              </w:rPr>
              <w:t>未进行定期检查、维护、保养</w:t>
            </w:r>
          </w:p>
        </w:tc>
        <w:tc>
          <w:tcPr>
            <w:tcW w:w="1487" w:type="dxa"/>
            <w:shd w:val="clear" w:color="auto" w:fill="auto"/>
            <w:vAlign w:val="center"/>
          </w:tcPr>
          <w:p w14:paraId="271D7996">
            <w:pPr>
              <w:pStyle w:val="30"/>
              <w:rPr>
                <w:b w:val="0"/>
                <w:bCs w:val="0"/>
              </w:rPr>
            </w:pPr>
            <w:r>
              <w:rPr>
                <w:rFonts w:hint="eastAsia"/>
                <w:b w:val="0"/>
                <w:bCs w:val="0"/>
              </w:rPr>
              <w:t>起重伤害</w:t>
            </w:r>
          </w:p>
        </w:tc>
      </w:tr>
      <w:tr w14:paraId="191E1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D035796">
            <w:pPr>
              <w:pStyle w:val="30"/>
              <w:numPr>
                <w:ilvl w:val="0"/>
                <w:numId w:val="7"/>
              </w:numPr>
              <w:rPr>
                <w:b w:val="0"/>
                <w:bCs w:val="0"/>
              </w:rPr>
            </w:pPr>
          </w:p>
        </w:tc>
        <w:tc>
          <w:tcPr>
            <w:tcW w:w="1190" w:type="dxa"/>
            <w:vMerge w:val="continue"/>
            <w:shd w:val="clear" w:color="auto" w:fill="auto"/>
            <w:vAlign w:val="center"/>
          </w:tcPr>
          <w:p w14:paraId="373E6CB3">
            <w:pPr>
              <w:pStyle w:val="30"/>
              <w:rPr>
                <w:b w:val="0"/>
                <w:bCs w:val="0"/>
              </w:rPr>
            </w:pPr>
          </w:p>
        </w:tc>
        <w:tc>
          <w:tcPr>
            <w:tcW w:w="4961" w:type="dxa"/>
            <w:shd w:val="clear" w:color="auto" w:fill="auto"/>
            <w:vAlign w:val="center"/>
          </w:tcPr>
          <w:p w14:paraId="698EFB6B">
            <w:pPr>
              <w:pStyle w:val="30"/>
              <w:rPr>
                <w:b w:val="0"/>
                <w:bCs w:val="0"/>
              </w:rPr>
            </w:pPr>
            <w:r>
              <w:rPr>
                <w:rFonts w:hint="eastAsia"/>
                <w:b w:val="0"/>
                <w:bCs w:val="0"/>
              </w:rPr>
              <w:t>起重设备未检验或检验证书过期</w:t>
            </w:r>
          </w:p>
        </w:tc>
        <w:tc>
          <w:tcPr>
            <w:tcW w:w="1487" w:type="dxa"/>
            <w:shd w:val="clear" w:color="auto" w:fill="auto"/>
            <w:vAlign w:val="center"/>
          </w:tcPr>
          <w:p w14:paraId="159B7BD6">
            <w:pPr>
              <w:pStyle w:val="30"/>
              <w:rPr>
                <w:b w:val="0"/>
                <w:bCs w:val="0"/>
              </w:rPr>
            </w:pPr>
            <w:r>
              <w:rPr>
                <w:rFonts w:hint="eastAsia"/>
                <w:b w:val="0"/>
                <w:bCs w:val="0"/>
              </w:rPr>
              <w:t>起重伤害</w:t>
            </w:r>
          </w:p>
        </w:tc>
      </w:tr>
      <w:tr w14:paraId="04D7A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9118854">
            <w:pPr>
              <w:pStyle w:val="30"/>
              <w:numPr>
                <w:ilvl w:val="0"/>
                <w:numId w:val="7"/>
              </w:numPr>
              <w:rPr>
                <w:b w:val="0"/>
                <w:bCs w:val="0"/>
              </w:rPr>
            </w:pPr>
          </w:p>
        </w:tc>
        <w:tc>
          <w:tcPr>
            <w:tcW w:w="1190" w:type="dxa"/>
            <w:vMerge w:val="continue"/>
            <w:shd w:val="clear" w:color="auto" w:fill="auto"/>
            <w:vAlign w:val="center"/>
          </w:tcPr>
          <w:p w14:paraId="0114A143">
            <w:pPr>
              <w:pStyle w:val="30"/>
              <w:rPr>
                <w:b w:val="0"/>
                <w:bCs w:val="0"/>
              </w:rPr>
            </w:pPr>
          </w:p>
        </w:tc>
        <w:tc>
          <w:tcPr>
            <w:tcW w:w="4961" w:type="dxa"/>
            <w:shd w:val="clear" w:color="auto" w:fill="auto"/>
            <w:vAlign w:val="center"/>
          </w:tcPr>
          <w:p w14:paraId="5B4F44B2">
            <w:pPr>
              <w:pStyle w:val="30"/>
              <w:rPr>
                <w:b w:val="0"/>
                <w:bCs w:val="0"/>
              </w:rPr>
            </w:pPr>
            <w:r>
              <w:rPr>
                <w:rFonts w:hint="eastAsia"/>
                <w:b w:val="0"/>
                <w:bCs w:val="0"/>
              </w:rPr>
              <w:t>起重设备吊钩安全销损坏、吊钩限位器损坏、钢丝绳磨损或连接销轴松动</w:t>
            </w:r>
          </w:p>
        </w:tc>
        <w:tc>
          <w:tcPr>
            <w:tcW w:w="1487" w:type="dxa"/>
            <w:shd w:val="clear" w:color="auto" w:fill="auto"/>
            <w:vAlign w:val="center"/>
          </w:tcPr>
          <w:p w14:paraId="17EF5F91">
            <w:pPr>
              <w:pStyle w:val="30"/>
              <w:rPr>
                <w:b w:val="0"/>
                <w:bCs w:val="0"/>
              </w:rPr>
            </w:pPr>
            <w:r>
              <w:rPr>
                <w:rFonts w:hint="eastAsia"/>
                <w:b w:val="0"/>
                <w:bCs w:val="0"/>
              </w:rPr>
              <w:t>起重伤害</w:t>
            </w:r>
          </w:p>
        </w:tc>
      </w:tr>
      <w:tr w14:paraId="13D32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695C6FF">
            <w:pPr>
              <w:pStyle w:val="30"/>
              <w:numPr>
                <w:ilvl w:val="0"/>
                <w:numId w:val="7"/>
              </w:numPr>
              <w:rPr>
                <w:b w:val="0"/>
                <w:bCs w:val="0"/>
              </w:rPr>
            </w:pPr>
          </w:p>
        </w:tc>
        <w:tc>
          <w:tcPr>
            <w:tcW w:w="1190" w:type="dxa"/>
            <w:vMerge w:val="continue"/>
            <w:shd w:val="clear" w:color="auto" w:fill="auto"/>
            <w:vAlign w:val="center"/>
          </w:tcPr>
          <w:p w14:paraId="760A09DB">
            <w:pPr>
              <w:pStyle w:val="30"/>
              <w:rPr>
                <w:b w:val="0"/>
                <w:bCs w:val="0"/>
              </w:rPr>
            </w:pPr>
          </w:p>
        </w:tc>
        <w:tc>
          <w:tcPr>
            <w:tcW w:w="4961" w:type="dxa"/>
            <w:shd w:val="clear" w:color="auto" w:fill="auto"/>
            <w:vAlign w:val="center"/>
          </w:tcPr>
          <w:p w14:paraId="0F735F22">
            <w:pPr>
              <w:pStyle w:val="30"/>
              <w:rPr>
                <w:b w:val="0"/>
                <w:bCs w:val="0"/>
              </w:rPr>
            </w:pPr>
            <w:r>
              <w:rPr>
                <w:rFonts w:hint="eastAsia"/>
                <w:b w:val="0"/>
                <w:bCs w:val="0"/>
              </w:rPr>
              <w:t>起重指挥信号不明</w:t>
            </w:r>
          </w:p>
        </w:tc>
        <w:tc>
          <w:tcPr>
            <w:tcW w:w="1487" w:type="dxa"/>
            <w:shd w:val="clear" w:color="auto" w:fill="auto"/>
            <w:vAlign w:val="center"/>
          </w:tcPr>
          <w:p w14:paraId="6275DD02">
            <w:pPr>
              <w:pStyle w:val="30"/>
              <w:rPr>
                <w:b w:val="0"/>
                <w:bCs w:val="0"/>
              </w:rPr>
            </w:pPr>
            <w:r>
              <w:rPr>
                <w:rFonts w:hint="eastAsia"/>
                <w:b w:val="0"/>
                <w:bCs w:val="0"/>
              </w:rPr>
              <w:t>起重伤害</w:t>
            </w:r>
          </w:p>
        </w:tc>
      </w:tr>
      <w:tr w14:paraId="0349F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A6C7B05">
            <w:pPr>
              <w:pStyle w:val="30"/>
              <w:numPr>
                <w:ilvl w:val="0"/>
                <w:numId w:val="7"/>
              </w:numPr>
              <w:rPr>
                <w:b w:val="0"/>
                <w:bCs w:val="0"/>
              </w:rPr>
            </w:pPr>
          </w:p>
        </w:tc>
        <w:tc>
          <w:tcPr>
            <w:tcW w:w="1190" w:type="dxa"/>
            <w:vMerge w:val="continue"/>
            <w:shd w:val="clear" w:color="auto" w:fill="auto"/>
            <w:vAlign w:val="center"/>
          </w:tcPr>
          <w:p w14:paraId="62D61E83">
            <w:pPr>
              <w:pStyle w:val="30"/>
              <w:rPr>
                <w:b w:val="0"/>
                <w:bCs w:val="0"/>
              </w:rPr>
            </w:pPr>
          </w:p>
        </w:tc>
        <w:tc>
          <w:tcPr>
            <w:tcW w:w="4961" w:type="dxa"/>
            <w:shd w:val="clear" w:color="auto" w:fill="auto"/>
            <w:vAlign w:val="center"/>
          </w:tcPr>
          <w:p w14:paraId="0B1F7120">
            <w:pPr>
              <w:pStyle w:val="30"/>
              <w:rPr>
                <w:b w:val="0"/>
                <w:bCs w:val="0"/>
              </w:rPr>
            </w:pPr>
            <w:r>
              <w:rPr>
                <w:rFonts w:hint="eastAsia"/>
                <w:b w:val="0"/>
                <w:bCs w:val="0"/>
              </w:rPr>
              <w:t>起重违章指挥</w:t>
            </w:r>
          </w:p>
        </w:tc>
        <w:tc>
          <w:tcPr>
            <w:tcW w:w="1487" w:type="dxa"/>
            <w:shd w:val="clear" w:color="auto" w:fill="auto"/>
            <w:vAlign w:val="center"/>
          </w:tcPr>
          <w:p w14:paraId="1B230087">
            <w:pPr>
              <w:pStyle w:val="30"/>
              <w:rPr>
                <w:b w:val="0"/>
                <w:bCs w:val="0"/>
              </w:rPr>
            </w:pPr>
            <w:r>
              <w:rPr>
                <w:rFonts w:hint="eastAsia"/>
                <w:b w:val="0"/>
                <w:bCs w:val="0"/>
              </w:rPr>
              <w:t>起重伤害</w:t>
            </w:r>
          </w:p>
        </w:tc>
      </w:tr>
      <w:tr w14:paraId="31221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2EA1028">
            <w:pPr>
              <w:pStyle w:val="30"/>
              <w:numPr>
                <w:ilvl w:val="0"/>
                <w:numId w:val="7"/>
              </w:numPr>
              <w:rPr>
                <w:b w:val="0"/>
                <w:bCs w:val="0"/>
              </w:rPr>
            </w:pPr>
          </w:p>
        </w:tc>
        <w:tc>
          <w:tcPr>
            <w:tcW w:w="1190" w:type="dxa"/>
            <w:vMerge w:val="continue"/>
            <w:shd w:val="clear" w:color="auto" w:fill="auto"/>
            <w:vAlign w:val="center"/>
          </w:tcPr>
          <w:p w14:paraId="7F2376FC">
            <w:pPr>
              <w:pStyle w:val="30"/>
              <w:rPr>
                <w:b w:val="0"/>
                <w:bCs w:val="0"/>
              </w:rPr>
            </w:pPr>
          </w:p>
        </w:tc>
        <w:tc>
          <w:tcPr>
            <w:tcW w:w="4961" w:type="dxa"/>
            <w:shd w:val="clear" w:color="auto" w:fill="auto"/>
            <w:vAlign w:val="center"/>
          </w:tcPr>
          <w:p w14:paraId="0C30A7D2">
            <w:pPr>
              <w:pStyle w:val="30"/>
              <w:rPr>
                <w:b w:val="0"/>
                <w:bCs w:val="0"/>
              </w:rPr>
            </w:pPr>
            <w:r>
              <w:rPr>
                <w:rFonts w:hint="eastAsia"/>
                <w:b w:val="0"/>
                <w:bCs w:val="0"/>
              </w:rPr>
              <w:t>起重违章操作</w:t>
            </w:r>
          </w:p>
        </w:tc>
        <w:tc>
          <w:tcPr>
            <w:tcW w:w="1487" w:type="dxa"/>
            <w:shd w:val="clear" w:color="auto" w:fill="auto"/>
            <w:vAlign w:val="center"/>
          </w:tcPr>
          <w:p w14:paraId="5D8788E6">
            <w:pPr>
              <w:pStyle w:val="30"/>
              <w:rPr>
                <w:b w:val="0"/>
                <w:bCs w:val="0"/>
              </w:rPr>
            </w:pPr>
            <w:r>
              <w:rPr>
                <w:rFonts w:hint="eastAsia"/>
                <w:b w:val="0"/>
                <w:bCs w:val="0"/>
              </w:rPr>
              <w:t>起重伤害</w:t>
            </w:r>
          </w:p>
        </w:tc>
      </w:tr>
      <w:tr w14:paraId="12DB5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D953B6">
            <w:pPr>
              <w:pStyle w:val="30"/>
              <w:numPr>
                <w:ilvl w:val="0"/>
                <w:numId w:val="7"/>
              </w:numPr>
              <w:rPr>
                <w:b w:val="0"/>
                <w:bCs w:val="0"/>
              </w:rPr>
            </w:pPr>
          </w:p>
        </w:tc>
        <w:tc>
          <w:tcPr>
            <w:tcW w:w="1190" w:type="dxa"/>
            <w:vMerge w:val="continue"/>
            <w:shd w:val="clear" w:color="auto" w:fill="auto"/>
            <w:vAlign w:val="center"/>
          </w:tcPr>
          <w:p w14:paraId="238E4133">
            <w:pPr>
              <w:pStyle w:val="30"/>
              <w:rPr>
                <w:b w:val="0"/>
                <w:bCs w:val="0"/>
              </w:rPr>
            </w:pPr>
          </w:p>
        </w:tc>
        <w:tc>
          <w:tcPr>
            <w:tcW w:w="4961" w:type="dxa"/>
            <w:shd w:val="clear" w:color="auto" w:fill="auto"/>
            <w:vAlign w:val="center"/>
          </w:tcPr>
          <w:p w14:paraId="497E26C2">
            <w:pPr>
              <w:pStyle w:val="30"/>
              <w:rPr>
                <w:b w:val="0"/>
                <w:bCs w:val="0"/>
              </w:rPr>
            </w:pPr>
            <w:r>
              <w:rPr>
                <w:rFonts w:hint="eastAsia"/>
                <w:b w:val="0"/>
                <w:bCs w:val="0"/>
              </w:rPr>
              <w:t>起重吊装未设置警戒区，人员在起吊物、臂杆下方停留、作业</w:t>
            </w:r>
          </w:p>
        </w:tc>
        <w:tc>
          <w:tcPr>
            <w:tcW w:w="1487" w:type="dxa"/>
            <w:shd w:val="clear" w:color="auto" w:fill="auto"/>
            <w:vAlign w:val="center"/>
          </w:tcPr>
          <w:p w14:paraId="5422BB16">
            <w:pPr>
              <w:pStyle w:val="30"/>
              <w:rPr>
                <w:b w:val="0"/>
                <w:bCs w:val="0"/>
              </w:rPr>
            </w:pPr>
            <w:r>
              <w:rPr>
                <w:rFonts w:hint="eastAsia"/>
                <w:b w:val="0"/>
                <w:bCs w:val="0"/>
              </w:rPr>
              <w:t>起重伤害、物体打击</w:t>
            </w:r>
          </w:p>
        </w:tc>
      </w:tr>
      <w:tr w14:paraId="57165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D65BDC4">
            <w:pPr>
              <w:pStyle w:val="30"/>
              <w:numPr>
                <w:ilvl w:val="0"/>
                <w:numId w:val="7"/>
              </w:numPr>
              <w:rPr>
                <w:b w:val="0"/>
                <w:bCs w:val="0"/>
              </w:rPr>
            </w:pPr>
          </w:p>
        </w:tc>
        <w:tc>
          <w:tcPr>
            <w:tcW w:w="1190" w:type="dxa"/>
            <w:vMerge w:val="continue"/>
            <w:shd w:val="clear" w:color="auto" w:fill="auto"/>
            <w:vAlign w:val="center"/>
          </w:tcPr>
          <w:p w14:paraId="445C8730">
            <w:pPr>
              <w:pStyle w:val="30"/>
              <w:rPr>
                <w:b w:val="0"/>
                <w:bCs w:val="0"/>
              </w:rPr>
            </w:pPr>
          </w:p>
        </w:tc>
        <w:tc>
          <w:tcPr>
            <w:tcW w:w="4961" w:type="dxa"/>
            <w:shd w:val="clear" w:color="auto" w:fill="auto"/>
            <w:vAlign w:val="center"/>
          </w:tcPr>
          <w:p w14:paraId="25FB3474">
            <w:pPr>
              <w:pStyle w:val="30"/>
              <w:rPr>
                <w:b w:val="0"/>
                <w:bCs w:val="0"/>
              </w:rPr>
            </w:pPr>
            <w:r>
              <w:rPr>
                <w:rFonts w:hint="eastAsia"/>
                <w:b w:val="0"/>
                <w:bCs w:val="0"/>
              </w:rPr>
              <w:t>吊物捆扎或连接不牢固；</w:t>
            </w:r>
          </w:p>
        </w:tc>
        <w:tc>
          <w:tcPr>
            <w:tcW w:w="1487" w:type="dxa"/>
            <w:shd w:val="clear" w:color="auto" w:fill="auto"/>
            <w:vAlign w:val="center"/>
          </w:tcPr>
          <w:p w14:paraId="07440459">
            <w:pPr>
              <w:pStyle w:val="30"/>
              <w:rPr>
                <w:b w:val="0"/>
                <w:bCs w:val="0"/>
              </w:rPr>
            </w:pPr>
            <w:r>
              <w:rPr>
                <w:rFonts w:hint="eastAsia"/>
                <w:b w:val="0"/>
                <w:bCs w:val="0"/>
              </w:rPr>
              <w:t>起重伤害</w:t>
            </w:r>
          </w:p>
        </w:tc>
      </w:tr>
      <w:tr w14:paraId="58804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BDB2CF8">
            <w:pPr>
              <w:pStyle w:val="30"/>
              <w:numPr>
                <w:ilvl w:val="0"/>
                <w:numId w:val="7"/>
              </w:numPr>
              <w:rPr>
                <w:b w:val="0"/>
                <w:bCs w:val="0"/>
              </w:rPr>
            </w:pPr>
          </w:p>
        </w:tc>
        <w:tc>
          <w:tcPr>
            <w:tcW w:w="1190" w:type="dxa"/>
            <w:vMerge w:val="continue"/>
            <w:shd w:val="clear" w:color="auto" w:fill="auto"/>
            <w:vAlign w:val="center"/>
          </w:tcPr>
          <w:p w14:paraId="2CB989C7">
            <w:pPr>
              <w:pStyle w:val="30"/>
              <w:rPr>
                <w:b w:val="0"/>
                <w:bCs w:val="0"/>
              </w:rPr>
            </w:pPr>
          </w:p>
        </w:tc>
        <w:tc>
          <w:tcPr>
            <w:tcW w:w="4961" w:type="dxa"/>
            <w:shd w:val="clear" w:color="auto" w:fill="auto"/>
            <w:vAlign w:val="center"/>
          </w:tcPr>
          <w:p w14:paraId="56E5DBCE">
            <w:pPr>
              <w:pStyle w:val="30"/>
              <w:rPr>
                <w:b w:val="0"/>
                <w:bCs w:val="0"/>
              </w:rPr>
            </w:pPr>
            <w:r>
              <w:rPr>
                <w:rFonts w:hint="eastAsia"/>
                <w:b w:val="0"/>
                <w:bCs w:val="0"/>
              </w:rPr>
              <w:t>吊物未设置揽风绳固定；</w:t>
            </w:r>
          </w:p>
        </w:tc>
        <w:tc>
          <w:tcPr>
            <w:tcW w:w="1487" w:type="dxa"/>
            <w:shd w:val="clear" w:color="auto" w:fill="auto"/>
            <w:vAlign w:val="center"/>
          </w:tcPr>
          <w:p w14:paraId="5E55894A">
            <w:pPr>
              <w:pStyle w:val="30"/>
              <w:rPr>
                <w:b w:val="0"/>
                <w:bCs w:val="0"/>
              </w:rPr>
            </w:pPr>
            <w:r>
              <w:rPr>
                <w:rFonts w:hint="eastAsia"/>
                <w:b w:val="0"/>
                <w:bCs w:val="0"/>
              </w:rPr>
              <w:t>起重伤害</w:t>
            </w:r>
          </w:p>
        </w:tc>
      </w:tr>
      <w:tr w14:paraId="14E2F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61344A9">
            <w:pPr>
              <w:pStyle w:val="30"/>
              <w:numPr>
                <w:ilvl w:val="0"/>
                <w:numId w:val="7"/>
              </w:numPr>
              <w:rPr>
                <w:b w:val="0"/>
                <w:bCs w:val="0"/>
              </w:rPr>
            </w:pPr>
          </w:p>
        </w:tc>
        <w:tc>
          <w:tcPr>
            <w:tcW w:w="1190" w:type="dxa"/>
            <w:vMerge w:val="continue"/>
            <w:shd w:val="clear" w:color="auto" w:fill="auto"/>
            <w:vAlign w:val="center"/>
          </w:tcPr>
          <w:p w14:paraId="53438594">
            <w:pPr>
              <w:pStyle w:val="30"/>
              <w:rPr>
                <w:b w:val="0"/>
                <w:bCs w:val="0"/>
              </w:rPr>
            </w:pPr>
          </w:p>
        </w:tc>
        <w:tc>
          <w:tcPr>
            <w:tcW w:w="4961" w:type="dxa"/>
            <w:shd w:val="clear" w:color="auto" w:fill="auto"/>
            <w:vAlign w:val="center"/>
          </w:tcPr>
          <w:p w14:paraId="38019EF4">
            <w:pPr>
              <w:pStyle w:val="30"/>
              <w:rPr>
                <w:b w:val="0"/>
                <w:bCs w:val="0"/>
              </w:rPr>
            </w:pPr>
            <w:r>
              <w:rPr>
                <w:rFonts w:hint="eastAsia"/>
                <w:b w:val="0"/>
                <w:bCs w:val="0"/>
              </w:rPr>
              <w:t>吊物重量不明或未进行试吊就直接吊装，起吊钢丝绳规格未经验算、超负荷起吊</w:t>
            </w:r>
          </w:p>
        </w:tc>
        <w:tc>
          <w:tcPr>
            <w:tcW w:w="1487" w:type="dxa"/>
            <w:shd w:val="clear" w:color="auto" w:fill="auto"/>
            <w:vAlign w:val="center"/>
          </w:tcPr>
          <w:p w14:paraId="148566C6">
            <w:pPr>
              <w:pStyle w:val="30"/>
              <w:rPr>
                <w:b w:val="0"/>
                <w:bCs w:val="0"/>
              </w:rPr>
            </w:pPr>
            <w:r>
              <w:rPr>
                <w:rFonts w:hint="eastAsia"/>
                <w:b w:val="0"/>
                <w:bCs w:val="0"/>
              </w:rPr>
              <w:t>起重伤害</w:t>
            </w:r>
          </w:p>
        </w:tc>
      </w:tr>
      <w:tr w14:paraId="54F0B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36B08C8">
            <w:pPr>
              <w:pStyle w:val="30"/>
              <w:numPr>
                <w:ilvl w:val="0"/>
                <w:numId w:val="7"/>
              </w:numPr>
              <w:rPr>
                <w:b w:val="0"/>
                <w:bCs w:val="0"/>
              </w:rPr>
            </w:pPr>
          </w:p>
        </w:tc>
        <w:tc>
          <w:tcPr>
            <w:tcW w:w="1190" w:type="dxa"/>
            <w:vMerge w:val="continue"/>
            <w:shd w:val="clear" w:color="auto" w:fill="auto"/>
            <w:vAlign w:val="center"/>
          </w:tcPr>
          <w:p w14:paraId="7B89F6DD">
            <w:pPr>
              <w:pStyle w:val="30"/>
              <w:rPr>
                <w:b w:val="0"/>
                <w:bCs w:val="0"/>
              </w:rPr>
            </w:pPr>
          </w:p>
        </w:tc>
        <w:tc>
          <w:tcPr>
            <w:tcW w:w="4961" w:type="dxa"/>
            <w:shd w:val="clear" w:color="auto" w:fill="auto"/>
            <w:vAlign w:val="center"/>
          </w:tcPr>
          <w:p w14:paraId="0C67EFA9">
            <w:pPr>
              <w:pStyle w:val="30"/>
              <w:rPr>
                <w:b w:val="0"/>
                <w:bCs w:val="0"/>
              </w:rPr>
            </w:pPr>
            <w:r>
              <w:rPr>
                <w:rFonts w:hint="eastAsia"/>
                <w:b w:val="0"/>
                <w:bCs w:val="0"/>
              </w:rPr>
              <w:t>起吊前未对钢丝绳及连接部位和吊具进行检查</w:t>
            </w:r>
          </w:p>
        </w:tc>
        <w:tc>
          <w:tcPr>
            <w:tcW w:w="1487" w:type="dxa"/>
            <w:shd w:val="clear" w:color="auto" w:fill="auto"/>
            <w:vAlign w:val="center"/>
          </w:tcPr>
          <w:p w14:paraId="326837F3">
            <w:pPr>
              <w:pStyle w:val="30"/>
              <w:rPr>
                <w:b w:val="0"/>
                <w:bCs w:val="0"/>
              </w:rPr>
            </w:pPr>
            <w:r>
              <w:rPr>
                <w:rFonts w:hint="eastAsia"/>
                <w:b w:val="0"/>
                <w:bCs w:val="0"/>
              </w:rPr>
              <w:t>起重伤害</w:t>
            </w:r>
          </w:p>
        </w:tc>
      </w:tr>
      <w:tr w14:paraId="3EFDC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ADA8841">
            <w:pPr>
              <w:pStyle w:val="30"/>
              <w:numPr>
                <w:ilvl w:val="0"/>
                <w:numId w:val="7"/>
              </w:numPr>
              <w:rPr>
                <w:b w:val="0"/>
                <w:bCs w:val="0"/>
              </w:rPr>
            </w:pPr>
          </w:p>
        </w:tc>
        <w:tc>
          <w:tcPr>
            <w:tcW w:w="1190" w:type="dxa"/>
            <w:vMerge w:val="continue"/>
            <w:shd w:val="clear" w:color="auto" w:fill="auto"/>
            <w:vAlign w:val="center"/>
          </w:tcPr>
          <w:p w14:paraId="72268C01">
            <w:pPr>
              <w:pStyle w:val="30"/>
              <w:rPr>
                <w:b w:val="0"/>
                <w:bCs w:val="0"/>
              </w:rPr>
            </w:pPr>
          </w:p>
        </w:tc>
        <w:tc>
          <w:tcPr>
            <w:tcW w:w="4961" w:type="dxa"/>
            <w:shd w:val="clear" w:color="auto" w:fill="auto"/>
            <w:vAlign w:val="center"/>
          </w:tcPr>
          <w:p w14:paraId="73A890E2">
            <w:pPr>
              <w:pStyle w:val="30"/>
              <w:rPr>
                <w:b w:val="0"/>
                <w:bCs w:val="0"/>
              </w:rPr>
            </w:pPr>
            <w:r>
              <w:rPr>
                <w:rFonts w:hint="eastAsia"/>
                <w:b w:val="0"/>
                <w:bCs w:val="0"/>
              </w:rPr>
              <w:t>大雨、雾、大雪及六级以上大风等恶劣天气</w:t>
            </w:r>
          </w:p>
          <w:p w14:paraId="5912E20C">
            <w:pPr>
              <w:pStyle w:val="30"/>
              <w:rPr>
                <w:b w:val="0"/>
                <w:bCs w:val="0"/>
              </w:rPr>
            </w:pPr>
            <w:r>
              <w:rPr>
                <w:rFonts w:hint="eastAsia"/>
                <w:b w:val="0"/>
                <w:bCs w:val="0"/>
              </w:rPr>
              <w:t>进行吊装作业</w:t>
            </w:r>
          </w:p>
        </w:tc>
        <w:tc>
          <w:tcPr>
            <w:tcW w:w="1487" w:type="dxa"/>
            <w:shd w:val="clear" w:color="auto" w:fill="auto"/>
            <w:vAlign w:val="center"/>
          </w:tcPr>
          <w:p w14:paraId="1D2D1549">
            <w:pPr>
              <w:pStyle w:val="30"/>
              <w:rPr>
                <w:b w:val="0"/>
                <w:bCs w:val="0"/>
              </w:rPr>
            </w:pPr>
            <w:r>
              <w:rPr>
                <w:rFonts w:hint="eastAsia"/>
                <w:b w:val="0"/>
                <w:bCs w:val="0"/>
              </w:rPr>
              <w:t>起重伤害</w:t>
            </w:r>
          </w:p>
        </w:tc>
      </w:tr>
      <w:tr w14:paraId="6FBE8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FF6985D">
            <w:pPr>
              <w:pStyle w:val="30"/>
              <w:numPr>
                <w:ilvl w:val="0"/>
                <w:numId w:val="7"/>
              </w:numPr>
              <w:rPr>
                <w:b w:val="0"/>
                <w:bCs w:val="0"/>
              </w:rPr>
            </w:pPr>
          </w:p>
        </w:tc>
        <w:tc>
          <w:tcPr>
            <w:tcW w:w="1190" w:type="dxa"/>
            <w:vMerge w:val="continue"/>
            <w:shd w:val="clear" w:color="auto" w:fill="auto"/>
            <w:vAlign w:val="center"/>
          </w:tcPr>
          <w:p w14:paraId="553A4872">
            <w:pPr>
              <w:pStyle w:val="30"/>
              <w:rPr>
                <w:b w:val="0"/>
                <w:bCs w:val="0"/>
              </w:rPr>
            </w:pPr>
          </w:p>
        </w:tc>
        <w:tc>
          <w:tcPr>
            <w:tcW w:w="4961" w:type="dxa"/>
            <w:shd w:val="clear" w:color="auto" w:fill="auto"/>
            <w:vAlign w:val="center"/>
          </w:tcPr>
          <w:p w14:paraId="5EACCF8D">
            <w:pPr>
              <w:pStyle w:val="30"/>
              <w:rPr>
                <w:b w:val="0"/>
                <w:bCs w:val="0"/>
              </w:rPr>
            </w:pPr>
            <w:r>
              <w:rPr>
                <w:rFonts w:hint="eastAsia"/>
                <w:b w:val="0"/>
                <w:bCs w:val="0"/>
              </w:rPr>
              <w:t>起吊构件未解除连接，便开始起吊</w:t>
            </w:r>
          </w:p>
        </w:tc>
        <w:tc>
          <w:tcPr>
            <w:tcW w:w="1487" w:type="dxa"/>
            <w:shd w:val="clear" w:color="auto" w:fill="auto"/>
            <w:vAlign w:val="center"/>
          </w:tcPr>
          <w:p w14:paraId="434B8BFE">
            <w:pPr>
              <w:pStyle w:val="30"/>
              <w:rPr>
                <w:b w:val="0"/>
                <w:bCs w:val="0"/>
              </w:rPr>
            </w:pPr>
            <w:r>
              <w:rPr>
                <w:rFonts w:hint="eastAsia"/>
                <w:b w:val="0"/>
                <w:bCs w:val="0"/>
              </w:rPr>
              <w:t>起重伤害</w:t>
            </w:r>
          </w:p>
        </w:tc>
      </w:tr>
      <w:tr w14:paraId="2A676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291850C">
            <w:pPr>
              <w:pStyle w:val="30"/>
              <w:numPr>
                <w:ilvl w:val="0"/>
                <w:numId w:val="7"/>
              </w:numPr>
              <w:rPr>
                <w:b w:val="0"/>
                <w:bCs w:val="0"/>
              </w:rPr>
            </w:pPr>
          </w:p>
        </w:tc>
        <w:tc>
          <w:tcPr>
            <w:tcW w:w="1190" w:type="dxa"/>
            <w:vMerge w:val="continue"/>
            <w:shd w:val="clear" w:color="auto" w:fill="auto"/>
            <w:vAlign w:val="center"/>
          </w:tcPr>
          <w:p w14:paraId="1258C640">
            <w:pPr>
              <w:pStyle w:val="30"/>
              <w:rPr>
                <w:b w:val="0"/>
                <w:bCs w:val="0"/>
              </w:rPr>
            </w:pPr>
          </w:p>
        </w:tc>
        <w:tc>
          <w:tcPr>
            <w:tcW w:w="4961" w:type="dxa"/>
            <w:shd w:val="clear" w:color="auto" w:fill="auto"/>
            <w:vAlign w:val="center"/>
          </w:tcPr>
          <w:p w14:paraId="3F9BD25B">
            <w:pPr>
              <w:pStyle w:val="30"/>
              <w:rPr>
                <w:b w:val="0"/>
                <w:bCs w:val="0"/>
              </w:rPr>
            </w:pPr>
            <w:r>
              <w:rPr>
                <w:rFonts w:hint="eastAsia"/>
                <w:b w:val="0"/>
                <w:bCs w:val="0"/>
              </w:rPr>
              <w:t>未按规定要求安装安全监控系统</w:t>
            </w:r>
          </w:p>
        </w:tc>
        <w:tc>
          <w:tcPr>
            <w:tcW w:w="1487" w:type="dxa"/>
            <w:shd w:val="clear" w:color="auto" w:fill="auto"/>
            <w:vAlign w:val="center"/>
          </w:tcPr>
          <w:p w14:paraId="1828B8C0">
            <w:pPr>
              <w:pStyle w:val="30"/>
              <w:rPr>
                <w:b w:val="0"/>
                <w:bCs w:val="0"/>
              </w:rPr>
            </w:pPr>
            <w:r>
              <w:rPr>
                <w:rFonts w:hint="eastAsia"/>
                <w:b w:val="0"/>
                <w:bCs w:val="0"/>
              </w:rPr>
              <w:t>起重伤害</w:t>
            </w:r>
          </w:p>
        </w:tc>
      </w:tr>
      <w:tr w14:paraId="556E8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FA5D1DD">
            <w:pPr>
              <w:pStyle w:val="30"/>
              <w:numPr>
                <w:ilvl w:val="0"/>
                <w:numId w:val="7"/>
              </w:numPr>
              <w:rPr>
                <w:b w:val="0"/>
                <w:bCs w:val="0"/>
              </w:rPr>
            </w:pPr>
          </w:p>
        </w:tc>
        <w:tc>
          <w:tcPr>
            <w:tcW w:w="1190" w:type="dxa"/>
            <w:vMerge w:val="restart"/>
            <w:shd w:val="clear" w:color="auto" w:fill="auto"/>
            <w:vAlign w:val="center"/>
          </w:tcPr>
          <w:p w14:paraId="79CF6238">
            <w:pPr>
              <w:pStyle w:val="30"/>
              <w:rPr>
                <w:b w:val="0"/>
                <w:bCs w:val="0"/>
              </w:rPr>
            </w:pPr>
            <w:r>
              <w:rPr>
                <w:rFonts w:hint="eastAsia"/>
                <w:b w:val="0"/>
                <w:bCs w:val="0"/>
              </w:rPr>
              <w:t>气割电焊作业</w:t>
            </w:r>
          </w:p>
        </w:tc>
        <w:tc>
          <w:tcPr>
            <w:tcW w:w="4961" w:type="dxa"/>
            <w:shd w:val="clear" w:color="auto" w:fill="auto"/>
            <w:vAlign w:val="center"/>
          </w:tcPr>
          <w:p w14:paraId="36D5492E">
            <w:pPr>
              <w:pStyle w:val="30"/>
              <w:rPr>
                <w:b w:val="0"/>
                <w:bCs w:val="0"/>
              </w:rPr>
            </w:pPr>
            <w:r>
              <w:rPr>
                <w:rFonts w:hint="eastAsia"/>
                <w:b w:val="0"/>
                <w:bCs w:val="0"/>
              </w:rPr>
              <w:t>动火作业无审批手续</w:t>
            </w:r>
          </w:p>
        </w:tc>
        <w:tc>
          <w:tcPr>
            <w:tcW w:w="1487" w:type="dxa"/>
            <w:shd w:val="clear" w:color="auto" w:fill="auto"/>
            <w:vAlign w:val="center"/>
          </w:tcPr>
          <w:p w14:paraId="42E7ECDA">
            <w:pPr>
              <w:pStyle w:val="30"/>
              <w:rPr>
                <w:b w:val="0"/>
                <w:bCs w:val="0"/>
              </w:rPr>
            </w:pPr>
            <w:r>
              <w:rPr>
                <w:rFonts w:hint="eastAsia"/>
                <w:b w:val="0"/>
                <w:bCs w:val="0"/>
              </w:rPr>
              <w:t>火灾等</w:t>
            </w:r>
          </w:p>
        </w:tc>
      </w:tr>
      <w:tr w14:paraId="5B2DE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2B191B8">
            <w:pPr>
              <w:pStyle w:val="30"/>
              <w:numPr>
                <w:ilvl w:val="0"/>
                <w:numId w:val="7"/>
              </w:numPr>
              <w:rPr>
                <w:b w:val="0"/>
                <w:bCs w:val="0"/>
              </w:rPr>
            </w:pPr>
          </w:p>
        </w:tc>
        <w:tc>
          <w:tcPr>
            <w:tcW w:w="1190" w:type="dxa"/>
            <w:vMerge w:val="continue"/>
            <w:shd w:val="clear" w:color="auto" w:fill="auto"/>
            <w:vAlign w:val="center"/>
          </w:tcPr>
          <w:p w14:paraId="4AAE195F">
            <w:pPr>
              <w:pStyle w:val="30"/>
              <w:rPr>
                <w:b w:val="0"/>
                <w:bCs w:val="0"/>
              </w:rPr>
            </w:pPr>
          </w:p>
        </w:tc>
        <w:tc>
          <w:tcPr>
            <w:tcW w:w="4961" w:type="dxa"/>
            <w:shd w:val="clear" w:color="auto" w:fill="auto"/>
            <w:vAlign w:val="center"/>
          </w:tcPr>
          <w:p w14:paraId="17CB6710">
            <w:pPr>
              <w:pStyle w:val="30"/>
              <w:rPr>
                <w:b w:val="0"/>
                <w:bCs w:val="0"/>
              </w:rPr>
            </w:pPr>
            <w:r>
              <w:rPr>
                <w:rFonts w:hint="eastAsia"/>
                <w:b w:val="0"/>
                <w:bCs w:val="0"/>
              </w:rPr>
              <w:t>氧气、乙炔气瓶混放或安全间距不足，固定不牢固；在气瓶附近吸烟或动火</w:t>
            </w:r>
          </w:p>
        </w:tc>
        <w:tc>
          <w:tcPr>
            <w:tcW w:w="1487" w:type="dxa"/>
            <w:shd w:val="clear" w:color="auto" w:fill="auto"/>
            <w:vAlign w:val="center"/>
          </w:tcPr>
          <w:p w14:paraId="74DB0BC3">
            <w:pPr>
              <w:pStyle w:val="30"/>
              <w:rPr>
                <w:b w:val="0"/>
                <w:bCs w:val="0"/>
              </w:rPr>
            </w:pPr>
            <w:r>
              <w:rPr>
                <w:rFonts w:hint="eastAsia"/>
                <w:b w:val="0"/>
                <w:bCs w:val="0"/>
              </w:rPr>
              <w:t>容器爆炸、火灾</w:t>
            </w:r>
          </w:p>
        </w:tc>
      </w:tr>
      <w:tr w14:paraId="0708F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6DA12C2">
            <w:pPr>
              <w:pStyle w:val="30"/>
              <w:numPr>
                <w:ilvl w:val="0"/>
                <w:numId w:val="7"/>
              </w:numPr>
              <w:rPr>
                <w:b w:val="0"/>
                <w:bCs w:val="0"/>
              </w:rPr>
            </w:pPr>
          </w:p>
        </w:tc>
        <w:tc>
          <w:tcPr>
            <w:tcW w:w="1190" w:type="dxa"/>
            <w:vMerge w:val="continue"/>
            <w:shd w:val="clear" w:color="auto" w:fill="auto"/>
            <w:vAlign w:val="center"/>
          </w:tcPr>
          <w:p w14:paraId="1FB988D6">
            <w:pPr>
              <w:pStyle w:val="30"/>
              <w:rPr>
                <w:b w:val="0"/>
                <w:bCs w:val="0"/>
              </w:rPr>
            </w:pPr>
          </w:p>
        </w:tc>
        <w:tc>
          <w:tcPr>
            <w:tcW w:w="4961" w:type="dxa"/>
            <w:shd w:val="clear" w:color="auto" w:fill="auto"/>
            <w:vAlign w:val="center"/>
          </w:tcPr>
          <w:p w14:paraId="74ECC6F1">
            <w:pPr>
              <w:pStyle w:val="30"/>
              <w:rPr>
                <w:b w:val="0"/>
                <w:bCs w:val="0"/>
              </w:rPr>
            </w:pPr>
            <w:r>
              <w:rPr>
                <w:rFonts w:hint="eastAsia"/>
                <w:b w:val="0"/>
                <w:bCs w:val="0"/>
              </w:rPr>
              <w:t>气瓶未安装防回火装置或装置失效；</w:t>
            </w:r>
          </w:p>
          <w:p w14:paraId="61DFA2BF">
            <w:pPr>
              <w:pStyle w:val="30"/>
              <w:rPr>
                <w:b w:val="0"/>
                <w:bCs w:val="0"/>
              </w:rPr>
            </w:pPr>
            <w:r>
              <w:rPr>
                <w:rFonts w:hint="eastAsia"/>
                <w:b w:val="0"/>
                <w:bCs w:val="0"/>
              </w:rPr>
              <w:t>高温天气气瓶未遮盖</w:t>
            </w:r>
          </w:p>
        </w:tc>
        <w:tc>
          <w:tcPr>
            <w:tcW w:w="1487" w:type="dxa"/>
            <w:shd w:val="clear" w:color="auto" w:fill="auto"/>
            <w:vAlign w:val="center"/>
          </w:tcPr>
          <w:p w14:paraId="0D3BF473">
            <w:pPr>
              <w:pStyle w:val="30"/>
              <w:rPr>
                <w:b w:val="0"/>
                <w:bCs w:val="0"/>
              </w:rPr>
            </w:pPr>
            <w:r>
              <w:rPr>
                <w:rFonts w:hint="eastAsia"/>
                <w:b w:val="0"/>
                <w:bCs w:val="0"/>
              </w:rPr>
              <w:t>容器爆炸</w:t>
            </w:r>
          </w:p>
        </w:tc>
      </w:tr>
      <w:tr w14:paraId="59C5E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897E312">
            <w:pPr>
              <w:pStyle w:val="30"/>
              <w:numPr>
                <w:ilvl w:val="0"/>
                <w:numId w:val="7"/>
              </w:numPr>
              <w:rPr>
                <w:b w:val="0"/>
                <w:bCs w:val="0"/>
              </w:rPr>
            </w:pPr>
          </w:p>
        </w:tc>
        <w:tc>
          <w:tcPr>
            <w:tcW w:w="1190" w:type="dxa"/>
            <w:vMerge w:val="continue"/>
            <w:shd w:val="clear" w:color="auto" w:fill="auto"/>
            <w:vAlign w:val="center"/>
          </w:tcPr>
          <w:p w14:paraId="619939AD">
            <w:pPr>
              <w:pStyle w:val="30"/>
              <w:rPr>
                <w:b w:val="0"/>
                <w:bCs w:val="0"/>
              </w:rPr>
            </w:pPr>
          </w:p>
        </w:tc>
        <w:tc>
          <w:tcPr>
            <w:tcW w:w="4961" w:type="dxa"/>
            <w:shd w:val="clear" w:color="auto" w:fill="auto"/>
            <w:vAlign w:val="center"/>
          </w:tcPr>
          <w:p w14:paraId="6FFF0776">
            <w:pPr>
              <w:pStyle w:val="30"/>
              <w:rPr>
                <w:b w:val="0"/>
                <w:bCs w:val="0"/>
              </w:rPr>
            </w:pPr>
            <w:r>
              <w:rPr>
                <w:rFonts w:hint="eastAsia"/>
                <w:b w:val="0"/>
                <w:bCs w:val="0"/>
              </w:rPr>
              <w:t>气瓶阀门或压力表坏损</w:t>
            </w:r>
          </w:p>
        </w:tc>
        <w:tc>
          <w:tcPr>
            <w:tcW w:w="1487" w:type="dxa"/>
            <w:shd w:val="clear" w:color="auto" w:fill="auto"/>
            <w:vAlign w:val="center"/>
          </w:tcPr>
          <w:p w14:paraId="360C241D">
            <w:pPr>
              <w:pStyle w:val="30"/>
              <w:rPr>
                <w:b w:val="0"/>
                <w:bCs w:val="0"/>
              </w:rPr>
            </w:pPr>
            <w:r>
              <w:rPr>
                <w:rFonts w:hint="eastAsia"/>
                <w:b w:val="0"/>
                <w:bCs w:val="0"/>
              </w:rPr>
              <w:t>容器爆炸、火灾</w:t>
            </w:r>
          </w:p>
        </w:tc>
      </w:tr>
      <w:tr w14:paraId="5DE25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5810C10">
            <w:pPr>
              <w:pStyle w:val="30"/>
              <w:numPr>
                <w:ilvl w:val="0"/>
                <w:numId w:val="7"/>
              </w:numPr>
              <w:rPr>
                <w:b w:val="0"/>
                <w:bCs w:val="0"/>
              </w:rPr>
            </w:pPr>
          </w:p>
        </w:tc>
        <w:tc>
          <w:tcPr>
            <w:tcW w:w="1190" w:type="dxa"/>
            <w:vMerge w:val="continue"/>
            <w:shd w:val="clear" w:color="auto" w:fill="auto"/>
            <w:vAlign w:val="center"/>
          </w:tcPr>
          <w:p w14:paraId="0F297DAC">
            <w:pPr>
              <w:pStyle w:val="30"/>
              <w:rPr>
                <w:b w:val="0"/>
                <w:bCs w:val="0"/>
              </w:rPr>
            </w:pPr>
          </w:p>
        </w:tc>
        <w:tc>
          <w:tcPr>
            <w:tcW w:w="4961" w:type="dxa"/>
            <w:shd w:val="clear" w:color="auto" w:fill="auto"/>
            <w:vAlign w:val="center"/>
          </w:tcPr>
          <w:p w14:paraId="740136CA">
            <w:pPr>
              <w:pStyle w:val="30"/>
              <w:rPr>
                <w:b w:val="0"/>
                <w:bCs w:val="0"/>
              </w:rPr>
            </w:pPr>
            <w:r>
              <w:rPr>
                <w:rFonts w:hint="eastAsia"/>
                <w:b w:val="0"/>
                <w:bCs w:val="0"/>
              </w:rPr>
              <w:t>气割割枪或软管坏损、漏气</w:t>
            </w:r>
          </w:p>
        </w:tc>
        <w:tc>
          <w:tcPr>
            <w:tcW w:w="1487" w:type="dxa"/>
            <w:shd w:val="clear" w:color="auto" w:fill="auto"/>
            <w:vAlign w:val="center"/>
          </w:tcPr>
          <w:p w14:paraId="3FB760D5">
            <w:pPr>
              <w:pStyle w:val="30"/>
              <w:rPr>
                <w:b w:val="0"/>
                <w:bCs w:val="0"/>
              </w:rPr>
            </w:pPr>
            <w:r>
              <w:rPr>
                <w:rFonts w:hint="eastAsia"/>
                <w:b w:val="0"/>
                <w:bCs w:val="0"/>
              </w:rPr>
              <w:t>火灾</w:t>
            </w:r>
          </w:p>
        </w:tc>
      </w:tr>
      <w:tr w14:paraId="325A6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837F227">
            <w:pPr>
              <w:pStyle w:val="30"/>
              <w:numPr>
                <w:ilvl w:val="0"/>
                <w:numId w:val="7"/>
              </w:numPr>
              <w:rPr>
                <w:b w:val="0"/>
                <w:bCs w:val="0"/>
              </w:rPr>
            </w:pPr>
          </w:p>
        </w:tc>
        <w:tc>
          <w:tcPr>
            <w:tcW w:w="1190" w:type="dxa"/>
            <w:vMerge w:val="continue"/>
            <w:shd w:val="clear" w:color="auto" w:fill="auto"/>
            <w:vAlign w:val="center"/>
          </w:tcPr>
          <w:p w14:paraId="51CFEEC6">
            <w:pPr>
              <w:pStyle w:val="30"/>
              <w:rPr>
                <w:b w:val="0"/>
                <w:bCs w:val="0"/>
              </w:rPr>
            </w:pPr>
          </w:p>
        </w:tc>
        <w:tc>
          <w:tcPr>
            <w:tcW w:w="4961" w:type="dxa"/>
            <w:shd w:val="clear" w:color="auto" w:fill="auto"/>
            <w:vAlign w:val="center"/>
          </w:tcPr>
          <w:p w14:paraId="5F959B2C">
            <w:pPr>
              <w:pStyle w:val="30"/>
              <w:rPr>
                <w:b w:val="0"/>
                <w:bCs w:val="0"/>
              </w:rPr>
            </w:pPr>
            <w:r>
              <w:rPr>
                <w:rFonts w:hint="eastAsia"/>
                <w:b w:val="0"/>
                <w:bCs w:val="0"/>
              </w:rPr>
              <w:t>电焊机使用前未检验或出现故障；未规范有效接地</w:t>
            </w:r>
          </w:p>
        </w:tc>
        <w:tc>
          <w:tcPr>
            <w:tcW w:w="1487" w:type="dxa"/>
            <w:shd w:val="clear" w:color="auto" w:fill="auto"/>
            <w:vAlign w:val="center"/>
          </w:tcPr>
          <w:p w14:paraId="4483EFA4">
            <w:pPr>
              <w:pStyle w:val="30"/>
              <w:rPr>
                <w:b w:val="0"/>
                <w:bCs w:val="0"/>
              </w:rPr>
            </w:pPr>
            <w:r>
              <w:rPr>
                <w:rFonts w:hint="eastAsia"/>
                <w:b w:val="0"/>
                <w:bCs w:val="0"/>
              </w:rPr>
              <w:t>触电</w:t>
            </w:r>
          </w:p>
        </w:tc>
      </w:tr>
      <w:tr w14:paraId="2EE4E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A2C8809">
            <w:pPr>
              <w:pStyle w:val="30"/>
              <w:numPr>
                <w:ilvl w:val="0"/>
                <w:numId w:val="7"/>
              </w:numPr>
              <w:rPr>
                <w:b w:val="0"/>
                <w:bCs w:val="0"/>
              </w:rPr>
            </w:pPr>
          </w:p>
        </w:tc>
        <w:tc>
          <w:tcPr>
            <w:tcW w:w="1190" w:type="dxa"/>
            <w:vMerge w:val="continue"/>
            <w:shd w:val="clear" w:color="auto" w:fill="auto"/>
            <w:vAlign w:val="center"/>
          </w:tcPr>
          <w:p w14:paraId="5F69D3CC">
            <w:pPr>
              <w:pStyle w:val="30"/>
              <w:rPr>
                <w:b w:val="0"/>
                <w:bCs w:val="0"/>
              </w:rPr>
            </w:pPr>
          </w:p>
        </w:tc>
        <w:tc>
          <w:tcPr>
            <w:tcW w:w="4961" w:type="dxa"/>
            <w:shd w:val="clear" w:color="auto" w:fill="auto"/>
            <w:vAlign w:val="center"/>
          </w:tcPr>
          <w:p w14:paraId="0BE59715">
            <w:pPr>
              <w:pStyle w:val="30"/>
              <w:rPr>
                <w:b w:val="0"/>
                <w:bCs w:val="0"/>
              </w:rPr>
            </w:pPr>
            <w:r>
              <w:rPr>
                <w:rFonts w:hint="eastAsia"/>
                <w:b w:val="0"/>
                <w:bCs w:val="0"/>
              </w:rPr>
              <w:t>电焊机无二级保护或保护装置失效</w:t>
            </w:r>
          </w:p>
        </w:tc>
        <w:tc>
          <w:tcPr>
            <w:tcW w:w="1487" w:type="dxa"/>
            <w:shd w:val="clear" w:color="auto" w:fill="auto"/>
            <w:vAlign w:val="center"/>
          </w:tcPr>
          <w:p w14:paraId="0017735E">
            <w:pPr>
              <w:pStyle w:val="30"/>
              <w:rPr>
                <w:b w:val="0"/>
                <w:bCs w:val="0"/>
              </w:rPr>
            </w:pPr>
            <w:r>
              <w:rPr>
                <w:rFonts w:hint="eastAsia"/>
                <w:b w:val="0"/>
                <w:bCs w:val="0"/>
              </w:rPr>
              <w:t>触电</w:t>
            </w:r>
          </w:p>
        </w:tc>
      </w:tr>
      <w:tr w14:paraId="7A472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14B2603">
            <w:pPr>
              <w:pStyle w:val="30"/>
              <w:numPr>
                <w:ilvl w:val="0"/>
                <w:numId w:val="7"/>
              </w:numPr>
              <w:rPr>
                <w:b w:val="0"/>
                <w:bCs w:val="0"/>
              </w:rPr>
            </w:pPr>
          </w:p>
        </w:tc>
        <w:tc>
          <w:tcPr>
            <w:tcW w:w="1190" w:type="dxa"/>
            <w:vMerge w:val="continue"/>
            <w:shd w:val="clear" w:color="auto" w:fill="auto"/>
            <w:vAlign w:val="center"/>
          </w:tcPr>
          <w:p w14:paraId="25172CB6">
            <w:pPr>
              <w:pStyle w:val="30"/>
              <w:rPr>
                <w:b w:val="0"/>
                <w:bCs w:val="0"/>
              </w:rPr>
            </w:pPr>
          </w:p>
        </w:tc>
        <w:tc>
          <w:tcPr>
            <w:tcW w:w="4961" w:type="dxa"/>
            <w:shd w:val="clear" w:color="auto" w:fill="auto"/>
            <w:vAlign w:val="center"/>
          </w:tcPr>
          <w:p w14:paraId="367AB88C">
            <w:pPr>
              <w:pStyle w:val="30"/>
              <w:rPr>
                <w:b w:val="0"/>
                <w:bCs w:val="0"/>
              </w:rPr>
            </w:pPr>
            <w:r>
              <w:rPr>
                <w:rFonts w:hint="eastAsia"/>
                <w:b w:val="0"/>
                <w:bCs w:val="0"/>
              </w:rPr>
              <w:t>电焊机检修时未切断电源</w:t>
            </w:r>
          </w:p>
        </w:tc>
        <w:tc>
          <w:tcPr>
            <w:tcW w:w="1487" w:type="dxa"/>
            <w:shd w:val="clear" w:color="auto" w:fill="auto"/>
            <w:vAlign w:val="center"/>
          </w:tcPr>
          <w:p w14:paraId="35486C18">
            <w:pPr>
              <w:pStyle w:val="30"/>
              <w:rPr>
                <w:b w:val="0"/>
                <w:bCs w:val="0"/>
              </w:rPr>
            </w:pPr>
            <w:r>
              <w:rPr>
                <w:rFonts w:hint="eastAsia"/>
                <w:b w:val="0"/>
                <w:bCs w:val="0"/>
              </w:rPr>
              <w:t>触电</w:t>
            </w:r>
          </w:p>
        </w:tc>
      </w:tr>
      <w:tr w14:paraId="45D47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728521E">
            <w:pPr>
              <w:pStyle w:val="30"/>
              <w:numPr>
                <w:ilvl w:val="0"/>
                <w:numId w:val="7"/>
              </w:numPr>
              <w:rPr>
                <w:b w:val="0"/>
                <w:bCs w:val="0"/>
              </w:rPr>
            </w:pPr>
          </w:p>
        </w:tc>
        <w:tc>
          <w:tcPr>
            <w:tcW w:w="1190" w:type="dxa"/>
            <w:vMerge w:val="continue"/>
            <w:shd w:val="clear" w:color="auto" w:fill="auto"/>
            <w:vAlign w:val="center"/>
          </w:tcPr>
          <w:p w14:paraId="23D46FF4">
            <w:pPr>
              <w:pStyle w:val="30"/>
              <w:rPr>
                <w:b w:val="0"/>
                <w:bCs w:val="0"/>
              </w:rPr>
            </w:pPr>
          </w:p>
        </w:tc>
        <w:tc>
          <w:tcPr>
            <w:tcW w:w="4961" w:type="dxa"/>
            <w:shd w:val="clear" w:color="auto" w:fill="auto"/>
            <w:vAlign w:val="center"/>
          </w:tcPr>
          <w:p w14:paraId="29285DF4">
            <w:pPr>
              <w:pStyle w:val="30"/>
              <w:rPr>
                <w:b w:val="0"/>
                <w:bCs w:val="0"/>
              </w:rPr>
            </w:pPr>
            <w:r>
              <w:rPr>
                <w:rFonts w:hint="eastAsia"/>
                <w:b w:val="0"/>
                <w:bCs w:val="0"/>
              </w:rPr>
              <w:t>雨天进行露天电焊作业，潮湿区域作业人员未置于干燥绝缘物体上焊接作业</w:t>
            </w:r>
          </w:p>
        </w:tc>
        <w:tc>
          <w:tcPr>
            <w:tcW w:w="1487" w:type="dxa"/>
            <w:shd w:val="clear" w:color="auto" w:fill="auto"/>
            <w:vAlign w:val="center"/>
          </w:tcPr>
          <w:p w14:paraId="0A78CC47">
            <w:pPr>
              <w:pStyle w:val="30"/>
              <w:rPr>
                <w:b w:val="0"/>
                <w:bCs w:val="0"/>
              </w:rPr>
            </w:pPr>
            <w:r>
              <w:rPr>
                <w:rFonts w:hint="eastAsia"/>
                <w:b w:val="0"/>
                <w:bCs w:val="0"/>
              </w:rPr>
              <w:t>触电</w:t>
            </w:r>
          </w:p>
        </w:tc>
      </w:tr>
      <w:tr w14:paraId="304D0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2EEBE73">
            <w:pPr>
              <w:pStyle w:val="30"/>
              <w:numPr>
                <w:ilvl w:val="0"/>
                <w:numId w:val="7"/>
              </w:numPr>
              <w:rPr>
                <w:b w:val="0"/>
                <w:bCs w:val="0"/>
              </w:rPr>
            </w:pPr>
          </w:p>
        </w:tc>
        <w:tc>
          <w:tcPr>
            <w:tcW w:w="1190" w:type="dxa"/>
            <w:vMerge w:val="continue"/>
            <w:shd w:val="clear" w:color="auto" w:fill="auto"/>
            <w:vAlign w:val="center"/>
          </w:tcPr>
          <w:p w14:paraId="31B51D6D">
            <w:pPr>
              <w:pStyle w:val="30"/>
              <w:rPr>
                <w:b w:val="0"/>
                <w:bCs w:val="0"/>
              </w:rPr>
            </w:pPr>
          </w:p>
        </w:tc>
        <w:tc>
          <w:tcPr>
            <w:tcW w:w="4961" w:type="dxa"/>
            <w:shd w:val="clear" w:color="auto" w:fill="auto"/>
            <w:vAlign w:val="center"/>
          </w:tcPr>
          <w:p w14:paraId="1EFF86C0">
            <w:pPr>
              <w:pStyle w:val="30"/>
              <w:rPr>
                <w:b w:val="0"/>
                <w:bCs w:val="0"/>
              </w:rPr>
            </w:pPr>
            <w:r>
              <w:rPr>
                <w:rFonts w:hint="eastAsia"/>
                <w:b w:val="0"/>
                <w:bCs w:val="0"/>
              </w:rPr>
              <w:t>切割及焊接作业未设置挡火板</w:t>
            </w:r>
          </w:p>
        </w:tc>
        <w:tc>
          <w:tcPr>
            <w:tcW w:w="1487" w:type="dxa"/>
            <w:shd w:val="clear" w:color="auto" w:fill="auto"/>
            <w:vAlign w:val="center"/>
          </w:tcPr>
          <w:p w14:paraId="24F31EBC">
            <w:pPr>
              <w:pStyle w:val="30"/>
              <w:rPr>
                <w:b w:val="0"/>
                <w:bCs w:val="0"/>
              </w:rPr>
            </w:pPr>
            <w:r>
              <w:rPr>
                <w:rFonts w:hint="eastAsia"/>
                <w:b w:val="0"/>
                <w:bCs w:val="0"/>
              </w:rPr>
              <w:t>火灾</w:t>
            </w:r>
          </w:p>
        </w:tc>
      </w:tr>
      <w:tr w14:paraId="3B1C7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5C107FB">
            <w:pPr>
              <w:pStyle w:val="30"/>
              <w:numPr>
                <w:ilvl w:val="0"/>
                <w:numId w:val="7"/>
              </w:numPr>
              <w:rPr>
                <w:b w:val="0"/>
                <w:bCs w:val="0"/>
              </w:rPr>
            </w:pPr>
          </w:p>
        </w:tc>
        <w:tc>
          <w:tcPr>
            <w:tcW w:w="1190" w:type="dxa"/>
            <w:vMerge w:val="continue"/>
            <w:shd w:val="clear" w:color="auto" w:fill="auto"/>
            <w:vAlign w:val="center"/>
          </w:tcPr>
          <w:p w14:paraId="6937A5FE">
            <w:pPr>
              <w:pStyle w:val="30"/>
              <w:rPr>
                <w:b w:val="0"/>
                <w:bCs w:val="0"/>
              </w:rPr>
            </w:pPr>
          </w:p>
        </w:tc>
        <w:tc>
          <w:tcPr>
            <w:tcW w:w="4961" w:type="dxa"/>
            <w:shd w:val="clear" w:color="auto" w:fill="auto"/>
            <w:vAlign w:val="center"/>
          </w:tcPr>
          <w:p w14:paraId="3F5BB865">
            <w:pPr>
              <w:pStyle w:val="30"/>
              <w:rPr>
                <w:b w:val="0"/>
                <w:bCs w:val="0"/>
              </w:rPr>
            </w:pPr>
            <w:r>
              <w:rPr>
                <w:rFonts w:hint="eastAsia"/>
                <w:b w:val="0"/>
                <w:bCs w:val="0"/>
              </w:rPr>
              <w:t>焊工和切割工没有佩戴耐火的防护手套</w:t>
            </w:r>
          </w:p>
        </w:tc>
        <w:tc>
          <w:tcPr>
            <w:tcW w:w="1487" w:type="dxa"/>
            <w:shd w:val="clear" w:color="auto" w:fill="auto"/>
            <w:vAlign w:val="center"/>
          </w:tcPr>
          <w:p w14:paraId="1DC64CBB">
            <w:pPr>
              <w:pStyle w:val="30"/>
              <w:rPr>
                <w:b w:val="0"/>
                <w:bCs w:val="0"/>
              </w:rPr>
            </w:pPr>
            <w:r>
              <w:rPr>
                <w:rFonts w:hint="eastAsia"/>
                <w:b w:val="0"/>
                <w:bCs w:val="0"/>
              </w:rPr>
              <w:t>灼烫</w:t>
            </w:r>
          </w:p>
        </w:tc>
      </w:tr>
      <w:tr w14:paraId="4D83D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FC4BA41">
            <w:pPr>
              <w:pStyle w:val="30"/>
              <w:numPr>
                <w:ilvl w:val="0"/>
                <w:numId w:val="7"/>
              </w:numPr>
              <w:rPr>
                <w:b w:val="0"/>
                <w:bCs w:val="0"/>
              </w:rPr>
            </w:pPr>
          </w:p>
        </w:tc>
        <w:tc>
          <w:tcPr>
            <w:tcW w:w="1190" w:type="dxa"/>
            <w:vMerge w:val="continue"/>
            <w:shd w:val="clear" w:color="auto" w:fill="auto"/>
            <w:vAlign w:val="center"/>
          </w:tcPr>
          <w:p w14:paraId="210D4BEA">
            <w:pPr>
              <w:pStyle w:val="30"/>
              <w:rPr>
                <w:b w:val="0"/>
                <w:bCs w:val="0"/>
              </w:rPr>
            </w:pPr>
          </w:p>
        </w:tc>
        <w:tc>
          <w:tcPr>
            <w:tcW w:w="4961" w:type="dxa"/>
            <w:shd w:val="clear" w:color="auto" w:fill="auto"/>
            <w:vAlign w:val="center"/>
          </w:tcPr>
          <w:p w14:paraId="3B5531BA">
            <w:pPr>
              <w:pStyle w:val="30"/>
              <w:rPr>
                <w:b w:val="0"/>
                <w:bCs w:val="0"/>
              </w:rPr>
            </w:pPr>
            <w:r>
              <w:rPr>
                <w:rFonts w:hint="eastAsia"/>
                <w:b w:val="0"/>
                <w:bCs w:val="0"/>
              </w:rPr>
              <w:t>焊接时未使用带有滤光镜的头罩或手持面罩，</w:t>
            </w:r>
          </w:p>
          <w:p w14:paraId="7B5BABB0">
            <w:pPr>
              <w:pStyle w:val="30"/>
              <w:rPr>
                <w:b w:val="0"/>
                <w:bCs w:val="0"/>
              </w:rPr>
            </w:pPr>
            <w:r>
              <w:rPr>
                <w:rFonts w:hint="eastAsia"/>
                <w:b w:val="0"/>
                <w:bCs w:val="0"/>
              </w:rPr>
              <w:t>或佩戴安全镜、护目镜或其它合适的眼镜</w:t>
            </w:r>
          </w:p>
        </w:tc>
        <w:tc>
          <w:tcPr>
            <w:tcW w:w="1487" w:type="dxa"/>
            <w:shd w:val="clear" w:color="auto" w:fill="auto"/>
            <w:vAlign w:val="center"/>
          </w:tcPr>
          <w:p w14:paraId="76BD36E5">
            <w:pPr>
              <w:pStyle w:val="30"/>
              <w:rPr>
                <w:b w:val="0"/>
                <w:bCs w:val="0"/>
              </w:rPr>
            </w:pPr>
            <w:r>
              <w:rPr>
                <w:rFonts w:hint="eastAsia"/>
                <w:b w:val="0"/>
                <w:bCs w:val="0"/>
              </w:rPr>
              <w:t>灼烫</w:t>
            </w:r>
          </w:p>
        </w:tc>
      </w:tr>
      <w:tr w14:paraId="325F9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23B150">
            <w:pPr>
              <w:pStyle w:val="30"/>
              <w:numPr>
                <w:ilvl w:val="0"/>
                <w:numId w:val="7"/>
              </w:numPr>
              <w:rPr>
                <w:b w:val="0"/>
                <w:bCs w:val="0"/>
              </w:rPr>
            </w:pPr>
          </w:p>
        </w:tc>
        <w:tc>
          <w:tcPr>
            <w:tcW w:w="1190" w:type="dxa"/>
            <w:vMerge w:val="continue"/>
            <w:shd w:val="clear" w:color="auto" w:fill="auto"/>
            <w:vAlign w:val="center"/>
          </w:tcPr>
          <w:p w14:paraId="0ED63C73">
            <w:pPr>
              <w:pStyle w:val="30"/>
              <w:rPr>
                <w:b w:val="0"/>
                <w:bCs w:val="0"/>
              </w:rPr>
            </w:pPr>
          </w:p>
        </w:tc>
        <w:tc>
          <w:tcPr>
            <w:tcW w:w="4961" w:type="dxa"/>
            <w:shd w:val="clear" w:color="auto" w:fill="auto"/>
            <w:vAlign w:val="center"/>
          </w:tcPr>
          <w:p w14:paraId="399313CF">
            <w:pPr>
              <w:pStyle w:val="30"/>
              <w:rPr>
                <w:b w:val="0"/>
                <w:bCs w:val="0"/>
              </w:rPr>
            </w:pPr>
            <w:r>
              <w:rPr>
                <w:rFonts w:hint="eastAsia"/>
                <w:b w:val="0"/>
                <w:bCs w:val="0"/>
              </w:rPr>
              <w:t>电焊、气割作业环境通风条件不良</w:t>
            </w:r>
          </w:p>
        </w:tc>
        <w:tc>
          <w:tcPr>
            <w:tcW w:w="1487" w:type="dxa"/>
            <w:shd w:val="clear" w:color="auto" w:fill="auto"/>
            <w:vAlign w:val="center"/>
          </w:tcPr>
          <w:p w14:paraId="014AB224">
            <w:pPr>
              <w:pStyle w:val="30"/>
              <w:rPr>
                <w:b w:val="0"/>
                <w:bCs w:val="0"/>
              </w:rPr>
            </w:pPr>
            <w:r>
              <w:rPr>
                <w:rFonts w:hint="eastAsia"/>
                <w:b w:val="0"/>
                <w:bCs w:val="0"/>
              </w:rPr>
              <w:t>中毒、窒息</w:t>
            </w:r>
          </w:p>
        </w:tc>
      </w:tr>
      <w:tr w14:paraId="6630B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B58AD39">
            <w:pPr>
              <w:pStyle w:val="30"/>
              <w:numPr>
                <w:ilvl w:val="0"/>
                <w:numId w:val="7"/>
              </w:numPr>
              <w:rPr>
                <w:b w:val="0"/>
                <w:bCs w:val="0"/>
              </w:rPr>
            </w:pPr>
          </w:p>
        </w:tc>
        <w:tc>
          <w:tcPr>
            <w:tcW w:w="1190" w:type="dxa"/>
            <w:vMerge w:val="continue"/>
            <w:shd w:val="clear" w:color="auto" w:fill="auto"/>
            <w:vAlign w:val="center"/>
          </w:tcPr>
          <w:p w14:paraId="36614D2A">
            <w:pPr>
              <w:pStyle w:val="30"/>
              <w:rPr>
                <w:b w:val="0"/>
                <w:bCs w:val="0"/>
              </w:rPr>
            </w:pPr>
          </w:p>
        </w:tc>
        <w:tc>
          <w:tcPr>
            <w:tcW w:w="4961" w:type="dxa"/>
            <w:shd w:val="clear" w:color="auto" w:fill="auto"/>
            <w:vAlign w:val="center"/>
          </w:tcPr>
          <w:p w14:paraId="753F1083">
            <w:pPr>
              <w:pStyle w:val="30"/>
              <w:rPr>
                <w:b w:val="0"/>
                <w:bCs w:val="0"/>
              </w:rPr>
            </w:pPr>
            <w:r>
              <w:rPr>
                <w:rFonts w:hint="eastAsia"/>
                <w:b w:val="0"/>
                <w:bCs w:val="0"/>
              </w:rPr>
              <w:t>电焊、气割作业区域未设置警示标志，电焊、气割作业地点未配备灭火器</w:t>
            </w:r>
          </w:p>
        </w:tc>
        <w:tc>
          <w:tcPr>
            <w:tcW w:w="1487" w:type="dxa"/>
            <w:shd w:val="clear" w:color="auto" w:fill="auto"/>
            <w:vAlign w:val="center"/>
          </w:tcPr>
          <w:p w14:paraId="5B93D5F6">
            <w:pPr>
              <w:pStyle w:val="30"/>
              <w:rPr>
                <w:b w:val="0"/>
                <w:bCs w:val="0"/>
              </w:rPr>
            </w:pPr>
            <w:r>
              <w:rPr>
                <w:rFonts w:hint="eastAsia"/>
                <w:b w:val="0"/>
                <w:bCs w:val="0"/>
              </w:rPr>
              <w:t>火灾等</w:t>
            </w:r>
          </w:p>
        </w:tc>
      </w:tr>
    </w:tbl>
    <w:p w14:paraId="25F9E45D">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风险分析结论</w:t>
      </w:r>
    </w:p>
    <w:p w14:paraId="728BE23C">
      <w:pPr>
        <w:ind w:firstLine="480"/>
      </w:pPr>
      <w:r>
        <w:rPr>
          <w:rFonts w:hint="eastAsia"/>
        </w:rPr>
        <w:t>根据风险因素分析、识别表，显著危险的有</w:t>
      </w:r>
      <w:r>
        <w:rPr>
          <w:rFonts w:hint="eastAsia"/>
          <w:lang w:val="en-US" w:eastAsia="zh-CN"/>
        </w:rPr>
        <w:t>55</w:t>
      </w:r>
      <w:r>
        <w:rPr>
          <w:rFonts w:hint="eastAsia"/>
        </w:rPr>
        <w:t>项：包括高处坠落、起重伤害、物体打击、触电、机械伤害、火灾、坍塌和容器爆炸，需要制定针对性安全措施，具体措施详见</w:t>
      </w:r>
      <w:r>
        <w:rPr>
          <w:rFonts w:hint="eastAsia"/>
          <w:lang w:val="en-US" w:eastAsia="zh-CN"/>
        </w:rPr>
        <w:t>5</w:t>
      </w:r>
      <w:r>
        <w:t>.</w:t>
      </w:r>
      <w:r>
        <w:rPr>
          <w:rFonts w:hint="eastAsia"/>
          <w:lang w:val="en-US" w:eastAsia="zh-CN"/>
        </w:rPr>
        <w:t>2</w:t>
      </w:r>
      <w:r>
        <w:rPr>
          <w:rFonts w:hint="eastAsia"/>
        </w:rPr>
        <w:t>节。</w:t>
      </w:r>
    </w:p>
    <w:p w14:paraId="50ADAF85">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37" w:name="_Toc25031"/>
      <w:bookmarkStart w:id="38" w:name="_Toc3875"/>
      <w:r>
        <w:rPr>
          <w:rFonts w:hint="eastAsia" w:ascii="宋体" w:hAnsi="宋体" w:cs="宋体"/>
          <w:sz w:val="28"/>
          <w:szCs w:val="28"/>
          <w:lang w:val="en-US" w:eastAsia="zh-CN"/>
        </w:rPr>
        <w:t>参建</w:t>
      </w:r>
      <w:r>
        <w:rPr>
          <w:rFonts w:hint="eastAsia" w:ascii="宋体" w:hAnsi="宋体" w:eastAsia="宋体" w:cs="宋体"/>
          <w:sz w:val="28"/>
          <w:szCs w:val="28"/>
          <w:lang w:val="en-US" w:eastAsia="zh-CN"/>
        </w:rPr>
        <w:t>各方责任主体</w:t>
      </w:r>
      <w:bookmarkEnd w:id="37"/>
      <w:bookmarkEnd w:id="38"/>
    </w:p>
    <w:tbl>
      <w:tblPr>
        <w:tblStyle w:val="26"/>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21"/>
        <w:gridCol w:w="6778"/>
      </w:tblGrid>
      <w:tr w14:paraId="3BD4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21" w:type="dxa"/>
            <w:shd w:val="clear" w:color="auto" w:fill="auto"/>
            <w:noWrap w:val="0"/>
            <w:vAlign w:val="center"/>
          </w:tcPr>
          <w:p w14:paraId="0D791CAB">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i w:val="0"/>
                <w:iCs w:val="0"/>
                <w:sz w:val="21"/>
                <w:szCs w:val="21"/>
              </w:rPr>
              <w:t>建设单位</w:t>
            </w:r>
          </w:p>
        </w:tc>
        <w:tc>
          <w:tcPr>
            <w:tcW w:w="6778" w:type="dxa"/>
            <w:shd w:val="clear" w:color="auto" w:fill="auto"/>
            <w:noWrap w:val="0"/>
            <w:vAlign w:val="center"/>
          </w:tcPr>
          <w:p w14:paraId="64271943">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宋体" w:hAnsi="宋体" w:eastAsia="宋体" w:cs="宋体"/>
                <w:kern w:val="22"/>
                <w:sz w:val="21"/>
                <w:szCs w:val="21"/>
                <w:lang w:val="en-US" w:eastAsia="zh-CN" w:bidi="ar-SA"/>
              </w:rPr>
            </w:pPr>
            <w:r>
              <w:rPr>
                <w:rFonts w:hint="eastAsia" w:ascii="宋体" w:hAnsi="宋体" w:cs="宋体"/>
                <w:i w:val="0"/>
                <w:iCs w:val="0"/>
                <w:sz w:val="21"/>
                <w:szCs w:val="21"/>
              </w:rPr>
              <w:t>成都中宜蓉彭置业有限公司</w:t>
            </w:r>
          </w:p>
        </w:tc>
      </w:tr>
      <w:tr w14:paraId="563A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2121" w:type="dxa"/>
            <w:shd w:val="clear" w:color="auto" w:fill="auto"/>
            <w:noWrap w:val="0"/>
            <w:vAlign w:val="center"/>
          </w:tcPr>
          <w:p w14:paraId="3D10612A">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宋体" w:hAnsi="宋体" w:cs="宋体"/>
                <w:i w:val="0"/>
                <w:iCs w:val="0"/>
                <w:sz w:val="21"/>
                <w:szCs w:val="21"/>
              </w:rPr>
              <w:t>勘察单位</w:t>
            </w:r>
          </w:p>
        </w:tc>
        <w:tc>
          <w:tcPr>
            <w:tcW w:w="6778" w:type="dxa"/>
            <w:shd w:val="clear" w:color="auto" w:fill="auto"/>
            <w:noWrap w:val="0"/>
            <w:vAlign w:val="center"/>
          </w:tcPr>
          <w:p w14:paraId="08717F0D">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Times New Roman" w:hAnsi="Times New Roman" w:eastAsia="仿宋" w:cs="Times New Roman"/>
                <w:kern w:val="2"/>
                <w:sz w:val="21"/>
                <w:szCs w:val="21"/>
                <w:lang w:val="en-US" w:eastAsia="zh-CN" w:bidi="ar-SA"/>
              </w:rPr>
            </w:pPr>
            <w:r>
              <w:rPr>
                <w:rFonts w:hint="eastAsia" w:ascii="宋体" w:hAnsi="宋体" w:cs="宋体"/>
                <w:i w:val="0"/>
                <w:iCs w:val="0"/>
                <w:sz w:val="21"/>
                <w:szCs w:val="21"/>
              </w:rPr>
              <w:t>四川省川建勘察设计院有限公司</w:t>
            </w:r>
          </w:p>
        </w:tc>
      </w:tr>
      <w:tr w14:paraId="301C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2121" w:type="dxa"/>
            <w:shd w:val="clear" w:color="auto" w:fill="auto"/>
            <w:noWrap w:val="0"/>
            <w:vAlign w:val="center"/>
          </w:tcPr>
          <w:p w14:paraId="61D81DBA">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宋体" w:hAnsi="宋体" w:cs="宋体"/>
                <w:i w:val="0"/>
                <w:iCs w:val="0"/>
                <w:sz w:val="21"/>
                <w:szCs w:val="21"/>
              </w:rPr>
              <w:t>支护设计单位</w:t>
            </w:r>
          </w:p>
        </w:tc>
        <w:tc>
          <w:tcPr>
            <w:tcW w:w="6778" w:type="dxa"/>
            <w:shd w:val="clear" w:color="auto" w:fill="auto"/>
            <w:noWrap w:val="0"/>
            <w:vAlign w:val="center"/>
          </w:tcPr>
          <w:p w14:paraId="0AA12963">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Times New Roman" w:hAnsi="Times New Roman" w:eastAsia="仿宋" w:cs="Times New Roman"/>
                <w:kern w:val="2"/>
                <w:sz w:val="21"/>
                <w:szCs w:val="21"/>
                <w:lang w:val="en-US" w:eastAsia="zh-CN" w:bidi="ar-SA"/>
              </w:rPr>
            </w:pPr>
            <w:r>
              <w:rPr>
                <w:rFonts w:hint="eastAsia" w:ascii="宋体" w:hAnsi="宋体" w:cs="宋体"/>
                <w:i w:val="0"/>
                <w:iCs w:val="0"/>
                <w:sz w:val="21"/>
                <w:szCs w:val="21"/>
              </w:rPr>
              <w:t>四川省川建勘察设计院有限公司</w:t>
            </w:r>
          </w:p>
        </w:tc>
      </w:tr>
      <w:tr w14:paraId="435C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21" w:type="dxa"/>
            <w:shd w:val="clear" w:color="auto" w:fill="auto"/>
            <w:noWrap w:val="0"/>
            <w:vAlign w:val="center"/>
          </w:tcPr>
          <w:p w14:paraId="31D3FBCA">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宋体" w:hAnsi="宋体" w:cs="宋体"/>
                <w:i w:val="0"/>
                <w:iCs w:val="0"/>
                <w:sz w:val="21"/>
                <w:szCs w:val="21"/>
              </w:rPr>
              <w:t>主体设计单位</w:t>
            </w:r>
          </w:p>
        </w:tc>
        <w:tc>
          <w:tcPr>
            <w:tcW w:w="6778" w:type="dxa"/>
            <w:shd w:val="clear" w:color="auto" w:fill="auto"/>
            <w:noWrap w:val="0"/>
            <w:vAlign w:val="center"/>
          </w:tcPr>
          <w:p w14:paraId="5165BA86">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rPr>
              <w:t>四川中泰联合设计股份有限公司</w:t>
            </w:r>
          </w:p>
        </w:tc>
      </w:tr>
      <w:tr w14:paraId="075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2121" w:type="dxa"/>
            <w:shd w:val="clear" w:color="auto" w:fill="auto"/>
            <w:noWrap w:val="0"/>
            <w:vAlign w:val="center"/>
          </w:tcPr>
          <w:p w14:paraId="19F52EA9">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宋体" w:hAnsi="宋体" w:cs="宋体"/>
                <w:i w:val="0"/>
                <w:iCs w:val="0"/>
                <w:sz w:val="21"/>
                <w:szCs w:val="21"/>
              </w:rPr>
              <w:t>监理单位</w:t>
            </w:r>
          </w:p>
        </w:tc>
        <w:tc>
          <w:tcPr>
            <w:tcW w:w="6778" w:type="dxa"/>
            <w:shd w:val="clear" w:color="auto" w:fill="auto"/>
            <w:noWrap w:val="0"/>
            <w:vAlign w:val="center"/>
          </w:tcPr>
          <w:p w14:paraId="1A368EE3">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rPr>
              <w:t>四川省城市建设工程咨询集团有限公司</w:t>
            </w:r>
          </w:p>
        </w:tc>
      </w:tr>
      <w:tr w14:paraId="37EF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7" w:hRule="atLeast"/>
          <w:jc w:val="center"/>
        </w:trPr>
        <w:tc>
          <w:tcPr>
            <w:tcW w:w="2121" w:type="dxa"/>
            <w:shd w:val="clear" w:color="auto" w:fill="auto"/>
            <w:noWrap w:val="0"/>
            <w:vAlign w:val="center"/>
          </w:tcPr>
          <w:p w14:paraId="12F46D45">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宋体" w:hAnsi="宋体" w:cs="宋体"/>
                <w:i w:val="0"/>
                <w:iCs w:val="0"/>
                <w:sz w:val="21"/>
                <w:szCs w:val="21"/>
              </w:rPr>
              <w:t>施工单位</w:t>
            </w:r>
          </w:p>
        </w:tc>
        <w:tc>
          <w:tcPr>
            <w:tcW w:w="6778" w:type="dxa"/>
            <w:shd w:val="clear" w:color="auto" w:fill="auto"/>
            <w:noWrap w:val="0"/>
            <w:vAlign w:val="center"/>
          </w:tcPr>
          <w:p w14:paraId="1A07A51F">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rPr>
              <w:t>中交第二航务工程局有限公司</w:t>
            </w:r>
          </w:p>
        </w:tc>
      </w:tr>
      <w:tr w14:paraId="0B9F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21" w:type="dxa"/>
            <w:shd w:val="clear" w:color="auto" w:fill="auto"/>
            <w:noWrap w:val="0"/>
            <w:vAlign w:val="center"/>
          </w:tcPr>
          <w:p w14:paraId="033D29EB">
            <w:pPr>
              <w:pStyle w:val="70"/>
              <w:keepNext w:val="0"/>
              <w:keepLines w:val="0"/>
              <w:pageBreakBefore w:val="0"/>
              <w:widowControl w:val="0"/>
              <w:kinsoku/>
              <w:wordWrap/>
              <w:overflowPunct/>
              <w:topLinePunct w:val="0"/>
              <w:autoSpaceDE/>
              <w:autoSpaceDN/>
              <w:bidi w:val="0"/>
              <w:adjustRightInd/>
              <w:snapToGrid/>
              <w:spacing w:before="0" w:beforeLines="0" w:after="0" w:afterLines="0"/>
              <w:ind w:left="0" w:leftChars="0" w:right="0" w:rightChars="0" w:firstLine="0" w:firstLineChars="0"/>
              <w:jc w:val="center"/>
              <w:textAlignment w:val="auto"/>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施工升降机拆除</w:t>
            </w:r>
            <w:r>
              <w:rPr>
                <w:rFonts w:hint="eastAsia" w:ascii="宋体" w:hAnsi="宋体" w:eastAsia="宋体" w:cs="宋体"/>
                <w:i w:val="0"/>
                <w:iCs w:val="0"/>
                <w:sz w:val="21"/>
                <w:szCs w:val="21"/>
              </w:rPr>
              <w:t>单位</w:t>
            </w:r>
          </w:p>
        </w:tc>
        <w:tc>
          <w:tcPr>
            <w:tcW w:w="6778" w:type="dxa"/>
            <w:shd w:val="clear" w:color="auto" w:fill="auto"/>
            <w:noWrap w:val="0"/>
            <w:vAlign w:val="center"/>
          </w:tcPr>
          <w:p w14:paraId="309497EF">
            <w:pPr>
              <w:pStyle w:val="70"/>
              <w:keepNext w:val="0"/>
              <w:keepLines w:val="0"/>
              <w:pageBreakBefore w:val="0"/>
              <w:widowControl w:val="0"/>
              <w:kinsoku/>
              <w:wordWrap/>
              <w:overflowPunct/>
              <w:topLinePunct w:val="0"/>
              <w:autoSpaceDE/>
              <w:autoSpaceDN/>
              <w:bidi w:val="0"/>
              <w:adjustRightInd/>
              <w:snapToGrid/>
              <w:spacing w:before="0" w:beforeLines="0" w:after="0" w:afterLines="0"/>
              <w:ind w:right="0" w:rightChars="0"/>
              <w:jc w:val="both"/>
              <w:textAlignment w:val="auto"/>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REF 安拆单位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四川科斗文智能装备有限公司</w:t>
            </w:r>
            <w:r>
              <w:rPr>
                <w:rFonts w:hint="eastAsia" w:ascii="宋体" w:hAnsi="宋体" w:eastAsia="宋体" w:cs="宋体"/>
                <w:i w:val="0"/>
                <w:iCs w:val="0"/>
                <w:sz w:val="21"/>
                <w:szCs w:val="21"/>
              </w:rPr>
              <w:fldChar w:fldCharType="end"/>
            </w:r>
          </w:p>
        </w:tc>
      </w:tr>
    </w:tbl>
    <w:p w14:paraId="6C857B55">
      <w:pPr>
        <w:pStyle w:val="6"/>
        <w:spacing w:before="156" w:after="156"/>
        <w:rPr>
          <w:color w:val="auto"/>
        </w:rPr>
      </w:pPr>
      <w:bookmarkStart w:id="39" w:name="_Toc26437"/>
      <w:bookmarkStart w:id="40" w:name="_Toc40778426"/>
      <w:bookmarkStart w:id="41" w:name="_Toc10938"/>
      <w:bookmarkStart w:id="42" w:name="_Toc2896"/>
      <w:bookmarkStart w:id="43" w:name="_Toc27935"/>
      <w:r>
        <w:rPr>
          <w:rFonts w:hint="eastAsia"/>
          <w:color w:val="auto"/>
        </w:rPr>
        <w:t>编制</w:t>
      </w:r>
      <w:bookmarkEnd w:id="39"/>
      <w:bookmarkEnd w:id="40"/>
      <w:r>
        <w:rPr>
          <w:rFonts w:hint="eastAsia"/>
          <w:color w:val="auto"/>
        </w:rPr>
        <w:t>说明、依据及适用范围</w:t>
      </w:r>
      <w:bookmarkEnd w:id="41"/>
      <w:bookmarkEnd w:id="42"/>
    </w:p>
    <w:p w14:paraId="778C7B09">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44" w:name="_Toc2002"/>
      <w:bookmarkStart w:id="45" w:name="_Toc21803"/>
      <w:bookmarkStart w:id="46" w:name="_Toc15521"/>
      <w:bookmarkStart w:id="47" w:name="_Toc40778430"/>
      <w:bookmarkStart w:id="48" w:name="_Toc9657"/>
      <w:bookmarkStart w:id="49" w:name="_Toc11640"/>
      <w:r>
        <w:rPr>
          <w:rFonts w:hint="eastAsia"/>
          <w:color w:val="auto"/>
        </w:rPr>
        <w:t>编制</w:t>
      </w:r>
      <w:bookmarkEnd w:id="44"/>
      <w:bookmarkEnd w:id="45"/>
      <w:bookmarkEnd w:id="46"/>
      <w:bookmarkEnd w:id="47"/>
      <w:r>
        <w:rPr>
          <w:rFonts w:hint="eastAsia"/>
          <w:color w:val="auto"/>
        </w:rPr>
        <w:t>说明</w:t>
      </w:r>
      <w:bookmarkEnd w:id="48"/>
      <w:bookmarkEnd w:id="49"/>
    </w:p>
    <w:p w14:paraId="799D88DA">
      <w:pPr>
        <w:pStyle w:val="48"/>
        <w:ind w:firstLine="480"/>
        <w:rPr>
          <w:rFonts w:hint="eastAsia" w:ascii="Times New Roman" w:hAnsi="Times New Roman" w:cs="Times New Roman"/>
          <w:color w:val="auto"/>
          <w:kern w:val="2"/>
        </w:rPr>
      </w:pPr>
      <w:bookmarkStart w:id="50" w:name="_Toc20553"/>
      <w:bookmarkStart w:id="51" w:name="_Toc40778428"/>
      <w:bookmarkStart w:id="52" w:name="_Hlk109141016"/>
      <w:bookmarkStart w:id="53" w:name="_Toc18637"/>
      <w:bookmarkStart w:id="54" w:name="_Toc10843"/>
      <w:bookmarkStart w:id="55" w:name="_Toc31747"/>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w:t>
      </w:r>
      <w:r>
        <w:rPr>
          <w:rFonts w:hint="eastAsia" w:ascii="Times New Roman" w:hAnsi="Times New Roman" w:cs="Times New Roman"/>
          <w:color w:val="auto"/>
          <w:kern w:val="2"/>
        </w:rPr>
        <w:t>目</w:t>
      </w:r>
      <w:r>
        <w:rPr>
          <w:rFonts w:hint="eastAsia" w:ascii="Times New Roman" w:hAnsi="Times New Roman" w:cs="Times New Roman"/>
          <w:color w:val="auto"/>
          <w:kern w:val="2"/>
          <w:lang w:val="en-US" w:eastAsia="zh-CN"/>
        </w:rPr>
        <w:t>1台</w:t>
      </w:r>
      <w:r>
        <w:rPr>
          <w:rFonts w:hint="eastAsia" w:ascii="Times New Roman" w:hAnsi="Times New Roman" w:cs="Times New Roman"/>
          <w:color w:val="auto"/>
          <w:kern w:val="2"/>
        </w:rPr>
        <w:t>SC200</w:t>
      </w:r>
      <w:r>
        <w:rPr>
          <w:rFonts w:hint="eastAsia" w:ascii="Times New Roman" w:hAnsi="Times New Roman" w:cs="Times New Roman"/>
          <w:color w:val="auto"/>
          <w:kern w:val="2"/>
          <w:lang w:eastAsia="zh-CN"/>
        </w:rPr>
        <w:t>施工升降机拆除</w:t>
      </w:r>
      <w:r>
        <w:rPr>
          <w:rFonts w:hint="eastAsia" w:ascii="Times New Roman" w:hAnsi="Times New Roman" w:cs="Times New Roman"/>
          <w:color w:val="auto"/>
          <w:kern w:val="2"/>
        </w:rPr>
        <w:t>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专项方案。</w:t>
      </w:r>
      <w:bookmarkEnd w:id="50"/>
    </w:p>
    <w:bookmarkEnd w:id="51"/>
    <w:bookmarkEnd w:id="52"/>
    <w:bookmarkEnd w:id="53"/>
    <w:bookmarkEnd w:id="54"/>
    <w:bookmarkEnd w:id="55"/>
    <w:p w14:paraId="3EC1F1AF">
      <w:pPr>
        <w:pStyle w:val="7"/>
        <w:keepNext/>
        <w:keepLines/>
        <w:pageBreakBefore w:val="0"/>
        <w:widowControl w:val="0"/>
        <w:kinsoku/>
        <w:wordWrap/>
        <w:overflowPunct/>
        <w:topLinePunct w:val="0"/>
        <w:autoSpaceDE/>
        <w:autoSpaceDN/>
        <w:bidi w:val="0"/>
        <w:adjustRightInd/>
        <w:snapToGrid/>
        <w:ind w:left="0"/>
        <w:textAlignment w:val="auto"/>
        <w:outlineLvl w:val="1"/>
        <w:rPr>
          <w:rFonts w:hint="default" w:eastAsia="宋体"/>
          <w:color w:val="auto"/>
          <w:lang w:val="en-US" w:eastAsia="zh-CN"/>
        </w:rPr>
      </w:pPr>
      <w:bookmarkStart w:id="56" w:name="_Toc17122"/>
      <w:bookmarkStart w:id="57" w:name="_Toc1215"/>
      <w:r>
        <w:rPr>
          <w:rFonts w:hint="eastAsia"/>
          <w:color w:val="auto"/>
          <w:lang w:val="en-US" w:eastAsia="zh-CN"/>
        </w:rPr>
        <w:t>编制依据</w:t>
      </w:r>
      <w:bookmarkEnd w:id="56"/>
    </w:p>
    <w:p w14:paraId="2EE1C460">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rPr>
      </w:pPr>
      <w:bookmarkStart w:id="58" w:name="_Hlk42526096"/>
      <w:bookmarkStart w:id="59" w:name="_Toc6806"/>
      <w:r>
        <w:rPr>
          <w:rFonts w:hint="eastAsia"/>
          <w:b/>
          <w:bCs/>
          <w:sz w:val="24"/>
          <w:szCs w:val="24"/>
        </w:rPr>
        <w:t>主要法律法规</w:t>
      </w:r>
    </w:p>
    <w:p w14:paraId="5D6ED5EA">
      <w:pPr>
        <w:pStyle w:val="48"/>
        <w:numPr>
          <w:ilvl w:val="0"/>
          <w:numId w:val="8"/>
        </w:numPr>
        <w:ind w:firstLineChars="0"/>
        <w:rPr>
          <w:rFonts w:hint="eastAsia" w:ascii="宋体" w:hAnsi="宋体" w:eastAsia="宋体" w:cs="宋体"/>
          <w:color w:val="auto"/>
        </w:rPr>
      </w:pPr>
      <w:r>
        <w:rPr>
          <w:rFonts w:hint="eastAsia"/>
          <w:color w:val="auto"/>
        </w:rPr>
        <w:t>《中</w:t>
      </w:r>
      <w:r>
        <w:rPr>
          <w:rFonts w:hint="eastAsia" w:ascii="宋体" w:hAnsi="宋体" w:eastAsia="宋体" w:cs="宋体"/>
          <w:color w:val="auto"/>
        </w:rPr>
        <w:t>华人民共和国特种设备安全法》（主席令第4号）</w:t>
      </w:r>
    </w:p>
    <w:p w14:paraId="1282EBCC">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《中华人民共和国环境保护法》（主席令第9号）</w:t>
      </w:r>
    </w:p>
    <w:p w14:paraId="794FB150">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《中华人民共和国建筑法》（主席令第29号）</w:t>
      </w:r>
    </w:p>
    <w:p w14:paraId="2B8A082F">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《中华人民共和国突发事件应对法》（主席令第</w:t>
      </w:r>
      <w:r>
        <w:rPr>
          <w:rFonts w:hint="eastAsia" w:ascii="宋体" w:hAnsi="宋体" w:eastAsia="宋体" w:cs="宋体"/>
          <w:color w:val="auto"/>
          <w:lang w:val="en-US" w:eastAsia="zh-CN"/>
        </w:rPr>
        <w:t>6</w:t>
      </w:r>
      <w:r>
        <w:rPr>
          <w:rFonts w:hint="eastAsia" w:ascii="宋体" w:hAnsi="宋体" w:eastAsia="宋体" w:cs="宋体"/>
          <w:color w:val="auto"/>
        </w:rPr>
        <w:t>9号）</w:t>
      </w:r>
    </w:p>
    <w:p w14:paraId="62A19FDE">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《中华人民共和国安全生产法》（主席令第88号）</w:t>
      </w:r>
    </w:p>
    <w:p w14:paraId="3955D739">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《建设工程质量管理条例》（国务院第</w:t>
      </w:r>
      <w:r>
        <w:rPr>
          <w:rFonts w:hint="eastAsia" w:ascii="宋体" w:hAnsi="宋体" w:eastAsia="宋体" w:cs="宋体"/>
          <w:color w:val="auto"/>
          <w:lang w:val="en-US" w:eastAsia="zh-CN"/>
        </w:rPr>
        <w:t>279</w:t>
      </w:r>
      <w:r>
        <w:rPr>
          <w:rFonts w:hint="eastAsia" w:ascii="宋体" w:hAnsi="宋体" w:eastAsia="宋体" w:cs="宋体"/>
          <w:color w:val="auto"/>
        </w:rPr>
        <w:t>号令）</w:t>
      </w:r>
    </w:p>
    <w:p w14:paraId="6A7B3018">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《建设工程安全生产管理条例》（国务院第393号令）</w:t>
      </w:r>
    </w:p>
    <w:p w14:paraId="4965E124">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《安全生产许可证条例（2014年修订）》（国务院第39</w:t>
      </w:r>
      <w:r>
        <w:rPr>
          <w:rFonts w:hint="eastAsia" w:ascii="宋体" w:hAnsi="宋体" w:eastAsia="宋体" w:cs="宋体"/>
          <w:color w:val="auto"/>
          <w:lang w:val="en-US" w:eastAsia="zh-CN"/>
        </w:rPr>
        <w:t>7</w:t>
      </w:r>
      <w:r>
        <w:rPr>
          <w:rFonts w:hint="eastAsia" w:ascii="宋体" w:hAnsi="宋体" w:eastAsia="宋体" w:cs="宋体"/>
          <w:color w:val="auto"/>
        </w:rPr>
        <w:t>号令）</w:t>
      </w:r>
    </w:p>
    <w:p w14:paraId="0B2639D2">
      <w:pPr>
        <w:pStyle w:val="48"/>
        <w:numPr>
          <w:ilvl w:val="0"/>
          <w:numId w:val="8"/>
        </w:numPr>
        <w:ind w:firstLineChars="0"/>
        <w:rPr>
          <w:rFonts w:hint="eastAsia" w:ascii="宋体" w:hAnsi="宋体" w:eastAsia="宋体" w:cs="宋体"/>
          <w:color w:val="auto"/>
        </w:rPr>
      </w:pPr>
      <w:r>
        <w:rPr>
          <w:rFonts w:hint="eastAsia" w:ascii="宋体" w:hAnsi="宋体" w:eastAsia="宋体" w:cs="宋体"/>
          <w:color w:val="auto"/>
        </w:rPr>
        <w:t>《建筑起重机械安全监督管理规定》（建设部第166号令）</w:t>
      </w:r>
    </w:p>
    <w:p w14:paraId="70A4A254">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rPr>
      </w:pPr>
      <w:r>
        <w:rPr>
          <w:rFonts w:hint="eastAsia"/>
          <w:b/>
          <w:bCs/>
          <w:sz w:val="24"/>
          <w:szCs w:val="24"/>
        </w:rPr>
        <w:t>主要规范、规程</w:t>
      </w:r>
    </w:p>
    <w:p w14:paraId="6DA0FB81">
      <w:pPr>
        <w:pStyle w:val="48"/>
        <w:numPr>
          <w:ilvl w:val="0"/>
          <w:numId w:val="9"/>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0877CA37">
      <w:pPr>
        <w:pStyle w:val="48"/>
        <w:numPr>
          <w:ilvl w:val="0"/>
          <w:numId w:val="9"/>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0DDB6FEE">
      <w:pPr>
        <w:pStyle w:val="48"/>
        <w:numPr>
          <w:ilvl w:val="0"/>
          <w:numId w:val="9"/>
        </w:numPr>
        <w:ind w:firstLineChars="0"/>
        <w:rPr>
          <w:rFonts w:hint="eastAsia"/>
          <w:color w:val="auto"/>
        </w:rPr>
      </w:pPr>
      <w:r>
        <w:rPr>
          <w:rFonts w:hint="eastAsia"/>
          <w:color w:val="auto"/>
        </w:rPr>
        <w:t>《建筑施工高处作业安全技术规范》（JGJ80-2016）</w:t>
      </w:r>
    </w:p>
    <w:p w14:paraId="2B6CB934">
      <w:pPr>
        <w:pStyle w:val="48"/>
        <w:numPr>
          <w:ilvl w:val="0"/>
          <w:numId w:val="9"/>
        </w:numPr>
        <w:ind w:firstLineChars="0"/>
        <w:rPr>
          <w:rFonts w:hint="eastAsia"/>
          <w:color w:val="auto"/>
        </w:rPr>
      </w:pPr>
      <w:r>
        <w:rPr>
          <w:rFonts w:hint="eastAsia"/>
          <w:color w:val="auto"/>
        </w:rPr>
        <w:t>《建筑机械使用安全技术规程》（JGJ33-2012）</w:t>
      </w:r>
      <w:bookmarkStart w:id="60" w:name="_Toc233787438"/>
    </w:p>
    <w:p w14:paraId="77D9024C">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《建筑与市政工程施工现场临时用电安全技术标准》（JGJ46-20</w:t>
      </w:r>
      <w:r>
        <w:rPr>
          <w:rFonts w:hint="eastAsia" w:cs="宋体"/>
          <w:color w:val="auto"/>
          <w:lang w:val="en-US" w:eastAsia="zh-CN"/>
        </w:rPr>
        <w:t>24</w:t>
      </w:r>
      <w:r>
        <w:rPr>
          <w:rFonts w:hint="eastAsia" w:ascii="宋体" w:hAnsi="宋体" w:eastAsia="宋体" w:cs="宋体"/>
          <w:color w:val="auto"/>
        </w:rPr>
        <w:t>）</w:t>
      </w:r>
      <w:bookmarkEnd w:id="60"/>
    </w:p>
    <w:p w14:paraId="465138E4">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《吊笼有垂直导向的人货两用施工升降机》</w:t>
      </w:r>
      <w:r>
        <w:rPr>
          <w:rFonts w:hint="eastAsia" w:ascii="宋体" w:hAnsi="宋体" w:eastAsia="宋体" w:cs="宋体"/>
          <w:color w:val="auto"/>
          <w:lang w:eastAsia="zh-CN"/>
        </w:rPr>
        <w:t>（</w:t>
      </w:r>
      <w:r>
        <w:rPr>
          <w:rFonts w:hint="eastAsia" w:ascii="宋体" w:hAnsi="宋体" w:eastAsia="宋体" w:cs="宋体"/>
          <w:color w:val="auto"/>
        </w:rPr>
        <w:t>GB/T 26557-2021</w:t>
      </w:r>
      <w:r>
        <w:rPr>
          <w:rFonts w:hint="eastAsia" w:ascii="宋体" w:hAnsi="宋体" w:eastAsia="宋体" w:cs="宋体"/>
          <w:color w:val="auto"/>
          <w:lang w:eastAsia="zh-CN"/>
        </w:rPr>
        <w:t>）</w:t>
      </w:r>
    </w:p>
    <w:p w14:paraId="59A9AFAB">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《建筑施工升降设备设施检验标准》</w:t>
      </w:r>
      <w:r>
        <w:rPr>
          <w:rFonts w:hint="eastAsia" w:ascii="宋体" w:hAnsi="宋体" w:eastAsia="宋体" w:cs="宋体"/>
          <w:color w:val="auto"/>
          <w:lang w:eastAsia="zh-CN"/>
        </w:rPr>
        <w:t>（</w:t>
      </w:r>
      <w:r>
        <w:rPr>
          <w:rFonts w:hint="eastAsia" w:ascii="宋体" w:hAnsi="宋体" w:eastAsia="宋体" w:cs="宋体"/>
          <w:color w:val="auto"/>
        </w:rPr>
        <w:t>JGJ305－2013</w:t>
      </w:r>
      <w:r>
        <w:rPr>
          <w:rFonts w:hint="eastAsia" w:ascii="宋体" w:hAnsi="宋体" w:eastAsia="宋体" w:cs="宋体"/>
          <w:color w:val="auto"/>
          <w:lang w:eastAsia="zh-CN"/>
        </w:rPr>
        <w:t>）</w:t>
      </w:r>
    </w:p>
    <w:p w14:paraId="74EE232A">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《建筑</w:t>
      </w:r>
      <w:r>
        <w:rPr>
          <w:rFonts w:hint="eastAsia" w:cs="宋体"/>
          <w:color w:val="auto"/>
          <w:lang w:eastAsia="zh-CN"/>
        </w:rPr>
        <w:t>施工升降机</w:t>
      </w:r>
      <w:r>
        <w:rPr>
          <w:rFonts w:hint="eastAsia" w:cs="宋体"/>
          <w:color w:val="auto"/>
          <w:lang w:val="en-US" w:eastAsia="zh-CN"/>
        </w:rPr>
        <w:t>安装</w:t>
      </w:r>
      <w:r>
        <w:rPr>
          <w:rFonts w:hint="eastAsia" w:ascii="宋体" w:hAnsi="宋体" w:eastAsia="宋体" w:cs="宋体"/>
          <w:color w:val="auto"/>
        </w:rPr>
        <w:t>、使用、</w:t>
      </w:r>
      <w:r>
        <w:rPr>
          <w:rFonts w:hint="eastAsia" w:ascii="宋体" w:hAnsi="宋体" w:eastAsia="宋体" w:cs="宋体"/>
          <w:color w:val="auto"/>
          <w:lang w:eastAsia="zh-CN"/>
        </w:rPr>
        <w:t>拆除</w:t>
      </w:r>
      <w:r>
        <w:rPr>
          <w:rFonts w:hint="eastAsia" w:ascii="宋体" w:hAnsi="宋体" w:eastAsia="宋体" w:cs="宋体"/>
          <w:color w:val="auto"/>
        </w:rPr>
        <w:t>安全技术规程》</w:t>
      </w:r>
      <w:r>
        <w:rPr>
          <w:rFonts w:hint="eastAsia" w:ascii="宋体" w:hAnsi="宋体" w:eastAsia="宋体" w:cs="宋体"/>
          <w:color w:val="auto"/>
          <w:lang w:eastAsia="zh-CN"/>
        </w:rPr>
        <w:t>（</w:t>
      </w:r>
      <w:r>
        <w:rPr>
          <w:rFonts w:hint="eastAsia" w:ascii="宋体" w:hAnsi="宋体" w:eastAsia="宋体" w:cs="宋体"/>
          <w:color w:val="auto"/>
        </w:rPr>
        <w:t>JGJ215－2010</w:t>
      </w:r>
      <w:r>
        <w:rPr>
          <w:rFonts w:hint="eastAsia" w:ascii="宋体" w:hAnsi="宋体" w:eastAsia="宋体" w:cs="宋体"/>
          <w:color w:val="auto"/>
          <w:lang w:eastAsia="zh-CN"/>
        </w:rPr>
        <w:t>）</w:t>
      </w:r>
    </w:p>
    <w:p w14:paraId="22F01D79">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《建筑施工高处作业安全技术规范》</w:t>
      </w:r>
      <w:r>
        <w:rPr>
          <w:rFonts w:hint="eastAsia" w:ascii="宋体" w:hAnsi="宋体" w:eastAsia="宋体" w:cs="宋体"/>
          <w:color w:val="auto"/>
          <w:lang w:eastAsia="zh-CN"/>
        </w:rPr>
        <w:t>（</w:t>
      </w:r>
      <w:r>
        <w:rPr>
          <w:rFonts w:hint="eastAsia" w:ascii="宋体" w:hAnsi="宋体" w:eastAsia="宋体" w:cs="宋体"/>
          <w:color w:val="auto"/>
        </w:rPr>
        <w:t>JGJ 80-2016</w:t>
      </w:r>
      <w:r>
        <w:rPr>
          <w:rFonts w:hint="eastAsia" w:ascii="宋体" w:hAnsi="宋体" w:eastAsia="宋体" w:cs="宋体"/>
          <w:color w:val="auto"/>
          <w:lang w:eastAsia="zh-CN"/>
        </w:rPr>
        <w:t>）</w:t>
      </w:r>
    </w:p>
    <w:p w14:paraId="78D8599B">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《施工升降机》（GB/T 10054-2005）</w:t>
      </w:r>
    </w:p>
    <w:p w14:paraId="3EFB3E12">
      <w:pPr>
        <w:pStyle w:val="48"/>
        <w:numPr>
          <w:ilvl w:val="0"/>
          <w:numId w:val="9"/>
        </w:numPr>
        <w:ind w:firstLineChars="0"/>
        <w:rPr>
          <w:rFonts w:hint="eastAsia" w:ascii="宋体" w:hAnsi="宋体" w:eastAsia="宋体" w:cs="宋体"/>
          <w:color w:val="auto"/>
        </w:rPr>
      </w:pPr>
      <w:r>
        <w:rPr>
          <w:rFonts w:hint="eastAsia" w:ascii="宋体" w:hAnsi="宋体" w:eastAsia="宋体" w:cs="宋体"/>
          <w:color w:val="auto"/>
        </w:rPr>
        <w:t>《施工现场机械设备检查技术规范》（JGJ160—2016）</w:t>
      </w:r>
    </w:p>
    <w:p w14:paraId="759FC8A2">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rPr>
      </w:pPr>
      <w:r>
        <w:rPr>
          <w:rFonts w:hint="eastAsia"/>
          <w:b/>
          <w:bCs/>
          <w:sz w:val="24"/>
          <w:szCs w:val="24"/>
          <w:lang w:val="en-US" w:eastAsia="zh-CN"/>
        </w:rPr>
        <w:t>其他</w:t>
      </w:r>
    </w:p>
    <w:p w14:paraId="659011E1">
      <w:pPr>
        <w:pStyle w:val="82"/>
        <w:numPr>
          <w:ilvl w:val="0"/>
          <w:numId w:val="10"/>
        </w:numPr>
        <w:rPr>
          <w:rFonts w:hint="eastAsia"/>
          <w:color w:val="auto"/>
        </w:rPr>
      </w:pPr>
      <w:r>
        <w:rPr>
          <w:rFonts w:hint="eastAsia"/>
          <w:color w:val="auto"/>
          <w:lang w:eastAsia="zh-CN"/>
        </w:rPr>
        <w:t>《</w:t>
      </w:r>
      <w:r>
        <w:rPr>
          <w:rFonts w:hint="eastAsia"/>
          <w:color w:val="auto"/>
          <w:lang w:val="en-US" w:eastAsia="zh-CN"/>
        </w:rPr>
        <w:t>SC系列施工升降机操作手册</w:t>
      </w:r>
      <w:r>
        <w:rPr>
          <w:rFonts w:hint="eastAsia"/>
          <w:color w:val="auto"/>
          <w:lang w:eastAsia="zh-CN"/>
        </w:rPr>
        <w:t>》</w:t>
      </w:r>
    </w:p>
    <w:p w14:paraId="3105A94E">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val="en-US" w:eastAsia="zh-CN"/>
        </w:rPr>
        <w:t>25t汽车吊</w:t>
      </w:r>
      <w:r>
        <w:rPr>
          <w:rFonts w:hint="eastAsia" w:ascii="Times New Roman" w:hAnsi="Times New Roman" w:eastAsia="宋体" w:cs="Times New Roman"/>
          <w:color w:val="auto"/>
          <w:sz w:val="24"/>
          <w:lang w:val="en-US" w:eastAsia="zh-CN"/>
        </w:rPr>
        <w:t>使用说明书</w:t>
      </w:r>
    </w:p>
    <w:bookmarkEnd w:id="58"/>
    <w:bookmarkEnd w:id="59"/>
    <w:p w14:paraId="6FADC1DB">
      <w:pPr>
        <w:pStyle w:val="7"/>
        <w:keepNext/>
        <w:keepLines/>
        <w:pageBreakBefore w:val="0"/>
        <w:widowControl w:val="0"/>
        <w:kinsoku/>
        <w:wordWrap/>
        <w:overflowPunct/>
        <w:topLinePunct w:val="0"/>
        <w:autoSpaceDE/>
        <w:autoSpaceDN/>
        <w:bidi w:val="0"/>
        <w:adjustRightInd/>
        <w:snapToGrid/>
        <w:ind w:left="0"/>
        <w:textAlignment w:val="auto"/>
        <w:outlineLvl w:val="1"/>
        <w:rPr>
          <w:color w:val="auto"/>
        </w:rPr>
      </w:pPr>
      <w:bookmarkStart w:id="61" w:name="_Toc17061"/>
      <w:bookmarkStart w:id="62" w:name="_Toc17429"/>
      <w:bookmarkStart w:id="63" w:name="_Toc26675"/>
      <w:bookmarkStart w:id="64" w:name="_Toc10409766"/>
      <w:bookmarkStart w:id="65" w:name="_Toc3886"/>
      <w:r>
        <w:rPr>
          <w:rFonts w:hint="eastAsia"/>
          <w:color w:val="auto"/>
        </w:rPr>
        <w:t>编制原则</w:t>
      </w:r>
      <w:bookmarkEnd w:id="61"/>
      <w:bookmarkEnd w:id="62"/>
      <w:bookmarkEnd w:id="63"/>
      <w:bookmarkEnd w:id="64"/>
      <w:bookmarkEnd w:id="65"/>
    </w:p>
    <w:p w14:paraId="2E10BD61">
      <w:pPr>
        <w:pStyle w:val="48"/>
        <w:ind w:firstLine="480"/>
        <w:rPr>
          <w:color w:val="auto"/>
        </w:rPr>
      </w:pPr>
      <w:r>
        <w:rPr>
          <w:color w:val="auto"/>
        </w:rPr>
        <w:t>1）严格贯彻“安全第一”的原则，针对风险细化安全技术措施，预防和杜绝安全事故的发生；</w:t>
      </w:r>
    </w:p>
    <w:p w14:paraId="3A8F1FCA">
      <w:pPr>
        <w:pStyle w:val="48"/>
        <w:ind w:firstLine="480"/>
        <w:rPr>
          <w:color w:val="auto"/>
        </w:rPr>
      </w:pPr>
      <w:r>
        <w:rPr>
          <w:color w:val="auto"/>
        </w:rPr>
        <w:t>2）严格按照ISO9001标准质量体系质量程序控制原则，实施</w:t>
      </w:r>
      <w:r>
        <w:rPr>
          <w:rFonts w:hint="eastAsia"/>
          <w:color w:val="auto"/>
          <w:lang w:val="en-US" w:eastAsia="zh-CN"/>
        </w:rPr>
        <w:t>拆除</w:t>
      </w:r>
      <w:r>
        <w:rPr>
          <w:color w:val="auto"/>
        </w:rPr>
        <w:t>过程动态管理；</w:t>
      </w:r>
    </w:p>
    <w:p w14:paraId="50475F85">
      <w:pPr>
        <w:pStyle w:val="48"/>
        <w:ind w:firstLine="480"/>
        <w:rPr>
          <w:color w:val="auto"/>
        </w:rPr>
      </w:pPr>
      <w:r>
        <w:rPr>
          <w:color w:val="auto"/>
        </w:rPr>
        <w:t>3）科学合理制定</w:t>
      </w:r>
      <w:r>
        <w:rPr>
          <w:rFonts w:hint="eastAsia"/>
          <w:color w:val="auto"/>
          <w:lang w:eastAsia="zh-CN"/>
        </w:rPr>
        <w:t>拆除</w:t>
      </w:r>
      <w:r>
        <w:rPr>
          <w:color w:val="auto"/>
        </w:rPr>
        <w:t>计划，提高</w:t>
      </w:r>
      <w:r>
        <w:rPr>
          <w:rFonts w:hint="eastAsia"/>
          <w:color w:val="auto"/>
          <w:lang w:eastAsia="zh-CN"/>
        </w:rPr>
        <w:t>拆除</w:t>
      </w:r>
      <w:r>
        <w:rPr>
          <w:color w:val="auto"/>
        </w:rPr>
        <w:t>功效；</w:t>
      </w:r>
    </w:p>
    <w:p w14:paraId="1C628B31">
      <w:pPr>
        <w:pStyle w:val="48"/>
        <w:ind w:firstLine="480"/>
        <w:rPr>
          <w:color w:val="auto"/>
        </w:rPr>
      </w:pPr>
      <w:r>
        <w:rPr>
          <w:color w:val="auto"/>
        </w:rPr>
        <w:t>4）加强过程管控，合理配置</w:t>
      </w:r>
      <w:r>
        <w:rPr>
          <w:rFonts w:hint="eastAsia"/>
          <w:color w:val="auto"/>
          <w:lang w:eastAsia="zh-CN"/>
        </w:rPr>
        <w:t>拆除</w:t>
      </w:r>
      <w:r>
        <w:rPr>
          <w:color w:val="auto"/>
        </w:rPr>
        <w:t>资源，合理降低</w:t>
      </w:r>
      <w:r>
        <w:rPr>
          <w:rFonts w:hint="eastAsia"/>
          <w:color w:val="auto"/>
          <w:lang w:val="en-US" w:eastAsia="zh-CN"/>
        </w:rPr>
        <w:t>拆除</w:t>
      </w:r>
      <w:r>
        <w:rPr>
          <w:color w:val="auto"/>
        </w:rPr>
        <w:t>成本。</w:t>
      </w:r>
    </w:p>
    <w:p w14:paraId="4CCD0257">
      <w:pPr>
        <w:pStyle w:val="7"/>
        <w:keepNext/>
        <w:keepLines/>
        <w:pageBreakBefore w:val="0"/>
        <w:widowControl w:val="0"/>
        <w:kinsoku/>
        <w:wordWrap/>
        <w:overflowPunct/>
        <w:topLinePunct w:val="0"/>
        <w:autoSpaceDE/>
        <w:autoSpaceDN/>
        <w:bidi w:val="0"/>
        <w:adjustRightInd/>
        <w:snapToGrid/>
        <w:ind w:left="0"/>
        <w:textAlignment w:val="auto"/>
        <w:outlineLvl w:val="1"/>
        <w:rPr>
          <w:color w:val="auto"/>
        </w:rPr>
      </w:pPr>
      <w:bookmarkStart w:id="66" w:name="_Toc24520"/>
      <w:bookmarkStart w:id="67" w:name="_Toc13684"/>
      <w:bookmarkStart w:id="68" w:name="_Toc10409768"/>
      <w:bookmarkStart w:id="69" w:name="_Toc4818"/>
      <w:bookmarkStart w:id="70" w:name="_Toc17441"/>
      <w:r>
        <w:rPr>
          <w:rFonts w:hint="eastAsia"/>
          <w:color w:val="auto"/>
        </w:rPr>
        <w:t>适用范围</w:t>
      </w:r>
      <w:bookmarkEnd w:id="66"/>
      <w:bookmarkEnd w:id="67"/>
      <w:bookmarkEnd w:id="68"/>
      <w:bookmarkEnd w:id="69"/>
      <w:bookmarkEnd w:id="70"/>
    </w:p>
    <w:p w14:paraId="28AFB0D6">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1台</w:t>
      </w:r>
      <w:r>
        <w:rPr>
          <w:rFonts w:hint="eastAsia"/>
        </w:rPr>
        <w:t>SC200</w:t>
      </w:r>
      <w:r>
        <w:rPr>
          <w:rFonts w:hint="eastAsia"/>
          <w:lang w:eastAsia="zh-CN"/>
        </w:rPr>
        <w:t>施工升降机拆除</w:t>
      </w:r>
      <w:r>
        <w:rPr>
          <w:color w:val="auto"/>
        </w:rPr>
        <w:t>安全施工作业</w:t>
      </w:r>
      <w:r>
        <w:rPr>
          <w:rFonts w:hint="eastAsia" w:ascii="Times New Roman" w:hAnsi="Times New Roman"/>
          <w:color w:val="auto"/>
          <w:szCs w:val="24"/>
        </w:rPr>
        <w:t>指导</w:t>
      </w:r>
      <w:r>
        <w:rPr>
          <w:color w:val="auto"/>
        </w:rPr>
        <w:t>。</w:t>
      </w:r>
    </w:p>
    <w:bookmarkEnd w:id="57"/>
    <w:p w14:paraId="0F428D15">
      <w:pPr>
        <w:pStyle w:val="6"/>
        <w:spacing w:before="156" w:after="156"/>
        <w:rPr>
          <w:color w:val="auto"/>
        </w:rPr>
      </w:pPr>
      <w:r>
        <w:rPr>
          <w:rFonts w:hint="eastAsia"/>
          <w:color w:val="auto"/>
        </w:rPr>
        <w:br w:type="page"/>
      </w:r>
      <w:bookmarkStart w:id="71" w:name="_Toc22905"/>
      <w:r>
        <w:rPr>
          <w:rFonts w:hint="eastAsia"/>
          <w:color w:val="auto"/>
        </w:rPr>
        <w:t>施工计划</w:t>
      </w:r>
      <w:bookmarkEnd w:id="13"/>
      <w:bookmarkEnd w:id="14"/>
      <w:bookmarkEnd w:id="43"/>
      <w:bookmarkEnd w:id="71"/>
    </w:p>
    <w:p w14:paraId="009DAD2A">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72" w:name="_Toc16967"/>
      <w:bookmarkStart w:id="73" w:name="_Toc40778432"/>
      <w:bookmarkStart w:id="74" w:name="_Toc32590"/>
      <w:bookmarkStart w:id="75" w:name="_Toc14281"/>
      <w:r>
        <w:rPr>
          <w:rFonts w:hint="eastAsia"/>
          <w:color w:val="auto"/>
        </w:rPr>
        <w:t>总体施工</w:t>
      </w:r>
      <w:bookmarkEnd w:id="72"/>
      <w:bookmarkEnd w:id="73"/>
      <w:r>
        <w:rPr>
          <w:rFonts w:hint="eastAsia"/>
          <w:color w:val="auto"/>
        </w:rPr>
        <w:t>部署</w:t>
      </w:r>
      <w:bookmarkEnd w:id="74"/>
      <w:bookmarkEnd w:id="75"/>
    </w:p>
    <w:p w14:paraId="5E5D5F7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）在拆除前必须到当地安监站进行拆除告知工作。</w:t>
      </w:r>
    </w:p>
    <w:p w14:paraId="79FD2EDB">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）拆除单位组织拆除班组提前一天到现场作好拆除前的准备工作。</w:t>
      </w:r>
    </w:p>
    <w:p w14:paraId="1847200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）在拆除前进行安全交底：由项目部牵头组织</w:t>
      </w:r>
      <w:r>
        <w:rPr>
          <w:rFonts w:hint="eastAsia"/>
          <w:color w:val="auto"/>
          <w:lang w:val="en-US" w:eastAsia="zh-CN"/>
        </w:rPr>
        <w:t>拆除</w:t>
      </w:r>
      <w:r>
        <w:rPr>
          <w:rFonts w:hint="eastAsia"/>
          <w:color w:val="auto"/>
          <w:lang w:eastAsia="zh-CN"/>
        </w:rPr>
        <w:t>班组及项目部的相关人员一起进行拆除前的技术交底工作。</w:t>
      </w:r>
    </w:p>
    <w:p w14:paraId="5F52860E">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76" w:name="_Toc8508"/>
      <w:bookmarkStart w:id="77" w:name="_Toc40778433"/>
      <w:bookmarkStart w:id="78" w:name="_Toc14838"/>
      <w:bookmarkStart w:id="79" w:name="_Toc20732"/>
      <w:r>
        <w:rPr>
          <w:rFonts w:hint="eastAsia"/>
          <w:color w:val="auto"/>
        </w:rPr>
        <w:t>施工进度计划</w:t>
      </w:r>
      <w:bookmarkEnd w:id="76"/>
      <w:bookmarkEnd w:id="77"/>
      <w:bookmarkEnd w:id="78"/>
      <w:bookmarkEnd w:id="79"/>
    </w:p>
    <w:p w14:paraId="2046FF25">
      <w:pPr>
        <w:ind w:firstLine="480"/>
      </w:pPr>
      <w:bookmarkStart w:id="80" w:name="_Toc17125"/>
      <w:bookmarkStart w:id="81" w:name="_Toc19376"/>
      <w:bookmarkStart w:id="82" w:name="_Toc40778434"/>
      <w:r>
        <w:rPr>
          <w:rFonts w:hint="eastAsia"/>
          <w:b w:val="0"/>
          <w:bCs/>
          <w:highlight w:val="none"/>
          <w:lang w:val="en-US" w:eastAsia="zh-CN"/>
        </w:rPr>
        <w:t>施工升降机拆除</w:t>
      </w:r>
      <w:r>
        <w:rPr>
          <w:rFonts w:hint="eastAsia"/>
        </w:rPr>
        <w:t>施工进度计划见</w:t>
      </w:r>
      <w:r>
        <w:rPr>
          <w:rFonts w:hint="eastAsia"/>
          <w:lang w:val="en-US" w:eastAsia="zh-CN"/>
        </w:rPr>
        <w:t>下表</w:t>
      </w:r>
      <w:r>
        <w:rPr>
          <w:rFonts w:hint="eastAsia"/>
        </w:rPr>
        <w:t>所示。</w:t>
      </w:r>
    </w:p>
    <w:p w14:paraId="71722EFB">
      <w:pPr>
        <w:pStyle w:val="13"/>
        <w:bidi w:val="0"/>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表3.2-</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拆除施工进度计划表</w:t>
      </w:r>
    </w:p>
    <w:tbl>
      <w:tblPr>
        <w:tblStyle w:val="2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86"/>
        <w:gridCol w:w="1447"/>
        <w:gridCol w:w="1734"/>
        <w:gridCol w:w="1648"/>
        <w:gridCol w:w="1136"/>
        <w:gridCol w:w="697"/>
        <w:gridCol w:w="697"/>
        <w:gridCol w:w="697"/>
        <w:gridCol w:w="545"/>
      </w:tblGrid>
      <w:tr w14:paraId="6E312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346" w:type="pct"/>
            <w:vMerge w:val="restart"/>
            <w:tcBorders>
              <w:tl2br w:val="nil"/>
              <w:tr2bl w:val="nil"/>
            </w:tcBorders>
            <w:shd w:val="clear" w:color="auto" w:fill="auto"/>
            <w:vAlign w:val="center"/>
          </w:tcPr>
          <w:p w14:paraId="434F2B4D">
            <w:pPr>
              <w:pStyle w:val="30"/>
              <w:bidi w:val="0"/>
              <w:rPr>
                <w:rFonts w:hint="eastAsia"/>
              </w:rPr>
            </w:pPr>
            <w:r>
              <w:rPr>
                <w:rFonts w:hint="eastAsia"/>
                <w:lang w:val="en-US" w:eastAsia="zh-CN"/>
              </w:rPr>
              <w:t>序号</w:t>
            </w:r>
          </w:p>
        </w:tc>
        <w:tc>
          <w:tcPr>
            <w:tcW w:w="814" w:type="pct"/>
            <w:vMerge w:val="restart"/>
            <w:tcBorders>
              <w:tl2br w:val="nil"/>
              <w:tr2bl w:val="nil"/>
            </w:tcBorders>
            <w:shd w:val="clear" w:color="auto" w:fill="auto"/>
            <w:vAlign w:val="center"/>
          </w:tcPr>
          <w:p w14:paraId="6DEC6BF5">
            <w:pPr>
              <w:pStyle w:val="30"/>
              <w:bidi w:val="0"/>
              <w:rPr>
                <w:rFonts w:hint="eastAsia"/>
              </w:rPr>
            </w:pPr>
            <w:r>
              <w:rPr>
                <w:rFonts w:hint="eastAsia"/>
                <w:lang w:val="en-US" w:eastAsia="zh-CN"/>
              </w:rPr>
              <w:t>施工内容</w:t>
            </w:r>
          </w:p>
        </w:tc>
        <w:tc>
          <w:tcPr>
            <w:tcW w:w="970" w:type="pct"/>
            <w:vMerge w:val="restart"/>
            <w:tcBorders>
              <w:tl2br w:val="nil"/>
              <w:tr2bl w:val="nil"/>
            </w:tcBorders>
            <w:shd w:val="clear" w:color="auto" w:fill="auto"/>
            <w:vAlign w:val="center"/>
          </w:tcPr>
          <w:p w14:paraId="31D63667">
            <w:pPr>
              <w:pStyle w:val="30"/>
              <w:bidi w:val="0"/>
              <w:rPr>
                <w:rFonts w:hint="eastAsia"/>
              </w:rPr>
            </w:pPr>
            <w:r>
              <w:rPr>
                <w:rFonts w:hint="eastAsia"/>
                <w:lang w:val="en-US" w:eastAsia="zh-CN"/>
              </w:rPr>
              <w:t>开始日期</w:t>
            </w:r>
          </w:p>
        </w:tc>
        <w:tc>
          <w:tcPr>
            <w:tcW w:w="923" w:type="pct"/>
            <w:vMerge w:val="restart"/>
            <w:tcBorders>
              <w:tl2br w:val="nil"/>
              <w:tr2bl w:val="nil"/>
            </w:tcBorders>
            <w:shd w:val="clear" w:color="auto" w:fill="auto"/>
            <w:vAlign w:val="center"/>
          </w:tcPr>
          <w:p w14:paraId="50B61628">
            <w:pPr>
              <w:pStyle w:val="30"/>
              <w:bidi w:val="0"/>
              <w:rPr>
                <w:rFonts w:hint="eastAsia"/>
              </w:rPr>
            </w:pPr>
            <w:r>
              <w:rPr>
                <w:rFonts w:hint="eastAsia"/>
                <w:lang w:val="en-US" w:eastAsia="zh-CN"/>
              </w:rPr>
              <w:t>完成日期</w:t>
            </w:r>
          </w:p>
        </w:tc>
        <w:tc>
          <w:tcPr>
            <w:tcW w:w="645" w:type="pct"/>
            <w:vMerge w:val="restart"/>
            <w:tcBorders>
              <w:tl2br w:val="nil"/>
              <w:tr2bl w:val="nil"/>
            </w:tcBorders>
            <w:shd w:val="clear" w:color="auto" w:fill="auto"/>
            <w:vAlign w:val="center"/>
          </w:tcPr>
          <w:p w14:paraId="436FFA6E">
            <w:pPr>
              <w:pStyle w:val="30"/>
              <w:bidi w:val="0"/>
              <w:rPr>
                <w:rFonts w:hint="eastAsia"/>
              </w:rPr>
            </w:pPr>
            <w:r>
              <w:rPr>
                <w:rFonts w:hint="eastAsia"/>
                <w:lang w:val="en-US" w:eastAsia="zh-CN"/>
              </w:rPr>
              <w:t>工期（天）</w:t>
            </w:r>
          </w:p>
        </w:tc>
        <w:tc>
          <w:tcPr>
            <w:tcW w:w="974" w:type="pct"/>
            <w:gridSpan w:val="3"/>
            <w:tcBorders>
              <w:tl2br w:val="nil"/>
              <w:tr2bl w:val="nil"/>
            </w:tcBorders>
            <w:shd w:val="clear" w:color="auto" w:fill="auto"/>
            <w:noWrap/>
            <w:vAlign w:val="center"/>
          </w:tcPr>
          <w:p w14:paraId="48C89960">
            <w:pPr>
              <w:pStyle w:val="30"/>
              <w:bidi w:val="0"/>
              <w:rPr>
                <w:rFonts w:hint="eastAsia"/>
              </w:rPr>
            </w:pPr>
            <w:r>
              <w:rPr>
                <w:rFonts w:hint="eastAsia"/>
                <w:lang w:val="en-US" w:eastAsia="zh-CN"/>
              </w:rPr>
              <w:t>202 年 月</w:t>
            </w:r>
          </w:p>
        </w:tc>
        <w:tc>
          <w:tcPr>
            <w:tcW w:w="323" w:type="pct"/>
            <w:vMerge w:val="restart"/>
            <w:tcBorders>
              <w:tl2br w:val="nil"/>
              <w:tr2bl w:val="nil"/>
            </w:tcBorders>
            <w:shd w:val="clear" w:color="auto" w:fill="auto"/>
            <w:vAlign w:val="center"/>
          </w:tcPr>
          <w:p w14:paraId="5174581F">
            <w:pPr>
              <w:pStyle w:val="30"/>
              <w:bidi w:val="0"/>
              <w:rPr>
                <w:rFonts w:hint="eastAsia"/>
              </w:rPr>
            </w:pPr>
            <w:r>
              <w:rPr>
                <w:rFonts w:hint="eastAsia"/>
                <w:lang w:val="en-US" w:eastAsia="zh-CN"/>
              </w:rPr>
              <w:t>备注</w:t>
            </w:r>
          </w:p>
        </w:tc>
      </w:tr>
      <w:tr w14:paraId="1C5D9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346" w:type="pct"/>
            <w:vMerge w:val="continue"/>
            <w:tcBorders>
              <w:tl2br w:val="nil"/>
              <w:tr2bl w:val="nil"/>
            </w:tcBorders>
            <w:shd w:val="clear" w:color="auto" w:fill="auto"/>
            <w:vAlign w:val="center"/>
          </w:tcPr>
          <w:p w14:paraId="4E9DCF1A">
            <w:pPr>
              <w:pStyle w:val="30"/>
              <w:bidi w:val="0"/>
              <w:rPr>
                <w:rFonts w:hint="eastAsia"/>
              </w:rPr>
            </w:pPr>
          </w:p>
        </w:tc>
        <w:tc>
          <w:tcPr>
            <w:tcW w:w="814" w:type="pct"/>
            <w:vMerge w:val="continue"/>
            <w:tcBorders>
              <w:tl2br w:val="nil"/>
              <w:tr2bl w:val="nil"/>
            </w:tcBorders>
            <w:shd w:val="clear" w:color="auto" w:fill="auto"/>
            <w:vAlign w:val="center"/>
          </w:tcPr>
          <w:p w14:paraId="5850A582">
            <w:pPr>
              <w:pStyle w:val="30"/>
              <w:bidi w:val="0"/>
              <w:rPr>
                <w:rFonts w:hint="eastAsia"/>
              </w:rPr>
            </w:pPr>
          </w:p>
        </w:tc>
        <w:tc>
          <w:tcPr>
            <w:tcW w:w="970" w:type="pct"/>
            <w:vMerge w:val="continue"/>
            <w:tcBorders>
              <w:tl2br w:val="nil"/>
              <w:tr2bl w:val="nil"/>
            </w:tcBorders>
            <w:shd w:val="clear" w:color="auto" w:fill="auto"/>
            <w:vAlign w:val="center"/>
          </w:tcPr>
          <w:p w14:paraId="5F14EDFF">
            <w:pPr>
              <w:pStyle w:val="30"/>
              <w:bidi w:val="0"/>
              <w:rPr>
                <w:rFonts w:hint="eastAsia"/>
              </w:rPr>
            </w:pPr>
          </w:p>
        </w:tc>
        <w:tc>
          <w:tcPr>
            <w:tcW w:w="923" w:type="pct"/>
            <w:vMerge w:val="continue"/>
            <w:tcBorders>
              <w:tl2br w:val="nil"/>
              <w:tr2bl w:val="nil"/>
            </w:tcBorders>
            <w:shd w:val="clear" w:color="auto" w:fill="auto"/>
            <w:vAlign w:val="center"/>
          </w:tcPr>
          <w:p w14:paraId="117409A8">
            <w:pPr>
              <w:pStyle w:val="30"/>
              <w:bidi w:val="0"/>
              <w:rPr>
                <w:rFonts w:hint="eastAsia"/>
              </w:rPr>
            </w:pPr>
          </w:p>
        </w:tc>
        <w:tc>
          <w:tcPr>
            <w:tcW w:w="645" w:type="pct"/>
            <w:vMerge w:val="continue"/>
            <w:tcBorders>
              <w:tl2br w:val="nil"/>
              <w:tr2bl w:val="nil"/>
            </w:tcBorders>
            <w:shd w:val="clear" w:color="auto" w:fill="auto"/>
            <w:vAlign w:val="center"/>
          </w:tcPr>
          <w:p w14:paraId="73AFE44E">
            <w:pPr>
              <w:pStyle w:val="30"/>
              <w:bidi w:val="0"/>
              <w:rPr>
                <w:rFonts w:hint="eastAsia"/>
              </w:rPr>
            </w:pPr>
          </w:p>
        </w:tc>
        <w:tc>
          <w:tcPr>
            <w:tcW w:w="323" w:type="pct"/>
            <w:tcBorders>
              <w:tl2br w:val="nil"/>
              <w:tr2bl w:val="nil"/>
            </w:tcBorders>
            <w:shd w:val="clear" w:color="auto" w:fill="auto"/>
            <w:noWrap/>
            <w:vAlign w:val="center"/>
          </w:tcPr>
          <w:p w14:paraId="47D64273">
            <w:pPr>
              <w:pStyle w:val="30"/>
              <w:bidi w:val="0"/>
              <w:rPr>
                <w:rFonts w:hint="default"/>
                <w:lang w:val="en-US"/>
              </w:rPr>
            </w:pPr>
          </w:p>
        </w:tc>
        <w:tc>
          <w:tcPr>
            <w:tcW w:w="323" w:type="pct"/>
            <w:tcBorders>
              <w:tl2br w:val="nil"/>
              <w:tr2bl w:val="nil"/>
            </w:tcBorders>
            <w:shd w:val="clear" w:color="auto" w:fill="auto"/>
            <w:noWrap/>
            <w:vAlign w:val="center"/>
          </w:tcPr>
          <w:p w14:paraId="2EA2F5BC">
            <w:pPr>
              <w:pStyle w:val="30"/>
              <w:bidi w:val="0"/>
              <w:rPr>
                <w:rFonts w:hint="default"/>
                <w:lang w:val="en-US"/>
              </w:rPr>
            </w:pPr>
          </w:p>
        </w:tc>
        <w:tc>
          <w:tcPr>
            <w:tcW w:w="326" w:type="pct"/>
            <w:tcBorders>
              <w:tl2br w:val="nil"/>
              <w:tr2bl w:val="nil"/>
            </w:tcBorders>
            <w:shd w:val="clear" w:color="auto" w:fill="auto"/>
            <w:noWrap/>
            <w:vAlign w:val="center"/>
          </w:tcPr>
          <w:p w14:paraId="59F69F11">
            <w:pPr>
              <w:pStyle w:val="30"/>
              <w:bidi w:val="0"/>
              <w:rPr>
                <w:rFonts w:hint="default"/>
                <w:lang w:val="en-US"/>
              </w:rPr>
            </w:pPr>
          </w:p>
        </w:tc>
        <w:tc>
          <w:tcPr>
            <w:tcW w:w="323" w:type="pct"/>
            <w:vMerge w:val="continue"/>
            <w:tcBorders>
              <w:tl2br w:val="nil"/>
              <w:tr2bl w:val="nil"/>
            </w:tcBorders>
            <w:shd w:val="clear" w:color="auto" w:fill="auto"/>
            <w:vAlign w:val="center"/>
          </w:tcPr>
          <w:p w14:paraId="23DC0202">
            <w:pPr>
              <w:pStyle w:val="30"/>
              <w:bidi w:val="0"/>
              <w:rPr>
                <w:rFonts w:hint="eastAsia"/>
              </w:rPr>
            </w:pPr>
          </w:p>
        </w:tc>
      </w:tr>
      <w:tr w14:paraId="061C7D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46" w:type="pct"/>
            <w:tcBorders>
              <w:tl2br w:val="nil"/>
              <w:tr2bl w:val="nil"/>
            </w:tcBorders>
            <w:shd w:val="clear" w:color="auto" w:fill="auto"/>
            <w:vAlign w:val="center"/>
          </w:tcPr>
          <w:p w14:paraId="6AE336DE">
            <w:pPr>
              <w:pStyle w:val="30"/>
              <w:bidi w:val="0"/>
              <w:rPr>
                <w:rFonts w:hint="eastAsia"/>
              </w:rPr>
            </w:pPr>
            <w:r>
              <w:rPr>
                <w:rFonts w:hint="eastAsia"/>
                <w:lang w:val="en-US" w:eastAsia="zh-CN"/>
              </w:rPr>
              <w:t>1</w:t>
            </w:r>
          </w:p>
        </w:tc>
        <w:tc>
          <w:tcPr>
            <w:tcW w:w="1447" w:type="dxa"/>
            <w:tcBorders>
              <w:tl2br w:val="nil"/>
              <w:tr2bl w:val="nil"/>
            </w:tcBorders>
            <w:shd w:val="clear" w:color="auto" w:fill="auto"/>
            <w:vAlign w:val="center"/>
          </w:tcPr>
          <w:p w14:paraId="305F9325">
            <w:pPr>
              <w:pStyle w:val="93"/>
              <w:ind w:firstLine="0" w:firstLineChars="0"/>
              <w:rPr>
                <w:rFonts w:hint="eastAsia"/>
              </w:rPr>
            </w:pPr>
            <w:r>
              <w:rPr>
                <w:rFonts w:hint="eastAsia"/>
                <w:color w:val="auto"/>
                <w:kern w:val="0"/>
                <w:lang w:val="en-US" w:eastAsia="zh-CN"/>
              </w:rPr>
              <w:t>拆除</w:t>
            </w:r>
            <w:r>
              <w:rPr>
                <w:rFonts w:hint="eastAsia"/>
                <w:color w:val="auto"/>
                <w:kern w:val="0"/>
              </w:rPr>
              <w:t>准备工作</w:t>
            </w:r>
          </w:p>
        </w:tc>
        <w:tc>
          <w:tcPr>
            <w:tcW w:w="970" w:type="pct"/>
            <w:tcBorders>
              <w:tl2br w:val="nil"/>
              <w:tr2bl w:val="nil"/>
            </w:tcBorders>
            <w:shd w:val="clear" w:color="auto" w:fill="auto"/>
            <w:vAlign w:val="center"/>
          </w:tcPr>
          <w:p w14:paraId="3A8B255B">
            <w:pPr>
              <w:pStyle w:val="30"/>
              <w:bidi w:val="0"/>
              <w:rPr>
                <w:rFonts w:hint="default"/>
                <w:lang w:val="en-US"/>
              </w:rPr>
            </w:pPr>
          </w:p>
        </w:tc>
        <w:tc>
          <w:tcPr>
            <w:tcW w:w="923" w:type="pct"/>
            <w:tcBorders>
              <w:tl2br w:val="nil"/>
              <w:tr2bl w:val="nil"/>
            </w:tcBorders>
            <w:shd w:val="clear" w:color="auto" w:fill="auto"/>
            <w:vAlign w:val="center"/>
          </w:tcPr>
          <w:p w14:paraId="3B943A0A">
            <w:pPr>
              <w:pStyle w:val="30"/>
              <w:bidi w:val="0"/>
              <w:rPr>
                <w:rFonts w:hint="default"/>
                <w:lang w:val="en-US"/>
              </w:rPr>
            </w:pPr>
          </w:p>
        </w:tc>
        <w:tc>
          <w:tcPr>
            <w:tcW w:w="645" w:type="pct"/>
            <w:tcBorders>
              <w:tl2br w:val="nil"/>
              <w:tr2bl w:val="nil"/>
            </w:tcBorders>
            <w:shd w:val="clear" w:color="auto" w:fill="auto"/>
            <w:vAlign w:val="center"/>
          </w:tcPr>
          <w:p w14:paraId="257BD54E">
            <w:pPr>
              <w:pStyle w:val="30"/>
              <w:bidi w:val="0"/>
              <w:rPr>
                <w:rFonts w:hint="eastAsia"/>
                <w:b w:val="0"/>
                <w:bCs/>
              </w:rPr>
            </w:pPr>
            <w:r>
              <w:rPr>
                <w:rFonts w:hint="eastAsia"/>
                <w:b w:val="0"/>
                <w:bCs/>
                <w:lang w:val="en-US" w:eastAsia="zh-CN"/>
              </w:rPr>
              <w:t>1</w:t>
            </w:r>
          </w:p>
        </w:tc>
        <w:tc>
          <w:tcPr>
            <w:tcW w:w="323" w:type="pct"/>
            <w:tcBorders>
              <w:tl2br w:val="nil"/>
              <w:tr2bl w:val="nil"/>
            </w:tcBorders>
            <w:shd w:val="clear" w:color="auto" w:fill="auto"/>
            <w:noWrap/>
            <w:vAlign w:val="center"/>
          </w:tcPr>
          <w:p w14:paraId="066D90A2">
            <w:pPr>
              <w:pStyle w:val="30"/>
              <w:bidi w:val="0"/>
              <w:rPr>
                <w:rFonts w:hint="eastAsia"/>
              </w:rPr>
            </w:pPr>
            <w:r>
              <w:rPr>
                <w:rFonts w:hint="eastAsia"/>
                <w:lang w:val="en-US" w:eastAsia="zh-CN"/>
              </w:rPr>
              <w:drawing>
                <wp:inline distT="0" distB="0" distL="114300" distR="114300">
                  <wp:extent cx="298450" cy="128905"/>
                  <wp:effectExtent l="0" t="0" r="6350" b="4445"/>
                  <wp:docPr id="22" name="矩形_6"/>
                  <wp:cNvGraphicFramePr/>
                  <a:graphic xmlns:a="http://schemas.openxmlformats.org/drawingml/2006/main">
                    <a:graphicData uri="http://schemas.openxmlformats.org/drawingml/2006/picture">
                      <pic:pic xmlns:pic="http://schemas.openxmlformats.org/drawingml/2006/picture">
                        <pic:nvPicPr>
                          <pic:cNvPr id="22" name="矩形_6"/>
                          <pic:cNvPicPr/>
                        </pic:nvPicPr>
                        <pic:blipFill>
                          <a:blip r:embed="rId25"/>
                          <a:stretch>
                            <a:fillRect/>
                          </a:stretch>
                        </pic:blipFill>
                        <pic:spPr>
                          <a:xfrm>
                            <a:off x="0" y="0"/>
                            <a:ext cx="298450" cy="128905"/>
                          </a:xfrm>
                          <a:prstGeom prst="rect">
                            <a:avLst/>
                          </a:prstGeom>
                          <a:noFill/>
                          <a:ln>
                            <a:noFill/>
                          </a:ln>
                        </pic:spPr>
                      </pic:pic>
                    </a:graphicData>
                  </a:graphic>
                </wp:inline>
              </w:drawing>
            </w:r>
          </w:p>
        </w:tc>
        <w:tc>
          <w:tcPr>
            <w:tcW w:w="323" w:type="pct"/>
            <w:tcBorders>
              <w:tl2br w:val="nil"/>
              <w:tr2bl w:val="nil"/>
            </w:tcBorders>
            <w:shd w:val="clear" w:color="auto" w:fill="auto"/>
            <w:noWrap/>
            <w:vAlign w:val="center"/>
          </w:tcPr>
          <w:p w14:paraId="70E34C9B">
            <w:pPr>
              <w:pStyle w:val="30"/>
              <w:bidi w:val="0"/>
              <w:rPr>
                <w:rFonts w:hint="eastAsia"/>
              </w:rPr>
            </w:pPr>
          </w:p>
        </w:tc>
        <w:tc>
          <w:tcPr>
            <w:tcW w:w="326" w:type="pct"/>
            <w:tcBorders>
              <w:tl2br w:val="nil"/>
              <w:tr2bl w:val="nil"/>
            </w:tcBorders>
            <w:shd w:val="clear" w:color="auto" w:fill="auto"/>
            <w:noWrap/>
            <w:vAlign w:val="center"/>
          </w:tcPr>
          <w:p w14:paraId="5D0FE95F">
            <w:pPr>
              <w:pStyle w:val="30"/>
              <w:bidi w:val="0"/>
              <w:rPr>
                <w:rFonts w:hint="eastAsia"/>
              </w:rPr>
            </w:pPr>
          </w:p>
        </w:tc>
        <w:tc>
          <w:tcPr>
            <w:tcW w:w="323" w:type="pct"/>
            <w:tcBorders>
              <w:tl2br w:val="nil"/>
              <w:tr2bl w:val="nil"/>
            </w:tcBorders>
            <w:shd w:val="clear" w:color="auto" w:fill="auto"/>
            <w:noWrap/>
            <w:vAlign w:val="center"/>
          </w:tcPr>
          <w:p w14:paraId="6BEB5C5D">
            <w:pPr>
              <w:pStyle w:val="30"/>
              <w:bidi w:val="0"/>
              <w:rPr>
                <w:rFonts w:hint="eastAsia"/>
              </w:rPr>
            </w:pPr>
          </w:p>
        </w:tc>
      </w:tr>
      <w:tr w14:paraId="13865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46" w:type="pct"/>
            <w:tcBorders>
              <w:tl2br w:val="nil"/>
              <w:tr2bl w:val="nil"/>
            </w:tcBorders>
            <w:shd w:val="clear" w:color="auto" w:fill="auto"/>
            <w:vAlign w:val="center"/>
          </w:tcPr>
          <w:p w14:paraId="1D51AA2E">
            <w:pPr>
              <w:pStyle w:val="30"/>
              <w:bidi w:val="0"/>
              <w:rPr>
                <w:rFonts w:hint="eastAsia"/>
              </w:rPr>
            </w:pPr>
            <w:r>
              <w:rPr>
                <w:rFonts w:hint="eastAsia"/>
                <w:lang w:val="en-US" w:eastAsia="zh-CN"/>
              </w:rPr>
              <w:t>2</w:t>
            </w:r>
          </w:p>
        </w:tc>
        <w:tc>
          <w:tcPr>
            <w:tcW w:w="1447" w:type="dxa"/>
            <w:tcBorders>
              <w:tl2br w:val="nil"/>
              <w:tr2bl w:val="nil"/>
            </w:tcBorders>
            <w:shd w:val="clear" w:color="auto" w:fill="auto"/>
            <w:vAlign w:val="center"/>
          </w:tcPr>
          <w:p w14:paraId="6844EBF7">
            <w:pPr>
              <w:pStyle w:val="93"/>
              <w:ind w:firstLine="0" w:firstLineChars="0"/>
              <w:rPr>
                <w:rFonts w:hint="eastAsia"/>
              </w:rPr>
            </w:pPr>
            <w:r>
              <w:rPr>
                <w:rFonts w:hint="eastAsia"/>
                <w:color w:val="auto"/>
                <w:kern w:val="0"/>
              </w:rPr>
              <w:t>附着、</w:t>
            </w:r>
            <w:r>
              <w:rPr>
                <w:rFonts w:hint="eastAsia"/>
                <w:color w:val="auto"/>
                <w:kern w:val="0"/>
                <w:lang w:val="en-US" w:eastAsia="zh-CN"/>
              </w:rPr>
              <w:t>降节</w:t>
            </w:r>
            <w:r>
              <w:rPr>
                <w:rFonts w:hint="eastAsia"/>
                <w:color w:val="auto"/>
                <w:kern w:val="0"/>
              </w:rPr>
              <w:t>工作</w:t>
            </w:r>
          </w:p>
        </w:tc>
        <w:tc>
          <w:tcPr>
            <w:tcW w:w="1734" w:type="dxa"/>
            <w:tcBorders>
              <w:tl2br w:val="nil"/>
              <w:tr2bl w:val="nil"/>
            </w:tcBorders>
            <w:shd w:val="clear" w:color="auto" w:fill="auto"/>
            <w:vAlign w:val="center"/>
          </w:tcPr>
          <w:p w14:paraId="402E37DF">
            <w:pPr>
              <w:pStyle w:val="30"/>
              <w:bidi w:val="0"/>
              <w:ind w:firstLine="0" w:firstLineChars="0"/>
              <w:rPr>
                <w:rFonts w:hint="default"/>
                <w:lang w:val="en-US"/>
              </w:rPr>
            </w:pPr>
          </w:p>
        </w:tc>
        <w:tc>
          <w:tcPr>
            <w:tcW w:w="1648" w:type="dxa"/>
            <w:tcBorders>
              <w:tl2br w:val="nil"/>
              <w:tr2bl w:val="nil"/>
            </w:tcBorders>
            <w:shd w:val="clear" w:color="auto" w:fill="auto"/>
            <w:vAlign w:val="center"/>
          </w:tcPr>
          <w:p w14:paraId="2D0AC5BD">
            <w:pPr>
              <w:pStyle w:val="30"/>
              <w:bidi w:val="0"/>
              <w:ind w:firstLine="0" w:firstLineChars="0"/>
              <w:rPr>
                <w:rFonts w:hint="default"/>
                <w:lang w:val="en-US"/>
              </w:rPr>
            </w:pPr>
          </w:p>
        </w:tc>
        <w:tc>
          <w:tcPr>
            <w:tcW w:w="645" w:type="pct"/>
            <w:tcBorders>
              <w:tl2br w:val="nil"/>
              <w:tr2bl w:val="nil"/>
            </w:tcBorders>
            <w:shd w:val="clear" w:color="auto" w:fill="auto"/>
            <w:vAlign w:val="center"/>
          </w:tcPr>
          <w:p w14:paraId="32085676">
            <w:pPr>
              <w:pStyle w:val="30"/>
              <w:bidi w:val="0"/>
              <w:rPr>
                <w:rFonts w:hint="eastAsia"/>
                <w:b w:val="0"/>
                <w:bCs/>
              </w:rPr>
            </w:pPr>
            <w:r>
              <w:rPr>
                <w:rFonts w:hint="eastAsia"/>
                <w:b w:val="0"/>
                <w:bCs/>
                <w:lang w:val="en-US" w:eastAsia="zh-CN"/>
              </w:rPr>
              <w:t>1</w:t>
            </w:r>
          </w:p>
        </w:tc>
        <w:tc>
          <w:tcPr>
            <w:tcW w:w="323" w:type="pct"/>
            <w:tcBorders>
              <w:tl2br w:val="nil"/>
              <w:tr2bl w:val="nil"/>
            </w:tcBorders>
            <w:shd w:val="clear" w:color="auto" w:fill="auto"/>
            <w:noWrap/>
            <w:vAlign w:val="center"/>
          </w:tcPr>
          <w:p w14:paraId="1C42A353">
            <w:pPr>
              <w:pStyle w:val="30"/>
              <w:bidi w:val="0"/>
              <w:rPr>
                <w:rFonts w:hint="eastAsia"/>
              </w:rPr>
            </w:pPr>
          </w:p>
        </w:tc>
        <w:tc>
          <w:tcPr>
            <w:tcW w:w="323" w:type="pct"/>
            <w:tcBorders>
              <w:tl2br w:val="nil"/>
              <w:tr2bl w:val="nil"/>
            </w:tcBorders>
            <w:shd w:val="clear" w:color="auto" w:fill="auto"/>
            <w:noWrap/>
            <w:vAlign w:val="center"/>
          </w:tcPr>
          <w:p w14:paraId="339F3D94">
            <w:pPr>
              <w:pStyle w:val="30"/>
              <w:bidi w:val="0"/>
              <w:rPr>
                <w:rFonts w:hint="eastAsia"/>
              </w:rPr>
            </w:pPr>
            <w:r>
              <w:rPr>
                <w:rFonts w:hint="eastAsia"/>
                <w:lang w:val="en-US" w:eastAsia="zh-CN"/>
              </w:rPr>
              <w:drawing>
                <wp:inline distT="0" distB="0" distL="114300" distR="114300">
                  <wp:extent cx="298450" cy="128905"/>
                  <wp:effectExtent l="0" t="0" r="6350" b="4445"/>
                  <wp:docPr id="24" name="矩形_6"/>
                  <wp:cNvGraphicFramePr/>
                  <a:graphic xmlns:a="http://schemas.openxmlformats.org/drawingml/2006/main">
                    <a:graphicData uri="http://schemas.openxmlformats.org/drawingml/2006/picture">
                      <pic:pic xmlns:pic="http://schemas.openxmlformats.org/drawingml/2006/picture">
                        <pic:nvPicPr>
                          <pic:cNvPr id="24" name="矩形_6"/>
                          <pic:cNvPicPr/>
                        </pic:nvPicPr>
                        <pic:blipFill>
                          <a:blip r:embed="rId25"/>
                          <a:stretch>
                            <a:fillRect/>
                          </a:stretch>
                        </pic:blipFill>
                        <pic:spPr>
                          <a:xfrm>
                            <a:off x="0" y="0"/>
                            <a:ext cx="298450" cy="128905"/>
                          </a:xfrm>
                          <a:prstGeom prst="rect">
                            <a:avLst/>
                          </a:prstGeom>
                          <a:noFill/>
                          <a:ln>
                            <a:noFill/>
                          </a:ln>
                        </pic:spPr>
                      </pic:pic>
                    </a:graphicData>
                  </a:graphic>
                </wp:inline>
              </w:drawing>
            </w:r>
          </w:p>
        </w:tc>
        <w:tc>
          <w:tcPr>
            <w:tcW w:w="326" w:type="pct"/>
            <w:tcBorders>
              <w:tl2br w:val="nil"/>
              <w:tr2bl w:val="nil"/>
            </w:tcBorders>
            <w:shd w:val="clear" w:color="auto" w:fill="auto"/>
            <w:noWrap/>
            <w:vAlign w:val="center"/>
          </w:tcPr>
          <w:p w14:paraId="4FFD7D3D">
            <w:pPr>
              <w:pStyle w:val="30"/>
              <w:bidi w:val="0"/>
              <w:rPr>
                <w:rFonts w:hint="eastAsia"/>
              </w:rPr>
            </w:pPr>
          </w:p>
        </w:tc>
        <w:tc>
          <w:tcPr>
            <w:tcW w:w="323" w:type="pct"/>
            <w:tcBorders>
              <w:tl2br w:val="nil"/>
              <w:tr2bl w:val="nil"/>
            </w:tcBorders>
            <w:shd w:val="clear" w:color="auto" w:fill="auto"/>
            <w:noWrap/>
            <w:vAlign w:val="center"/>
          </w:tcPr>
          <w:p w14:paraId="091B566F">
            <w:pPr>
              <w:pStyle w:val="30"/>
              <w:bidi w:val="0"/>
              <w:rPr>
                <w:rFonts w:hint="eastAsia"/>
              </w:rPr>
            </w:pPr>
          </w:p>
        </w:tc>
      </w:tr>
      <w:tr w14:paraId="7695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46" w:type="pct"/>
            <w:tcBorders>
              <w:tl2br w:val="nil"/>
              <w:tr2bl w:val="nil"/>
            </w:tcBorders>
            <w:shd w:val="clear" w:color="auto" w:fill="auto"/>
            <w:vAlign w:val="center"/>
          </w:tcPr>
          <w:p w14:paraId="2380EDEE">
            <w:pPr>
              <w:pStyle w:val="30"/>
              <w:bidi w:val="0"/>
              <w:rPr>
                <w:rFonts w:hint="eastAsia"/>
              </w:rPr>
            </w:pPr>
            <w:r>
              <w:rPr>
                <w:rFonts w:hint="eastAsia"/>
                <w:lang w:val="en-US" w:eastAsia="zh-CN"/>
              </w:rPr>
              <w:t>3</w:t>
            </w:r>
          </w:p>
        </w:tc>
        <w:tc>
          <w:tcPr>
            <w:tcW w:w="1447" w:type="dxa"/>
            <w:tcBorders>
              <w:tl2br w:val="nil"/>
              <w:tr2bl w:val="nil"/>
            </w:tcBorders>
            <w:shd w:val="clear" w:color="auto" w:fill="auto"/>
            <w:vAlign w:val="center"/>
          </w:tcPr>
          <w:p w14:paraId="693C4275">
            <w:pPr>
              <w:pStyle w:val="93"/>
              <w:ind w:firstLine="0" w:firstLineChars="0"/>
              <w:rPr>
                <w:rFonts w:hint="eastAsia"/>
              </w:rPr>
            </w:pPr>
            <w:r>
              <w:rPr>
                <w:rFonts w:hint="eastAsia"/>
                <w:color w:val="auto"/>
                <w:kern w:val="0"/>
                <w:lang w:val="en-US" w:eastAsia="zh-CN"/>
              </w:rPr>
              <w:t>主要结构拆除</w:t>
            </w:r>
          </w:p>
        </w:tc>
        <w:tc>
          <w:tcPr>
            <w:tcW w:w="1734" w:type="dxa"/>
            <w:tcBorders>
              <w:tl2br w:val="nil"/>
              <w:tr2bl w:val="nil"/>
            </w:tcBorders>
            <w:shd w:val="clear" w:color="auto" w:fill="auto"/>
            <w:vAlign w:val="center"/>
          </w:tcPr>
          <w:p w14:paraId="3CD5F564">
            <w:pPr>
              <w:pStyle w:val="30"/>
              <w:bidi w:val="0"/>
              <w:ind w:firstLine="0" w:firstLineChars="0"/>
              <w:rPr>
                <w:rFonts w:hint="default"/>
                <w:lang w:val="en-US"/>
              </w:rPr>
            </w:pPr>
          </w:p>
        </w:tc>
        <w:tc>
          <w:tcPr>
            <w:tcW w:w="1648" w:type="dxa"/>
            <w:tcBorders>
              <w:tl2br w:val="nil"/>
              <w:tr2bl w:val="nil"/>
            </w:tcBorders>
            <w:shd w:val="clear" w:color="auto" w:fill="auto"/>
            <w:vAlign w:val="center"/>
          </w:tcPr>
          <w:p w14:paraId="2E8C1FC7">
            <w:pPr>
              <w:pStyle w:val="30"/>
              <w:bidi w:val="0"/>
              <w:ind w:firstLine="0" w:firstLineChars="0"/>
              <w:rPr>
                <w:rFonts w:hint="default"/>
                <w:lang w:val="en-US"/>
              </w:rPr>
            </w:pPr>
          </w:p>
        </w:tc>
        <w:tc>
          <w:tcPr>
            <w:tcW w:w="645" w:type="pct"/>
            <w:tcBorders>
              <w:tl2br w:val="nil"/>
              <w:tr2bl w:val="nil"/>
            </w:tcBorders>
            <w:shd w:val="clear" w:color="auto" w:fill="auto"/>
            <w:vAlign w:val="center"/>
          </w:tcPr>
          <w:p w14:paraId="3FCF5F24">
            <w:pPr>
              <w:pStyle w:val="30"/>
              <w:bidi w:val="0"/>
              <w:rPr>
                <w:rFonts w:hint="eastAsia"/>
                <w:b w:val="0"/>
                <w:bCs/>
              </w:rPr>
            </w:pPr>
            <w:r>
              <w:rPr>
                <w:rFonts w:hint="eastAsia"/>
                <w:b w:val="0"/>
                <w:bCs/>
                <w:lang w:val="en-US" w:eastAsia="zh-CN"/>
              </w:rPr>
              <w:t>1</w:t>
            </w:r>
          </w:p>
        </w:tc>
        <w:tc>
          <w:tcPr>
            <w:tcW w:w="323" w:type="pct"/>
            <w:tcBorders>
              <w:tl2br w:val="nil"/>
              <w:tr2bl w:val="nil"/>
            </w:tcBorders>
            <w:shd w:val="clear" w:color="auto" w:fill="auto"/>
            <w:noWrap/>
            <w:vAlign w:val="center"/>
          </w:tcPr>
          <w:p w14:paraId="4BC2A83B">
            <w:pPr>
              <w:pStyle w:val="30"/>
              <w:bidi w:val="0"/>
              <w:rPr>
                <w:rFonts w:hint="eastAsia"/>
              </w:rPr>
            </w:pPr>
          </w:p>
        </w:tc>
        <w:tc>
          <w:tcPr>
            <w:tcW w:w="323" w:type="pct"/>
            <w:tcBorders>
              <w:tl2br w:val="nil"/>
              <w:tr2bl w:val="nil"/>
            </w:tcBorders>
            <w:shd w:val="clear" w:color="auto" w:fill="auto"/>
            <w:noWrap/>
            <w:vAlign w:val="center"/>
          </w:tcPr>
          <w:p w14:paraId="4A7CBD63">
            <w:pPr>
              <w:pStyle w:val="30"/>
              <w:bidi w:val="0"/>
              <w:rPr>
                <w:rFonts w:hint="eastAsia"/>
              </w:rPr>
            </w:pPr>
          </w:p>
        </w:tc>
        <w:tc>
          <w:tcPr>
            <w:tcW w:w="326" w:type="pct"/>
            <w:tcBorders>
              <w:tl2br w:val="nil"/>
              <w:tr2bl w:val="nil"/>
            </w:tcBorders>
            <w:shd w:val="clear" w:color="auto" w:fill="auto"/>
            <w:noWrap/>
            <w:vAlign w:val="center"/>
          </w:tcPr>
          <w:p w14:paraId="4858439B">
            <w:pPr>
              <w:pStyle w:val="30"/>
              <w:bidi w:val="0"/>
              <w:rPr>
                <w:rFonts w:hint="eastAsia"/>
              </w:rPr>
            </w:pPr>
            <w:r>
              <w:rPr>
                <w:rFonts w:hint="eastAsia"/>
                <w:lang w:val="en-US" w:eastAsia="zh-CN"/>
              </w:rPr>
              <w:drawing>
                <wp:inline distT="0" distB="0" distL="114300" distR="114300">
                  <wp:extent cx="298450" cy="128905"/>
                  <wp:effectExtent l="0" t="0" r="6350" b="4445"/>
                  <wp:docPr id="29" name="矩形_6"/>
                  <wp:cNvGraphicFramePr/>
                  <a:graphic xmlns:a="http://schemas.openxmlformats.org/drawingml/2006/main">
                    <a:graphicData uri="http://schemas.openxmlformats.org/drawingml/2006/picture">
                      <pic:pic xmlns:pic="http://schemas.openxmlformats.org/drawingml/2006/picture">
                        <pic:nvPicPr>
                          <pic:cNvPr id="29" name="矩形_6"/>
                          <pic:cNvPicPr/>
                        </pic:nvPicPr>
                        <pic:blipFill>
                          <a:blip r:embed="rId25"/>
                          <a:stretch>
                            <a:fillRect/>
                          </a:stretch>
                        </pic:blipFill>
                        <pic:spPr>
                          <a:xfrm>
                            <a:off x="0" y="0"/>
                            <a:ext cx="298450" cy="128905"/>
                          </a:xfrm>
                          <a:prstGeom prst="rect">
                            <a:avLst/>
                          </a:prstGeom>
                          <a:noFill/>
                          <a:ln>
                            <a:noFill/>
                          </a:ln>
                        </pic:spPr>
                      </pic:pic>
                    </a:graphicData>
                  </a:graphic>
                </wp:inline>
              </w:drawing>
            </w:r>
          </w:p>
        </w:tc>
        <w:tc>
          <w:tcPr>
            <w:tcW w:w="323" w:type="pct"/>
            <w:tcBorders>
              <w:tl2br w:val="nil"/>
              <w:tr2bl w:val="nil"/>
            </w:tcBorders>
            <w:shd w:val="clear" w:color="auto" w:fill="auto"/>
            <w:noWrap/>
            <w:vAlign w:val="center"/>
          </w:tcPr>
          <w:p w14:paraId="0A8CB161">
            <w:pPr>
              <w:pStyle w:val="30"/>
              <w:bidi w:val="0"/>
              <w:rPr>
                <w:rFonts w:hint="eastAsia"/>
              </w:rPr>
            </w:pPr>
          </w:p>
        </w:tc>
      </w:tr>
    </w:tbl>
    <w:p w14:paraId="585EE0F9">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3" w:name="_Toc31597"/>
      <w:r>
        <w:rPr>
          <w:rFonts w:hint="eastAsia"/>
          <w:color w:val="auto"/>
        </w:rPr>
        <w:t>材料计划</w:t>
      </w:r>
      <w:bookmarkEnd w:id="80"/>
      <w:bookmarkEnd w:id="81"/>
      <w:bookmarkEnd w:id="82"/>
      <w:bookmarkEnd w:id="83"/>
    </w:p>
    <w:p w14:paraId="4EA0F7F5">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w:t>
      </w:r>
      <w:r>
        <w:rPr>
          <w:rFonts w:hint="eastAsia" w:ascii="Times New Roman" w:hAnsi="Times New Roman" w:cs="Times New Roman"/>
          <w:color w:val="auto"/>
          <w:kern w:val="2"/>
          <w:lang w:eastAsia="zh-CN"/>
        </w:rPr>
        <w:t>的</w:t>
      </w:r>
      <w:r>
        <w:rPr>
          <w:rFonts w:hint="eastAsia" w:ascii="Times New Roman" w:hAnsi="Times New Roman" w:cs="Times New Roman"/>
          <w:color w:val="auto"/>
          <w:kern w:val="2"/>
        </w:rPr>
        <w:t>各类检测仪器应处于有效的检定期内，以保持其检定和校准状态的可信度，达到仪器在使用过程中性能保证的目的。</w:t>
      </w:r>
    </w:p>
    <w:p w14:paraId="75A64DAE">
      <w:pPr>
        <w:pStyle w:val="48"/>
        <w:numPr>
          <w:ilvl w:val="0"/>
          <w:numId w:val="11"/>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23F9BB07">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-1</w:t>
      </w:r>
      <w:r>
        <w:rPr>
          <w:rFonts w:hint="eastAsia" w:ascii="宋体" w:hAnsi="宋体" w:cs="黑体"/>
          <w:b/>
          <w:color w:val="auto"/>
          <w:sz w:val="21"/>
          <w:szCs w:val="21"/>
        </w:rPr>
        <w:t xml:space="preserve"> 测量仪器、仪表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455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B691ABC">
            <w:pPr>
              <w:pStyle w:val="44"/>
              <w:spacing w:before="60"/>
              <w:rPr>
                <w:color w:val="auto"/>
                <w:sz w:val="21"/>
                <w:szCs w:val="21"/>
              </w:rPr>
            </w:pPr>
            <w:r>
              <w:rPr>
                <w:rFonts w:hint="eastAsia"/>
                <w:color w:val="auto"/>
                <w:sz w:val="21"/>
                <w:szCs w:val="21"/>
              </w:rPr>
              <w:t>序号</w:t>
            </w:r>
          </w:p>
        </w:tc>
        <w:tc>
          <w:tcPr>
            <w:tcW w:w="1355" w:type="dxa"/>
            <w:noWrap w:val="0"/>
            <w:vAlign w:val="center"/>
          </w:tcPr>
          <w:p w14:paraId="3A0F4446">
            <w:pPr>
              <w:pStyle w:val="44"/>
              <w:spacing w:before="60"/>
              <w:rPr>
                <w:color w:val="auto"/>
                <w:sz w:val="21"/>
                <w:szCs w:val="21"/>
              </w:rPr>
            </w:pPr>
            <w:r>
              <w:rPr>
                <w:rFonts w:hint="eastAsia"/>
                <w:color w:val="auto"/>
                <w:sz w:val="21"/>
                <w:szCs w:val="21"/>
              </w:rPr>
              <w:t>名称</w:t>
            </w:r>
          </w:p>
        </w:tc>
        <w:tc>
          <w:tcPr>
            <w:tcW w:w="992" w:type="dxa"/>
            <w:noWrap w:val="0"/>
            <w:vAlign w:val="center"/>
          </w:tcPr>
          <w:p w14:paraId="485210C6">
            <w:pPr>
              <w:pStyle w:val="44"/>
              <w:spacing w:before="60"/>
              <w:rPr>
                <w:color w:val="auto"/>
                <w:sz w:val="21"/>
                <w:szCs w:val="21"/>
              </w:rPr>
            </w:pPr>
            <w:r>
              <w:rPr>
                <w:rFonts w:hint="eastAsia"/>
                <w:color w:val="auto"/>
                <w:sz w:val="21"/>
                <w:szCs w:val="21"/>
              </w:rPr>
              <w:t>规格</w:t>
            </w:r>
          </w:p>
        </w:tc>
        <w:tc>
          <w:tcPr>
            <w:tcW w:w="1276" w:type="dxa"/>
            <w:noWrap w:val="0"/>
            <w:vAlign w:val="center"/>
          </w:tcPr>
          <w:p w14:paraId="2213DD28">
            <w:pPr>
              <w:pStyle w:val="44"/>
              <w:spacing w:before="60"/>
              <w:rPr>
                <w:color w:val="auto"/>
                <w:sz w:val="21"/>
                <w:szCs w:val="21"/>
              </w:rPr>
            </w:pPr>
            <w:r>
              <w:rPr>
                <w:rFonts w:hint="eastAsia"/>
                <w:color w:val="auto"/>
                <w:sz w:val="21"/>
                <w:szCs w:val="21"/>
              </w:rPr>
              <w:t>精度等级</w:t>
            </w:r>
          </w:p>
        </w:tc>
        <w:tc>
          <w:tcPr>
            <w:tcW w:w="850" w:type="dxa"/>
            <w:noWrap w:val="0"/>
            <w:vAlign w:val="center"/>
          </w:tcPr>
          <w:p w14:paraId="04D04A0C">
            <w:pPr>
              <w:pStyle w:val="44"/>
              <w:spacing w:before="60"/>
              <w:rPr>
                <w:color w:val="auto"/>
                <w:sz w:val="21"/>
                <w:szCs w:val="21"/>
              </w:rPr>
            </w:pPr>
            <w:r>
              <w:rPr>
                <w:rFonts w:hint="eastAsia"/>
                <w:color w:val="auto"/>
                <w:sz w:val="21"/>
                <w:szCs w:val="21"/>
              </w:rPr>
              <w:t>单位</w:t>
            </w:r>
          </w:p>
        </w:tc>
        <w:tc>
          <w:tcPr>
            <w:tcW w:w="709" w:type="dxa"/>
            <w:noWrap w:val="0"/>
            <w:vAlign w:val="center"/>
          </w:tcPr>
          <w:p w14:paraId="125D3611">
            <w:pPr>
              <w:pStyle w:val="44"/>
              <w:spacing w:before="60"/>
              <w:rPr>
                <w:color w:val="auto"/>
                <w:sz w:val="21"/>
                <w:szCs w:val="21"/>
              </w:rPr>
            </w:pPr>
            <w:r>
              <w:rPr>
                <w:rFonts w:hint="eastAsia"/>
                <w:color w:val="auto"/>
                <w:sz w:val="21"/>
                <w:szCs w:val="21"/>
              </w:rPr>
              <w:t>数量</w:t>
            </w:r>
          </w:p>
        </w:tc>
        <w:tc>
          <w:tcPr>
            <w:tcW w:w="2693" w:type="dxa"/>
            <w:noWrap w:val="0"/>
            <w:vAlign w:val="center"/>
          </w:tcPr>
          <w:p w14:paraId="3435F57D">
            <w:pPr>
              <w:pStyle w:val="44"/>
              <w:spacing w:before="60"/>
              <w:rPr>
                <w:color w:val="auto"/>
                <w:sz w:val="21"/>
                <w:szCs w:val="21"/>
              </w:rPr>
            </w:pPr>
            <w:r>
              <w:rPr>
                <w:rFonts w:hint="eastAsia"/>
                <w:color w:val="auto"/>
                <w:sz w:val="21"/>
                <w:szCs w:val="21"/>
              </w:rPr>
              <w:t>备注</w:t>
            </w:r>
          </w:p>
        </w:tc>
      </w:tr>
      <w:tr w14:paraId="697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3D4FA570">
            <w:pPr>
              <w:pStyle w:val="44"/>
              <w:spacing w:before="60"/>
              <w:rPr>
                <w:color w:val="auto"/>
                <w:sz w:val="21"/>
                <w:szCs w:val="21"/>
              </w:rPr>
            </w:pPr>
            <w:r>
              <w:rPr>
                <w:rFonts w:hint="eastAsia"/>
                <w:color w:val="auto"/>
                <w:sz w:val="21"/>
                <w:szCs w:val="21"/>
              </w:rPr>
              <w:t>1</w:t>
            </w:r>
          </w:p>
        </w:tc>
        <w:tc>
          <w:tcPr>
            <w:tcW w:w="1355" w:type="dxa"/>
            <w:noWrap w:val="0"/>
            <w:vAlign w:val="center"/>
          </w:tcPr>
          <w:p w14:paraId="0C59994C">
            <w:pPr>
              <w:pStyle w:val="44"/>
              <w:spacing w:before="60"/>
              <w:rPr>
                <w:color w:val="auto"/>
                <w:sz w:val="21"/>
                <w:szCs w:val="21"/>
              </w:rPr>
            </w:pPr>
            <w:r>
              <w:rPr>
                <w:rFonts w:hint="eastAsia"/>
                <w:color w:val="auto"/>
                <w:sz w:val="21"/>
                <w:szCs w:val="21"/>
              </w:rPr>
              <w:t>水准仪</w:t>
            </w:r>
          </w:p>
        </w:tc>
        <w:tc>
          <w:tcPr>
            <w:tcW w:w="992" w:type="dxa"/>
            <w:noWrap w:val="0"/>
            <w:vAlign w:val="center"/>
          </w:tcPr>
          <w:p w14:paraId="76DF34DB">
            <w:pPr>
              <w:pStyle w:val="44"/>
              <w:spacing w:before="60"/>
              <w:rPr>
                <w:color w:val="auto"/>
                <w:sz w:val="21"/>
                <w:szCs w:val="21"/>
              </w:rPr>
            </w:pPr>
            <w:r>
              <w:rPr>
                <w:rFonts w:hint="eastAsia"/>
                <w:color w:val="auto"/>
                <w:sz w:val="21"/>
                <w:szCs w:val="21"/>
              </w:rPr>
              <w:t>NA2</w:t>
            </w:r>
          </w:p>
        </w:tc>
        <w:tc>
          <w:tcPr>
            <w:tcW w:w="1276" w:type="dxa"/>
            <w:noWrap w:val="0"/>
            <w:vAlign w:val="center"/>
          </w:tcPr>
          <w:p w14:paraId="1407C204">
            <w:pPr>
              <w:pStyle w:val="44"/>
              <w:spacing w:before="60"/>
              <w:rPr>
                <w:color w:val="auto"/>
                <w:sz w:val="21"/>
                <w:szCs w:val="21"/>
              </w:rPr>
            </w:pPr>
            <w:r>
              <w:rPr>
                <w:rFonts w:hint="eastAsia"/>
                <w:color w:val="auto"/>
                <w:sz w:val="21"/>
                <w:szCs w:val="21"/>
              </w:rPr>
              <w:t>0.5mm</w:t>
            </w:r>
          </w:p>
        </w:tc>
        <w:tc>
          <w:tcPr>
            <w:tcW w:w="850" w:type="dxa"/>
            <w:noWrap w:val="0"/>
            <w:vAlign w:val="center"/>
          </w:tcPr>
          <w:p w14:paraId="5D793CD0">
            <w:pPr>
              <w:pStyle w:val="44"/>
              <w:spacing w:before="60"/>
              <w:rPr>
                <w:color w:val="auto"/>
                <w:sz w:val="21"/>
                <w:szCs w:val="21"/>
              </w:rPr>
            </w:pPr>
            <w:r>
              <w:rPr>
                <w:rFonts w:hint="eastAsia"/>
                <w:color w:val="auto"/>
                <w:sz w:val="21"/>
                <w:szCs w:val="21"/>
              </w:rPr>
              <w:t>台</w:t>
            </w:r>
          </w:p>
        </w:tc>
        <w:tc>
          <w:tcPr>
            <w:tcW w:w="709" w:type="dxa"/>
            <w:noWrap w:val="0"/>
            <w:vAlign w:val="center"/>
          </w:tcPr>
          <w:p w14:paraId="5CEE40EB">
            <w:pPr>
              <w:pStyle w:val="44"/>
              <w:spacing w:before="60"/>
              <w:rPr>
                <w:color w:val="auto"/>
                <w:sz w:val="21"/>
                <w:szCs w:val="21"/>
              </w:rPr>
            </w:pPr>
            <w:r>
              <w:rPr>
                <w:rFonts w:hint="eastAsia"/>
                <w:color w:val="auto"/>
                <w:sz w:val="21"/>
                <w:szCs w:val="21"/>
              </w:rPr>
              <w:t>1</w:t>
            </w:r>
          </w:p>
        </w:tc>
        <w:tc>
          <w:tcPr>
            <w:tcW w:w="2693" w:type="dxa"/>
            <w:noWrap w:val="0"/>
            <w:vAlign w:val="center"/>
          </w:tcPr>
          <w:p w14:paraId="115698AC">
            <w:pPr>
              <w:pStyle w:val="44"/>
              <w:spacing w:before="60"/>
              <w:rPr>
                <w:color w:val="auto"/>
                <w:sz w:val="21"/>
                <w:szCs w:val="21"/>
              </w:rPr>
            </w:pPr>
            <w:r>
              <w:rPr>
                <w:rFonts w:hint="eastAsia"/>
                <w:color w:val="auto"/>
                <w:sz w:val="21"/>
                <w:szCs w:val="21"/>
              </w:rPr>
              <w:t>检验合格并在有效期内</w:t>
            </w:r>
          </w:p>
        </w:tc>
      </w:tr>
      <w:tr w14:paraId="6FF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6ECBB6C">
            <w:pPr>
              <w:pStyle w:val="44"/>
              <w:spacing w:before="60"/>
              <w:rPr>
                <w:color w:val="auto"/>
                <w:sz w:val="21"/>
                <w:szCs w:val="21"/>
              </w:rPr>
            </w:pPr>
            <w:r>
              <w:rPr>
                <w:rFonts w:hint="eastAsia"/>
                <w:color w:val="auto"/>
                <w:sz w:val="21"/>
                <w:szCs w:val="21"/>
              </w:rPr>
              <w:t>2</w:t>
            </w:r>
          </w:p>
        </w:tc>
        <w:tc>
          <w:tcPr>
            <w:tcW w:w="1355" w:type="dxa"/>
            <w:noWrap w:val="0"/>
            <w:vAlign w:val="center"/>
          </w:tcPr>
          <w:p w14:paraId="3AF748D0">
            <w:pPr>
              <w:pStyle w:val="44"/>
              <w:spacing w:before="60"/>
              <w:rPr>
                <w:color w:val="auto"/>
                <w:sz w:val="21"/>
                <w:szCs w:val="21"/>
              </w:rPr>
            </w:pPr>
            <w:r>
              <w:rPr>
                <w:rFonts w:hint="eastAsia"/>
                <w:color w:val="auto"/>
                <w:sz w:val="21"/>
                <w:szCs w:val="21"/>
              </w:rPr>
              <w:t>经纬仪</w:t>
            </w:r>
          </w:p>
        </w:tc>
        <w:tc>
          <w:tcPr>
            <w:tcW w:w="992" w:type="dxa"/>
            <w:noWrap w:val="0"/>
            <w:vAlign w:val="center"/>
          </w:tcPr>
          <w:p w14:paraId="0DB8245F">
            <w:pPr>
              <w:pStyle w:val="44"/>
              <w:spacing w:before="60"/>
              <w:rPr>
                <w:color w:val="auto"/>
                <w:sz w:val="21"/>
                <w:szCs w:val="21"/>
              </w:rPr>
            </w:pPr>
            <w:r>
              <w:rPr>
                <w:rFonts w:hint="eastAsia"/>
                <w:color w:val="auto"/>
                <w:sz w:val="21"/>
                <w:szCs w:val="21"/>
              </w:rPr>
              <w:t>TDJ2E</w:t>
            </w:r>
          </w:p>
        </w:tc>
        <w:tc>
          <w:tcPr>
            <w:tcW w:w="1276" w:type="dxa"/>
            <w:noWrap w:val="0"/>
            <w:vAlign w:val="center"/>
          </w:tcPr>
          <w:p w14:paraId="4AC840BC">
            <w:pPr>
              <w:pStyle w:val="44"/>
              <w:spacing w:before="60"/>
              <w:rPr>
                <w:color w:val="auto"/>
                <w:sz w:val="21"/>
                <w:szCs w:val="21"/>
              </w:rPr>
            </w:pPr>
            <w:r>
              <w:rPr>
                <w:rFonts w:hint="eastAsia"/>
                <w:color w:val="auto"/>
                <w:sz w:val="21"/>
                <w:szCs w:val="21"/>
              </w:rPr>
              <w:t>6″</w:t>
            </w:r>
          </w:p>
        </w:tc>
        <w:tc>
          <w:tcPr>
            <w:tcW w:w="850" w:type="dxa"/>
            <w:noWrap w:val="0"/>
            <w:vAlign w:val="center"/>
          </w:tcPr>
          <w:p w14:paraId="69955BEF">
            <w:pPr>
              <w:pStyle w:val="44"/>
              <w:spacing w:before="60"/>
              <w:rPr>
                <w:color w:val="auto"/>
                <w:sz w:val="21"/>
                <w:szCs w:val="21"/>
              </w:rPr>
            </w:pPr>
            <w:r>
              <w:rPr>
                <w:rFonts w:hint="eastAsia"/>
                <w:color w:val="auto"/>
                <w:sz w:val="21"/>
                <w:szCs w:val="21"/>
              </w:rPr>
              <w:t>台</w:t>
            </w:r>
          </w:p>
        </w:tc>
        <w:tc>
          <w:tcPr>
            <w:tcW w:w="709" w:type="dxa"/>
            <w:noWrap w:val="0"/>
            <w:vAlign w:val="center"/>
          </w:tcPr>
          <w:p w14:paraId="209F505F">
            <w:pPr>
              <w:pStyle w:val="44"/>
              <w:spacing w:before="60"/>
              <w:rPr>
                <w:color w:val="auto"/>
                <w:sz w:val="21"/>
                <w:szCs w:val="21"/>
              </w:rPr>
            </w:pPr>
            <w:r>
              <w:rPr>
                <w:rFonts w:hint="eastAsia"/>
                <w:color w:val="auto"/>
                <w:sz w:val="21"/>
                <w:szCs w:val="21"/>
              </w:rPr>
              <w:t>1</w:t>
            </w:r>
          </w:p>
        </w:tc>
        <w:tc>
          <w:tcPr>
            <w:tcW w:w="2693" w:type="dxa"/>
            <w:noWrap w:val="0"/>
            <w:vAlign w:val="center"/>
          </w:tcPr>
          <w:p w14:paraId="71A10384">
            <w:pPr>
              <w:pStyle w:val="44"/>
              <w:spacing w:before="60"/>
              <w:rPr>
                <w:color w:val="auto"/>
                <w:sz w:val="21"/>
                <w:szCs w:val="21"/>
              </w:rPr>
            </w:pPr>
            <w:r>
              <w:rPr>
                <w:rFonts w:hint="eastAsia"/>
                <w:color w:val="auto"/>
                <w:sz w:val="21"/>
                <w:szCs w:val="21"/>
              </w:rPr>
              <w:t>检验合格并在有效期内</w:t>
            </w:r>
          </w:p>
        </w:tc>
      </w:tr>
    </w:tbl>
    <w:p w14:paraId="7215FD92">
      <w:pPr>
        <w:ind w:firstLine="480"/>
        <w:rPr>
          <w:color w:val="auto"/>
        </w:rPr>
      </w:pPr>
      <w:r>
        <w:rPr>
          <w:rFonts w:hint="eastAsia"/>
          <w:color w:val="auto"/>
        </w:rPr>
        <w:t>（2）作业工机具统计表：</w:t>
      </w:r>
    </w:p>
    <w:p w14:paraId="62884BEC">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-2</w:t>
      </w:r>
      <w:r>
        <w:rPr>
          <w:rFonts w:hint="eastAsia" w:ascii="宋体" w:hAnsi="宋体" w:cs="黑体"/>
          <w:b/>
          <w:color w:val="auto"/>
          <w:sz w:val="21"/>
          <w:szCs w:val="21"/>
        </w:rPr>
        <w:t xml:space="preserve"> 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5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1698761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66AD8A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0439C46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45F7F9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252FE98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78F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2D3CC6CC">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9BB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69C55E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1F15B7C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216A587">
            <w:pPr>
              <w:pStyle w:val="44"/>
              <w:keepNext w:val="0"/>
              <w:keepLines w:val="0"/>
              <w:pageBreakBefore w:val="0"/>
              <w:widowControl w:val="0"/>
              <w:kinsoku/>
              <w:wordWrap/>
              <w:overflowPunct/>
              <w:topLinePunct w:val="0"/>
              <w:autoSpaceDE/>
              <w:autoSpaceDN/>
              <w:bidi w:val="0"/>
              <w:spacing w:before="60" w:line="240" w:lineRule="auto"/>
              <w:ind w:firstLine="0" w:firstLineChars="0"/>
              <w:rPr>
                <w:rFonts w:hint="default" w:ascii="宋体" w:hAnsi="宋体" w:eastAsia="宋体" w:cs="宋体"/>
                <w:color w:val="auto"/>
                <w:sz w:val="21"/>
                <w:szCs w:val="21"/>
                <w:highlight w:val="yellow"/>
                <w:lang w:val="en-US" w:eastAsia="zh-CN"/>
              </w:rPr>
            </w:pPr>
            <w:r>
              <w:rPr>
                <w:rFonts w:hint="eastAsia"/>
                <w:highlight w:val="none"/>
              </w:rPr>
              <w:t>12mm</w:t>
            </w:r>
            <w:r>
              <w:rPr>
                <w:rFonts w:hint="eastAsia"/>
                <w:highlight w:val="none"/>
                <w:lang w:eastAsia="zh-CN"/>
              </w:rPr>
              <w:t>6×19W+IWR</w:t>
            </w:r>
            <w:r>
              <w:rPr>
                <w:rFonts w:hint="eastAsia"/>
                <w:highlight w:val="none"/>
              </w:rPr>
              <w:t>1870Mpa</w:t>
            </w:r>
          </w:p>
        </w:tc>
        <w:tc>
          <w:tcPr>
            <w:tcW w:w="770" w:type="dxa"/>
            <w:noWrap w:val="0"/>
            <w:vAlign w:val="center"/>
          </w:tcPr>
          <w:p w14:paraId="26D5CFA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76B64E6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F6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1C7B59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5740EDB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463CD3A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6C60D14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9859F0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6F5C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47081512">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cs="宋体"/>
                <w:b/>
                <w:color w:val="auto"/>
                <w:sz w:val="21"/>
                <w:szCs w:val="21"/>
                <w:lang w:val="en-US" w:eastAsia="zh-CN"/>
              </w:rPr>
              <w:t>二</w:t>
            </w:r>
            <w:r>
              <w:rPr>
                <w:rFonts w:hint="eastAsia" w:ascii="宋体" w:hAnsi="宋体" w:eastAsia="宋体" w:cs="宋体"/>
                <w:b/>
                <w:color w:val="auto"/>
                <w:sz w:val="21"/>
                <w:szCs w:val="21"/>
              </w:rPr>
              <w:t>、主要工具表</w:t>
            </w:r>
          </w:p>
        </w:tc>
      </w:tr>
      <w:tr w14:paraId="755C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32907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5F49EA0">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7EF7950A">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2E08302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6AC6537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拼装、</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2B6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C2A1B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51E5D74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78E7199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40DEE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114FD99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080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BE4BCD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D05136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2348ED4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0B5FAAB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41B95A3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5C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63ECE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310D290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3993144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2B72AC7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4624E36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0A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5C4B30A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027BC6C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89A8A7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1C460F7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66EA80C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0D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D0FCB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049391D0">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63B10C5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427E04A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022F5F3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74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A4E9D5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3AF960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2EAB6C2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6EC382A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9F8965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FB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DAD6D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6F12023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3927EA5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4521C55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3A209EF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C42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0B5EE0BE">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w:t>
            </w:r>
            <w:r>
              <w:rPr>
                <w:rFonts w:hint="eastAsia" w:ascii="宋体" w:hAnsi="宋体" w:eastAsia="宋体" w:cs="宋体"/>
                <w:b/>
                <w:color w:val="auto"/>
                <w:sz w:val="21"/>
                <w:szCs w:val="21"/>
              </w:rPr>
              <w:t>、其他机具材料</w:t>
            </w:r>
          </w:p>
        </w:tc>
      </w:tr>
      <w:tr w14:paraId="47E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AD1366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2E99320A">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264E7BE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35E1652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403866F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360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CC00E2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47E9D39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7D8286F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012821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08C5BF7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593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0E8D3E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06929C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14FE2B0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6011C7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31FB508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42E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58D9E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1583F58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559CCE5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422FC26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4B08B14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5BB7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4158A7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230BE4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50914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782E41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774018B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57B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806C6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23E378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4F236BD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1D780F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05C1B18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eastAsia="zh-CN"/>
              </w:rPr>
            </w:pPr>
          </w:p>
        </w:tc>
      </w:tr>
      <w:tr w14:paraId="036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2DDF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2131D3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581D1BE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707A1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037F76DB">
            <w:pPr>
              <w:pStyle w:val="44"/>
              <w:spacing w:before="60"/>
              <w:rPr>
                <w:rFonts w:hint="eastAsia" w:ascii="宋体" w:hAnsi="宋体" w:eastAsia="宋体" w:cs="宋体"/>
                <w:color w:val="auto"/>
                <w:sz w:val="21"/>
                <w:szCs w:val="21"/>
              </w:rPr>
            </w:pPr>
          </w:p>
        </w:tc>
      </w:tr>
    </w:tbl>
    <w:p w14:paraId="30A420F7">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4" w:name="_Toc28613961"/>
      <w:bookmarkStart w:id="85" w:name="_Toc40778435"/>
      <w:bookmarkStart w:id="86" w:name="_Toc3717"/>
      <w:bookmarkStart w:id="87" w:name="_Toc29143"/>
      <w:bookmarkStart w:id="88" w:name="_Toc8876"/>
      <w:r>
        <w:rPr>
          <w:rFonts w:hint="eastAsia"/>
          <w:color w:val="auto"/>
        </w:rPr>
        <w:t>设备计划</w:t>
      </w:r>
      <w:bookmarkEnd w:id="84"/>
      <w:bookmarkEnd w:id="85"/>
      <w:bookmarkEnd w:id="86"/>
      <w:bookmarkEnd w:id="87"/>
      <w:bookmarkEnd w:id="88"/>
    </w:p>
    <w:p w14:paraId="3905C362">
      <w:pPr>
        <w:ind w:firstLine="422"/>
        <w:jc w:val="center"/>
        <w:rPr>
          <w:rFonts w:ascii="宋体" w:hAnsi="宋体" w:cs="黑体"/>
          <w:b/>
          <w:color w:val="auto"/>
          <w:sz w:val="21"/>
          <w:szCs w:val="21"/>
        </w:rPr>
      </w:pPr>
      <w:bookmarkStart w:id="89" w:name="_Toc31407"/>
      <w:bookmarkStart w:id="90" w:name="_Toc40778436"/>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26"/>
        <w:gridCol w:w="2428"/>
        <w:gridCol w:w="770"/>
        <w:gridCol w:w="2863"/>
      </w:tblGrid>
      <w:tr w14:paraId="6CD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F15A446">
            <w:pPr>
              <w:pStyle w:val="44"/>
              <w:spacing w:before="60"/>
              <w:rPr>
                <w:rFonts w:hint="eastAsia"/>
                <w:color w:val="auto"/>
                <w:sz w:val="21"/>
                <w:szCs w:val="21"/>
              </w:rPr>
            </w:pPr>
            <w:r>
              <w:rPr>
                <w:rFonts w:hint="eastAsia"/>
                <w:color w:val="auto"/>
                <w:sz w:val="21"/>
                <w:szCs w:val="21"/>
              </w:rPr>
              <w:t>序号</w:t>
            </w:r>
          </w:p>
        </w:tc>
        <w:tc>
          <w:tcPr>
            <w:tcW w:w="1426" w:type="dxa"/>
            <w:tcBorders>
              <w:top w:val="double" w:color="auto" w:sz="4" w:space="0"/>
            </w:tcBorders>
            <w:shd w:val="clear" w:color="auto" w:fill="DEEBF6"/>
            <w:noWrap w:val="0"/>
            <w:vAlign w:val="center"/>
          </w:tcPr>
          <w:p w14:paraId="2D7CC33A">
            <w:pPr>
              <w:pStyle w:val="44"/>
              <w:spacing w:before="60"/>
              <w:rPr>
                <w:rFonts w:hint="eastAsia"/>
                <w:color w:val="auto"/>
                <w:sz w:val="21"/>
                <w:szCs w:val="21"/>
              </w:rPr>
            </w:pPr>
            <w:r>
              <w:rPr>
                <w:rFonts w:hint="eastAsia"/>
                <w:color w:val="auto"/>
                <w:sz w:val="21"/>
                <w:szCs w:val="21"/>
              </w:rPr>
              <w:t>名称</w:t>
            </w:r>
          </w:p>
        </w:tc>
        <w:tc>
          <w:tcPr>
            <w:tcW w:w="2428" w:type="dxa"/>
            <w:tcBorders>
              <w:top w:val="double" w:color="auto" w:sz="4" w:space="0"/>
            </w:tcBorders>
            <w:shd w:val="clear" w:color="auto" w:fill="DEEBF6"/>
            <w:noWrap w:val="0"/>
            <w:vAlign w:val="center"/>
          </w:tcPr>
          <w:p w14:paraId="6C4AE46E">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F15471C">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7514EBCB">
            <w:pPr>
              <w:pStyle w:val="44"/>
              <w:spacing w:before="60"/>
              <w:rPr>
                <w:rFonts w:hint="eastAsia"/>
                <w:color w:val="auto"/>
                <w:sz w:val="21"/>
                <w:szCs w:val="21"/>
              </w:rPr>
            </w:pPr>
            <w:r>
              <w:rPr>
                <w:rFonts w:hint="eastAsia"/>
                <w:color w:val="auto"/>
                <w:sz w:val="21"/>
                <w:szCs w:val="21"/>
              </w:rPr>
              <w:t>备注</w:t>
            </w:r>
          </w:p>
        </w:tc>
      </w:tr>
      <w:tr w14:paraId="5CD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14:paraId="6408E02D">
            <w:pPr>
              <w:pStyle w:val="44"/>
              <w:spacing w:before="60"/>
              <w:rPr>
                <w:rFonts w:hint="eastAsia"/>
                <w:color w:val="auto"/>
                <w:sz w:val="21"/>
                <w:szCs w:val="21"/>
              </w:rPr>
            </w:pPr>
            <w:r>
              <w:rPr>
                <w:rFonts w:hint="eastAsia"/>
                <w:color w:val="auto"/>
                <w:sz w:val="21"/>
                <w:szCs w:val="21"/>
              </w:rPr>
              <w:t>1</w:t>
            </w:r>
          </w:p>
        </w:tc>
        <w:tc>
          <w:tcPr>
            <w:tcW w:w="1426" w:type="dxa"/>
            <w:noWrap w:val="0"/>
            <w:vAlign w:val="center"/>
          </w:tcPr>
          <w:p w14:paraId="4989707B">
            <w:pPr>
              <w:pStyle w:val="44"/>
              <w:spacing w:before="60"/>
              <w:rPr>
                <w:rFonts w:hint="default" w:eastAsia="宋体"/>
                <w:color w:val="auto"/>
                <w:sz w:val="21"/>
                <w:szCs w:val="21"/>
                <w:lang w:val="en-US" w:eastAsia="zh-CN"/>
              </w:rPr>
            </w:pPr>
            <w:r>
              <w:rPr>
                <w:rFonts w:hint="eastAsia"/>
                <w:color w:val="auto"/>
                <w:sz w:val="21"/>
                <w:szCs w:val="21"/>
                <w:lang w:val="en-US" w:eastAsia="zh-CN"/>
              </w:rPr>
              <w:t>汽车吊</w:t>
            </w:r>
          </w:p>
        </w:tc>
        <w:tc>
          <w:tcPr>
            <w:tcW w:w="2428" w:type="dxa"/>
            <w:noWrap w:val="0"/>
            <w:vAlign w:val="center"/>
          </w:tcPr>
          <w:p w14:paraId="27833989">
            <w:pPr>
              <w:pStyle w:val="44"/>
              <w:spacing w:before="60"/>
              <w:jc w:val="center"/>
              <w:rPr>
                <w:rFonts w:hint="default" w:eastAsia="宋体"/>
                <w:color w:val="auto"/>
                <w:sz w:val="21"/>
                <w:szCs w:val="21"/>
                <w:lang w:val="en-US" w:eastAsia="zh-CN"/>
              </w:rPr>
            </w:pPr>
            <w:r>
              <w:rPr>
                <w:rFonts w:hint="eastAsia"/>
                <w:color w:val="auto"/>
                <w:sz w:val="21"/>
                <w:szCs w:val="21"/>
                <w:lang w:val="en-US" w:eastAsia="zh-CN"/>
              </w:rPr>
              <w:t>STC250E5-1</w:t>
            </w:r>
          </w:p>
        </w:tc>
        <w:tc>
          <w:tcPr>
            <w:tcW w:w="770" w:type="dxa"/>
            <w:noWrap w:val="0"/>
            <w:vAlign w:val="center"/>
          </w:tcPr>
          <w:p w14:paraId="118726CB">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7F789153">
            <w:pPr>
              <w:pStyle w:val="44"/>
              <w:spacing w:before="60"/>
              <w:rPr>
                <w:rFonts w:hint="default" w:eastAsia="宋体"/>
                <w:color w:val="auto"/>
                <w:sz w:val="21"/>
                <w:szCs w:val="21"/>
                <w:lang w:val="en-US" w:eastAsia="zh-CN"/>
              </w:rPr>
            </w:pPr>
            <w:r>
              <w:rPr>
                <w:rFonts w:hint="eastAsia"/>
                <w:color w:val="auto"/>
                <w:sz w:val="21"/>
                <w:szCs w:val="21"/>
              </w:rPr>
              <w:t>吊装</w:t>
            </w:r>
            <w:r>
              <w:rPr>
                <w:rFonts w:hint="eastAsia"/>
                <w:color w:val="auto"/>
                <w:sz w:val="21"/>
                <w:szCs w:val="21"/>
                <w:lang w:eastAsia="zh-CN"/>
              </w:rPr>
              <w:t>、</w:t>
            </w:r>
            <w:r>
              <w:rPr>
                <w:rFonts w:hint="eastAsia"/>
                <w:color w:val="auto"/>
                <w:sz w:val="21"/>
                <w:szCs w:val="21"/>
                <w:lang w:val="en-US" w:eastAsia="zh-CN"/>
              </w:rPr>
              <w:t>拆除</w:t>
            </w:r>
          </w:p>
        </w:tc>
      </w:tr>
    </w:tbl>
    <w:p w14:paraId="643C6690">
      <w:pPr>
        <w:pStyle w:val="48"/>
        <w:ind w:firstLine="480"/>
        <w:rPr>
          <w:rFonts w:hint="eastAsia" w:ascii="Times New Roman" w:hAnsi="Times New Roman" w:cs="Times New Roman"/>
          <w:color w:val="auto"/>
          <w:kern w:val="2"/>
        </w:rPr>
        <w:sectPr>
          <w:headerReference r:id="rId13" w:type="default"/>
          <w:footerReference r:id="rId14" w:type="default"/>
          <w:pgSz w:w="11906" w:h="16838"/>
          <w:pgMar w:top="1440" w:right="1134" w:bottom="1440" w:left="1797" w:header="851" w:footer="992" w:gutter="0"/>
          <w:pgNumType w:fmt="decimal"/>
          <w:cols w:space="720" w:num="1"/>
          <w:docGrid w:type="linesAndChars" w:linePitch="326" w:charSpace="0"/>
        </w:sectPr>
      </w:pPr>
    </w:p>
    <w:p w14:paraId="7EE8E5FC">
      <w:pPr>
        <w:pStyle w:val="6"/>
        <w:spacing w:before="156" w:after="156"/>
        <w:rPr>
          <w:color w:val="auto"/>
        </w:rPr>
      </w:pPr>
      <w:bookmarkStart w:id="91" w:name="_Toc26279"/>
      <w:bookmarkStart w:id="92" w:name="_Toc24365"/>
      <w:r>
        <w:rPr>
          <w:rFonts w:hint="eastAsia"/>
          <w:color w:val="auto"/>
        </w:rPr>
        <w:t>施工工艺技术</w:t>
      </w:r>
      <w:bookmarkEnd w:id="89"/>
      <w:bookmarkEnd w:id="90"/>
      <w:bookmarkEnd w:id="91"/>
      <w:bookmarkEnd w:id="92"/>
    </w:p>
    <w:p w14:paraId="0BC59B8C">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93" w:name="_Toc1745"/>
      <w:bookmarkStart w:id="94" w:name="_Toc24865"/>
      <w:bookmarkStart w:id="95" w:name="_Toc29597"/>
      <w:bookmarkStart w:id="96" w:name="_Toc2911"/>
      <w:bookmarkStart w:id="97" w:name="_Toc40778437"/>
      <w:bookmarkStart w:id="98" w:name="_Toc11075"/>
      <w:bookmarkStart w:id="99" w:name="_Toc26392"/>
      <w:bookmarkStart w:id="100" w:name="_Toc1607"/>
      <w:r>
        <w:rPr>
          <w:rFonts w:hint="eastAsia"/>
          <w:color w:val="auto"/>
        </w:rPr>
        <w:t>总体施工方案</w:t>
      </w:r>
      <w:bookmarkEnd w:id="93"/>
      <w:bookmarkEnd w:id="94"/>
    </w:p>
    <w:p w14:paraId="31A18C76">
      <w:pPr>
        <w:pStyle w:val="4"/>
        <w:rPr>
          <w:rFonts w:hint="eastAsia"/>
          <w:color w:val="auto"/>
          <w:lang w:val="en-US" w:eastAsia="zh-CN"/>
        </w:rPr>
      </w:pPr>
      <w:r>
        <w:rPr>
          <w:rFonts w:hint="eastAsia"/>
          <w:color w:val="auto"/>
          <w:lang w:val="en-US" w:eastAsia="zh-CN"/>
        </w:rPr>
        <w:t>4.1.1在告知完成后可拆除施工升降机；</w:t>
      </w:r>
    </w:p>
    <w:p w14:paraId="0FAF5F40">
      <w:pPr>
        <w:rPr>
          <w:rFonts w:hint="eastAsia"/>
          <w:color w:val="auto"/>
          <w:lang w:val="en-US" w:eastAsia="zh-CN"/>
        </w:rPr>
      </w:pPr>
      <w:r>
        <w:rPr>
          <w:rFonts w:hint="eastAsia"/>
          <w:color w:val="auto"/>
          <w:lang w:val="en-US" w:eastAsia="zh-CN"/>
        </w:rPr>
        <w:t>4.1.2在拆除前项目部相关人员及拆除单位相关人员进行拆除前的技术交底；</w:t>
      </w:r>
    </w:p>
    <w:p w14:paraId="5BC0E8E9">
      <w:pPr>
        <w:pStyle w:val="4"/>
        <w:rPr>
          <w:rFonts w:hint="eastAsia"/>
          <w:color w:val="auto"/>
          <w:lang w:val="en-US" w:eastAsia="zh-CN"/>
        </w:rPr>
      </w:pPr>
      <w:r>
        <w:rPr>
          <w:rFonts w:hint="eastAsia"/>
          <w:color w:val="auto"/>
          <w:lang w:val="en-US" w:eastAsia="zh-CN"/>
        </w:rPr>
        <w:t>4.1.3在施工升降机的拆除过程中必须以说明书及拆除方案进行施工；</w:t>
      </w:r>
    </w:p>
    <w:p w14:paraId="6A2E54C7">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1" w:name="_Toc19794"/>
      <w:bookmarkStart w:id="102" w:name="_Toc2641"/>
      <w:r>
        <w:rPr>
          <w:rFonts w:hint="eastAsia" w:eastAsia="宋体"/>
          <w:color w:val="auto"/>
        </w:rPr>
        <w:t>主要设备选型</w:t>
      </w:r>
      <w:bookmarkEnd w:id="101"/>
      <w:bookmarkEnd w:id="102"/>
    </w:p>
    <w:p w14:paraId="54E979B8">
      <w:pPr>
        <w:pStyle w:val="94"/>
        <w:ind w:firstLine="480"/>
      </w:pPr>
      <w:r>
        <w:t>施工升降机</w:t>
      </w:r>
      <w:r>
        <w:rPr>
          <w:rFonts w:hint="eastAsia"/>
          <w:lang w:val="en-US" w:eastAsia="zh-CN"/>
        </w:rPr>
        <w:t>拆除</w:t>
      </w:r>
      <w:r>
        <w:t>工程所需主要设备为</w:t>
      </w:r>
      <w:r>
        <w:rPr>
          <w:rFonts w:hint="eastAsia"/>
          <w:lang w:val="en-US" w:eastAsia="zh-CN"/>
        </w:rPr>
        <w:t>25t汽车吊</w:t>
      </w:r>
      <w:r>
        <w:t>，负责吊装施工升降机各个部件，施工升降机主要部件吊重分析表如下表所示。</w:t>
      </w:r>
    </w:p>
    <w:p w14:paraId="4E1FE3E0">
      <w:pPr>
        <w:ind w:firstLine="422"/>
        <w:jc w:val="center"/>
        <w:rPr>
          <w:rFonts w:hint="eastAsia" w:ascii="宋体" w:hAnsi="宋体" w:cs="黑体"/>
          <w:b/>
          <w:color w:val="auto"/>
          <w:sz w:val="21"/>
          <w:szCs w:val="21"/>
        </w:rPr>
      </w:pPr>
      <w:r>
        <w:rPr>
          <w:rFonts w:hint="eastAsia" w:ascii="宋体" w:hAnsi="宋体" w:cs="黑体"/>
          <w:b/>
          <w:color w:val="auto"/>
          <w:sz w:val="21"/>
          <w:szCs w:val="21"/>
        </w:rPr>
        <w:t xml:space="preserve">表 </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STYLEREF 2 \s </w:instrText>
      </w:r>
      <w:r>
        <w:rPr>
          <w:rFonts w:hint="eastAsia" w:ascii="宋体" w:hAnsi="宋体" w:cs="黑体"/>
          <w:b/>
          <w:color w:val="auto"/>
          <w:sz w:val="21"/>
          <w:szCs w:val="21"/>
        </w:rPr>
        <w:fldChar w:fldCharType="separate"/>
      </w:r>
      <w:r>
        <w:rPr>
          <w:rFonts w:hint="eastAsia" w:ascii="宋体" w:hAnsi="宋体" w:cs="黑体"/>
          <w:b/>
          <w:color w:val="auto"/>
          <w:sz w:val="21"/>
          <w:szCs w:val="21"/>
        </w:rPr>
        <w:t>4.2</w:t>
      </w:r>
      <w:r>
        <w:rPr>
          <w:rFonts w:hint="eastAsia" w:ascii="宋体" w:hAnsi="宋体" w:cs="黑体"/>
          <w:b/>
          <w:color w:val="auto"/>
          <w:sz w:val="21"/>
          <w:szCs w:val="21"/>
        </w:rPr>
        <w:fldChar w:fldCharType="end"/>
      </w:r>
      <w:r>
        <w:rPr>
          <w:rFonts w:hint="eastAsia" w:ascii="宋体" w:hAnsi="宋体" w:cs="黑体"/>
          <w:b/>
          <w:color w:val="auto"/>
          <w:sz w:val="21"/>
          <w:szCs w:val="21"/>
          <w:lang w:eastAsia="zh-CN"/>
        </w:rPr>
        <w:t>-</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SEQ 表 \* ARABIC \s 2 </w:instrText>
      </w:r>
      <w:r>
        <w:rPr>
          <w:rFonts w:hint="eastAsia" w:ascii="宋体" w:hAnsi="宋体" w:cs="黑体"/>
          <w:b/>
          <w:color w:val="auto"/>
          <w:sz w:val="21"/>
          <w:szCs w:val="21"/>
        </w:rPr>
        <w:fldChar w:fldCharType="separate"/>
      </w:r>
      <w:r>
        <w:rPr>
          <w:rFonts w:hint="eastAsia" w:ascii="宋体" w:hAnsi="宋体" w:cs="黑体"/>
          <w:b/>
          <w:color w:val="auto"/>
          <w:sz w:val="21"/>
          <w:szCs w:val="21"/>
        </w:rPr>
        <w:t>1</w:t>
      </w:r>
      <w:r>
        <w:rPr>
          <w:rFonts w:hint="eastAsia" w:ascii="宋体" w:hAnsi="宋体" w:cs="黑体"/>
          <w:b/>
          <w:color w:val="auto"/>
          <w:sz w:val="21"/>
          <w:szCs w:val="21"/>
        </w:rPr>
        <w:fldChar w:fldCharType="end"/>
      </w:r>
      <w:r>
        <w:rPr>
          <w:rFonts w:hint="eastAsia" w:ascii="宋体" w:hAnsi="宋体" w:cs="黑体"/>
          <w:b/>
          <w:color w:val="auto"/>
          <w:sz w:val="21"/>
          <w:szCs w:val="21"/>
          <w:lang w:val="en-US" w:eastAsia="zh-CN"/>
        </w:rPr>
        <w:t xml:space="preserve"> </w:t>
      </w:r>
      <w:r>
        <w:rPr>
          <w:rFonts w:hint="eastAsia" w:ascii="宋体" w:hAnsi="宋体" w:cs="黑体"/>
          <w:b/>
          <w:color w:val="auto"/>
          <w:sz w:val="21"/>
          <w:szCs w:val="21"/>
        </w:rPr>
        <w:t>施工升降机</w:t>
      </w:r>
      <w:r>
        <w:rPr>
          <w:rFonts w:hint="eastAsia" w:ascii="宋体" w:hAnsi="宋体" w:cs="黑体"/>
          <w:b/>
          <w:color w:val="auto"/>
          <w:sz w:val="21"/>
          <w:szCs w:val="21"/>
          <w:lang w:val="en-US" w:eastAsia="zh-CN"/>
        </w:rPr>
        <w:t>拆除</w:t>
      </w:r>
      <w:r>
        <w:rPr>
          <w:rFonts w:hint="eastAsia" w:ascii="宋体" w:hAnsi="宋体" w:cs="黑体"/>
          <w:b/>
          <w:color w:val="auto"/>
          <w:sz w:val="21"/>
          <w:szCs w:val="21"/>
        </w:rPr>
        <w:t>吊重分析表</w:t>
      </w:r>
    </w:p>
    <w:tbl>
      <w:tblPr>
        <w:tblStyle w:val="26"/>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952"/>
        <w:gridCol w:w="1207"/>
        <w:gridCol w:w="1343"/>
        <w:gridCol w:w="2246"/>
      </w:tblGrid>
      <w:tr w14:paraId="0C7F0B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54" w:type="pct"/>
            <w:vAlign w:val="center"/>
          </w:tcPr>
          <w:p w14:paraId="75D28B5F">
            <w:pPr>
              <w:adjustRightInd w:val="0"/>
              <w:spacing w:line="240" w:lineRule="auto"/>
              <w:ind w:firstLine="0" w:firstLineChars="0"/>
              <w:jc w:val="center"/>
              <w:rPr>
                <w:b/>
                <w:bCs/>
                <w:sz w:val="21"/>
              </w:rPr>
            </w:pPr>
            <w:r>
              <w:rPr>
                <w:rFonts w:hint="eastAsia"/>
                <w:b/>
                <w:bCs/>
                <w:sz w:val="21"/>
              </w:rPr>
              <w:t>序号</w:t>
            </w:r>
          </w:p>
        </w:tc>
        <w:tc>
          <w:tcPr>
            <w:tcW w:w="1732" w:type="pct"/>
            <w:vAlign w:val="center"/>
          </w:tcPr>
          <w:p w14:paraId="5A376074">
            <w:pPr>
              <w:adjustRightInd w:val="0"/>
              <w:spacing w:line="240" w:lineRule="auto"/>
              <w:ind w:firstLine="0" w:firstLineChars="0"/>
              <w:jc w:val="center"/>
              <w:rPr>
                <w:b/>
                <w:bCs/>
                <w:sz w:val="21"/>
              </w:rPr>
            </w:pPr>
            <w:r>
              <w:rPr>
                <w:rFonts w:hint="eastAsia"/>
                <w:b/>
                <w:bCs/>
                <w:sz w:val="21"/>
              </w:rPr>
              <w:t>吊件名称</w:t>
            </w:r>
          </w:p>
        </w:tc>
        <w:tc>
          <w:tcPr>
            <w:tcW w:w="708" w:type="pct"/>
            <w:vAlign w:val="center"/>
          </w:tcPr>
          <w:p w14:paraId="306A531F">
            <w:pPr>
              <w:adjustRightInd w:val="0"/>
              <w:spacing w:line="240" w:lineRule="auto"/>
              <w:ind w:firstLine="0" w:firstLineChars="0"/>
              <w:jc w:val="center"/>
              <w:rPr>
                <w:b/>
                <w:bCs/>
                <w:sz w:val="21"/>
              </w:rPr>
            </w:pPr>
            <w:r>
              <w:rPr>
                <w:rFonts w:hint="eastAsia"/>
                <w:b/>
                <w:bCs/>
                <w:sz w:val="21"/>
              </w:rPr>
              <w:t>重量（</w:t>
            </w:r>
            <w:r>
              <w:rPr>
                <w:b/>
                <w:bCs/>
                <w:sz w:val="21"/>
              </w:rPr>
              <w:t>t</w:t>
            </w:r>
            <w:r>
              <w:rPr>
                <w:rFonts w:hint="eastAsia"/>
                <w:b/>
                <w:bCs/>
                <w:sz w:val="21"/>
              </w:rPr>
              <w:t>）</w:t>
            </w:r>
          </w:p>
        </w:tc>
        <w:tc>
          <w:tcPr>
            <w:tcW w:w="788" w:type="pct"/>
            <w:vAlign w:val="center"/>
          </w:tcPr>
          <w:p w14:paraId="7321FF15">
            <w:pPr>
              <w:adjustRightInd w:val="0"/>
              <w:spacing w:line="240" w:lineRule="auto"/>
              <w:ind w:firstLine="0" w:firstLineChars="0"/>
              <w:jc w:val="center"/>
              <w:rPr>
                <w:b/>
                <w:bCs/>
                <w:sz w:val="21"/>
              </w:rPr>
            </w:pPr>
            <w:r>
              <w:rPr>
                <w:rFonts w:hint="eastAsia"/>
                <w:b/>
                <w:bCs/>
                <w:sz w:val="21"/>
              </w:rPr>
              <w:t>吊幅（m）</w:t>
            </w:r>
          </w:p>
        </w:tc>
        <w:tc>
          <w:tcPr>
            <w:tcW w:w="1318" w:type="pct"/>
            <w:vAlign w:val="center"/>
          </w:tcPr>
          <w:p w14:paraId="2DB40EB8">
            <w:pPr>
              <w:adjustRightInd w:val="0"/>
              <w:spacing w:line="240" w:lineRule="auto"/>
              <w:ind w:firstLine="0" w:firstLineChars="0"/>
              <w:jc w:val="center"/>
              <w:rPr>
                <w:b/>
                <w:bCs/>
                <w:sz w:val="21"/>
              </w:rPr>
            </w:pPr>
            <w:r>
              <w:rPr>
                <w:rFonts w:hint="eastAsia"/>
                <w:b/>
                <w:bCs/>
                <w:sz w:val="21"/>
              </w:rPr>
              <w:t>备注</w:t>
            </w:r>
          </w:p>
        </w:tc>
      </w:tr>
      <w:tr w14:paraId="47322E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14:paraId="6B2B11D0">
            <w:pPr>
              <w:adjustRightInd w:val="0"/>
              <w:spacing w:line="240" w:lineRule="auto"/>
              <w:ind w:firstLine="0" w:firstLineChars="0"/>
              <w:jc w:val="center"/>
              <w:rPr>
                <w:rFonts w:eastAsia="等线"/>
                <w:sz w:val="21"/>
              </w:rPr>
            </w:pPr>
            <w:r>
              <w:rPr>
                <w:rFonts w:hint="eastAsia" w:eastAsia="等线"/>
                <w:sz w:val="21"/>
              </w:rPr>
              <w:t>1</w:t>
            </w:r>
          </w:p>
        </w:tc>
        <w:tc>
          <w:tcPr>
            <w:tcW w:w="1732" w:type="pct"/>
            <w:vAlign w:val="center"/>
          </w:tcPr>
          <w:p w14:paraId="517CC4D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标准节</w:t>
            </w:r>
          </w:p>
        </w:tc>
        <w:tc>
          <w:tcPr>
            <w:tcW w:w="708" w:type="pct"/>
            <w:vAlign w:val="center"/>
          </w:tcPr>
          <w:p w14:paraId="65B8AC1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≤0.16</w:t>
            </w:r>
          </w:p>
        </w:tc>
        <w:tc>
          <w:tcPr>
            <w:tcW w:w="788" w:type="pct"/>
            <w:vAlign w:val="center"/>
          </w:tcPr>
          <w:p w14:paraId="2E9B274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11.5</w:t>
            </w:r>
          </w:p>
        </w:tc>
        <w:tc>
          <w:tcPr>
            <w:tcW w:w="1318" w:type="pct"/>
            <w:vAlign w:val="center"/>
          </w:tcPr>
          <w:p w14:paraId="2028A80C">
            <w:pPr>
              <w:adjustRightInd w:val="0"/>
              <w:spacing w:line="240" w:lineRule="auto"/>
              <w:ind w:firstLine="0" w:firstLineChars="0"/>
              <w:jc w:val="center"/>
              <w:rPr>
                <w:sz w:val="21"/>
              </w:rPr>
            </w:pPr>
          </w:p>
        </w:tc>
      </w:tr>
      <w:tr w14:paraId="4C6D03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vAlign w:val="center"/>
          </w:tcPr>
          <w:p w14:paraId="1C83CCF2">
            <w:pPr>
              <w:adjustRightInd w:val="0"/>
              <w:spacing w:line="240" w:lineRule="auto"/>
              <w:ind w:firstLine="0" w:firstLineChars="0"/>
              <w:jc w:val="center"/>
              <w:rPr>
                <w:rFonts w:eastAsia="等线"/>
                <w:sz w:val="21"/>
              </w:rPr>
            </w:pPr>
            <w:r>
              <w:rPr>
                <w:rFonts w:hint="eastAsia" w:eastAsia="等线"/>
                <w:sz w:val="21"/>
              </w:rPr>
              <w:t>2</w:t>
            </w:r>
          </w:p>
        </w:tc>
        <w:tc>
          <w:tcPr>
            <w:tcW w:w="1732" w:type="pct"/>
            <w:vAlign w:val="center"/>
          </w:tcPr>
          <w:p w14:paraId="7569F9F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底笼</w:t>
            </w:r>
          </w:p>
        </w:tc>
        <w:tc>
          <w:tcPr>
            <w:tcW w:w="708" w:type="pct"/>
            <w:vAlign w:val="center"/>
          </w:tcPr>
          <w:p w14:paraId="77C6688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≤1.5</w:t>
            </w:r>
          </w:p>
        </w:tc>
        <w:tc>
          <w:tcPr>
            <w:tcW w:w="788" w:type="pct"/>
            <w:vAlign w:val="center"/>
          </w:tcPr>
          <w:p w14:paraId="66E4AD3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11.5</w:t>
            </w:r>
          </w:p>
        </w:tc>
        <w:tc>
          <w:tcPr>
            <w:tcW w:w="1318" w:type="pct"/>
            <w:vAlign w:val="center"/>
          </w:tcPr>
          <w:p w14:paraId="5479FD46">
            <w:pPr>
              <w:adjustRightInd w:val="0"/>
              <w:spacing w:line="240" w:lineRule="auto"/>
              <w:ind w:firstLine="0" w:firstLineChars="0"/>
              <w:jc w:val="center"/>
              <w:rPr>
                <w:sz w:val="21"/>
              </w:rPr>
            </w:pPr>
          </w:p>
        </w:tc>
      </w:tr>
      <w:tr w14:paraId="1BDD9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vAlign w:val="center"/>
          </w:tcPr>
          <w:p w14:paraId="16EBC09F">
            <w:pPr>
              <w:adjustRightInd w:val="0"/>
              <w:spacing w:line="240" w:lineRule="auto"/>
              <w:ind w:firstLine="0" w:firstLineChars="0"/>
              <w:jc w:val="center"/>
              <w:rPr>
                <w:rFonts w:eastAsia="等线"/>
                <w:sz w:val="21"/>
              </w:rPr>
            </w:pPr>
            <w:r>
              <w:rPr>
                <w:rFonts w:hint="eastAsia" w:eastAsia="等线"/>
                <w:sz w:val="21"/>
              </w:rPr>
              <w:t>3</w:t>
            </w:r>
          </w:p>
        </w:tc>
        <w:tc>
          <w:tcPr>
            <w:tcW w:w="1732" w:type="pct"/>
            <w:vAlign w:val="center"/>
          </w:tcPr>
          <w:p w14:paraId="3F5F1DB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吊笼自重（含电控系统+驱动系统）</w:t>
            </w:r>
          </w:p>
        </w:tc>
        <w:tc>
          <w:tcPr>
            <w:tcW w:w="708" w:type="pct"/>
            <w:vAlign w:val="center"/>
          </w:tcPr>
          <w:p w14:paraId="76E5423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rPr>
              <w:t>≤</w:t>
            </w:r>
            <w:r>
              <w:rPr>
                <w:rFonts w:hint="eastAsia" w:ascii="Times New Roman" w:hAnsi="Times New Roman" w:eastAsia="宋体" w:cs="Times New Roman"/>
                <w:sz w:val="21"/>
                <w:lang w:val="en-US" w:eastAsia="zh-CN"/>
              </w:rPr>
              <w:t>2</w:t>
            </w:r>
          </w:p>
        </w:tc>
        <w:tc>
          <w:tcPr>
            <w:tcW w:w="788" w:type="pct"/>
            <w:vAlign w:val="center"/>
          </w:tcPr>
          <w:p w14:paraId="08447C3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11.5</w:t>
            </w:r>
          </w:p>
        </w:tc>
        <w:tc>
          <w:tcPr>
            <w:tcW w:w="1318" w:type="pct"/>
            <w:vAlign w:val="center"/>
          </w:tcPr>
          <w:p w14:paraId="775EC4A9">
            <w:pPr>
              <w:adjustRightInd w:val="0"/>
              <w:spacing w:line="240" w:lineRule="auto"/>
              <w:ind w:firstLine="0" w:firstLineChars="0"/>
              <w:jc w:val="center"/>
              <w:rPr>
                <w:sz w:val="21"/>
              </w:rPr>
            </w:pPr>
          </w:p>
        </w:tc>
      </w:tr>
    </w:tbl>
    <w:p w14:paraId="7ED43D35">
      <w:pPr>
        <w:pStyle w:val="94"/>
        <w:ind w:firstLine="480"/>
      </w:pPr>
      <w:r>
        <w:t>根据以上吊重分析表可知：</w:t>
      </w:r>
    </w:p>
    <w:p w14:paraId="396CD2AC">
      <w:pPr>
        <w:pStyle w:val="94"/>
        <w:ind w:firstLine="480"/>
        <w:rPr>
          <w:rFonts w:hint="eastAsia" w:eastAsia="宋体"/>
          <w:lang w:eastAsia="zh-CN"/>
        </w:rPr>
      </w:pPr>
      <w:r>
        <w:t>施工升降机</w:t>
      </w:r>
      <w:r>
        <w:rPr>
          <w:rFonts w:hint="eastAsia"/>
          <w:lang w:val="en-US" w:eastAsia="zh-CN"/>
        </w:rPr>
        <w:t>拆除</w:t>
      </w:r>
      <w:r>
        <w:t>过程中最重部件为吊笼主结构</w:t>
      </w:r>
      <w:r>
        <w:rPr>
          <w:rFonts w:hint="eastAsia"/>
          <w:lang w:val="en-US" w:eastAsia="zh-CN"/>
        </w:rPr>
        <w:t>2t</w:t>
      </w:r>
      <w:r>
        <w:t>、吊距为</w:t>
      </w:r>
      <w:r>
        <w:rPr>
          <w:rFonts w:hint="eastAsia"/>
          <w:lang w:val="en-US" w:eastAsia="zh-CN"/>
        </w:rPr>
        <w:t>11.5</w:t>
      </w:r>
      <w:r>
        <w:rPr>
          <w:rFonts w:hint="eastAsia"/>
        </w:rPr>
        <w:t>m</w:t>
      </w:r>
      <w:r>
        <w:t>，</w:t>
      </w:r>
      <w:r>
        <w:rPr>
          <w:rFonts w:hint="eastAsia"/>
          <w:lang w:val="en-US" w:eastAsia="zh-CN"/>
        </w:rPr>
        <w:t>电梯高度为24.23m，</w:t>
      </w:r>
      <w:r>
        <w:t>采用</w:t>
      </w:r>
      <w:r>
        <w:rPr>
          <w:rFonts w:hint="eastAsia"/>
          <w:lang w:val="en-US" w:eastAsia="zh-CN"/>
        </w:rPr>
        <w:t>25t汽车吊</w:t>
      </w:r>
      <w:r>
        <w:t>进行吊装</w:t>
      </w:r>
      <w:r>
        <w:rPr>
          <w:rFonts w:hint="eastAsia"/>
        </w:rPr>
        <w:t>，</w:t>
      </w:r>
      <w:r>
        <w:rPr>
          <w:rFonts w:hint="eastAsia"/>
          <w:lang w:val="en-US" w:eastAsia="zh-CN"/>
        </w:rPr>
        <w:t>汽车吊臂长29.6m，吊装高度为26m，额定起重量6.9t，满足施工升降机拆除作业要求，汽车吊</w:t>
      </w:r>
      <w:r>
        <w:rPr>
          <w:rFonts w:hint="eastAsia"/>
        </w:rPr>
        <w:t>起重特性表见</w:t>
      </w:r>
      <w:r>
        <w:t>下表</w:t>
      </w:r>
      <w:r>
        <w:rPr>
          <w:rFonts w:hint="eastAsia"/>
          <w:lang w:eastAsia="zh-CN"/>
        </w:rPr>
        <w:t>：</w:t>
      </w:r>
    </w:p>
    <w:p w14:paraId="55797DB5">
      <w:pPr>
        <w:keepNext/>
        <w:keepLines w:val="0"/>
        <w:pageBreakBefore w:val="0"/>
        <w:widowControl w:val="0"/>
        <w:kinsoku/>
        <w:wordWrap/>
        <w:overflowPunct/>
        <w:topLinePunct w:val="0"/>
        <w:autoSpaceDE/>
        <w:autoSpaceDN/>
        <w:bidi w:val="0"/>
        <w:adjustRightInd/>
        <w:snapToGrid/>
        <w:ind w:firstLine="422"/>
        <w:jc w:val="center"/>
        <w:textAlignment w:val="auto"/>
        <w:rPr>
          <w:rFonts w:hint="eastAsia" w:ascii="宋体" w:hAnsi="宋体" w:cs="黑体"/>
          <w:b/>
          <w:color w:val="auto"/>
          <w:sz w:val="21"/>
          <w:szCs w:val="21"/>
          <w:lang w:val="en-US" w:eastAsia="zh-CN"/>
        </w:rPr>
      </w:pPr>
      <w:r>
        <w:rPr>
          <w:rFonts w:hint="eastAsia" w:ascii="宋体" w:hAnsi="宋体" w:cs="黑体"/>
          <w:b/>
          <w:color w:val="auto"/>
          <w:sz w:val="21"/>
          <w:szCs w:val="21"/>
        </w:rPr>
        <w:t xml:space="preserve">表 </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STYLEREF 2 \s </w:instrText>
      </w:r>
      <w:r>
        <w:rPr>
          <w:rFonts w:hint="eastAsia" w:ascii="宋体" w:hAnsi="宋体" w:cs="黑体"/>
          <w:b/>
          <w:color w:val="auto"/>
          <w:sz w:val="21"/>
          <w:szCs w:val="21"/>
        </w:rPr>
        <w:fldChar w:fldCharType="separate"/>
      </w:r>
      <w:r>
        <w:rPr>
          <w:rFonts w:hint="eastAsia" w:ascii="宋体" w:hAnsi="宋体" w:cs="黑体"/>
          <w:b/>
          <w:color w:val="auto"/>
          <w:sz w:val="21"/>
          <w:szCs w:val="21"/>
        </w:rPr>
        <w:t>4.2</w:t>
      </w:r>
      <w:r>
        <w:rPr>
          <w:rFonts w:hint="eastAsia" w:ascii="宋体" w:hAnsi="宋体" w:cs="黑体"/>
          <w:b/>
          <w:color w:val="auto"/>
          <w:sz w:val="21"/>
          <w:szCs w:val="21"/>
        </w:rPr>
        <w:fldChar w:fldCharType="end"/>
      </w:r>
      <w:r>
        <w:rPr>
          <w:rFonts w:hint="eastAsia" w:ascii="宋体" w:hAnsi="宋体" w:cs="黑体"/>
          <w:b/>
          <w:color w:val="auto"/>
          <w:sz w:val="21"/>
          <w:szCs w:val="21"/>
          <w:lang w:eastAsia="zh-CN"/>
        </w:rPr>
        <w:t>-</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SEQ 表 \* ARABIC \s 2 </w:instrText>
      </w:r>
      <w:r>
        <w:rPr>
          <w:rFonts w:hint="eastAsia" w:ascii="宋体" w:hAnsi="宋体" w:cs="黑体"/>
          <w:b/>
          <w:color w:val="auto"/>
          <w:sz w:val="21"/>
          <w:szCs w:val="21"/>
        </w:rPr>
        <w:fldChar w:fldCharType="separate"/>
      </w:r>
      <w:r>
        <w:rPr>
          <w:rFonts w:hint="eastAsia" w:ascii="宋体" w:hAnsi="宋体" w:cs="黑体"/>
          <w:b/>
          <w:color w:val="auto"/>
          <w:sz w:val="21"/>
          <w:szCs w:val="21"/>
        </w:rPr>
        <w:t>2</w:t>
      </w:r>
      <w:r>
        <w:rPr>
          <w:rFonts w:hint="eastAsia" w:ascii="宋体" w:hAnsi="宋体" w:cs="黑体"/>
          <w:b/>
          <w:color w:val="auto"/>
          <w:sz w:val="21"/>
          <w:szCs w:val="21"/>
        </w:rPr>
        <w:fldChar w:fldCharType="end"/>
      </w:r>
      <w:r>
        <w:rPr>
          <w:rFonts w:hint="eastAsia" w:ascii="宋体" w:hAnsi="宋体" w:cs="黑体"/>
          <w:b/>
          <w:color w:val="auto"/>
          <w:sz w:val="21"/>
          <w:szCs w:val="21"/>
          <w:lang w:val="en-US" w:eastAsia="zh-CN"/>
        </w:rPr>
        <w:t xml:space="preserve"> 汽车吊</w:t>
      </w:r>
      <w:r>
        <w:rPr>
          <w:rFonts w:hint="eastAsia" w:ascii="宋体" w:hAnsi="宋体" w:cs="黑体"/>
          <w:b/>
          <w:color w:val="auto"/>
          <w:sz w:val="21"/>
          <w:szCs w:val="21"/>
        </w:rPr>
        <w:t>起重特性表</w:t>
      </w:r>
    </w:p>
    <w:p w14:paraId="1BD3D294">
      <w:pPr>
        <w:pStyle w:val="9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5267325" cy="4681220"/>
            <wp:effectExtent l="0" t="0" r="952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tretch>
                      <a:fillRect/>
                    </a:stretch>
                  </pic:blipFill>
                  <pic:spPr>
                    <a:xfrm>
                      <a:off x="0" y="0"/>
                      <a:ext cx="5267325" cy="4681220"/>
                    </a:xfrm>
                    <a:prstGeom prst="rect">
                      <a:avLst/>
                    </a:prstGeom>
                    <a:noFill/>
                    <a:ln>
                      <a:noFill/>
                    </a:ln>
                  </pic:spPr>
                </pic:pic>
              </a:graphicData>
            </a:graphic>
          </wp:inline>
        </w:drawing>
      </w:r>
      <w:r>
        <w:drawing>
          <wp:inline distT="0" distB="0" distL="114300" distR="114300">
            <wp:extent cx="5273675" cy="3427095"/>
            <wp:effectExtent l="0" t="0" r="317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73675" cy="3427095"/>
                    </a:xfrm>
                    <a:prstGeom prst="rect">
                      <a:avLst/>
                    </a:prstGeom>
                    <a:noFill/>
                    <a:ln>
                      <a:noFill/>
                    </a:ln>
                  </pic:spPr>
                </pic:pic>
              </a:graphicData>
            </a:graphic>
          </wp:inline>
        </w:drawing>
      </w:r>
    </w:p>
    <w:p w14:paraId="31AC0A66">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4697730" cy="3235325"/>
            <wp:effectExtent l="0" t="0" r="7620" b="317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8"/>
                    <a:stretch>
                      <a:fillRect/>
                    </a:stretch>
                  </pic:blipFill>
                  <pic:spPr>
                    <a:xfrm>
                      <a:off x="0" y="0"/>
                      <a:ext cx="4697730" cy="3235325"/>
                    </a:xfrm>
                    <a:prstGeom prst="rect">
                      <a:avLst/>
                    </a:prstGeom>
                    <a:noFill/>
                    <a:ln>
                      <a:noFill/>
                    </a:ln>
                  </pic:spPr>
                </pic:pic>
              </a:graphicData>
            </a:graphic>
          </wp:inline>
        </w:drawing>
      </w:r>
    </w:p>
    <w:p w14:paraId="765CA125">
      <w:pPr>
        <w:ind w:firstLine="422"/>
        <w:jc w:val="center"/>
        <w:rPr>
          <w:rFonts w:hint="eastAsia"/>
          <w:lang w:val="en-US" w:eastAsia="zh-CN"/>
        </w:rPr>
      </w:pPr>
      <w:r>
        <w:rPr>
          <w:rFonts w:hint="eastAsia" w:ascii="宋体" w:hAnsi="宋体" w:cs="黑体"/>
          <w:b/>
          <w:color w:val="auto"/>
          <w:sz w:val="21"/>
          <w:szCs w:val="21"/>
        </w:rPr>
        <w:t xml:space="preserve">图 </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STYLEREF 2 \s </w:instrText>
      </w:r>
      <w:r>
        <w:rPr>
          <w:rFonts w:hint="eastAsia" w:ascii="宋体" w:hAnsi="宋体" w:cs="黑体"/>
          <w:b/>
          <w:color w:val="auto"/>
          <w:sz w:val="21"/>
          <w:szCs w:val="21"/>
        </w:rPr>
        <w:fldChar w:fldCharType="separate"/>
      </w:r>
      <w:r>
        <w:rPr>
          <w:rFonts w:hint="eastAsia" w:ascii="宋体" w:hAnsi="宋体" w:cs="黑体"/>
          <w:b/>
          <w:color w:val="auto"/>
          <w:sz w:val="21"/>
          <w:szCs w:val="21"/>
        </w:rPr>
        <w:t>4.2</w:t>
      </w:r>
      <w:r>
        <w:rPr>
          <w:rFonts w:hint="eastAsia" w:ascii="宋体" w:hAnsi="宋体" w:cs="黑体"/>
          <w:b/>
          <w:color w:val="auto"/>
          <w:sz w:val="21"/>
          <w:szCs w:val="21"/>
        </w:rPr>
        <w:fldChar w:fldCharType="end"/>
      </w:r>
      <w:r>
        <w:rPr>
          <w:rFonts w:hint="eastAsia" w:ascii="宋体" w:hAnsi="宋体" w:cs="黑体"/>
          <w:b/>
          <w:color w:val="auto"/>
          <w:sz w:val="21"/>
          <w:szCs w:val="21"/>
          <w:lang w:eastAsia="zh-CN"/>
        </w:rPr>
        <w:t>-</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SEQ 图 \* ARABIC \s 2 </w:instrText>
      </w:r>
      <w:r>
        <w:rPr>
          <w:rFonts w:hint="eastAsia" w:ascii="宋体" w:hAnsi="宋体" w:cs="黑体"/>
          <w:b/>
          <w:color w:val="auto"/>
          <w:sz w:val="21"/>
          <w:szCs w:val="21"/>
        </w:rPr>
        <w:fldChar w:fldCharType="separate"/>
      </w:r>
      <w:r>
        <w:rPr>
          <w:rFonts w:hint="eastAsia" w:ascii="宋体" w:hAnsi="宋体" w:cs="黑体"/>
          <w:b/>
          <w:color w:val="auto"/>
          <w:sz w:val="21"/>
          <w:szCs w:val="21"/>
        </w:rPr>
        <w:t>1</w:t>
      </w:r>
      <w:r>
        <w:rPr>
          <w:rFonts w:hint="eastAsia" w:ascii="宋体" w:hAnsi="宋体" w:cs="黑体"/>
          <w:b/>
          <w:color w:val="auto"/>
          <w:sz w:val="21"/>
          <w:szCs w:val="21"/>
        </w:rPr>
        <w:fldChar w:fldCharType="end"/>
      </w:r>
      <w:r>
        <w:rPr>
          <w:rFonts w:hint="eastAsia" w:ascii="宋体" w:hAnsi="宋体" w:cs="黑体"/>
          <w:b/>
          <w:color w:val="auto"/>
          <w:sz w:val="21"/>
          <w:szCs w:val="21"/>
          <w:lang w:val="en-US" w:eastAsia="zh-CN"/>
        </w:rPr>
        <w:t xml:space="preserve"> 汽车吊平面站位图</w:t>
      </w:r>
    </w:p>
    <w:p w14:paraId="694F9D5B">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4012565" cy="4018280"/>
            <wp:effectExtent l="0" t="0" r="6985" b="127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9"/>
                    <a:stretch>
                      <a:fillRect/>
                    </a:stretch>
                  </pic:blipFill>
                  <pic:spPr>
                    <a:xfrm>
                      <a:off x="0" y="0"/>
                      <a:ext cx="4012565" cy="4018280"/>
                    </a:xfrm>
                    <a:prstGeom prst="rect">
                      <a:avLst/>
                    </a:prstGeom>
                    <a:noFill/>
                    <a:ln>
                      <a:noFill/>
                    </a:ln>
                  </pic:spPr>
                </pic:pic>
              </a:graphicData>
            </a:graphic>
          </wp:inline>
        </w:drawing>
      </w:r>
    </w:p>
    <w:p w14:paraId="2BE10BB6">
      <w:pPr>
        <w:ind w:firstLine="422"/>
        <w:jc w:val="center"/>
        <w:rPr>
          <w:rFonts w:hint="default" w:ascii="宋体" w:hAnsi="宋体" w:cs="黑体"/>
          <w:b/>
          <w:color w:val="auto"/>
          <w:sz w:val="21"/>
          <w:szCs w:val="21"/>
          <w:lang w:val="en-US" w:eastAsia="zh-CN"/>
        </w:rPr>
      </w:pPr>
      <w:r>
        <w:rPr>
          <w:rFonts w:hint="eastAsia" w:ascii="宋体" w:hAnsi="宋体" w:cs="黑体"/>
          <w:b/>
          <w:color w:val="auto"/>
          <w:sz w:val="21"/>
          <w:szCs w:val="21"/>
        </w:rPr>
        <w:t xml:space="preserve">图 </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STYLEREF 2 \s </w:instrText>
      </w:r>
      <w:r>
        <w:rPr>
          <w:rFonts w:hint="eastAsia" w:ascii="宋体" w:hAnsi="宋体" w:cs="黑体"/>
          <w:b/>
          <w:color w:val="auto"/>
          <w:sz w:val="21"/>
          <w:szCs w:val="21"/>
        </w:rPr>
        <w:fldChar w:fldCharType="separate"/>
      </w:r>
      <w:r>
        <w:rPr>
          <w:rFonts w:hint="eastAsia" w:ascii="宋体" w:hAnsi="宋体" w:cs="黑体"/>
          <w:b/>
          <w:color w:val="auto"/>
          <w:sz w:val="21"/>
          <w:szCs w:val="21"/>
        </w:rPr>
        <w:t>4.2</w:t>
      </w:r>
      <w:r>
        <w:rPr>
          <w:rFonts w:hint="eastAsia" w:ascii="宋体" w:hAnsi="宋体" w:cs="黑体"/>
          <w:b/>
          <w:color w:val="auto"/>
          <w:sz w:val="21"/>
          <w:szCs w:val="21"/>
        </w:rPr>
        <w:fldChar w:fldCharType="end"/>
      </w:r>
      <w:r>
        <w:rPr>
          <w:rFonts w:hint="eastAsia" w:ascii="宋体" w:hAnsi="宋体" w:cs="黑体"/>
          <w:b/>
          <w:color w:val="auto"/>
          <w:sz w:val="21"/>
          <w:szCs w:val="21"/>
          <w:lang w:eastAsia="zh-CN"/>
        </w:rPr>
        <w:t>-</w:t>
      </w:r>
      <w:r>
        <w:rPr>
          <w:rFonts w:hint="eastAsia" w:ascii="宋体" w:hAnsi="宋体" w:cs="黑体"/>
          <w:b/>
          <w:color w:val="auto"/>
          <w:sz w:val="21"/>
          <w:szCs w:val="21"/>
        </w:rPr>
        <w:fldChar w:fldCharType="begin"/>
      </w:r>
      <w:r>
        <w:rPr>
          <w:rFonts w:hint="eastAsia" w:ascii="宋体" w:hAnsi="宋体" w:cs="黑体"/>
          <w:b/>
          <w:color w:val="auto"/>
          <w:sz w:val="21"/>
          <w:szCs w:val="21"/>
        </w:rPr>
        <w:instrText xml:space="preserve"> SEQ 图 \* ARABIC \s 2 </w:instrText>
      </w:r>
      <w:r>
        <w:rPr>
          <w:rFonts w:hint="eastAsia" w:ascii="宋体" w:hAnsi="宋体" w:cs="黑体"/>
          <w:b/>
          <w:color w:val="auto"/>
          <w:sz w:val="21"/>
          <w:szCs w:val="21"/>
        </w:rPr>
        <w:fldChar w:fldCharType="separate"/>
      </w:r>
      <w:r>
        <w:rPr>
          <w:rFonts w:hint="eastAsia" w:ascii="宋体" w:hAnsi="宋体" w:cs="黑体"/>
          <w:b/>
          <w:color w:val="auto"/>
          <w:sz w:val="21"/>
          <w:szCs w:val="21"/>
        </w:rPr>
        <w:t>2</w:t>
      </w:r>
      <w:r>
        <w:rPr>
          <w:rFonts w:hint="eastAsia" w:ascii="宋体" w:hAnsi="宋体" w:cs="黑体"/>
          <w:b/>
          <w:color w:val="auto"/>
          <w:sz w:val="21"/>
          <w:szCs w:val="21"/>
        </w:rPr>
        <w:fldChar w:fldCharType="end"/>
      </w:r>
      <w:r>
        <w:rPr>
          <w:rFonts w:hint="eastAsia" w:ascii="宋体" w:hAnsi="宋体" w:cs="黑体"/>
          <w:b/>
          <w:color w:val="auto"/>
          <w:sz w:val="21"/>
          <w:szCs w:val="21"/>
          <w:lang w:val="en-US" w:eastAsia="zh-CN"/>
        </w:rPr>
        <w:t xml:space="preserve"> 汽车吊立面站位图</w:t>
      </w:r>
    </w:p>
    <w:bookmarkEnd w:id="95"/>
    <w:bookmarkEnd w:id="96"/>
    <w:bookmarkEnd w:id="97"/>
    <w:bookmarkEnd w:id="98"/>
    <w:bookmarkEnd w:id="99"/>
    <w:bookmarkEnd w:id="100"/>
    <w:p w14:paraId="3DB0FE98">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3" w:name="_Toc25282"/>
      <w:bookmarkStart w:id="104" w:name="_Toc16717"/>
      <w:bookmarkStart w:id="105" w:name="_Toc21364"/>
      <w:bookmarkStart w:id="106" w:name="_Toc24606"/>
      <w:bookmarkStart w:id="107" w:name="_Toc40778439"/>
      <w:bookmarkStart w:id="108" w:name="_Toc14477"/>
      <w:bookmarkStart w:id="109" w:name="_Toc7048"/>
      <w:bookmarkStart w:id="110" w:name="_Toc3526"/>
      <w:bookmarkStart w:id="111" w:name="_Toc29750"/>
      <w:r>
        <w:rPr>
          <w:rFonts w:hint="eastAsia" w:eastAsia="宋体"/>
          <w:color w:val="auto"/>
        </w:rPr>
        <w:t>施工准备</w:t>
      </w:r>
      <w:bookmarkEnd w:id="103"/>
      <w:bookmarkEnd w:id="104"/>
    </w:p>
    <w:p w14:paraId="7B7C9AF2">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bookmarkStart w:id="112" w:name="_Hlk109141587"/>
      <w:r>
        <w:rPr>
          <w:rFonts w:hint="eastAsia"/>
          <w:b/>
          <w:bCs/>
          <w:sz w:val="24"/>
          <w:szCs w:val="24"/>
          <w:lang w:val="en-US" w:eastAsia="zh-CN"/>
        </w:rPr>
        <w:t>技</w:t>
      </w:r>
      <w:r>
        <w:rPr>
          <w:rFonts w:hint="eastAsia"/>
          <w:b/>
          <w:bCs/>
          <w:sz w:val="24"/>
          <w:szCs w:val="24"/>
        </w:rPr>
        <w:t>术准备</w:t>
      </w:r>
    </w:p>
    <w:p w14:paraId="2EF895E1">
      <w:pPr>
        <w:numPr>
          <w:ilvl w:val="0"/>
          <w:numId w:val="12"/>
        </w:numPr>
        <w:ind w:firstLineChars="0"/>
      </w:pPr>
      <w:r>
        <w:rPr>
          <w:rFonts w:hint="eastAsia"/>
        </w:rPr>
        <w:t>测量准备</w:t>
      </w:r>
    </w:p>
    <w:p w14:paraId="6AED87F4">
      <w:pPr>
        <w:ind w:firstLine="480"/>
      </w:pPr>
      <w:r>
        <w:t>根据施工图复核</w:t>
      </w:r>
      <w:r>
        <w:rPr>
          <w:rFonts w:hint="eastAsia"/>
          <w:lang w:eastAsia="zh-CN"/>
        </w:rPr>
        <w:t>施工升降机拆除</w:t>
      </w:r>
      <w:r>
        <w:t>坐标</w:t>
      </w:r>
      <w:r>
        <w:rPr>
          <w:rFonts w:hint="eastAsia"/>
        </w:rPr>
        <w:t>，</w:t>
      </w:r>
      <w:r>
        <w:t>建立平面施工测量控制网。</w:t>
      </w:r>
    </w:p>
    <w:p w14:paraId="1EE1006B">
      <w:pPr>
        <w:numPr>
          <w:ilvl w:val="0"/>
          <w:numId w:val="12"/>
        </w:numPr>
        <w:ind w:firstLineChars="0"/>
      </w:pPr>
      <w:r>
        <w:rPr>
          <w:rFonts w:hint="eastAsia"/>
        </w:rPr>
        <w:t>资料报备</w:t>
      </w:r>
    </w:p>
    <w:p w14:paraId="06448F91">
      <w:pPr>
        <w:ind w:firstLine="480"/>
      </w:pPr>
      <w:r>
        <w:rPr>
          <w:rFonts w:hint="eastAsia"/>
        </w:rPr>
        <w:t>向项目部报备</w:t>
      </w:r>
      <w:r>
        <w:rPr>
          <w:rFonts w:hint="eastAsia"/>
          <w:lang w:eastAsia="zh-CN"/>
        </w:rPr>
        <w:t>施工升降机拆除</w:t>
      </w:r>
      <w:r>
        <w:rPr>
          <w:rFonts w:hint="eastAsia"/>
        </w:rPr>
        <w:t>相关资料，包括</w:t>
      </w:r>
      <w:r>
        <w:rPr>
          <w:rFonts w:hint="eastAsia"/>
          <w:lang w:eastAsia="zh-CN"/>
        </w:rPr>
        <w:t>施工升降机拆除</w:t>
      </w:r>
      <w:r>
        <w:rPr>
          <w:rFonts w:hint="eastAsia"/>
        </w:rPr>
        <w:t>告知手续，审核修改通过的</w:t>
      </w:r>
      <w:r>
        <w:rPr>
          <w:rFonts w:hint="eastAsia"/>
          <w:lang w:val="en-US" w:eastAsia="zh-CN"/>
        </w:rPr>
        <w:t>拆除</w:t>
      </w:r>
      <w:r>
        <w:rPr>
          <w:rFonts w:hint="eastAsia"/>
        </w:rPr>
        <w:t>方案，实际到场特种作业人员证件，施工所需设备、材料。</w:t>
      </w:r>
    </w:p>
    <w:p w14:paraId="1159B404">
      <w:pPr>
        <w:numPr>
          <w:ilvl w:val="0"/>
          <w:numId w:val="12"/>
        </w:numPr>
        <w:ind w:firstLineChars="0"/>
      </w:pPr>
      <w:r>
        <w:rPr>
          <w:rFonts w:hint="eastAsia"/>
        </w:rPr>
        <w:t>技术交底</w:t>
      </w:r>
    </w:p>
    <w:p w14:paraId="00D9819B">
      <w:pPr>
        <w:ind w:firstLine="480"/>
      </w:pPr>
      <w:r>
        <w:rPr>
          <w:rFonts w:hint="eastAsia"/>
        </w:rPr>
        <w:t>针对本工程相关施工管理人员和施工作业</w:t>
      </w:r>
      <w:r>
        <w:t>人员，组织</w:t>
      </w:r>
      <w:r>
        <w:rPr>
          <w:rFonts w:hint="eastAsia"/>
        </w:rPr>
        <w:t>技术方案交底与</w:t>
      </w:r>
      <w:r>
        <w:t>安全</w:t>
      </w:r>
      <w:r>
        <w:rPr>
          <w:rFonts w:hint="eastAsia"/>
        </w:rPr>
        <w:t>教育</w:t>
      </w:r>
      <w:r>
        <w:t>培训</w:t>
      </w:r>
      <w:r>
        <w:rPr>
          <w:rFonts w:hint="eastAsia"/>
        </w:rPr>
        <w:t>并参与项目部组织的相关技术交底与培训</w:t>
      </w:r>
      <w:r>
        <w:t>。</w:t>
      </w:r>
    </w:p>
    <w:p w14:paraId="1298D56C">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现场准备</w:t>
      </w:r>
    </w:p>
    <w:p w14:paraId="4888FC36">
      <w:pPr>
        <w:numPr>
          <w:ilvl w:val="0"/>
          <w:numId w:val="13"/>
        </w:numPr>
        <w:ind w:firstLineChars="0"/>
      </w:pPr>
      <w:r>
        <w:rPr>
          <w:rFonts w:hint="eastAsia"/>
        </w:rPr>
        <w:t>场地准备</w:t>
      </w:r>
    </w:p>
    <w:p w14:paraId="06849692">
      <w:pPr>
        <w:ind w:firstLine="480"/>
      </w:pPr>
      <w:r>
        <w:rPr>
          <w:rFonts w:hint="eastAsia"/>
        </w:rPr>
        <w:t>根据本施工方案的施工平面布置，与项目部一同清理现场场地，保证施工场所满足空间需求。</w:t>
      </w:r>
    </w:p>
    <w:p w14:paraId="2459651B">
      <w:pPr>
        <w:numPr>
          <w:ilvl w:val="0"/>
          <w:numId w:val="13"/>
        </w:numPr>
        <w:ind w:firstLineChars="0"/>
      </w:pPr>
      <w:r>
        <w:rPr>
          <w:rFonts w:hint="eastAsia"/>
        </w:rPr>
        <w:t>环境准备</w:t>
      </w:r>
    </w:p>
    <w:p w14:paraId="290F4365">
      <w:pPr>
        <w:ind w:firstLine="480"/>
      </w:pPr>
      <w:r>
        <w:rPr>
          <w:rFonts w:hint="eastAsia"/>
        </w:rPr>
        <w:t>持续关注气候以及水位情况，保证施工过程中不受恶劣天气（</w:t>
      </w:r>
      <w:r>
        <w:rPr>
          <w:rFonts w:hint="eastAsia"/>
          <w:lang w:val="en-US" w:eastAsia="zh-CN"/>
        </w:rPr>
        <w:t>4</w:t>
      </w:r>
      <w:r>
        <w:rPr>
          <w:rFonts w:hint="eastAsia"/>
        </w:rPr>
        <w:t>级及以上大风、雨、雪等）以及高水位影响。</w:t>
      </w:r>
    </w:p>
    <w:p w14:paraId="5EF7BFEE">
      <w:pPr>
        <w:numPr>
          <w:ilvl w:val="0"/>
          <w:numId w:val="13"/>
        </w:numPr>
        <w:ind w:firstLineChars="0"/>
      </w:pPr>
      <w:r>
        <w:rPr>
          <w:rFonts w:hint="eastAsia"/>
        </w:rPr>
        <w:t>材料准备</w:t>
      </w:r>
    </w:p>
    <w:p w14:paraId="25EF2C50">
      <w:pPr>
        <w:ind w:firstLine="480"/>
      </w:pPr>
      <w:r>
        <w:rPr>
          <w:rFonts w:hint="eastAsia"/>
        </w:rPr>
        <w:t>施工所需</w:t>
      </w:r>
      <w:r>
        <w:t>材料</w:t>
      </w:r>
      <w:r>
        <w:rPr>
          <w:rFonts w:hint="eastAsia"/>
        </w:rPr>
        <w:t>通过项目部</w:t>
      </w:r>
      <w:r>
        <w:t>验收合格。在夜晚作业时，应准备足够的照明条件。</w:t>
      </w:r>
    </w:p>
    <w:p w14:paraId="1D289853">
      <w:pPr>
        <w:numPr>
          <w:ilvl w:val="0"/>
          <w:numId w:val="13"/>
        </w:numPr>
        <w:ind w:firstLineChars="0"/>
      </w:pPr>
      <w:r>
        <w:rPr>
          <w:rFonts w:hint="eastAsia"/>
        </w:rPr>
        <w:t>设备准备</w:t>
      </w:r>
    </w:p>
    <w:p w14:paraId="0A5A3AE7">
      <w:pPr>
        <w:ind w:firstLine="480"/>
      </w:pPr>
      <w:r>
        <w:rPr>
          <w:rFonts w:hint="eastAsia"/>
        </w:rPr>
        <w:t>施工所需设备通过项目部验收合格，确保设备满足施工需要求。</w:t>
      </w:r>
    </w:p>
    <w:p w14:paraId="64A6593E">
      <w:pPr>
        <w:numPr>
          <w:ilvl w:val="0"/>
          <w:numId w:val="13"/>
        </w:numPr>
        <w:ind w:firstLineChars="0"/>
      </w:pPr>
      <w:r>
        <w:rPr>
          <w:rFonts w:hint="eastAsia"/>
        </w:rPr>
        <w:t>临时用电</w:t>
      </w:r>
    </w:p>
    <w:p w14:paraId="571A3D13">
      <w:pPr>
        <w:ind w:firstLine="480"/>
      </w:pPr>
      <w:r>
        <w:rPr>
          <w:rFonts w:hint="eastAsia"/>
        </w:rPr>
        <w:t>施工区域配1台</w:t>
      </w:r>
      <w:r>
        <w:rPr>
          <w:rFonts w:hint="eastAsia"/>
          <w:lang w:val="en-US" w:eastAsia="zh-CN"/>
        </w:rPr>
        <w:t>1250</w:t>
      </w:r>
      <w:r>
        <w:rPr>
          <w:rFonts w:hint="eastAsia"/>
        </w:rPr>
        <w:t>k</w:t>
      </w:r>
      <w:r>
        <w:rPr>
          <w:rFonts w:hint="eastAsia"/>
          <w:lang w:val="en-US" w:eastAsia="zh-CN"/>
        </w:rPr>
        <w:t>VA</w:t>
      </w:r>
      <w:r>
        <w:rPr>
          <w:rFonts w:hint="eastAsia"/>
        </w:rPr>
        <w:t>变压器和一台250kW发电机，各功能区均配备二级配电箱，各用电终端配三级配电箱，供电线经PVC管保护地埋敷设。</w:t>
      </w:r>
    </w:p>
    <w:p w14:paraId="2C8405E6">
      <w:pPr>
        <w:numPr>
          <w:ilvl w:val="0"/>
          <w:numId w:val="13"/>
        </w:numPr>
        <w:ind w:firstLineChars="0"/>
      </w:pPr>
      <w:r>
        <w:rPr>
          <w:rFonts w:hint="eastAsia"/>
        </w:rPr>
        <w:t>人员准备</w:t>
      </w:r>
    </w:p>
    <w:p w14:paraId="20EB8A55">
      <w:pPr>
        <w:ind w:firstLine="480"/>
      </w:pPr>
      <w:r>
        <w:rPr>
          <w:rFonts w:hint="eastAsia"/>
        </w:rPr>
        <w:t>施工涉及的特种作业人员应持证上岗，施工前进行吊装演练。</w:t>
      </w:r>
    </w:p>
    <w:bookmarkEnd w:id="105"/>
    <w:bookmarkEnd w:id="106"/>
    <w:bookmarkEnd w:id="107"/>
    <w:bookmarkEnd w:id="108"/>
    <w:bookmarkEnd w:id="109"/>
    <w:bookmarkEnd w:id="110"/>
    <w:bookmarkEnd w:id="111"/>
    <w:bookmarkEnd w:id="112"/>
    <w:p w14:paraId="398D0DBD">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113" w:name="_Toc14878"/>
      <w:bookmarkStart w:id="114" w:name="_Toc1446"/>
      <w:bookmarkStart w:id="115" w:name="_Toc13629"/>
      <w:bookmarkStart w:id="116" w:name="_Toc4514"/>
      <w:bookmarkStart w:id="117" w:name="_Toc10409851"/>
      <w:r>
        <w:rPr>
          <w:rFonts w:hint="eastAsia"/>
        </w:rPr>
        <w:t>施工工艺流程图</w:t>
      </w:r>
      <w:bookmarkEnd w:id="113"/>
      <w:bookmarkEnd w:id="114"/>
    </w:p>
    <w:p w14:paraId="1133483B">
      <w:pPr>
        <w:ind w:firstLine="480"/>
        <w:rPr>
          <w:highlight w:val="yellow"/>
        </w:rPr>
      </w:pPr>
      <w:r>
        <w:fldChar w:fldCharType="begin"/>
      </w:r>
      <w:r>
        <w:instrText xml:space="preserve"> REF 设备类型 \h  \* MERGEFORMAT </w:instrText>
      </w:r>
      <w:r>
        <w:fldChar w:fldCharType="separate"/>
      </w:r>
      <w:r>
        <w:rPr>
          <w:rFonts w:hint="eastAsia"/>
        </w:rPr>
        <w:t>施工升降机</w:t>
      </w:r>
      <w:r>
        <w:fldChar w:fldCharType="end"/>
      </w:r>
      <w:r>
        <w:rPr>
          <w:rFonts w:hint="eastAsia"/>
          <w:lang w:val="en-US" w:eastAsia="zh-CN"/>
        </w:rPr>
        <w:t>拆除</w:t>
      </w:r>
      <w:r>
        <w:rPr>
          <w:rFonts w:hint="eastAsia"/>
        </w:rPr>
        <w:t>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4.4</w:t>
      </w:r>
      <w:r>
        <w:fldChar w:fldCharType="end"/>
      </w:r>
      <w:r>
        <w:rPr>
          <w:rFonts w:hint="eastAsia"/>
        </w:rPr>
        <w:t>-1</w:t>
      </w:r>
      <w:r>
        <w:fldChar w:fldCharType="end"/>
      </w:r>
      <w:r>
        <w:rPr>
          <w:rFonts w:hint="eastAsia"/>
        </w:rPr>
        <w:t>所示。</w:t>
      </w:r>
    </w:p>
    <w:p w14:paraId="3DBDF77A">
      <w:pPr>
        <w:pStyle w:val="90"/>
        <w:keepNext w:val="0"/>
        <w:keepLines w:val="0"/>
        <w:pageBreakBefore w:val="0"/>
        <w:widowControl w:val="0"/>
        <w:kinsoku/>
        <w:wordWrap/>
        <w:overflowPunct/>
        <w:topLinePunct w:val="0"/>
        <w:autoSpaceDE/>
        <w:autoSpaceDN/>
        <w:bidi w:val="0"/>
        <w:adjustRightInd/>
        <w:snapToGrid/>
        <w:spacing w:line="240" w:lineRule="atLeast"/>
        <w:textAlignment w:val="auto"/>
      </w:pPr>
      <w:r>
        <w:rPr>
          <w:rFonts w:hint="eastAsia" w:eastAsia="宋体"/>
          <w:color w:val="auto"/>
          <w:highlight w:val="none"/>
          <w:lang w:eastAsia="zh-CN"/>
        </w:rPr>
        <w:drawing>
          <wp:inline distT="0" distB="0" distL="114300" distR="114300">
            <wp:extent cx="4165600" cy="3201035"/>
            <wp:effectExtent l="0" t="0" r="0" b="0"/>
            <wp:docPr id="66" name="ECB019B1-382A-4266-B25C-5B523AA43C14-1" descr="C:/Users/Administrator/AppData/Local/Temp/wps.XdvUQ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1" descr="C:/Users/Administrator/AppData/Local/Temp/wps.XdvUQDwps"/>
                    <pic:cNvPicPr>
                      <a:picLocks noChangeAspect="1"/>
                    </pic:cNvPicPr>
                  </pic:nvPicPr>
                  <pic:blipFill>
                    <a:blip r:embed="rId30"/>
                    <a:stretch>
                      <a:fillRect/>
                    </a:stretch>
                  </pic:blipFill>
                  <pic:spPr>
                    <a:xfrm>
                      <a:off x="0" y="0"/>
                      <a:ext cx="4165600" cy="3201035"/>
                    </a:xfrm>
                    <a:prstGeom prst="rect">
                      <a:avLst/>
                    </a:prstGeom>
                  </pic:spPr>
                </pic:pic>
              </a:graphicData>
            </a:graphic>
          </wp:inline>
        </w:drawing>
      </w:r>
    </w:p>
    <w:p w14:paraId="5DC7C430">
      <w:pPr>
        <w:pStyle w:val="1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黑体"/>
          <w:b/>
          <w:color w:val="auto"/>
          <w:kern w:val="2"/>
          <w:sz w:val="21"/>
          <w:szCs w:val="21"/>
          <w:lang w:val="en-US" w:eastAsia="zh-CN" w:bidi="ar-SA"/>
        </w:rPr>
      </w:pPr>
      <w:bookmarkStart w:id="118" w:name="_Ref123658448"/>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2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4.4</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2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bookmarkEnd w:id="118"/>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拆除工艺流程图</w:t>
      </w:r>
    </w:p>
    <w:p w14:paraId="43E667F5">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119" w:name="_Toc17566"/>
      <w:bookmarkStart w:id="120" w:name="_Toc14817"/>
      <w:r>
        <w:rPr>
          <w:rFonts w:hint="eastAsia"/>
        </w:rPr>
        <w:t>施工方法</w:t>
      </w:r>
      <w:bookmarkEnd w:id="119"/>
      <w:bookmarkEnd w:id="120"/>
    </w:p>
    <w:p w14:paraId="01659B1F">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拆除导轨架顶部限位碰铁</w:t>
      </w:r>
    </w:p>
    <w:bookmarkEnd w:id="115"/>
    <w:p w14:paraId="264F2BFE">
      <w:pPr>
        <w:pStyle w:val="50"/>
        <w:numPr>
          <w:ilvl w:val="0"/>
          <w:numId w:val="0"/>
        </w:numPr>
        <w:ind w:left="420" w:leftChars="0" w:firstLine="420" w:firstLineChars="0"/>
        <w:rPr>
          <w:rFonts w:hint="eastAsia"/>
          <w:szCs w:val="24"/>
        </w:rPr>
      </w:pPr>
      <w:bookmarkStart w:id="121" w:name="_Toc451"/>
      <w:r>
        <w:rPr>
          <w:rFonts w:hint="eastAsia" w:ascii="宋体" w:hAnsi="宋体" w:eastAsia="宋体" w:cs="宋体"/>
          <w:kern w:val="2"/>
          <w:sz w:val="24"/>
          <w:szCs w:val="21"/>
          <w:lang w:val="en-US" w:eastAsia="zh-CN" w:bidi="ar-SA"/>
        </w:rPr>
        <w:t>将吊笼驱动到导轨架顶部，拆卸上限位开关碰铁、减速限位碰铁（变频调速施工升降机）电源极限开关碰铁。</w:t>
      </w:r>
    </w:p>
    <w:p w14:paraId="6BB8B8B2">
      <w:pPr>
        <w:pStyle w:val="8"/>
        <w:keepNext/>
        <w:keepLines/>
        <w:pageBreakBefore w:val="0"/>
        <w:widowControl w:val="0"/>
        <w:tabs>
          <w:tab w:val="left" w:pos="0"/>
        </w:tabs>
        <w:kinsoku/>
        <w:wordWrap/>
        <w:overflowPunct/>
        <w:topLinePunct w:val="0"/>
        <w:autoSpaceDE/>
        <w:autoSpaceDN/>
        <w:bidi w:val="0"/>
        <w:adjustRightInd/>
        <w:snapToGrid/>
        <w:textAlignment w:val="auto"/>
        <w:rPr>
          <w:b/>
          <w:bCs/>
          <w:sz w:val="24"/>
          <w:szCs w:val="24"/>
        </w:rPr>
      </w:pPr>
      <w:bookmarkStart w:id="122" w:name="_Toc29869"/>
      <w:bookmarkEnd w:id="122"/>
      <w:bookmarkStart w:id="123" w:name="_Toc30564"/>
      <w:bookmarkEnd w:id="123"/>
      <w:bookmarkStart w:id="124" w:name="_Toc27443"/>
      <w:bookmarkStart w:id="125" w:name="_Toc26502"/>
      <w:r>
        <w:rPr>
          <w:rFonts w:hint="eastAsia"/>
          <w:b/>
          <w:bCs/>
          <w:sz w:val="24"/>
          <w:szCs w:val="24"/>
          <w:lang w:eastAsia="zh-CN"/>
        </w:rPr>
        <w:t>拆除</w:t>
      </w:r>
      <w:r>
        <w:rPr>
          <w:rFonts w:hint="eastAsia"/>
          <w:b/>
          <w:bCs/>
          <w:sz w:val="24"/>
          <w:szCs w:val="24"/>
        </w:rPr>
        <w:t>导轨架</w:t>
      </w:r>
      <w:bookmarkEnd w:id="124"/>
      <w:bookmarkEnd w:id="125"/>
    </w:p>
    <w:p w14:paraId="5E23D0BB">
      <w:pPr>
        <w:ind w:firstLine="480"/>
        <w:rPr>
          <w:rFonts w:hint="eastAsia" w:ascii="宋体" w:hAnsi="宋体" w:eastAsia="宋体" w:cs="宋体"/>
          <w:color w:val="auto"/>
          <w:highlight w:val="none"/>
        </w:rPr>
      </w:pPr>
      <w:r>
        <w:rPr>
          <w:rFonts w:hint="eastAsia" w:ascii="宋体" w:hAnsi="宋体" w:eastAsia="宋体" w:cs="宋体"/>
          <w:color w:val="auto"/>
          <w:lang w:val="en-US" w:eastAsia="zh-CN"/>
        </w:rPr>
        <w:t>1</w:t>
      </w:r>
      <w:r>
        <w:rPr>
          <w:rFonts w:hint="eastAsia" w:ascii="宋体" w:hAnsi="宋体" w:eastAsia="宋体" w:cs="宋体"/>
          <w:color w:val="auto"/>
        </w:rPr>
        <w:t>）专职操作员将吊笼升至导轨架顶部，</w:t>
      </w:r>
      <w:r>
        <w:rPr>
          <w:rFonts w:hint="eastAsia" w:ascii="宋体" w:hAnsi="宋体" w:eastAsia="宋体" w:cs="宋体"/>
          <w:color w:val="auto"/>
          <w:lang w:val="en-US" w:eastAsia="zh-CN"/>
        </w:rPr>
        <w:t>拆除</w:t>
      </w:r>
      <w:r>
        <w:rPr>
          <w:rFonts w:hint="eastAsia" w:ascii="宋体" w:hAnsi="宋体" w:eastAsia="宋体" w:cs="宋体"/>
          <w:color w:val="auto"/>
        </w:rPr>
        <w:t>作业人员通过配备的专用爬梯，通过吊笼内部打开顶部顶盖，然后攀登至吊笼顶部后，</w:t>
      </w:r>
      <w:r>
        <w:rPr>
          <w:rFonts w:hint="eastAsia" w:ascii="宋体" w:hAnsi="宋体" w:eastAsia="宋体" w:cs="宋体"/>
          <w:color w:val="auto"/>
          <w:lang w:val="en-US" w:eastAsia="zh-CN"/>
        </w:rPr>
        <w:t>拆除</w:t>
      </w:r>
      <w:r>
        <w:rPr>
          <w:rFonts w:hint="eastAsia" w:ascii="宋体" w:hAnsi="宋体" w:eastAsia="宋体" w:cs="宋体"/>
          <w:color w:val="auto"/>
        </w:rPr>
        <w:t>作业人员将安全带系</w:t>
      </w:r>
      <w:r>
        <w:rPr>
          <w:rFonts w:hint="eastAsia" w:ascii="宋体" w:hAnsi="宋体" w:eastAsia="宋体" w:cs="宋体"/>
          <w:color w:val="auto"/>
          <w:highlight w:val="none"/>
        </w:rPr>
        <w:t>挂吊笼的顶部围栏上。</w:t>
      </w:r>
    </w:p>
    <w:p w14:paraId="6D1893EB">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拆除</w:t>
      </w:r>
      <w:r>
        <w:rPr>
          <w:rFonts w:hint="eastAsia" w:ascii="宋体" w:hAnsi="宋体" w:eastAsia="宋体" w:cs="宋体"/>
          <w:color w:val="auto"/>
          <w:highlight w:val="none"/>
        </w:rPr>
        <w:t>作业人员在</w:t>
      </w:r>
      <w:r>
        <w:rPr>
          <w:rFonts w:hint="eastAsia" w:ascii="宋体" w:hAnsi="宋体" w:eastAsia="宋体" w:cs="宋体"/>
          <w:color w:val="auto"/>
          <w:highlight w:val="none"/>
          <w:lang w:val="en-US" w:eastAsia="zh-CN"/>
        </w:rPr>
        <w:t>吊笼顶部</w:t>
      </w:r>
      <w:r>
        <w:rPr>
          <w:rFonts w:hint="eastAsia" w:ascii="宋体" w:hAnsi="宋体" w:eastAsia="宋体" w:cs="宋体"/>
          <w:color w:val="auto"/>
          <w:highlight w:val="none"/>
        </w:rPr>
        <w:t>使用</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根6m长的</w:t>
      </w:r>
      <w:r>
        <w:rPr>
          <w:rFonts w:hint="eastAsia" w:ascii="宋体" w:hAnsi="宋体" w:eastAsia="宋体" w:cs="宋体"/>
          <w:color w:val="auto"/>
          <w:highlight w:val="none"/>
          <w:lang w:eastAsia="zh-CN"/>
        </w:rPr>
        <w:t>12mm6×19S+</w:t>
      </w:r>
      <w:r>
        <w:rPr>
          <w:rFonts w:hint="eastAsia" w:ascii="宋体" w:hAnsi="宋体" w:cs="宋体"/>
          <w:color w:val="auto"/>
          <w:highlight w:val="none"/>
          <w:lang w:eastAsia="zh-CN"/>
        </w:rPr>
        <w:t>IWR1870</w:t>
      </w:r>
      <w:r>
        <w:rPr>
          <w:rFonts w:hint="eastAsia" w:ascii="宋体" w:hAnsi="宋体" w:eastAsia="宋体" w:cs="宋体"/>
          <w:color w:val="auto"/>
          <w:highlight w:val="none"/>
        </w:rPr>
        <w:t>钢丝绳配置2个</w:t>
      </w:r>
      <w:r>
        <w:rPr>
          <w:rFonts w:hint="eastAsia" w:ascii="宋体" w:hAnsi="宋体" w:eastAsia="宋体" w:cs="宋体"/>
          <w:color w:val="auto"/>
          <w:highlight w:val="none"/>
          <w:lang w:eastAsia="zh-CN"/>
        </w:rPr>
        <w:t>GB/T 25854-6-DW5</w:t>
      </w:r>
      <w:r>
        <w:rPr>
          <w:rFonts w:hint="eastAsia" w:ascii="宋体" w:hAnsi="宋体" w:eastAsia="宋体" w:cs="宋体"/>
          <w:color w:val="auto"/>
          <w:highlight w:val="none"/>
        </w:rPr>
        <w:t>卸扣与标准节顶部的吊装孔连接固定，钢丝绳另外一端与</w:t>
      </w:r>
      <w:r>
        <w:rPr>
          <w:rFonts w:hint="eastAsia" w:ascii="宋体" w:hAnsi="宋体" w:cs="宋体"/>
          <w:color w:val="auto"/>
          <w:highlight w:val="none"/>
          <w:lang w:eastAsia="zh-CN"/>
        </w:rPr>
        <w:t>汽车吊</w:t>
      </w:r>
      <w:r>
        <w:rPr>
          <w:rFonts w:hint="eastAsia" w:ascii="宋体" w:hAnsi="宋体" w:eastAsia="宋体" w:cs="宋体"/>
          <w:color w:val="auto"/>
          <w:highlight w:val="none"/>
        </w:rPr>
        <w:t>吊钩连接。</w:t>
      </w:r>
    </w:p>
    <w:p w14:paraId="0CE8515C">
      <w:pPr>
        <w:ind w:firstLine="480"/>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）专职操作员将吊笼</w:t>
      </w:r>
      <w:r>
        <w:rPr>
          <w:rFonts w:hint="eastAsia" w:ascii="宋体" w:hAnsi="宋体" w:eastAsia="宋体" w:cs="宋体"/>
          <w:color w:val="auto"/>
          <w:lang w:val="en-US" w:eastAsia="zh-CN"/>
        </w:rPr>
        <w:t>降</w:t>
      </w:r>
      <w:r>
        <w:rPr>
          <w:rFonts w:hint="eastAsia" w:ascii="宋体" w:hAnsi="宋体" w:eastAsia="宋体" w:cs="宋体"/>
          <w:color w:val="auto"/>
        </w:rPr>
        <w:t>至导轨架顶部</w:t>
      </w:r>
      <w:r>
        <w:rPr>
          <w:rFonts w:hint="eastAsia" w:ascii="宋体" w:hAnsi="宋体" w:eastAsia="宋体" w:cs="宋体"/>
          <w:color w:val="auto"/>
          <w:lang w:val="en-US" w:eastAsia="zh-CN"/>
        </w:rPr>
        <w:t>标准节的下一节</w:t>
      </w:r>
      <w:r>
        <w:rPr>
          <w:rFonts w:hint="eastAsia" w:ascii="宋体" w:hAnsi="宋体" w:eastAsia="宋体" w:cs="宋体"/>
          <w:color w:val="auto"/>
        </w:rPr>
        <w:t>，</w:t>
      </w:r>
      <w:r>
        <w:rPr>
          <w:rFonts w:hint="eastAsia" w:ascii="宋体" w:hAnsi="宋体" w:eastAsia="宋体" w:cs="宋体"/>
          <w:color w:val="auto"/>
          <w:lang w:val="en-US" w:eastAsia="zh-CN"/>
        </w:rPr>
        <w:t>拆除</w:t>
      </w:r>
      <w:r>
        <w:rPr>
          <w:rFonts w:hint="eastAsia" w:ascii="宋体" w:hAnsi="宋体" w:eastAsia="宋体" w:cs="宋体"/>
          <w:color w:val="auto"/>
        </w:rPr>
        <w:t>作业人员</w:t>
      </w:r>
      <w:r>
        <w:rPr>
          <w:rFonts w:hint="eastAsia" w:ascii="宋体" w:hAnsi="宋体" w:eastAsia="宋体" w:cs="宋体"/>
          <w:color w:val="auto"/>
          <w:lang w:val="en-US" w:eastAsia="zh-CN"/>
        </w:rPr>
        <w:t>拆除标准节的连接螺栓，然后</w:t>
      </w:r>
      <w:r>
        <w:rPr>
          <w:rFonts w:hint="eastAsia" w:ascii="宋体" w:hAnsi="宋体" w:cs="宋体"/>
          <w:color w:val="auto"/>
          <w:lang w:eastAsia="zh-CN"/>
        </w:rPr>
        <w:t>汽车吊</w:t>
      </w:r>
      <w:r>
        <w:rPr>
          <w:rFonts w:hint="eastAsia" w:ascii="宋体" w:hAnsi="宋体" w:eastAsia="宋体" w:cs="宋体"/>
          <w:color w:val="auto"/>
        </w:rPr>
        <w:t>操作人员听从指令</w:t>
      </w:r>
      <w:r>
        <w:rPr>
          <w:rFonts w:hint="eastAsia" w:ascii="宋体" w:hAnsi="宋体" w:eastAsia="宋体" w:cs="宋体"/>
          <w:color w:val="auto"/>
          <w:lang w:val="en-US" w:eastAsia="zh-CN"/>
        </w:rPr>
        <w:t>缓慢吊起标准节并下放至地面</w:t>
      </w:r>
      <w:r>
        <w:rPr>
          <w:rFonts w:hint="eastAsia" w:ascii="宋体" w:hAnsi="宋体" w:eastAsia="宋体" w:cs="宋体"/>
          <w:color w:val="auto"/>
        </w:rPr>
        <w:t>。</w:t>
      </w:r>
    </w:p>
    <w:p w14:paraId="4F967B75">
      <w:pPr>
        <w:pStyle w:val="32"/>
        <w:jc w:val="center"/>
      </w:pPr>
      <w:r>
        <w:drawing>
          <wp:inline distT="0" distB="0" distL="114300" distR="114300">
            <wp:extent cx="4012565" cy="4018280"/>
            <wp:effectExtent l="0" t="0" r="6985" b="127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9"/>
                    <a:stretch>
                      <a:fillRect/>
                    </a:stretch>
                  </pic:blipFill>
                  <pic:spPr>
                    <a:xfrm>
                      <a:off x="0" y="0"/>
                      <a:ext cx="4012565" cy="4018280"/>
                    </a:xfrm>
                    <a:prstGeom prst="rect">
                      <a:avLst/>
                    </a:prstGeom>
                    <a:noFill/>
                    <a:ln>
                      <a:noFill/>
                    </a:ln>
                  </pic:spPr>
                </pic:pic>
              </a:graphicData>
            </a:graphic>
          </wp:inline>
        </w:drawing>
      </w:r>
    </w:p>
    <w:p w14:paraId="2A032D51">
      <w:pPr>
        <w:pStyle w:val="32"/>
        <w:jc w:val="center"/>
        <w:rPr>
          <w:rFonts w:hint="eastAsia" w:ascii="Times New Roman" w:hAnsi="Times New Roman" w:eastAsia="宋体" w:cstheme="minorBidi"/>
          <w:b/>
          <w:color w:val="auto"/>
          <w:kern w:val="2"/>
          <w:sz w:val="21"/>
          <w:szCs w:val="24"/>
          <w:lang w:val="en-US" w:eastAsia="zh-CN" w:bidi="ar-SA"/>
          <w14:ligatures w14:val="standardContextual"/>
        </w:rPr>
      </w:pPr>
      <w:r>
        <w:rPr>
          <w:rFonts w:hint="eastAsia" w:ascii="Times New Roman" w:hAnsi="Times New Roman" w:eastAsia="宋体" w:cstheme="minorBidi"/>
          <w:b/>
          <w:color w:val="auto"/>
          <w:kern w:val="2"/>
          <w:sz w:val="21"/>
          <w:szCs w:val="24"/>
          <w:lang w:val="en-US" w:eastAsia="zh-CN" w:bidi="ar-SA"/>
          <w14:ligatures w14:val="standardContextual"/>
        </w:rPr>
        <w:t>图</w:t>
      </w:r>
      <w:r>
        <w:rPr>
          <w:rFonts w:ascii="Times New Roman" w:hAnsi="Times New Roman" w:eastAsia="宋体" w:cstheme="minorBidi"/>
          <w:b/>
          <w:color w:val="auto"/>
          <w:kern w:val="2"/>
          <w:sz w:val="21"/>
          <w:szCs w:val="24"/>
          <w:lang w:val="en-US" w:eastAsia="zh-CN" w:bidi="ar-SA"/>
          <w14:ligatures w14:val="standardContextual"/>
        </w:rPr>
        <w:fldChar w:fldCharType="begin"/>
      </w:r>
      <w:r>
        <w:rPr>
          <w:rFonts w:ascii="Times New Roman" w:hAnsi="Times New Roman" w:eastAsia="宋体" w:cstheme="minorBidi"/>
          <w:b/>
          <w:color w:val="auto"/>
          <w:kern w:val="2"/>
          <w:sz w:val="21"/>
          <w:szCs w:val="24"/>
          <w:lang w:val="en-US" w:eastAsia="zh-CN" w:bidi="ar-SA"/>
          <w14:ligatures w14:val="standardContextual"/>
        </w:rPr>
        <w:instrText xml:space="preserve"> </w:instrText>
      </w:r>
      <w:r>
        <w:rPr>
          <w:rFonts w:hint="eastAsia" w:ascii="Times New Roman" w:hAnsi="Times New Roman" w:eastAsia="宋体" w:cstheme="minorBidi"/>
          <w:b/>
          <w:color w:val="auto"/>
          <w:kern w:val="2"/>
          <w:sz w:val="21"/>
          <w:szCs w:val="24"/>
          <w:lang w:val="en-US" w:eastAsia="zh-CN" w:bidi="ar-SA"/>
          <w14:ligatures w14:val="standardContextual"/>
        </w:rPr>
        <w:instrText xml:space="preserve">STYLEREF </w:instrText>
      </w:r>
      <w:r>
        <w:rPr>
          <w:rFonts w:ascii="Times New Roman" w:hAnsi="Times New Roman" w:eastAsia="宋体" w:cstheme="minorBidi"/>
          <w:b/>
          <w:color w:val="auto"/>
          <w:kern w:val="2"/>
          <w:sz w:val="21"/>
          <w:szCs w:val="24"/>
          <w:lang w:val="en-US" w:eastAsia="zh-CN" w:bidi="ar-SA"/>
          <w14:ligatures w14:val="standardContextual"/>
        </w:rPr>
        <w:instrText xml:space="preserve">2</w:instrText>
      </w:r>
      <w:r>
        <w:rPr>
          <w:rFonts w:hint="eastAsia" w:ascii="Times New Roman" w:hAnsi="Times New Roman" w:eastAsia="宋体" w:cstheme="minorBidi"/>
          <w:b/>
          <w:color w:val="auto"/>
          <w:kern w:val="2"/>
          <w:sz w:val="21"/>
          <w:szCs w:val="24"/>
          <w:lang w:val="en-US" w:eastAsia="zh-CN" w:bidi="ar-SA"/>
          <w14:ligatures w14:val="standardContextual"/>
        </w:rPr>
        <w:instrText xml:space="preserve"> \s</w:instrText>
      </w:r>
      <w:r>
        <w:rPr>
          <w:rFonts w:ascii="Times New Roman" w:hAnsi="Times New Roman" w:eastAsia="宋体" w:cstheme="minorBidi"/>
          <w:b/>
          <w:color w:val="auto"/>
          <w:kern w:val="2"/>
          <w:sz w:val="21"/>
          <w:szCs w:val="24"/>
          <w:lang w:val="en-US" w:eastAsia="zh-CN" w:bidi="ar-SA"/>
          <w14:ligatures w14:val="standardContextual"/>
        </w:rPr>
        <w:instrText xml:space="preserve"> </w:instrText>
      </w:r>
      <w:r>
        <w:rPr>
          <w:rFonts w:ascii="Times New Roman" w:hAnsi="Times New Roman" w:eastAsia="宋体" w:cstheme="minorBidi"/>
          <w:b/>
          <w:color w:val="auto"/>
          <w:kern w:val="2"/>
          <w:sz w:val="21"/>
          <w:szCs w:val="24"/>
          <w:lang w:val="en-US" w:eastAsia="zh-CN" w:bidi="ar-SA"/>
          <w14:ligatures w14:val="standardContextual"/>
        </w:rPr>
        <w:fldChar w:fldCharType="separate"/>
      </w:r>
      <w:r>
        <w:rPr>
          <w:rFonts w:hint="eastAsia" w:ascii="Times New Roman" w:hAnsi="Times New Roman" w:eastAsia="宋体" w:cstheme="minorBidi"/>
          <w:b/>
          <w:color w:val="auto"/>
          <w:kern w:val="2"/>
          <w:sz w:val="21"/>
          <w:szCs w:val="24"/>
          <w:lang w:val="en-US" w:eastAsia="zh-CN" w:bidi="ar-SA"/>
          <w14:ligatures w14:val="standardContextual"/>
        </w:rPr>
        <w:t>4.5</w:t>
      </w:r>
      <w:r>
        <w:rPr>
          <w:rFonts w:ascii="Times New Roman" w:hAnsi="Times New Roman" w:eastAsia="宋体" w:cstheme="minorBidi"/>
          <w:b/>
          <w:color w:val="auto"/>
          <w:kern w:val="2"/>
          <w:sz w:val="21"/>
          <w:szCs w:val="24"/>
          <w:lang w:val="en-US" w:eastAsia="zh-CN" w:bidi="ar-SA"/>
          <w14:ligatures w14:val="standardContextual"/>
        </w:rPr>
        <w:fldChar w:fldCharType="end"/>
      </w:r>
      <w:r>
        <w:rPr>
          <w:rFonts w:hint="eastAsia" w:ascii="Times New Roman" w:hAnsi="Times New Roman" w:eastAsia="宋体" w:cstheme="minorBidi"/>
          <w:b/>
          <w:color w:val="auto"/>
          <w:kern w:val="2"/>
          <w:sz w:val="21"/>
          <w:szCs w:val="24"/>
          <w:lang w:val="en-US" w:eastAsia="zh-CN" w:bidi="ar-SA"/>
          <w14:ligatures w14:val="standardContextual"/>
        </w:rPr>
        <w:t>-</w:t>
      </w:r>
      <w:r>
        <w:rPr>
          <w:rFonts w:ascii="Times New Roman" w:hAnsi="Times New Roman" w:eastAsia="宋体" w:cstheme="minorBidi"/>
          <w:b/>
          <w:color w:val="auto"/>
          <w:kern w:val="2"/>
          <w:sz w:val="21"/>
          <w:szCs w:val="24"/>
          <w:lang w:val="en-US" w:eastAsia="zh-CN" w:bidi="ar-SA"/>
          <w14:ligatures w14:val="standardContextual"/>
        </w:rPr>
        <w:fldChar w:fldCharType="begin"/>
      </w:r>
      <w:r>
        <w:rPr>
          <w:rFonts w:ascii="Times New Roman" w:hAnsi="Times New Roman" w:eastAsia="宋体" w:cstheme="minorBidi"/>
          <w:b/>
          <w:color w:val="auto"/>
          <w:kern w:val="2"/>
          <w:sz w:val="21"/>
          <w:szCs w:val="24"/>
          <w:lang w:val="en-US" w:eastAsia="zh-CN" w:bidi="ar-SA"/>
          <w14:ligatures w14:val="standardContextual"/>
        </w:rPr>
        <w:instrText xml:space="preserve"> </w:instrText>
      </w:r>
      <w:r>
        <w:rPr>
          <w:rFonts w:hint="eastAsia" w:ascii="Times New Roman" w:hAnsi="Times New Roman" w:eastAsia="宋体" w:cstheme="minorBidi"/>
          <w:b/>
          <w:color w:val="auto"/>
          <w:kern w:val="2"/>
          <w:sz w:val="21"/>
          <w:szCs w:val="24"/>
          <w:lang w:val="en-US" w:eastAsia="zh-CN" w:bidi="ar-SA"/>
          <w14:ligatures w14:val="standardContextual"/>
        </w:rPr>
        <w:instrText xml:space="preserve">SEQ 图 \* ARABIC \s </w:instrText>
      </w:r>
      <w:r>
        <w:rPr>
          <w:rFonts w:ascii="Times New Roman" w:hAnsi="Times New Roman" w:eastAsia="宋体" w:cstheme="minorBidi"/>
          <w:b/>
          <w:color w:val="auto"/>
          <w:kern w:val="2"/>
          <w:sz w:val="21"/>
          <w:szCs w:val="24"/>
          <w:lang w:val="en-US" w:eastAsia="zh-CN" w:bidi="ar-SA"/>
          <w14:ligatures w14:val="standardContextual"/>
        </w:rPr>
        <w:instrText xml:space="preserve">2 </w:instrText>
      </w:r>
      <w:r>
        <w:rPr>
          <w:rFonts w:ascii="Times New Roman" w:hAnsi="Times New Roman" w:eastAsia="宋体" w:cstheme="minorBidi"/>
          <w:b/>
          <w:color w:val="auto"/>
          <w:kern w:val="2"/>
          <w:sz w:val="21"/>
          <w:szCs w:val="24"/>
          <w:lang w:val="en-US" w:eastAsia="zh-CN" w:bidi="ar-SA"/>
          <w14:ligatures w14:val="standardContextual"/>
        </w:rPr>
        <w:fldChar w:fldCharType="separate"/>
      </w:r>
      <w:r>
        <w:rPr>
          <w:rFonts w:hint="eastAsia" w:ascii="Times New Roman" w:hAnsi="Times New Roman" w:eastAsia="宋体" w:cstheme="minorBidi"/>
          <w:b/>
          <w:color w:val="auto"/>
          <w:kern w:val="2"/>
          <w:sz w:val="21"/>
          <w:szCs w:val="24"/>
          <w:lang w:val="en-US" w:eastAsia="zh-CN" w:bidi="ar-SA"/>
          <w14:ligatures w14:val="standardContextual"/>
        </w:rPr>
        <w:t>1</w:t>
      </w:r>
      <w:r>
        <w:rPr>
          <w:rFonts w:ascii="Times New Roman" w:hAnsi="Times New Roman" w:eastAsia="宋体" w:cstheme="minorBidi"/>
          <w:b/>
          <w:color w:val="auto"/>
          <w:kern w:val="2"/>
          <w:sz w:val="21"/>
          <w:szCs w:val="24"/>
          <w:lang w:val="en-US" w:eastAsia="zh-CN" w:bidi="ar-SA"/>
          <w14:ligatures w14:val="standardContextual"/>
        </w:rPr>
        <w:fldChar w:fldCharType="end"/>
      </w:r>
      <w:r>
        <w:rPr>
          <w:rFonts w:hint="eastAsia" w:ascii="Times New Roman" w:hAnsi="Times New Roman" w:eastAsia="宋体" w:cstheme="minorBidi"/>
          <w:b/>
          <w:color w:val="auto"/>
          <w:kern w:val="2"/>
          <w:sz w:val="21"/>
          <w:szCs w:val="24"/>
          <w:lang w:val="en-US" w:eastAsia="zh-CN" w:bidi="ar-SA"/>
          <w14:ligatures w14:val="standardContextual"/>
        </w:rPr>
        <w:t xml:space="preserve"> </w:t>
      </w:r>
      <w:r>
        <w:rPr>
          <w:rFonts w:ascii="Times New Roman" w:hAnsi="Times New Roman" w:eastAsia="宋体" w:cstheme="minorBidi"/>
          <w:b/>
          <w:color w:val="auto"/>
          <w:kern w:val="2"/>
          <w:sz w:val="21"/>
          <w:szCs w:val="24"/>
          <w:lang w:val="en-US" w:eastAsia="zh-CN" w:bidi="ar-SA"/>
          <w14:ligatures w14:val="standardContextual"/>
        </w:rPr>
        <w:t xml:space="preserve"> </w:t>
      </w:r>
      <w:r>
        <w:rPr>
          <w:rFonts w:hint="eastAsia" w:ascii="Times New Roman" w:hAnsi="Times New Roman" w:eastAsia="宋体" w:cstheme="minorBidi"/>
          <w:b/>
          <w:color w:val="auto"/>
          <w:kern w:val="2"/>
          <w:sz w:val="21"/>
          <w:szCs w:val="24"/>
          <w:lang w:val="en-US" w:eastAsia="zh-CN" w:bidi="ar-SA"/>
          <w14:ligatures w14:val="standardContextual"/>
        </w:rPr>
        <w:t>标准节吊装</w:t>
      </w:r>
      <w:r>
        <w:rPr>
          <w:rFonts w:hint="eastAsia" w:ascii="Times New Roman" w:hAnsi="Times New Roman" w:cstheme="minorBidi"/>
          <w:b/>
          <w:color w:val="auto"/>
          <w:kern w:val="2"/>
          <w:sz w:val="21"/>
          <w:szCs w:val="24"/>
          <w:lang w:val="en-US" w:eastAsia="zh-CN" w:bidi="ar-SA"/>
          <w14:ligatures w14:val="standardContextual"/>
        </w:rPr>
        <w:t>立面</w:t>
      </w:r>
      <w:r>
        <w:rPr>
          <w:rFonts w:hint="eastAsia" w:ascii="Times New Roman" w:hAnsi="Times New Roman" w:eastAsia="宋体" w:cstheme="minorBidi"/>
          <w:b/>
          <w:color w:val="auto"/>
          <w:kern w:val="2"/>
          <w:sz w:val="21"/>
          <w:szCs w:val="24"/>
          <w:lang w:val="en-US" w:eastAsia="zh-CN" w:bidi="ar-SA"/>
          <w14:ligatures w14:val="standardContextual"/>
        </w:rPr>
        <w:t>示意图</w:t>
      </w:r>
    </w:p>
    <w:p w14:paraId="57487038">
      <w:pPr>
        <w:pStyle w:val="13"/>
        <w:jc w:val="center"/>
      </w:pPr>
      <w:r>
        <w:drawing>
          <wp:inline distT="0" distB="0" distL="114300" distR="114300">
            <wp:extent cx="4697730" cy="3235325"/>
            <wp:effectExtent l="0" t="0" r="7620" b="317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8"/>
                    <a:stretch>
                      <a:fillRect/>
                    </a:stretch>
                  </pic:blipFill>
                  <pic:spPr>
                    <a:xfrm>
                      <a:off x="0" y="0"/>
                      <a:ext cx="4697730" cy="3235325"/>
                    </a:xfrm>
                    <a:prstGeom prst="rect">
                      <a:avLst/>
                    </a:prstGeom>
                    <a:noFill/>
                    <a:ln>
                      <a:noFill/>
                    </a:ln>
                  </pic:spPr>
                </pic:pic>
              </a:graphicData>
            </a:graphic>
          </wp:inline>
        </w:drawing>
      </w:r>
    </w:p>
    <w:p w14:paraId="2357235B">
      <w:pPr>
        <w:pStyle w:val="13"/>
        <w:jc w:val="center"/>
        <w:rPr>
          <w:rFonts w:hint="default" w:ascii="Times New Roman" w:hAnsi="Times New Roman" w:eastAsia="宋体" w:cstheme="minorBidi"/>
          <w:b/>
          <w:color w:val="auto"/>
          <w:kern w:val="2"/>
          <w:sz w:val="21"/>
          <w:szCs w:val="24"/>
          <w:lang w:val="en-US" w:eastAsia="zh-CN" w:bidi="ar-SA"/>
          <w14:ligatures w14:val="standardContextual"/>
        </w:rPr>
      </w:pPr>
      <w:r>
        <w:rPr>
          <w:rFonts w:hint="eastAsia" w:ascii="Times New Roman" w:hAnsi="Times New Roman" w:eastAsia="宋体" w:cstheme="minorBidi"/>
          <w:b/>
          <w:color w:val="auto"/>
          <w:kern w:val="2"/>
          <w:sz w:val="21"/>
          <w:szCs w:val="24"/>
          <w:lang w:val="en-US" w:eastAsia="zh-CN" w:bidi="ar-SA"/>
          <w14:ligatures w14:val="standardContextual"/>
        </w:rPr>
        <w:t xml:space="preserve">图 </w:t>
      </w:r>
      <w:r>
        <w:rPr>
          <w:rFonts w:hint="eastAsia" w:ascii="Times New Roman" w:hAnsi="Times New Roman" w:eastAsia="宋体" w:cstheme="minorBidi"/>
          <w:b/>
          <w:color w:val="auto"/>
          <w:kern w:val="2"/>
          <w:sz w:val="21"/>
          <w:szCs w:val="24"/>
          <w:lang w:val="en-US" w:eastAsia="zh-CN" w:bidi="ar-SA"/>
          <w14:ligatures w14:val="standardContextual"/>
        </w:rPr>
        <w:fldChar w:fldCharType="begin"/>
      </w:r>
      <w:r>
        <w:rPr>
          <w:rFonts w:hint="eastAsia" w:ascii="Times New Roman" w:hAnsi="Times New Roman" w:eastAsia="宋体" w:cstheme="minorBidi"/>
          <w:b/>
          <w:color w:val="auto"/>
          <w:kern w:val="2"/>
          <w:sz w:val="21"/>
          <w:szCs w:val="24"/>
          <w:lang w:val="en-US" w:eastAsia="zh-CN" w:bidi="ar-SA"/>
          <w14:ligatures w14:val="standardContextual"/>
        </w:rPr>
        <w:instrText xml:space="preserve"> STYLEREF 2 \s </w:instrText>
      </w:r>
      <w:r>
        <w:rPr>
          <w:rFonts w:hint="eastAsia" w:ascii="Times New Roman" w:hAnsi="Times New Roman" w:eastAsia="宋体" w:cstheme="minorBidi"/>
          <w:b/>
          <w:color w:val="auto"/>
          <w:kern w:val="2"/>
          <w:sz w:val="21"/>
          <w:szCs w:val="24"/>
          <w:lang w:val="en-US" w:eastAsia="zh-CN" w:bidi="ar-SA"/>
          <w14:ligatures w14:val="standardContextual"/>
        </w:rPr>
        <w:fldChar w:fldCharType="separate"/>
      </w:r>
      <w:r>
        <w:rPr>
          <w:rFonts w:hint="eastAsia" w:ascii="Times New Roman" w:hAnsi="Times New Roman" w:eastAsia="宋体" w:cstheme="minorBidi"/>
          <w:b/>
          <w:color w:val="auto"/>
          <w:kern w:val="2"/>
          <w:sz w:val="21"/>
          <w:szCs w:val="24"/>
          <w:lang w:val="en-US" w:eastAsia="zh-CN" w:bidi="ar-SA"/>
          <w14:ligatures w14:val="standardContextual"/>
        </w:rPr>
        <w:t>4.5</w:t>
      </w:r>
      <w:r>
        <w:rPr>
          <w:rFonts w:hint="eastAsia" w:ascii="Times New Roman" w:hAnsi="Times New Roman" w:eastAsia="宋体" w:cstheme="minorBidi"/>
          <w:b/>
          <w:color w:val="auto"/>
          <w:kern w:val="2"/>
          <w:sz w:val="21"/>
          <w:szCs w:val="24"/>
          <w:lang w:val="en-US" w:eastAsia="zh-CN" w:bidi="ar-SA"/>
          <w14:ligatures w14:val="standardContextual"/>
        </w:rPr>
        <w:fldChar w:fldCharType="end"/>
      </w:r>
      <w:r>
        <w:rPr>
          <w:rFonts w:hint="eastAsia" w:ascii="Times New Roman" w:hAnsi="Times New Roman" w:eastAsia="宋体" w:cstheme="minorBidi"/>
          <w:b/>
          <w:color w:val="auto"/>
          <w:kern w:val="2"/>
          <w:sz w:val="21"/>
          <w:szCs w:val="24"/>
          <w:lang w:val="en-US" w:eastAsia="zh-CN" w:bidi="ar-SA"/>
          <w14:ligatures w14:val="standardContextual"/>
        </w:rPr>
        <w:t>-</w:t>
      </w:r>
      <w:r>
        <w:rPr>
          <w:rFonts w:hint="eastAsia" w:ascii="Times New Roman" w:hAnsi="Times New Roman" w:eastAsia="宋体" w:cstheme="minorBidi"/>
          <w:b/>
          <w:color w:val="auto"/>
          <w:kern w:val="2"/>
          <w:sz w:val="21"/>
          <w:szCs w:val="24"/>
          <w:lang w:val="en-US" w:eastAsia="zh-CN" w:bidi="ar-SA"/>
          <w14:ligatures w14:val="standardContextual"/>
        </w:rPr>
        <w:fldChar w:fldCharType="begin"/>
      </w:r>
      <w:r>
        <w:rPr>
          <w:rFonts w:hint="eastAsia" w:ascii="Times New Roman" w:hAnsi="Times New Roman" w:eastAsia="宋体" w:cstheme="minorBidi"/>
          <w:b/>
          <w:color w:val="auto"/>
          <w:kern w:val="2"/>
          <w:sz w:val="21"/>
          <w:szCs w:val="24"/>
          <w:lang w:val="en-US" w:eastAsia="zh-CN" w:bidi="ar-SA"/>
          <w14:ligatures w14:val="standardContextual"/>
        </w:rPr>
        <w:instrText xml:space="preserve"> SEQ 图 \* ARABIC \s 2 </w:instrText>
      </w:r>
      <w:r>
        <w:rPr>
          <w:rFonts w:hint="eastAsia" w:ascii="Times New Roman" w:hAnsi="Times New Roman" w:eastAsia="宋体" w:cstheme="minorBidi"/>
          <w:b/>
          <w:color w:val="auto"/>
          <w:kern w:val="2"/>
          <w:sz w:val="21"/>
          <w:szCs w:val="24"/>
          <w:lang w:val="en-US" w:eastAsia="zh-CN" w:bidi="ar-SA"/>
          <w14:ligatures w14:val="standardContextual"/>
        </w:rPr>
        <w:fldChar w:fldCharType="separate"/>
      </w:r>
      <w:r>
        <w:rPr>
          <w:rFonts w:hint="eastAsia" w:ascii="Times New Roman" w:hAnsi="Times New Roman" w:eastAsia="宋体" w:cstheme="minorBidi"/>
          <w:b/>
          <w:color w:val="auto"/>
          <w:kern w:val="2"/>
          <w:sz w:val="21"/>
          <w:szCs w:val="24"/>
          <w:lang w:val="en-US" w:eastAsia="zh-CN" w:bidi="ar-SA"/>
          <w14:ligatures w14:val="standardContextual"/>
        </w:rPr>
        <w:t>2</w:t>
      </w:r>
      <w:r>
        <w:rPr>
          <w:rFonts w:hint="eastAsia" w:ascii="Times New Roman" w:hAnsi="Times New Roman" w:eastAsia="宋体" w:cstheme="minorBidi"/>
          <w:b/>
          <w:color w:val="auto"/>
          <w:kern w:val="2"/>
          <w:sz w:val="21"/>
          <w:szCs w:val="24"/>
          <w:lang w:val="en-US" w:eastAsia="zh-CN" w:bidi="ar-SA"/>
          <w14:ligatures w14:val="standardContextual"/>
        </w:rPr>
        <w:fldChar w:fldCharType="end"/>
      </w:r>
      <w:r>
        <w:rPr>
          <w:rFonts w:hint="eastAsia" w:ascii="Times New Roman" w:hAnsi="Times New Roman" w:eastAsia="宋体" w:cstheme="minorBidi"/>
          <w:b/>
          <w:color w:val="auto"/>
          <w:kern w:val="2"/>
          <w:sz w:val="21"/>
          <w:szCs w:val="24"/>
          <w:lang w:val="en-US" w:eastAsia="zh-CN" w:bidi="ar-SA"/>
          <w14:ligatures w14:val="standardContextual"/>
        </w:rPr>
        <w:t xml:space="preserve"> 标准节吊装平面示意图</w:t>
      </w:r>
    </w:p>
    <w:p w14:paraId="3FE8ADF9">
      <w:pPr>
        <w:pStyle w:val="32"/>
        <w:jc w:val="center"/>
      </w:pPr>
    </w:p>
    <w:p w14:paraId="2AD7BE10">
      <w:pPr>
        <w:pStyle w:val="8"/>
        <w:keepNext/>
        <w:keepLines/>
        <w:pageBreakBefore w:val="0"/>
        <w:widowControl w:val="0"/>
        <w:tabs>
          <w:tab w:val="left" w:pos="0"/>
        </w:tabs>
        <w:kinsoku/>
        <w:wordWrap/>
        <w:overflowPunct/>
        <w:topLinePunct w:val="0"/>
        <w:autoSpaceDE/>
        <w:autoSpaceDN/>
        <w:bidi w:val="0"/>
        <w:adjustRightInd/>
        <w:snapToGrid/>
        <w:textAlignment w:val="auto"/>
        <w:rPr>
          <w:b/>
          <w:bCs/>
          <w:sz w:val="24"/>
          <w:szCs w:val="24"/>
        </w:rPr>
      </w:pPr>
      <w:bookmarkStart w:id="126" w:name="_Toc19109"/>
      <w:r>
        <w:rPr>
          <w:rFonts w:hint="eastAsia"/>
          <w:b/>
          <w:bCs/>
          <w:sz w:val="24"/>
          <w:szCs w:val="24"/>
          <w:lang w:eastAsia="zh-CN"/>
        </w:rPr>
        <w:t>拆除</w:t>
      </w:r>
      <w:r>
        <w:rPr>
          <w:rFonts w:hint="eastAsia"/>
          <w:b/>
          <w:bCs/>
          <w:sz w:val="24"/>
          <w:szCs w:val="24"/>
          <w:lang w:val="en-US" w:eastAsia="zh-CN"/>
        </w:rPr>
        <w:t>附墙</w:t>
      </w:r>
      <w:r>
        <w:rPr>
          <w:rFonts w:hint="eastAsia"/>
          <w:b/>
          <w:bCs/>
          <w:sz w:val="24"/>
          <w:szCs w:val="24"/>
        </w:rPr>
        <w:t>架</w:t>
      </w:r>
      <w:bookmarkEnd w:id="126"/>
    </w:p>
    <w:p w14:paraId="318F21A5">
      <w:pPr>
        <w:numPr>
          <w:ilvl w:val="0"/>
          <w:numId w:val="14"/>
        </w:numPr>
        <w:ind w:firstLine="480"/>
        <w:rPr>
          <w:rFonts w:hint="eastAsia" w:ascii="宋体" w:hAnsi="宋体" w:eastAsia="宋体" w:cs="宋体"/>
          <w:color w:val="auto"/>
          <w:lang w:val="en-US" w:eastAsia="zh-CN"/>
        </w:rPr>
      </w:pPr>
      <w:r>
        <w:rPr>
          <w:rFonts w:hint="eastAsia" w:ascii="宋体" w:hAnsi="宋体" w:eastAsia="宋体" w:cs="宋体"/>
          <w:color w:val="auto"/>
        </w:rPr>
        <w:t>启动施工升降机，当吊笼升至吊笼顶距离待</w:t>
      </w:r>
      <w:r>
        <w:rPr>
          <w:rFonts w:hint="eastAsia" w:ascii="宋体" w:hAnsi="宋体" w:cs="宋体"/>
          <w:color w:val="auto"/>
          <w:lang w:val="en-US" w:eastAsia="zh-CN"/>
        </w:rPr>
        <w:t>拆除</w:t>
      </w:r>
      <w:r>
        <w:rPr>
          <w:rFonts w:hint="eastAsia" w:ascii="宋体" w:hAnsi="宋体" w:eastAsia="宋体" w:cs="宋体"/>
          <w:color w:val="auto"/>
        </w:rPr>
        <w:t>附墙架1m左右时停止，</w:t>
      </w:r>
      <w:r>
        <w:rPr>
          <w:rFonts w:hint="eastAsia" w:ascii="宋体" w:hAnsi="宋体" w:cs="宋体"/>
          <w:color w:val="auto"/>
          <w:lang w:eastAsia="zh-CN"/>
        </w:rPr>
        <w:t>拆除作业人员</w:t>
      </w:r>
      <w:r>
        <w:rPr>
          <w:rFonts w:hint="eastAsia" w:ascii="宋体" w:hAnsi="宋体" w:eastAsia="宋体" w:cs="宋体"/>
          <w:color w:val="auto"/>
        </w:rPr>
        <w:t>通过配备的专用爬梯，通过吊笼内部打开顶部顶盖，然后攀登至吊</w:t>
      </w:r>
      <w:r>
        <w:rPr>
          <w:rFonts w:hint="eastAsia" w:ascii="宋体" w:hAnsi="宋体" w:eastAsia="宋体" w:cs="宋体"/>
          <w:color w:val="auto"/>
          <w:highlight w:val="none"/>
        </w:rPr>
        <w:t>笼顶部，通过升降机通行至</w:t>
      </w:r>
      <w:r>
        <w:rPr>
          <w:rFonts w:hint="eastAsia" w:ascii="宋体" w:hAnsi="宋体" w:cs="宋体"/>
          <w:color w:val="auto"/>
          <w:highlight w:val="none"/>
          <w:lang w:val="en-US" w:eastAsia="zh-CN"/>
        </w:rPr>
        <w:t>建筑</w:t>
      </w:r>
      <w:r>
        <w:rPr>
          <w:rFonts w:hint="eastAsia" w:ascii="宋体" w:hAnsi="宋体" w:eastAsia="宋体" w:cs="宋体"/>
          <w:color w:val="auto"/>
          <w:highlight w:val="none"/>
        </w:rPr>
        <w:t>底节操作层上。</w:t>
      </w:r>
      <w:r>
        <w:rPr>
          <w:rFonts w:hint="eastAsia" w:ascii="宋体" w:hAnsi="宋体" w:cs="宋体"/>
          <w:color w:val="auto"/>
          <w:highlight w:val="none"/>
          <w:lang w:eastAsia="zh-CN"/>
        </w:rPr>
        <w:t>拆除作业人员</w:t>
      </w:r>
      <w:r>
        <w:rPr>
          <w:rFonts w:hint="eastAsia" w:ascii="宋体" w:hAnsi="宋体" w:eastAsia="宋体" w:cs="宋体"/>
          <w:color w:val="auto"/>
          <w:highlight w:val="none"/>
        </w:rPr>
        <w:t>使用2根6m长的</w:t>
      </w:r>
      <w:r>
        <w:rPr>
          <w:rFonts w:hint="eastAsia" w:ascii="宋体" w:hAnsi="宋体" w:eastAsia="宋体" w:cs="宋体"/>
          <w:color w:val="auto"/>
          <w:highlight w:val="none"/>
          <w:lang w:eastAsia="zh-CN"/>
        </w:rPr>
        <w:t>12mm6×19S+</w:t>
      </w:r>
      <w:r>
        <w:rPr>
          <w:rFonts w:hint="eastAsia" w:ascii="宋体" w:hAnsi="宋体" w:cs="宋体"/>
          <w:color w:val="auto"/>
          <w:highlight w:val="none"/>
          <w:lang w:eastAsia="zh-CN"/>
        </w:rPr>
        <w:t>IWR1870</w:t>
      </w:r>
      <w:r>
        <w:rPr>
          <w:rFonts w:hint="eastAsia" w:ascii="宋体" w:hAnsi="宋体" w:eastAsia="宋体" w:cs="宋体"/>
          <w:color w:val="auto"/>
          <w:highlight w:val="none"/>
        </w:rPr>
        <w:t>钢丝绳配置2个</w:t>
      </w:r>
      <w:r>
        <w:rPr>
          <w:rFonts w:hint="eastAsia" w:ascii="宋体" w:hAnsi="宋体" w:eastAsia="宋体" w:cs="宋体"/>
          <w:color w:val="auto"/>
          <w:highlight w:val="none"/>
          <w:lang w:eastAsia="zh-CN"/>
        </w:rPr>
        <w:t>GB/T 25854-6-DW5</w:t>
      </w:r>
      <w:r>
        <w:rPr>
          <w:rFonts w:hint="eastAsia" w:ascii="宋体" w:hAnsi="宋体" w:eastAsia="宋体" w:cs="宋体"/>
          <w:color w:val="auto"/>
          <w:highlight w:val="none"/>
        </w:rPr>
        <w:t>卸扣与C型附墙件进行捆绑连接牢靠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然后拆除附墙架的开口销和连接螺栓</w:t>
      </w:r>
    </w:p>
    <w:p w14:paraId="4EA4970F">
      <w:pPr>
        <w:pStyle w:val="32"/>
        <w:jc w:val="center"/>
        <w:rPr>
          <w:color w:val="auto"/>
        </w:rPr>
      </w:pPr>
      <w:r>
        <w:rPr>
          <w:color w:val="auto"/>
        </w:rPr>
        <w:drawing>
          <wp:inline distT="0" distB="0" distL="114300" distR="114300">
            <wp:extent cx="4730750" cy="2510790"/>
            <wp:effectExtent l="0" t="0" r="12700" b="381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31"/>
                    <a:stretch>
                      <a:fillRect/>
                    </a:stretch>
                  </pic:blipFill>
                  <pic:spPr>
                    <a:xfrm>
                      <a:off x="0" y="0"/>
                      <a:ext cx="4730750" cy="2510790"/>
                    </a:xfrm>
                    <a:prstGeom prst="rect">
                      <a:avLst/>
                    </a:prstGeom>
                    <a:noFill/>
                    <a:ln>
                      <a:noFill/>
                    </a:ln>
                  </pic:spPr>
                </pic:pic>
              </a:graphicData>
            </a:graphic>
          </wp:inline>
        </w:drawing>
      </w:r>
    </w:p>
    <w:p w14:paraId="4FD178FE">
      <w:pPr>
        <w:widowControl w:val="0"/>
        <w:spacing w:line="240" w:lineRule="auto"/>
        <w:ind w:firstLine="0" w:firstLineChars="0"/>
        <w:jc w:val="center"/>
        <w:rPr>
          <w:rFonts w:hint="eastAsia" w:ascii="宋体" w:hAnsi="宋体" w:eastAsia="宋体" w:cs="宋体"/>
          <w:color w:val="auto"/>
          <w:lang w:val="en-US" w:eastAsia="zh-CN"/>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2</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2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开口销拆</w:t>
      </w:r>
      <w:r>
        <w:rPr>
          <w:rFonts w:hint="eastAsia" w:ascii="宋体" w:hAnsi="宋体" w:eastAsia="宋体" w:cs="宋体"/>
          <w:b/>
          <w:color w:val="auto"/>
          <w:kern w:val="2"/>
          <w:sz w:val="21"/>
          <w:szCs w:val="20"/>
          <w:lang w:val="en-US" w:eastAsia="zh-CN" w:bidi="ar-SA"/>
        </w:rPr>
        <w:t>除</w:t>
      </w:r>
    </w:p>
    <w:p w14:paraId="2622BCF3">
      <w:pPr>
        <w:pStyle w:val="98"/>
        <w:rPr>
          <w:color w:val="auto"/>
        </w:rPr>
      </w:pPr>
      <w:r>
        <w:rPr>
          <w:color w:val="auto"/>
        </w:rPr>
        <w:drawing>
          <wp:inline distT="0" distB="0" distL="114300" distR="114300">
            <wp:extent cx="4883785" cy="1978660"/>
            <wp:effectExtent l="0" t="0" r="12065" b="254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2"/>
                    <a:stretch>
                      <a:fillRect/>
                    </a:stretch>
                  </pic:blipFill>
                  <pic:spPr>
                    <a:xfrm>
                      <a:off x="0" y="0"/>
                      <a:ext cx="4883785" cy="1978660"/>
                    </a:xfrm>
                    <a:prstGeom prst="rect">
                      <a:avLst/>
                    </a:prstGeom>
                    <a:noFill/>
                    <a:ln>
                      <a:noFill/>
                    </a:ln>
                  </pic:spPr>
                </pic:pic>
              </a:graphicData>
            </a:graphic>
          </wp:inline>
        </w:drawing>
      </w:r>
    </w:p>
    <w:p w14:paraId="091D2F8A">
      <w:pPr>
        <w:widowControl w:val="0"/>
        <w:spacing w:line="240" w:lineRule="auto"/>
        <w:ind w:firstLine="0" w:firstLineChars="0"/>
        <w:jc w:val="center"/>
        <w:rPr>
          <w:rFonts w:hint="eastAsia" w:ascii="宋体" w:hAnsi="宋体" w:eastAsia="宋体" w:cs="宋体"/>
          <w:b/>
          <w:color w:val="auto"/>
          <w:kern w:val="2"/>
          <w:sz w:val="21"/>
          <w:szCs w:val="20"/>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2</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2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C型附墙标准件拆除示</w:t>
      </w:r>
      <w:r>
        <w:rPr>
          <w:rFonts w:hint="eastAsia" w:ascii="宋体" w:hAnsi="宋体" w:eastAsia="宋体" w:cs="宋体"/>
          <w:b/>
          <w:color w:val="auto"/>
          <w:kern w:val="2"/>
          <w:sz w:val="21"/>
          <w:szCs w:val="20"/>
          <w:lang w:val="en-US" w:eastAsia="zh-CN" w:bidi="ar-SA"/>
        </w:rPr>
        <w:t>意图</w:t>
      </w:r>
    </w:p>
    <w:p w14:paraId="553146B0">
      <w:pPr>
        <w:pStyle w:val="32"/>
        <w:numPr>
          <w:ilvl w:val="0"/>
          <w:numId w:val="14"/>
        </w:numPr>
        <w:rPr>
          <w:rFonts w:hint="default"/>
          <w:lang w:val="en-US" w:eastAsia="zh-CN"/>
        </w:rPr>
      </w:pPr>
      <w:r>
        <w:rPr>
          <w:rFonts w:hint="eastAsia" w:ascii="Times New Roman" w:cs="Times New Roman"/>
          <w:color w:val="auto"/>
          <w:kern w:val="2"/>
          <w:sz w:val="24"/>
          <w:szCs w:val="21"/>
          <w:lang w:val="en-US" w:eastAsia="zh-CN" w:bidi="ar-SA"/>
        </w:rPr>
        <w:t>汽车吊</w:t>
      </w:r>
      <w:r>
        <w:rPr>
          <w:rFonts w:hint="eastAsia" w:ascii="Times New Roman" w:hAnsi="Times New Roman" w:eastAsia="宋体" w:cs="Times New Roman"/>
          <w:color w:val="auto"/>
          <w:kern w:val="2"/>
          <w:sz w:val="24"/>
          <w:szCs w:val="21"/>
          <w:lang w:val="en-US" w:eastAsia="zh-CN" w:bidi="ar-SA"/>
        </w:rPr>
        <w:t>操</w:t>
      </w:r>
      <w:r>
        <w:rPr>
          <w:rFonts w:hint="eastAsia"/>
          <w:color w:val="auto"/>
        </w:rPr>
        <w:t>作人员听从指令缓慢</w:t>
      </w:r>
      <w:r>
        <w:rPr>
          <w:rFonts w:hint="eastAsia"/>
          <w:color w:val="auto"/>
          <w:lang w:val="en-US" w:eastAsia="zh-CN"/>
        </w:rPr>
        <w:t>抬起</w:t>
      </w:r>
      <w:r>
        <w:rPr>
          <w:rFonts w:hint="eastAsia"/>
          <w:color w:val="auto"/>
        </w:rPr>
        <w:t>附墙架</w:t>
      </w:r>
      <w:r>
        <w:rPr>
          <w:rFonts w:hint="eastAsia"/>
          <w:color w:val="auto"/>
          <w:lang w:val="en-US" w:eastAsia="zh-CN"/>
        </w:rPr>
        <w:t>并下放至地面。</w:t>
      </w:r>
    </w:p>
    <w:p w14:paraId="0D3F58D2">
      <w:pPr>
        <w:pStyle w:val="8"/>
        <w:keepNext/>
        <w:keepLines/>
        <w:pageBreakBefore w:val="0"/>
        <w:widowControl w:val="0"/>
        <w:tabs>
          <w:tab w:val="left" w:pos="0"/>
        </w:tabs>
        <w:kinsoku/>
        <w:wordWrap/>
        <w:overflowPunct/>
        <w:topLinePunct w:val="0"/>
        <w:autoSpaceDE/>
        <w:autoSpaceDN/>
        <w:bidi w:val="0"/>
        <w:adjustRightInd/>
        <w:snapToGrid/>
        <w:textAlignment w:val="auto"/>
        <w:rPr>
          <w:b/>
          <w:bCs/>
          <w:sz w:val="24"/>
          <w:szCs w:val="24"/>
        </w:rPr>
      </w:pPr>
      <w:bookmarkStart w:id="127" w:name="_Toc22670"/>
      <w:r>
        <w:rPr>
          <w:rFonts w:hint="eastAsia"/>
          <w:b/>
          <w:bCs/>
          <w:sz w:val="24"/>
          <w:szCs w:val="24"/>
          <w:lang w:val="en-US" w:eastAsia="zh-CN"/>
        </w:rPr>
        <w:t>拆除滑触线</w:t>
      </w:r>
      <w:bookmarkEnd w:id="127"/>
    </w:p>
    <w:p w14:paraId="0C0FAF30">
      <w:pPr>
        <w:numPr>
          <w:ilvl w:val="0"/>
          <w:numId w:val="0"/>
        </w:numPr>
        <w:ind w:firstLine="420" w:firstLineChars="0"/>
        <w:rPr>
          <w:rFonts w:hint="eastAsia" w:ascii="宋体" w:hAnsi="宋体" w:eastAsia="宋体" w:cs="宋体"/>
          <w:color w:val="auto"/>
          <w:lang w:val="en-US"/>
        </w:rPr>
      </w:pPr>
      <w:r>
        <w:rPr>
          <w:rFonts w:hint="eastAsia" w:ascii="宋体" w:hAnsi="宋体" w:eastAsia="宋体" w:cs="宋体"/>
          <w:color w:val="auto"/>
          <w:lang w:val="en-US" w:eastAsia="zh-CN"/>
        </w:rPr>
        <w:t>当拆除导轨架时同步拆除滑触线，</w:t>
      </w:r>
      <w:r>
        <w:rPr>
          <w:rFonts w:hint="eastAsia" w:ascii="宋体" w:hAnsi="宋体" w:eastAsia="宋体" w:cs="宋体"/>
          <w:color w:val="auto"/>
        </w:rPr>
        <w:t>使用验电设备确认滑触线导电体无残留电压，先拆卸滑触线固定件的螺母，松开两侧滑触线固定件。沿滑触线对接方向反向分离滑触线接头，轻缓抽出滑触线，避免弯折或碰撞。将拆下的滑触线妥善固定并下放至地面，同步移除对应固定件。单节滑触线拆除完成后，恢复总电源，将左右吊笼同步下降至下一节滑触线位置，再次断电并验电确认。</w:t>
      </w:r>
    </w:p>
    <w:p w14:paraId="2AC0FDE3">
      <w:pPr>
        <w:pStyle w:val="8"/>
        <w:keepNext/>
        <w:keepLines/>
        <w:pageBreakBefore w:val="0"/>
        <w:widowControl w:val="0"/>
        <w:tabs>
          <w:tab w:val="left" w:pos="0"/>
        </w:tabs>
        <w:kinsoku/>
        <w:wordWrap/>
        <w:overflowPunct/>
        <w:topLinePunct w:val="0"/>
        <w:autoSpaceDE/>
        <w:autoSpaceDN/>
        <w:bidi w:val="0"/>
        <w:adjustRightInd/>
        <w:snapToGrid/>
        <w:textAlignment w:val="auto"/>
        <w:rPr>
          <w:b/>
          <w:bCs/>
          <w:sz w:val="24"/>
          <w:szCs w:val="24"/>
        </w:rPr>
      </w:pPr>
      <w:bookmarkStart w:id="128" w:name="_Toc774"/>
      <w:bookmarkEnd w:id="128"/>
      <w:bookmarkStart w:id="129" w:name="_Toc1729"/>
      <w:bookmarkEnd w:id="129"/>
      <w:bookmarkStart w:id="130" w:name="_Toc23433"/>
      <w:r>
        <w:rPr>
          <w:rFonts w:hint="eastAsia"/>
          <w:b/>
          <w:bCs/>
          <w:sz w:val="24"/>
          <w:szCs w:val="24"/>
          <w:lang w:val="en-US" w:eastAsia="zh-CN"/>
        </w:rPr>
        <w:t>拆除吊笼、传动机构及笼顶部护栏</w:t>
      </w:r>
      <w:bookmarkEnd w:id="130"/>
    </w:p>
    <w:p w14:paraId="6D9B5509">
      <w:pPr>
        <w:numPr>
          <w:ilvl w:val="0"/>
          <w:numId w:val="15"/>
        </w:num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将吊笼开到最底部,</w:t>
      </w:r>
      <w:r>
        <w:rPr>
          <w:rFonts w:hint="eastAsia" w:ascii="宋体" w:hAnsi="宋体" w:cs="宋体"/>
          <w:color w:val="auto"/>
          <w:lang w:val="en-US" w:eastAsia="zh-CN"/>
        </w:rPr>
        <w:t>拆除作业人员</w:t>
      </w:r>
      <w:r>
        <w:rPr>
          <w:rFonts w:hint="eastAsia" w:ascii="宋体" w:hAnsi="宋体" w:eastAsia="宋体" w:cs="宋体"/>
          <w:color w:val="auto"/>
          <w:lang w:val="en-US" w:eastAsia="zh-CN"/>
        </w:rPr>
        <w:t>通过配备的专用爬梯，通过吊笼内部打开顶部顶盖，然后攀登至吊笼顶部。</w:t>
      </w:r>
    </w:p>
    <w:p w14:paraId="7E03AA32">
      <w:pPr>
        <w:numPr>
          <w:ilvl w:val="0"/>
          <w:numId w:val="15"/>
        </w:num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将钢丝绳一端挂在</w:t>
      </w:r>
      <w:r>
        <w:rPr>
          <w:rFonts w:hint="eastAsia" w:ascii="宋体" w:hAnsi="宋体" w:cs="宋体"/>
          <w:color w:val="auto"/>
          <w:lang w:val="en-US" w:eastAsia="zh-CN"/>
        </w:rPr>
        <w:t>汽车吊</w:t>
      </w:r>
      <w:r>
        <w:rPr>
          <w:rFonts w:hint="eastAsia" w:ascii="宋体" w:hAnsi="宋体" w:eastAsia="宋体" w:cs="宋体"/>
          <w:color w:val="auto"/>
          <w:lang w:val="en-US" w:eastAsia="zh-CN"/>
        </w:rPr>
        <w:t>吊钩上，另一端与传动机构的两个吊耳采用卸扣连接,</w:t>
      </w:r>
      <w:r>
        <w:rPr>
          <w:rFonts w:hint="eastAsia" w:ascii="宋体" w:hAnsi="宋体" w:cs="宋体"/>
          <w:color w:val="auto"/>
          <w:lang w:val="en-US" w:eastAsia="zh-CN"/>
        </w:rPr>
        <w:t>汽车吊</w:t>
      </w:r>
      <w:r>
        <w:rPr>
          <w:rFonts w:hint="eastAsia" w:ascii="宋体" w:hAnsi="宋体" w:eastAsia="宋体" w:cs="宋体"/>
          <w:color w:val="auto"/>
          <w:lang w:val="en-US" w:eastAsia="zh-CN"/>
        </w:rPr>
        <w:t>操作人员听从指令缓慢抬起传动机构，然后下放至地面指定堆放区域。</w:t>
      </w:r>
    </w:p>
    <w:p w14:paraId="5FF95F6C">
      <w:pPr>
        <w:numPr>
          <w:ilvl w:val="0"/>
          <w:numId w:val="15"/>
        </w:num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顶部护栏采用</w:t>
      </w:r>
      <w:r>
        <w:rPr>
          <w:rFonts w:hint="eastAsia" w:ascii="宋体" w:hAnsi="宋体" w:cs="宋体"/>
          <w:color w:val="auto"/>
          <w:lang w:val="en-US" w:eastAsia="zh-CN"/>
        </w:rPr>
        <w:t>汽车吊</w:t>
      </w:r>
      <w:r>
        <w:rPr>
          <w:rFonts w:hint="eastAsia" w:ascii="宋体" w:hAnsi="宋体" w:eastAsia="宋体" w:cs="宋体"/>
          <w:color w:val="auto"/>
          <w:lang w:val="en-US" w:eastAsia="zh-CN"/>
        </w:rPr>
        <w:t>分片拆除，</w:t>
      </w:r>
      <w:r>
        <w:rPr>
          <w:rFonts w:hint="eastAsia" w:ascii="宋体" w:hAnsi="宋体" w:cs="宋体"/>
          <w:color w:val="auto"/>
          <w:lang w:val="en-US" w:eastAsia="zh-CN"/>
        </w:rPr>
        <w:t>拆除作业人员</w:t>
      </w:r>
      <w:r>
        <w:rPr>
          <w:rFonts w:hint="eastAsia" w:ascii="宋体" w:hAnsi="宋体" w:eastAsia="宋体" w:cs="宋体"/>
          <w:color w:val="auto"/>
          <w:lang w:val="en-US" w:eastAsia="zh-CN"/>
        </w:rPr>
        <w:t>将钢丝绳一端挂在</w:t>
      </w:r>
      <w:r>
        <w:rPr>
          <w:rFonts w:hint="eastAsia" w:ascii="宋体" w:hAnsi="宋体" w:cs="宋体"/>
          <w:color w:val="auto"/>
          <w:lang w:val="en-US" w:eastAsia="zh-CN"/>
        </w:rPr>
        <w:t>汽车吊</w:t>
      </w:r>
      <w:r>
        <w:rPr>
          <w:rFonts w:hint="eastAsia" w:ascii="宋体" w:hAnsi="宋体" w:eastAsia="宋体" w:cs="宋体"/>
          <w:color w:val="auto"/>
          <w:lang w:val="en-US" w:eastAsia="zh-CN"/>
        </w:rPr>
        <w:t>吊钩上，另一端与吊笼顶部的护栏用2根钢丝绳（6m长12mm6×19S+</w:t>
      </w:r>
      <w:r>
        <w:rPr>
          <w:rFonts w:hint="eastAsia" w:ascii="宋体" w:hAnsi="宋体" w:cs="宋体"/>
          <w:color w:val="auto"/>
          <w:lang w:val="en-US" w:eastAsia="zh-CN"/>
        </w:rPr>
        <w:t>IWR1870</w:t>
      </w:r>
      <w:r>
        <w:rPr>
          <w:rFonts w:hint="eastAsia" w:ascii="宋体" w:hAnsi="宋体" w:eastAsia="宋体" w:cs="宋体"/>
          <w:color w:val="auto"/>
          <w:lang w:val="en-US" w:eastAsia="zh-CN"/>
        </w:rPr>
        <w:t>）捆绑连接，采用卸扣（GB/T 25854-6-DW5）固定。</w:t>
      </w:r>
      <w:r>
        <w:rPr>
          <w:rFonts w:hint="eastAsia" w:ascii="宋体" w:hAnsi="宋体" w:cs="宋体"/>
          <w:color w:val="auto"/>
          <w:lang w:val="en-US" w:eastAsia="zh-CN"/>
        </w:rPr>
        <w:t>汽车吊</w:t>
      </w:r>
      <w:r>
        <w:rPr>
          <w:rFonts w:hint="eastAsia" w:ascii="宋体" w:hAnsi="宋体" w:eastAsia="宋体" w:cs="宋体"/>
          <w:color w:val="auto"/>
          <w:lang w:val="en-US" w:eastAsia="zh-CN"/>
        </w:rPr>
        <w:t>缓慢提升，然后下放至地面指定堆放区域。</w:t>
      </w:r>
    </w:p>
    <w:p w14:paraId="5B077850">
      <w:pPr>
        <w:numPr>
          <w:ilvl w:val="0"/>
          <w:numId w:val="15"/>
        </w:num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拆除人员使用4根6m长12mm6×19S+</w:t>
      </w:r>
      <w:r>
        <w:rPr>
          <w:rFonts w:hint="eastAsia" w:ascii="宋体" w:hAnsi="宋体" w:cs="宋体"/>
          <w:color w:val="auto"/>
          <w:lang w:val="en-US" w:eastAsia="zh-CN"/>
        </w:rPr>
        <w:t>IWR1870</w:t>
      </w:r>
      <w:r>
        <w:rPr>
          <w:rFonts w:hint="eastAsia" w:ascii="宋体" w:hAnsi="宋体" w:eastAsia="宋体" w:cs="宋体"/>
          <w:color w:val="auto"/>
          <w:lang w:val="en-US" w:eastAsia="zh-CN"/>
        </w:rPr>
        <w:t>钢丝绳配合GB/T 25854-6-DW5卸扣将其与吊笼顶部的四个吊耳与</w:t>
      </w:r>
      <w:r>
        <w:rPr>
          <w:rFonts w:hint="eastAsia" w:ascii="宋体" w:hAnsi="宋体" w:cs="宋体"/>
          <w:color w:val="auto"/>
          <w:lang w:val="en-US" w:eastAsia="zh-CN"/>
        </w:rPr>
        <w:t>汽车吊</w:t>
      </w:r>
      <w:r>
        <w:rPr>
          <w:rFonts w:hint="eastAsia" w:ascii="宋体" w:hAnsi="宋体" w:eastAsia="宋体" w:cs="宋体"/>
          <w:color w:val="auto"/>
          <w:lang w:val="en-US" w:eastAsia="zh-CN"/>
        </w:rPr>
        <w:t>吊钩连接，然后</w:t>
      </w:r>
      <w:r>
        <w:rPr>
          <w:rFonts w:hint="eastAsia" w:ascii="宋体" w:hAnsi="宋体" w:cs="宋体"/>
          <w:color w:val="auto"/>
          <w:lang w:val="en-US" w:eastAsia="zh-CN"/>
        </w:rPr>
        <w:t>汽车吊</w:t>
      </w:r>
      <w:r>
        <w:rPr>
          <w:rFonts w:hint="eastAsia" w:ascii="宋体" w:hAnsi="宋体" w:eastAsia="宋体" w:cs="宋体"/>
          <w:color w:val="auto"/>
          <w:lang w:val="en-US" w:eastAsia="zh-CN"/>
        </w:rPr>
        <w:t>操作人员听从指令缓慢抬起吊笼，然后下放至地面指定堆放区域</w:t>
      </w:r>
    </w:p>
    <w:p w14:paraId="34DE94E9">
      <w:pPr>
        <w:pStyle w:val="98"/>
        <w:rPr>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2751455</wp:posOffset>
                </wp:positionH>
                <wp:positionV relativeFrom="paragraph">
                  <wp:posOffset>1045845</wp:posOffset>
                </wp:positionV>
                <wp:extent cx="493395" cy="259080"/>
                <wp:effectExtent l="0" t="0" r="1905" b="7620"/>
                <wp:wrapNone/>
                <wp:docPr id="12" name="矩形 12"/>
                <wp:cNvGraphicFramePr/>
                <a:graphic xmlns:a="http://schemas.openxmlformats.org/drawingml/2006/main">
                  <a:graphicData uri="http://schemas.microsoft.com/office/word/2010/wordprocessingShape">
                    <wps:wsp>
                      <wps:cNvSpPr/>
                      <wps:spPr>
                        <a:xfrm>
                          <a:off x="0" y="0"/>
                          <a:ext cx="493395" cy="259080"/>
                        </a:xfrm>
                        <a:prstGeom prst="rect">
                          <a:avLst/>
                        </a:prstGeom>
                        <a:solidFill>
                          <a:srgbClr val="FFFFFF"/>
                        </a:solidFill>
                        <a:ln>
                          <a:noFill/>
                        </a:ln>
                      </wps:spPr>
                      <wps:txbx>
                        <w:txbxContent>
                          <w:p w14:paraId="1B33451F">
                            <w:pPr>
                              <w:spacing w:line="240" w:lineRule="auto"/>
                              <w:ind w:firstLine="0" w:firstLineChars="0"/>
                              <w:jc w:val="left"/>
                              <w:rPr>
                                <w:sz w:val="21"/>
                                <w:szCs w:val="18"/>
                              </w:rPr>
                            </w:pPr>
                            <w:r>
                              <w:rPr>
                                <w:rFonts w:hint="eastAsia"/>
                                <w:sz w:val="21"/>
                                <w:szCs w:val="18"/>
                              </w:rPr>
                              <w:t>吊耳</w:t>
                            </w:r>
                          </w:p>
                        </w:txbxContent>
                      </wps:txbx>
                      <wps:bodyPr upright="1"/>
                    </wps:wsp>
                  </a:graphicData>
                </a:graphic>
              </wp:anchor>
            </w:drawing>
          </mc:Choice>
          <mc:Fallback>
            <w:pict>
              <v:rect id="_x0000_s1026" o:spid="_x0000_s1026" o:spt="1" style="position:absolute;left:0pt;margin-left:216.65pt;margin-top:82.35pt;height:20.4pt;width:38.85pt;z-index:251666432;mso-width-relative:page;mso-height-relative:page;" fillcolor="#FFFFFF" filled="t" stroked="f" coordsize="21600,21600" o:gfxdata="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8+OTZ2AAAAAsBAAAPAAAAAAAAAAEAIAAAACIAAABkcnMvZG93bnJldi54bWxQSwECFAAU&#10;AAAACACHTuJAqMKrd7gBAABrAwAADgAAAAAAAAABACAAAAAnAQAAZHJzL2Uyb0RvYy54bWxQSwUG&#10;AAAAAAYABgBZAQAAUQUAAAAA&#10;">
                <v:fill on="t" focussize="0,0"/>
                <v:stroke on="f"/>
                <v:imagedata o:title=""/>
                <o:lock v:ext="edit" aspectratio="f"/>
                <v:textbox>
                  <w:txbxContent>
                    <w:p w14:paraId="1B33451F">
                      <w:pPr>
                        <w:spacing w:line="240" w:lineRule="auto"/>
                        <w:ind w:firstLine="0" w:firstLineChars="0"/>
                        <w:jc w:val="left"/>
                        <w:rPr>
                          <w:sz w:val="21"/>
                          <w:szCs w:val="18"/>
                        </w:rPr>
                      </w:pPr>
                      <w:r>
                        <w:rPr>
                          <w:rFonts w:hint="eastAsia"/>
                          <w:sz w:val="21"/>
                          <w:szCs w:val="18"/>
                        </w:rPr>
                        <w:t>吊耳</w:t>
                      </w:r>
                    </w:p>
                  </w:txbxContent>
                </v:textbox>
              </v:rect>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2764155</wp:posOffset>
                </wp:positionH>
                <wp:positionV relativeFrom="paragraph">
                  <wp:posOffset>1235710</wp:posOffset>
                </wp:positionV>
                <wp:extent cx="467995" cy="907415"/>
                <wp:effectExtent l="4445" t="1905" r="3810" b="5080"/>
                <wp:wrapNone/>
                <wp:docPr id="13" name="直接箭头连接符 13"/>
                <wp:cNvGraphicFramePr/>
                <a:graphic xmlns:a="http://schemas.openxmlformats.org/drawingml/2006/main">
                  <a:graphicData uri="http://schemas.microsoft.com/office/word/2010/wordprocessingShape">
                    <wps:wsp>
                      <wps:cNvCnPr/>
                      <wps:spPr>
                        <a:xfrm>
                          <a:off x="0" y="0"/>
                          <a:ext cx="467995" cy="90741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7.65pt;margin-top:97.3pt;height:71.45pt;width:36.85pt;z-index:251665408;mso-width-relative:page;mso-height-relative:page;" filled="f" stroked="t" coordsize="21600,21600" o:gfxdata="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jZzLtsAAAALAQAADwAAAAAAAAABACAA&#10;AAAiAAAAZHJzL2Rvd25yZXYueG1sUEsBAhQAFAAAAAgAh07iQC4piOsKAgAA9gMAAA4AAAAAAAAA&#10;AQAgAAAAKgEAAGRycy9lMm9Eb2MueG1sUEsFBgAAAAAGAAYAWQEAAKYFA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2749550</wp:posOffset>
                </wp:positionH>
                <wp:positionV relativeFrom="paragraph">
                  <wp:posOffset>1235710</wp:posOffset>
                </wp:positionV>
                <wp:extent cx="33020" cy="593090"/>
                <wp:effectExtent l="9525" t="0" r="33655" b="16510"/>
                <wp:wrapNone/>
                <wp:docPr id="50" name="直接箭头连接符 50"/>
                <wp:cNvGraphicFramePr/>
                <a:graphic xmlns:a="http://schemas.openxmlformats.org/drawingml/2006/main">
                  <a:graphicData uri="http://schemas.microsoft.com/office/word/2010/wordprocessingShape">
                    <wps:wsp>
                      <wps:cNvCnPr/>
                      <wps:spPr>
                        <a:xfrm>
                          <a:off x="0" y="0"/>
                          <a:ext cx="33020" cy="59309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6.5pt;margin-top:97.3pt;height:46.7pt;width:2.6pt;z-index:251662336;mso-width-relative:page;mso-height-relative:page;" filled="f" stroked="t" coordsize="21600,21600" o:gfxdata="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FbtSPbAAAACwEAAA8AAAAAAAAAAQAg&#10;AAAAIgAAAGRycy9kb3ducmV2LnhtbFBLAQIUABQAAAAIAIdO4kBPqbjvCwIAAPUDAAAOAAAAAAAA&#10;AAEAIAAAACoBAABkcnMvZTJvRG9jLnhtbFBLBQYAAAAABgAGAFkBAACnBQ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2291715</wp:posOffset>
                </wp:positionH>
                <wp:positionV relativeFrom="paragraph">
                  <wp:posOffset>1235710</wp:posOffset>
                </wp:positionV>
                <wp:extent cx="441325" cy="892810"/>
                <wp:effectExtent l="635" t="1905" r="15240" b="635"/>
                <wp:wrapNone/>
                <wp:docPr id="54" name="直接箭头连接符 54"/>
                <wp:cNvGraphicFramePr/>
                <a:graphic xmlns:a="http://schemas.openxmlformats.org/drawingml/2006/main">
                  <a:graphicData uri="http://schemas.microsoft.com/office/word/2010/wordprocessingShape">
                    <wps:wsp>
                      <wps:cNvCnPr/>
                      <wps:spPr>
                        <a:xfrm flipH="1">
                          <a:off x="0" y="0"/>
                          <a:ext cx="441325" cy="89281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0.45pt;margin-top:97.3pt;height:70.3pt;width:34.75pt;z-index:251663360;mso-width-relative:page;mso-height-relative:page;" filled="f" stroked="t" coordsize="21600,21600" o:gfxdata="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MA0wNoAAAALAQAADwAA&#10;AAAAAAABACAAAAAiAAAAZHJzL2Rvd25yZXYueG1sUEsBAhQAFAAAAAgAh07iQFekWwMUAgAAAAQA&#10;AA4AAAAAAAAAAQAgAAAAKQEAAGRycy9lMm9Eb2MueG1sUEsFBgAAAAAGAAYAWQEAAK8FA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2741930</wp:posOffset>
                </wp:positionH>
                <wp:positionV relativeFrom="paragraph">
                  <wp:posOffset>1224915</wp:posOffset>
                </wp:positionV>
                <wp:extent cx="16510" cy="1180465"/>
                <wp:effectExtent l="22860" t="0" r="36830" b="635"/>
                <wp:wrapNone/>
                <wp:docPr id="39" name="直接箭头连接符 39"/>
                <wp:cNvGraphicFramePr/>
                <a:graphic xmlns:a="http://schemas.openxmlformats.org/drawingml/2006/main">
                  <a:graphicData uri="http://schemas.microsoft.com/office/word/2010/wordprocessingShape">
                    <wps:wsp>
                      <wps:cNvCnPr/>
                      <wps:spPr>
                        <a:xfrm>
                          <a:off x="0" y="0"/>
                          <a:ext cx="16510" cy="11804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5.9pt;margin-top:96.45pt;height:92.95pt;width:1.3pt;z-index:251664384;mso-width-relative:page;mso-height-relative:page;" filled="f" stroked="t" coordsize="21600,21600" o:gfxdata="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gGP2TbAAAACwEAAA8AAAAAAAAAAQAg&#10;AAAAIgAAAGRycy9kb3ducmV2LnhtbFBLAQIUABQAAAAIAIdO4kB4ApEtCwIAAPYDAAAOAAAAAAAA&#10;AAEAIAAAACoBAABkcnMvZTJvRG9jLnhtbFBLBQYAAAAABgAGAFkBAACnBQAAAAA=&#10;">
                <v:fill on="f" focussize="0,0"/>
                <v:stroke color="#FF0000" joinstyle="round" endarrow="block"/>
                <v:imagedata o:title=""/>
                <o:lock v:ext="edit" aspectratio="f"/>
              </v:shape>
            </w:pict>
          </mc:Fallback>
        </mc:AlternateContent>
      </w:r>
      <w:r>
        <w:rPr>
          <w:color w:val="auto"/>
        </w:rPr>
        <w:drawing>
          <wp:inline distT="0" distB="0" distL="114300" distR="114300">
            <wp:extent cx="4173220" cy="5109845"/>
            <wp:effectExtent l="0" t="0" r="17780" b="1460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3"/>
                    <a:stretch>
                      <a:fillRect/>
                    </a:stretch>
                  </pic:blipFill>
                  <pic:spPr>
                    <a:xfrm>
                      <a:off x="0" y="0"/>
                      <a:ext cx="4173220" cy="5109845"/>
                    </a:xfrm>
                    <a:prstGeom prst="rect">
                      <a:avLst/>
                    </a:prstGeom>
                    <a:noFill/>
                    <a:ln>
                      <a:noFill/>
                    </a:ln>
                  </pic:spPr>
                </pic:pic>
              </a:graphicData>
            </a:graphic>
          </wp:inline>
        </w:drawing>
      </w:r>
    </w:p>
    <w:p w14:paraId="45867AE0">
      <w:pPr>
        <w:widowControl w:val="0"/>
        <w:spacing w:line="240" w:lineRule="auto"/>
        <w:ind w:firstLine="0" w:firstLineChars="0"/>
        <w:jc w:val="center"/>
        <w:rPr>
          <w:rFonts w:hint="eastAsia" w:ascii="宋体" w:hAnsi="宋体" w:eastAsia="宋体" w:cs="宋体"/>
          <w:b/>
          <w:color w:val="auto"/>
          <w:kern w:val="2"/>
          <w:sz w:val="21"/>
          <w:szCs w:val="20"/>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2</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2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吊笼结构示意图（单</w:t>
      </w:r>
      <w:r>
        <w:rPr>
          <w:rFonts w:hint="eastAsia" w:ascii="宋体" w:hAnsi="宋体" w:eastAsia="宋体" w:cs="宋体"/>
          <w:b/>
          <w:color w:val="auto"/>
          <w:kern w:val="2"/>
          <w:sz w:val="21"/>
          <w:szCs w:val="20"/>
          <w:lang w:val="en-US" w:eastAsia="zh-CN" w:bidi="ar-SA"/>
        </w:rPr>
        <w:t>位：mm）</w:t>
      </w:r>
    </w:p>
    <w:p w14:paraId="2AE4AB45">
      <w:pPr>
        <w:widowControl w:val="0"/>
        <w:spacing w:line="240" w:lineRule="auto"/>
        <w:ind w:firstLine="0" w:firstLineChars="0"/>
        <w:jc w:val="center"/>
      </w:pPr>
      <w:r>
        <w:drawing>
          <wp:inline distT="0" distB="0" distL="114300" distR="114300">
            <wp:extent cx="3002280" cy="2964180"/>
            <wp:effectExtent l="0" t="0" r="762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4"/>
                    <a:stretch>
                      <a:fillRect/>
                    </a:stretch>
                  </pic:blipFill>
                  <pic:spPr>
                    <a:xfrm>
                      <a:off x="0" y="0"/>
                      <a:ext cx="3002280" cy="2964180"/>
                    </a:xfrm>
                    <a:prstGeom prst="rect">
                      <a:avLst/>
                    </a:prstGeom>
                    <a:noFill/>
                    <a:ln>
                      <a:noFill/>
                    </a:ln>
                  </pic:spPr>
                </pic:pic>
              </a:graphicData>
            </a:graphic>
          </wp:inline>
        </w:drawing>
      </w:r>
    </w:p>
    <w:p w14:paraId="357C5E6D">
      <w:pPr>
        <w:pStyle w:val="13"/>
        <w:jc w:val="cente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2</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2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吊笼拆除示意图</w:t>
      </w:r>
    </w:p>
    <w:p w14:paraId="746FC41E">
      <w:pPr>
        <w:pStyle w:val="32"/>
        <w:jc w:val="center"/>
      </w:pPr>
      <w:r>
        <w:drawing>
          <wp:inline distT="0" distB="0" distL="114300" distR="114300">
            <wp:extent cx="4697730" cy="3235325"/>
            <wp:effectExtent l="0" t="0" r="7620" b="31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8"/>
                    <a:stretch>
                      <a:fillRect/>
                    </a:stretch>
                  </pic:blipFill>
                  <pic:spPr>
                    <a:xfrm>
                      <a:off x="0" y="0"/>
                      <a:ext cx="4697730" cy="3235325"/>
                    </a:xfrm>
                    <a:prstGeom prst="rect">
                      <a:avLst/>
                    </a:prstGeom>
                    <a:noFill/>
                    <a:ln>
                      <a:noFill/>
                    </a:ln>
                  </pic:spPr>
                </pic:pic>
              </a:graphicData>
            </a:graphic>
          </wp:inline>
        </w:drawing>
      </w:r>
    </w:p>
    <w:p w14:paraId="141F06DA">
      <w:pPr>
        <w:pStyle w:val="13"/>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 xml:space="preserve">图 </w:t>
      </w:r>
      <w:r>
        <w:rPr>
          <w:rFonts w:hint="eastAsia" w:ascii="Times New Roman" w:hAnsi="Times New Roman" w:eastAsia="宋体" w:cs="Times New Roman"/>
          <w:b/>
          <w:kern w:val="2"/>
          <w:sz w:val="21"/>
          <w:szCs w:val="21"/>
          <w:lang w:val="en-US" w:eastAsia="zh-CN" w:bidi="ar-SA"/>
        </w:rPr>
        <w:fldChar w:fldCharType="begin"/>
      </w:r>
      <w:r>
        <w:rPr>
          <w:rFonts w:hint="eastAsia" w:ascii="Times New Roman" w:hAnsi="Times New Roman" w:eastAsia="宋体" w:cs="Times New Roman"/>
          <w:b/>
          <w:kern w:val="2"/>
          <w:sz w:val="21"/>
          <w:szCs w:val="21"/>
          <w:lang w:val="en-US" w:eastAsia="zh-CN" w:bidi="ar-SA"/>
        </w:rPr>
        <w:instrText xml:space="preserve"> STYLEREF 2 \s </w:instrText>
      </w:r>
      <w:r>
        <w:rPr>
          <w:rFonts w:hint="eastAsia"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hint="eastAsia"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fldChar w:fldCharType="begin"/>
      </w:r>
      <w:r>
        <w:rPr>
          <w:rFonts w:hint="eastAsia" w:ascii="Times New Roman" w:hAnsi="Times New Roman" w:eastAsia="宋体" w:cs="Times New Roman"/>
          <w:b/>
          <w:kern w:val="2"/>
          <w:sz w:val="21"/>
          <w:szCs w:val="21"/>
          <w:lang w:val="en-US" w:eastAsia="zh-CN" w:bidi="ar-SA"/>
        </w:rPr>
        <w:instrText xml:space="preserve"> SEQ 图 \* ARABIC \s 2 </w:instrText>
      </w:r>
      <w:r>
        <w:rPr>
          <w:rFonts w:hint="eastAsia"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7</w:t>
      </w:r>
      <w:r>
        <w:rPr>
          <w:rFonts w:hint="eastAsia"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吊笼吊装平面示意图</w:t>
      </w:r>
    </w:p>
    <w:p w14:paraId="3525F792">
      <w:pPr>
        <w:pStyle w:val="8"/>
        <w:keepNext/>
        <w:keepLines/>
        <w:pageBreakBefore w:val="0"/>
        <w:widowControl w:val="0"/>
        <w:tabs>
          <w:tab w:val="left" w:pos="0"/>
        </w:tabs>
        <w:kinsoku/>
        <w:wordWrap/>
        <w:overflowPunct/>
        <w:topLinePunct w:val="0"/>
        <w:autoSpaceDE/>
        <w:autoSpaceDN/>
        <w:bidi w:val="0"/>
        <w:adjustRightInd/>
        <w:snapToGrid/>
        <w:textAlignment w:val="auto"/>
        <w:rPr>
          <w:rFonts w:hint="eastAsia"/>
          <w:b/>
          <w:bCs/>
          <w:sz w:val="24"/>
          <w:szCs w:val="24"/>
        </w:rPr>
      </w:pPr>
      <w:bookmarkStart w:id="131" w:name="_Toc29691"/>
      <w:bookmarkEnd w:id="131"/>
      <w:bookmarkStart w:id="132" w:name="_Toc26509"/>
      <w:bookmarkEnd w:id="132"/>
      <w:bookmarkStart w:id="133" w:name="_Toc23924"/>
      <w:bookmarkEnd w:id="133"/>
      <w:bookmarkStart w:id="134" w:name="_Toc29257"/>
      <w:bookmarkEnd w:id="134"/>
      <w:bookmarkStart w:id="135" w:name="_Toc30698"/>
      <w:bookmarkEnd w:id="135"/>
      <w:bookmarkStart w:id="136" w:name="_Toc24994"/>
      <w:bookmarkEnd w:id="136"/>
      <w:bookmarkStart w:id="137" w:name="_Toc6246"/>
      <w:bookmarkEnd w:id="137"/>
      <w:bookmarkStart w:id="138" w:name="_Toc30428"/>
      <w:bookmarkEnd w:id="138"/>
      <w:bookmarkStart w:id="139" w:name="_Toc31472"/>
      <w:bookmarkEnd w:id="139"/>
      <w:bookmarkStart w:id="140" w:name="_Toc30756"/>
      <w:bookmarkStart w:id="141" w:name="_Toc3023"/>
      <w:r>
        <w:rPr>
          <w:rFonts w:hint="eastAsia"/>
          <w:b/>
          <w:bCs/>
          <w:sz w:val="24"/>
          <w:szCs w:val="24"/>
        </w:rPr>
        <w:t>拆除剩余标准节及围栏</w:t>
      </w:r>
      <w:bookmarkEnd w:id="140"/>
      <w:bookmarkEnd w:id="141"/>
    </w:p>
    <w:p w14:paraId="3EAEB7A2">
      <w:pPr>
        <w:numPr>
          <w:ilvl w:val="0"/>
          <w:numId w:val="16"/>
        </w:numPr>
        <w:ind w:firstLine="480"/>
        <w:rPr>
          <w:rFonts w:hint="eastAsia" w:ascii="宋体" w:hAnsi="宋体" w:eastAsia="宋体" w:cs="宋体"/>
          <w:color w:val="auto"/>
          <w:lang w:val="en-US" w:eastAsia="zh-CN"/>
        </w:rPr>
      </w:pPr>
      <w:r>
        <w:rPr>
          <w:rFonts w:hint="eastAsia" w:ascii="宋体" w:hAnsi="宋体" w:cs="宋体"/>
          <w:color w:val="auto"/>
          <w:lang w:val="en-US" w:eastAsia="zh-CN"/>
        </w:rPr>
        <w:t>拆除作业人员</w:t>
      </w:r>
      <w:r>
        <w:rPr>
          <w:rFonts w:hint="eastAsia" w:ascii="宋体" w:hAnsi="宋体" w:eastAsia="宋体" w:cs="宋体"/>
          <w:color w:val="auto"/>
          <w:lang w:val="en-US" w:eastAsia="zh-CN"/>
        </w:rPr>
        <w:t>站在导轨架最上一节标准节上并将安全带系挂在导轨架的最上层横杆上，使用</w:t>
      </w:r>
      <w:r>
        <w:rPr>
          <w:rFonts w:hint="eastAsia" w:ascii="宋体" w:hAnsi="宋体" w:cs="宋体"/>
          <w:color w:val="auto"/>
          <w:lang w:val="en-US" w:eastAsia="zh-CN"/>
        </w:rPr>
        <w:t>4</w:t>
      </w:r>
      <w:r>
        <w:rPr>
          <w:rFonts w:hint="eastAsia" w:ascii="宋体" w:hAnsi="宋体" w:eastAsia="宋体" w:cs="宋体"/>
          <w:color w:val="auto"/>
          <w:lang w:val="en-US" w:eastAsia="zh-CN"/>
        </w:rPr>
        <w:t>根6m长的12mm6×19S+</w:t>
      </w:r>
      <w:r>
        <w:rPr>
          <w:rFonts w:hint="eastAsia" w:ascii="宋体" w:hAnsi="宋体" w:cs="宋体"/>
          <w:color w:val="auto"/>
          <w:lang w:val="en-US" w:eastAsia="zh-CN"/>
        </w:rPr>
        <w:t>IWR1870</w:t>
      </w:r>
      <w:r>
        <w:rPr>
          <w:rFonts w:hint="eastAsia" w:ascii="宋体" w:hAnsi="宋体" w:eastAsia="宋体" w:cs="宋体"/>
          <w:color w:val="auto"/>
          <w:lang w:val="en-US" w:eastAsia="zh-CN"/>
        </w:rPr>
        <w:t>钢丝绳在标准节顶部自带的斜对称的吊耳孔中配置GB/T 25854-6-DW5卸扣将标准节起吊，然后</w:t>
      </w:r>
      <w:r>
        <w:rPr>
          <w:rFonts w:hint="eastAsia" w:ascii="宋体" w:hAnsi="宋体" w:cs="宋体"/>
          <w:color w:val="auto"/>
          <w:lang w:val="en-US" w:eastAsia="zh-CN"/>
        </w:rPr>
        <w:t>汽车吊</w:t>
      </w:r>
      <w:r>
        <w:rPr>
          <w:rFonts w:hint="eastAsia" w:ascii="宋体" w:hAnsi="宋体" w:eastAsia="宋体" w:cs="宋体"/>
          <w:color w:val="auto"/>
          <w:lang w:val="en-US" w:eastAsia="zh-CN"/>
        </w:rPr>
        <w:t>下放至地面指定堆放区域。</w:t>
      </w:r>
    </w:p>
    <w:p w14:paraId="66469086">
      <w:pPr>
        <w:numPr>
          <w:ilvl w:val="0"/>
          <w:numId w:val="16"/>
        </w:num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标准节吊装时，要设置溜绳控制其摆动，防止其碰撞周边构件。</w:t>
      </w:r>
    </w:p>
    <w:p w14:paraId="5AF65276">
      <w:pPr>
        <w:numPr>
          <w:ilvl w:val="0"/>
          <w:numId w:val="16"/>
        </w:numPr>
        <w:ind w:firstLine="480"/>
        <w:rPr>
          <w:rFonts w:hint="default"/>
          <w:color w:val="auto"/>
          <w:lang w:val="en-US" w:eastAsia="zh-CN"/>
        </w:rPr>
      </w:pPr>
      <w:r>
        <w:rPr>
          <w:rFonts w:hint="eastAsia" w:ascii="宋体" w:hAnsi="宋体" w:cs="宋体"/>
          <w:color w:val="auto"/>
          <w:lang w:val="en-US" w:eastAsia="zh-CN"/>
        </w:rPr>
        <w:t>汽车吊</w:t>
      </w:r>
      <w:r>
        <w:rPr>
          <w:rFonts w:hint="eastAsia" w:ascii="宋体" w:hAnsi="宋体" w:eastAsia="宋体" w:cs="宋体"/>
          <w:color w:val="auto"/>
          <w:lang w:val="en-US" w:eastAsia="zh-CN"/>
        </w:rPr>
        <w:t>起吊吊装时设置警戒区，安排专人负责指挥，专人操作，严禁无关人员进入起重作业范围内。</w:t>
      </w:r>
    </w:p>
    <w:p w14:paraId="14B6F2B5">
      <w:pPr>
        <w:widowControl w:val="0"/>
        <w:spacing w:line="240" w:lineRule="auto"/>
        <w:ind w:firstLine="0" w:firstLineChars="0"/>
        <w:jc w:val="center"/>
      </w:pPr>
      <w:r>
        <w:drawing>
          <wp:inline distT="0" distB="0" distL="114300" distR="114300">
            <wp:extent cx="3162935" cy="3277870"/>
            <wp:effectExtent l="0" t="0" r="18415" b="1778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5"/>
                    <a:stretch>
                      <a:fillRect/>
                    </a:stretch>
                  </pic:blipFill>
                  <pic:spPr>
                    <a:xfrm>
                      <a:off x="0" y="0"/>
                      <a:ext cx="3162935" cy="3277870"/>
                    </a:xfrm>
                    <a:prstGeom prst="rect">
                      <a:avLst/>
                    </a:prstGeom>
                    <a:noFill/>
                    <a:ln>
                      <a:noFill/>
                    </a:ln>
                  </pic:spPr>
                </pic:pic>
              </a:graphicData>
            </a:graphic>
          </wp:inline>
        </w:drawing>
      </w:r>
    </w:p>
    <w:p w14:paraId="218B61F4">
      <w:pPr>
        <w:pStyle w:val="13"/>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hint="eastAsia" w:ascii="Times New Roman" w:hAnsi="Times New Roman" w:eastAsia="宋体" w:cs="Times New Roman"/>
          <w:b/>
          <w:kern w:val="2"/>
          <w:sz w:val="21"/>
          <w:szCs w:val="21"/>
          <w:lang w:val="en-US" w:eastAsia="zh-CN" w:bidi="ar-SA"/>
        </w:rPr>
        <w:fldChar w:fldCharType="begin"/>
      </w:r>
      <w:r>
        <w:rPr>
          <w:rFonts w:hint="eastAsia" w:ascii="Times New Roman" w:hAnsi="Times New Roman" w:eastAsia="宋体" w:cs="Times New Roman"/>
          <w:b/>
          <w:kern w:val="2"/>
          <w:sz w:val="21"/>
          <w:szCs w:val="21"/>
          <w:lang w:val="en-US" w:eastAsia="zh-CN" w:bidi="ar-SA"/>
        </w:rPr>
        <w:instrText xml:space="preserve"> STYLEREF 2 \s </w:instrText>
      </w:r>
      <w:r>
        <w:rPr>
          <w:rFonts w:hint="eastAsia"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4.5</w:t>
      </w:r>
      <w:r>
        <w:rPr>
          <w:rFonts w:hint="eastAsia"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fldChar w:fldCharType="begin"/>
      </w:r>
      <w:r>
        <w:rPr>
          <w:rFonts w:hint="eastAsia" w:ascii="Times New Roman" w:hAnsi="Times New Roman" w:eastAsia="宋体" w:cs="Times New Roman"/>
          <w:b/>
          <w:kern w:val="2"/>
          <w:sz w:val="21"/>
          <w:szCs w:val="21"/>
          <w:lang w:val="en-US" w:eastAsia="zh-CN" w:bidi="ar-SA"/>
        </w:rPr>
        <w:instrText xml:space="preserve"> SEQ 图 \* ARABIC \s 2 </w:instrText>
      </w:r>
      <w:r>
        <w:rPr>
          <w:rFonts w:hint="eastAsia"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8</w:t>
      </w:r>
      <w:r>
        <w:rPr>
          <w:rFonts w:hint="eastAsia"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剩余标准节拆除示意图</w:t>
      </w:r>
    </w:p>
    <w:bookmarkEnd w:id="116"/>
    <w:bookmarkEnd w:id="117"/>
    <w:bookmarkEnd w:id="121"/>
    <w:p w14:paraId="0A8040F2">
      <w:pPr>
        <w:rPr>
          <w:color w:val="auto"/>
        </w:rPr>
      </w:pPr>
      <w:bookmarkStart w:id="142" w:name="_Toc24330"/>
      <w:bookmarkStart w:id="143" w:name="_Toc16196"/>
      <w:bookmarkStart w:id="144" w:name="_Toc40778442"/>
      <w:r>
        <w:rPr>
          <w:rFonts w:hint="eastAsia"/>
          <w:color w:val="auto"/>
        </w:rPr>
        <w:br w:type="page"/>
      </w:r>
    </w:p>
    <w:bookmarkEnd w:id="142"/>
    <w:bookmarkEnd w:id="143"/>
    <w:bookmarkEnd w:id="144"/>
    <w:p w14:paraId="424D2236">
      <w:pPr>
        <w:pStyle w:val="6"/>
        <w:spacing w:before="156" w:after="156"/>
        <w:rPr>
          <w:color w:val="auto"/>
        </w:rPr>
      </w:pPr>
      <w:bookmarkStart w:id="145" w:name="_Toc8651"/>
      <w:r>
        <w:rPr>
          <w:rFonts w:hint="eastAsia" w:ascii="黑体" w:hAnsi="黑体" w:eastAsia="黑体" w:cs="宋体"/>
          <w:color w:val="000000" w:themeColor="text1"/>
          <w:kern w:val="0"/>
          <w:sz w:val="32"/>
          <w:szCs w:val="32"/>
          <w:lang w:val="zh-CN"/>
          <w14:textFill>
            <w14:solidFill>
              <w14:schemeClr w14:val="tx1"/>
            </w14:solidFill>
          </w14:textFill>
        </w:rPr>
        <w:t>施工保证措施</w:t>
      </w:r>
      <w:bookmarkEnd w:id="145"/>
    </w:p>
    <w:p w14:paraId="35B1EAE1">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146" w:name="_Toc10205"/>
      <w:bookmarkStart w:id="147" w:name="_Toc751"/>
      <w:bookmarkStart w:id="148" w:name="_Toc5668"/>
      <w:bookmarkStart w:id="149" w:name="_Toc14971"/>
      <w:bookmarkStart w:id="150" w:name="_Toc17347"/>
      <w:bookmarkStart w:id="151" w:name="_Toc6917"/>
      <w:bookmarkStart w:id="152" w:name="_Toc11379"/>
      <w:bookmarkStart w:id="153" w:name="_Toc40778445"/>
      <w:r>
        <w:rPr>
          <w:rFonts w:hint="eastAsia"/>
        </w:rPr>
        <w:t>组织保障措施</w:t>
      </w:r>
      <w:bookmarkEnd w:id="146"/>
      <w:bookmarkEnd w:id="147"/>
    </w:p>
    <w:p w14:paraId="3FFD3382">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安全管理组织机构与职责</w:t>
      </w:r>
    </w:p>
    <w:p w14:paraId="68A4656E">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6.2</w:t>
      </w:r>
      <w:r>
        <w:fldChar w:fldCharType="end"/>
      </w:r>
      <w:r>
        <w:rPr>
          <w:rFonts w:hint="eastAsia"/>
        </w:rPr>
        <w:t>-1</w:t>
      </w:r>
      <w:r>
        <w:fldChar w:fldCharType="end"/>
      </w:r>
      <w:r>
        <w:rPr>
          <w:rFonts w:hint="eastAsia"/>
        </w:rPr>
        <w:t>所示。</w:t>
      </w:r>
    </w:p>
    <w:p w14:paraId="753FA9E4">
      <w:pPr>
        <w:pStyle w:val="13"/>
        <w:jc w:val="center"/>
        <w:rPr>
          <w:rFonts w:hint="eastAsia" w:ascii="宋体" w:hAnsi="宋体" w:eastAsia="宋体" w:cs="宋体"/>
          <w:b/>
          <w:bCs/>
          <w:color w:val="auto"/>
          <w:kern w:val="0"/>
          <w:sz w:val="21"/>
          <w:szCs w:val="21"/>
          <w:lang w:val="en-US" w:eastAsia="zh-CN" w:bidi="ar-SA"/>
        </w:rPr>
      </w:pPr>
      <w:bookmarkStart w:id="154" w:name="_Ref124509381"/>
      <w:r>
        <w:rPr>
          <w:rFonts w:hint="eastAsia" w:ascii="宋体" w:hAnsi="宋体" w:eastAsia="宋体" w:cs="宋体"/>
          <w:b/>
          <w:bCs/>
          <w:color w:val="auto"/>
          <w:kern w:val="0"/>
          <w:sz w:val="21"/>
          <w:szCs w:val="21"/>
          <w:lang w:val="en-US" w:eastAsia="zh-CN" w:bidi="ar-SA"/>
        </w:rPr>
        <w:t>表</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2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6.2</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2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bookmarkEnd w:id="154"/>
      <w:r>
        <w:rPr>
          <w:rFonts w:hint="eastAsia" w:ascii="宋体" w:hAnsi="宋体" w:eastAsia="宋体" w:cs="宋体"/>
          <w:b/>
          <w:bCs/>
          <w:color w:val="auto"/>
          <w:kern w:val="0"/>
          <w:sz w:val="21"/>
          <w:szCs w:val="21"/>
          <w:lang w:val="en-US" w:eastAsia="zh-CN" w:bidi="ar-SA"/>
        </w:rPr>
        <w:t xml:space="preserve"> 质量管理组织机构</w:t>
      </w:r>
    </w:p>
    <w:tbl>
      <w:tblPr>
        <w:tblStyle w:val="9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12"/>
        <w:gridCol w:w="875"/>
        <w:gridCol w:w="4821"/>
        <w:gridCol w:w="802"/>
      </w:tblGrid>
      <w:tr w14:paraId="38BA2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8" w:type="pct"/>
            <w:shd w:val="clear" w:color="auto" w:fill="auto"/>
            <w:vAlign w:val="center"/>
          </w:tcPr>
          <w:p w14:paraId="3F3D547C">
            <w:pPr>
              <w:pStyle w:val="30"/>
              <w:rPr>
                <w:b/>
              </w:rPr>
            </w:pPr>
            <w:r>
              <w:rPr>
                <w:rFonts w:hint="eastAsia"/>
                <w:b/>
              </w:rPr>
              <w:t>序号</w:t>
            </w:r>
          </w:p>
        </w:tc>
        <w:tc>
          <w:tcPr>
            <w:tcW w:w="769" w:type="pct"/>
            <w:shd w:val="clear" w:color="auto" w:fill="auto"/>
            <w:vAlign w:val="center"/>
          </w:tcPr>
          <w:p w14:paraId="227C2BFB">
            <w:pPr>
              <w:pStyle w:val="30"/>
              <w:rPr>
                <w:b/>
              </w:rPr>
            </w:pPr>
            <w:r>
              <w:rPr>
                <w:rFonts w:hint="eastAsia"/>
                <w:b/>
              </w:rPr>
              <w:t>岗位</w:t>
            </w:r>
          </w:p>
        </w:tc>
        <w:tc>
          <w:tcPr>
            <w:tcW w:w="513" w:type="pct"/>
            <w:shd w:val="clear" w:color="auto" w:fill="auto"/>
            <w:vAlign w:val="center"/>
          </w:tcPr>
          <w:p w14:paraId="3543F347">
            <w:pPr>
              <w:pStyle w:val="30"/>
              <w:rPr>
                <w:b/>
              </w:rPr>
            </w:pPr>
            <w:r>
              <w:rPr>
                <w:rFonts w:hint="eastAsia"/>
                <w:b/>
              </w:rPr>
              <w:t>姓名</w:t>
            </w:r>
          </w:p>
        </w:tc>
        <w:tc>
          <w:tcPr>
            <w:tcW w:w="2826" w:type="pct"/>
            <w:shd w:val="clear" w:color="auto" w:fill="auto"/>
            <w:vAlign w:val="center"/>
          </w:tcPr>
          <w:p w14:paraId="0DCD2B6E">
            <w:pPr>
              <w:pStyle w:val="30"/>
              <w:rPr>
                <w:b/>
              </w:rPr>
            </w:pPr>
            <w:r>
              <w:rPr>
                <w:rFonts w:hint="eastAsia"/>
                <w:b/>
              </w:rPr>
              <w:t>工作职责</w:t>
            </w:r>
          </w:p>
        </w:tc>
        <w:tc>
          <w:tcPr>
            <w:tcW w:w="470" w:type="pct"/>
            <w:shd w:val="clear" w:color="auto" w:fill="auto"/>
            <w:vAlign w:val="center"/>
          </w:tcPr>
          <w:p w14:paraId="45146D3F">
            <w:pPr>
              <w:pStyle w:val="30"/>
              <w:rPr>
                <w:b/>
              </w:rPr>
            </w:pPr>
            <w:r>
              <w:rPr>
                <w:rFonts w:hint="eastAsia"/>
                <w:b/>
              </w:rPr>
              <w:t>备注</w:t>
            </w:r>
          </w:p>
        </w:tc>
      </w:tr>
      <w:tr w14:paraId="2E137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4A25ED95">
            <w:pPr>
              <w:pStyle w:val="30"/>
              <w:numPr>
                <w:ilvl w:val="0"/>
                <w:numId w:val="17"/>
              </w:numPr>
            </w:pPr>
          </w:p>
        </w:tc>
        <w:tc>
          <w:tcPr>
            <w:tcW w:w="769" w:type="pct"/>
            <w:shd w:val="clear" w:color="auto" w:fill="auto"/>
            <w:vAlign w:val="center"/>
          </w:tcPr>
          <w:p w14:paraId="2A4857B9">
            <w:pPr>
              <w:pStyle w:val="30"/>
              <w:rPr>
                <w:b w:val="0"/>
                <w:bCs/>
              </w:rPr>
            </w:pPr>
            <w:r>
              <w:rPr>
                <w:rFonts w:hint="eastAsia"/>
                <w:b w:val="0"/>
                <w:bCs/>
              </w:rPr>
              <w:t>现场负责人</w:t>
            </w:r>
          </w:p>
        </w:tc>
        <w:tc>
          <w:tcPr>
            <w:tcW w:w="513" w:type="pct"/>
            <w:shd w:val="clear" w:color="auto" w:fill="auto"/>
            <w:vAlign w:val="center"/>
          </w:tcPr>
          <w:p w14:paraId="07E77978">
            <w:pPr>
              <w:pStyle w:val="30"/>
              <w:ind w:firstLine="0" w:firstLineChars="0"/>
              <w:rPr>
                <w:b w:val="0"/>
                <w:bCs/>
              </w:rPr>
            </w:pPr>
            <w:r>
              <w:rPr>
                <w:rFonts w:hint="eastAsia"/>
                <w:b w:val="0"/>
                <w:bCs/>
              </w:rPr>
              <w:t>彭善忠</w:t>
            </w:r>
          </w:p>
        </w:tc>
        <w:tc>
          <w:tcPr>
            <w:tcW w:w="2826" w:type="pct"/>
            <w:shd w:val="clear" w:color="auto" w:fill="auto"/>
            <w:vAlign w:val="center"/>
          </w:tcPr>
          <w:p w14:paraId="782A66E2">
            <w:pPr>
              <w:pStyle w:val="30"/>
              <w:jc w:val="left"/>
              <w:rPr>
                <w:b w:val="0"/>
                <w:bCs/>
              </w:rPr>
            </w:pPr>
            <w:r>
              <w:rPr>
                <w:rFonts w:hint="eastAsia"/>
                <w:b w:val="0"/>
                <w:bCs/>
              </w:rPr>
              <w:t>负责设备</w:t>
            </w:r>
            <w:r>
              <w:rPr>
                <w:rFonts w:hint="eastAsia"/>
                <w:b w:val="0"/>
                <w:bCs/>
                <w:lang w:eastAsia="zh-CN"/>
              </w:rPr>
              <w:t>拆除</w:t>
            </w:r>
            <w:r>
              <w:rPr>
                <w:rFonts w:hint="eastAsia"/>
                <w:b w:val="0"/>
                <w:bCs/>
              </w:rPr>
              <w:t>组织、实施及安全</w:t>
            </w:r>
          </w:p>
        </w:tc>
        <w:tc>
          <w:tcPr>
            <w:tcW w:w="470" w:type="pct"/>
            <w:shd w:val="clear" w:color="auto" w:fill="auto"/>
            <w:vAlign w:val="center"/>
          </w:tcPr>
          <w:p w14:paraId="1DAB4907">
            <w:pPr>
              <w:pStyle w:val="30"/>
            </w:pPr>
          </w:p>
        </w:tc>
      </w:tr>
      <w:tr w14:paraId="6534B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40CDEDE1">
            <w:pPr>
              <w:pStyle w:val="30"/>
              <w:numPr>
                <w:ilvl w:val="0"/>
                <w:numId w:val="17"/>
              </w:numPr>
            </w:pPr>
          </w:p>
        </w:tc>
        <w:tc>
          <w:tcPr>
            <w:tcW w:w="769" w:type="pct"/>
            <w:shd w:val="clear" w:color="auto" w:fill="auto"/>
            <w:vAlign w:val="center"/>
          </w:tcPr>
          <w:p w14:paraId="1F0C4905">
            <w:pPr>
              <w:pStyle w:val="30"/>
              <w:rPr>
                <w:b w:val="0"/>
                <w:bCs/>
              </w:rPr>
            </w:pPr>
            <w:r>
              <w:rPr>
                <w:rFonts w:hint="eastAsia"/>
                <w:b w:val="0"/>
                <w:bCs/>
              </w:rPr>
              <w:t>设备安拆工</w:t>
            </w:r>
          </w:p>
        </w:tc>
        <w:tc>
          <w:tcPr>
            <w:tcW w:w="513" w:type="pct"/>
            <w:shd w:val="clear" w:color="auto" w:fill="auto"/>
            <w:vAlign w:val="center"/>
          </w:tcPr>
          <w:p w14:paraId="3340F1A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白美富</w:t>
            </w:r>
          </w:p>
        </w:tc>
        <w:tc>
          <w:tcPr>
            <w:tcW w:w="2826" w:type="pct"/>
            <w:shd w:val="clear" w:color="auto" w:fill="auto"/>
            <w:vAlign w:val="center"/>
          </w:tcPr>
          <w:p w14:paraId="4195204C">
            <w:pPr>
              <w:pStyle w:val="30"/>
              <w:jc w:val="left"/>
              <w:rPr>
                <w:b w:val="0"/>
                <w:bCs/>
              </w:rPr>
            </w:pPr>
            <w:r>
              <w:rPr>
                <w:rFonts w:hint="eastAsia"/>
                <w:b w:val="0"/>
                <w:bCs/>
              </w:rPr>
              <w:t>负责设备</w:t>
            </w:r>
            <w:r>
              <w:rPr>
                <w:rFonts w:hint="eastAsia"/>
                <w:b w:val="0"/>
                <w:bCs/>
                <w:lang w:eastAsia="zh-CN"/>
              </w:rPr>
              <w:t>拆除</w:t>
            </w:r>
            <w:r>
              <w:rPr>
                <w:rFonts w:hint="eastAsia"/>
                <w:b w:val="0"/>
                <w:bCs/>
              </w:rPr>
              <w:t>技术工作以及安全工作</w:t>
            </w:r>
          </w:p>
        </w:tc>
        <w:tc>
          <w:tcPr>
            <w:tcW w:w="470" w:type="pct"/>
            <w:shd w:val="clear" w:color="auto" w:fill="auto"/>
            <w:vAlign w:val="center"/>
          </w:tcPr>
          <w:p w14:paraId="6DD04075">
            <w:pPr>
              <w:pStyle w:val="30"/>
            </w:pPr>
          </w:p>
        </w:tc>
      </w:tr>
      <w:tr w14:paraId="08F22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510C0564">
            <w:pPr>
              <w:pStyle w:val="30"/>
              <w:numPr>
                <w:ilvl w:val="0"/>
                <w:numId w:val="17"/>
              </w:numPr>
            </w:pPr>
          </w:p>
        </w:tc>
        <w:tc>
          <w:tcPr>
            <w:tcW w:w="769" w:type="pct"/>
            <w:shd w:val="clear" w:color="auto" w:fill="auto"/>
            <w:vAlign w:val="center"/>
          </w:tcPr>
          <w:p w14:paraId="21369A2A">
            <w:pPr>
              <w:pStyle w:val="30"/>
              <w:rPr>
                <w:b w:val="0"/>
                <w:bCs/>
              </w:rPr>
            </w:pPr>
            <w:r>
              <w:rPr>
                <w:rFonts w:hint="eastAsia"/>
                <w:b w:val="0"/>
                <w:bCs/>
              </w:rPr>
              <w:t>设备安拆工</w:t>
            </w:r>
          </w:p>
        </w:tc>
        <w:tc>
          <w:tcPr>
            <w:tcW w:w="513" w:type="pct"/>
            <w:shd w:val="clear" w:color="auto" w:fill="auto"/>
            <w:vAlign w:val="center"/>
          </w:tcPr>
          <w:p w14:paraId="554D949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彭兴华</w:t>
            </w:r>
          </w:p>
        </w:tc>
        <w:tc>
          <w:tcPr>
            <w:tcW w:w="2826" w:type="pct"/>
            <w:shd w:val="clear" w:color="auto" w:fill="auto"/>
            <w:vAlign w:val="center"/>
          </w:tcPr>
          <w:p w14:paraId="3BE4B4FA">
            <w:pPr>
              <w:pStyle w:val="30"/>
              <w:jc w:val="left"/>
              <w:rPr>
                <w:b w:val="0"/>
                <w:bCs/>
              </w:rPr>
            </w:pPr>
            <w:r>
              <w:rPr>
                <w:rFonts w:hint="eastAsia"/>
                <w:b w:val="0"/>
                <w:bCs/>
              </w:rPr>
              <w:t>负责现场的安全组织、检查、监督、纠正</w:t>
            </w:r>
          </w:p>
        </w:tc>
        <w:tc>
          <w:tcPr>
            <w:tcW w:w="470" w:type="pct"/>
            <w:shd w:val="clear" w:color="auto" w:fill="auto"/>
            <w:vAlign w:val="center"/>
          </w:tcPr>
          <w:p w14:paraId="711FEC36">
            <w:pPr>
              <w:pStyle w:val="30"/>
            </w:pPr>
          </w:p>
        </w:tc>
      </w:tr>
      <w:tr w14:paraId="587F2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680E8DD7">
            <w:pPr>
              <w:pStyle w:val="30"/>
              <w:numPr>
                <w:ilvl w:val="0"/>
                <w:numId w:val="17"/>
              </w:numPr>
            </w:pPr>
          </w:p>
        </w:tc>
        <w:tc>
          <w:tcPr>
            <w:tcW w:w="769" w:type="pct"/>
            <w:shd w:val="clear" w:color="auto" w:fill="auto"/>
            <w:vAlign w:val="center"/>
          </w:tcPr>
          <w:p w14:paraId="11CFEFF8">
            <w:pPr>
              <w:pStyle w:val="30"/>
              <w:rPr>
                <w:b w:val="0"/>
                <w:bCs/>
              </w:rPr>
            </w:pPr>
            <w:r>
              <w:rPr>
                <w:rFonts w:hint="eastAsia"/>
                <w:b w:val="0"/>
                <w:bCs/>
              </w:rPr>
              <w:t>电工</w:t>
            </w:r>
          </w:p>
        </w:tc>
        <w:tc>
          <w:tcPr>
            <w:tcW w:w="513" w:type="pct"/>
            <w:shd w:val="clear" w:color="auto" w:fill="auto"/>
            <w:vAlign w:val="center"/>
          </w:tcPr>
          <w:p w14:paraId="4480C01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陈刚</w:t>
            </w:r>
          </w:p>
        </w:tc>
        <w:tc>
          <w:tcPr>
            <w:tcW w:w="2826" w:type="pct"/>
            <w:shd w:val="clear" w:color="auto" w:fill="auto"/>
            <w:vAlign w:val="center"/>
          </w:tcPr>
          <w:p w14:paraId="341038FA">
            <w:pPr>
              <w:pStyle w:val="30"/>
              <w:jc w:val="left"/>
              <w:rPr>
                <w:b w:val="0"/>
                <w:bCs/>
              </w:rPr>
            </w:pPr>
            <w:r>
              <w:rPr>
                <w:rFonts w:hint="eastAsia"/>
                <w:b w:val="0"/>
                <w:bCs/>
              </w:rPr>
              <w:t>负责现场设备的电气</w:t>
            </w:r>
            <w:r>
              <w:rPr>
                <w:rFonts w:hint="eastAsia"/>
                <w:b w:val="0"/>
                <w:bCs/>
                <w:lang w:eastAsia="zh-CN"/>
              </w:rPr>
              <w:t>拆除</w:t>
            </w:r>
            <w:r>
              <w:rPr>
                <w:rFonts w:hint="eastAsia"/>
                <w:b w:val="0"/>
                <w:bCs/>
              </w:rPr>
              <w:t>、恢复、调试</w:t>
            </w:r>
          </w:p>
        </w:tc>
        <w:tc>
          <w:tcPr>
            <w:tcW w:w="470" w:type="pct"/>
            <w:shd w:val="clear" w:color="auto" w:fill="auto"/>
            <w:vAlign w:val="center"/>
          </w:tcPr>
          <w:p w14:paraId="60627E6B">
            <w:pPr>
              <w:pStyle w:val="30"/>
            </w:pPr>
          </w:p>
        </w:tc>
      </w:tr>
    </w:tbl>
    <w:p w14:paraId="0547E8ED">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安全管理保证措施</w:t>
      </w:r>
    </w:p>
    <w:p w14:paraId="343B22FF">
      <w:pPr>
        <w:pStyle w:val="10"/>
        <w:numPr>
          <w:ilvl w:val="3"/>
          <w:numId w:val="1"/>
        </w:numPr>
        <w:bidi w:val="0"/>
        <w:ind w:left="0" w:leftChars="0" w:firstLine="0" w:firstLineChars="0"/>
        <w:rPr>
          <w:rFonts w:hint="eastAsia" w:ascii="Times New Roman" w:hAnsi="Times New Roman" w:eastAsia="宋体" w:cstheme="majorBidi"/>
          <w:b/>
          <w:bCs/>
          <w:color w:val="auto"/>
          <w:kern w:val="2"/>
          <w:sz w:val="24"/>
          <w:szCs w:val="28"/>
          <w:lang w:val="en-US" w:eastAsia="zh-CN" w:bidi="ar-SA"/>
        </w:rPr>
      </w:pPr>
      <w:r>
        <w:rPr>
          <w:rFonts w:hint="eastAsia" w:ascii="Times New Roman" w:hAnsi="Times New Roman" w:eastAsia="宋体" w:cstheme="majorBidi"/>
          <w:b/>
          <w:bCs/>
          <w:color w:val="auto"/>
          <w:kern w:val="2"/>
          <w:sz w:val="24"/>
          <w:szCs w:val="28"/>
          <w:lang w:val="en-US" w:eastAsia="zh-CN" w:bidi="ar-SA"/>
        </w:rPr>
        <w:t>思想保证</w:t>
      </w:r>
    </w:p>
    <w:p w14:paraId="53346E47">
      <w:pPr>
        <w:numPr>
          <w:ilvl w:val="1"/>
          <w:numId w:val="18"/>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714FFEAC">
      <w:pPr>
        <w:numPr>
          <w:ilvl w:val="1"/>
          <w:numId w:val="18"/>
        </w:numPr>
        <w:ind w:firstLineChars="0"/>
      </w:pPr>
      <w:r>
        <w:rPr>
          <w:rFonts w:hint="eastAsia"/>
          <w:lang w:val="en-US" w:eastAsia="zh-CN"/>
        </w:rPr>
        <w:t>拆除</w:t>
      </w:r>
      <w:r>
        <w:rPr>
          <w:rFonts w:hint="eastAsia"/>
        </w:rPr>
        <w:t>施工开工前，对所有上岗人员进行安全教育培训，使全员都能遵守生产必须安全，安全才能生产的原则，严格执行安全操作规程，持证上岗；</w:t>
      </w:r>
    </w:p>
    <w:p w14:paraId="3FB660E8">
      <w:pPr>
        <w:numPr>
          <w:ilvl w:val="1"/>
          <w:numId w:val="18"/>
        </w:numPr>
        <w:ind w:firstLineChars="0"/>
      </w:pPr>
      <w:r>
        <w:rPr>
          <w:rFonts w:hint="eastAsia"/>
        </w:rPr>
        <w:t>组织安全宣传活动，对全体施工人员进行安全警示教育；</w:t>
      </w:r>
    </w:p>
    <w:p w14:paraId="2DF11B4B">
      <w:pPr>
        <w:numPr>
          <w:ilvl w:val="1"/>
          <w:numId w:val="18"/>
        </w:numPr>
        <w:ind w:firstLineChars="0"/>
      </w:pPr>
      <w:r>
        <w:rPr>
          <w:rFonts w:hint="eastAsia"/>
        </w:rPr>
        <w:t>随时接受业主、监理单位及项目部对安全生产的督促、检查、考评，对提出的问题，立即落实方案组织实施，确保安全生产。</w:t>
      </w:r>
    </w:p>
    <w:p w14:paraId="30B36475">
      <w:pPr>
        <w:pStyle w:val="10"/>
        <w:numPr>
          <w:ilvl w:val="3"/>
          <w:numId w:val="1"/>
        </w:numPr>
        <w:bidi w:val="0"/>
        <w:ind w:left="0" w:leftChars="0" w:firstLine="0" w:firstLineChars="0"/>
        <w:rPr>
          <w:rFonts w:hint="eastAsia" w:ascii="Times New Roman" w:hAnsi="Times New Roman" w:eastAsia="宋体" w:cstheme="majorBidi"/>
          <w:b/>
          <w:bCs/>
          <w:color w:val="auto"/>
          <w:kern w:val="2"/>
          <w:sz w:val="24"/>
          <w:szCs w:val="28"/>
          <w:lang w:val="en-US" w:eastAsia="zh-CN" w:bidi="ar-SA"/>
        </w:rPr>
      </w:pPr>
      <w:r>
        <w:rPr>
          <w:rFonts w:hint="eastAsia" w:ascii="Times New Roman" w:hAnsi="Times New Roman" w:eastAsia="宋体" w:cstheme="majorBidi"/>
          <w:b/>
          <w:bCs/>
          <w:color w:val="auto"/>
          <w:kern w:val="2"/>
          <w:sz w:val="24"/>
          <w:szCs w:val="28"/>
          <w:lang w:val="en-US" w:eastAsia="zh-CN" w:bidi="ar-SA"/>
        </w:rPr>
        <w:t>制度保证</w:t>
      </w:r>
    </w:p>
    <w:p w14:paraId="404886E3">
      <w:pPr>
        <w:numPr>
          <w:ilvl w:val="1"/>
          <w:numId w:val="19"/>
        </w:numPr>
        <w:ind w:firstLineChars="0"/>
      </w:pPr>
      <w:r>
        <w:rPr>
          <w:rFonts w:hint="eastAsia"/>
        </w:rPr>
        <w:t>全体参建人员严格执行党和国家有关安全生产法律、法规和安全生产规程，自觉遵守国家、行业、地方及业主的有关安全生产管理规定；</w:t>
      </w:r>
    </w:p>
    <w:p w14:paraId="512BD553">
      <w:pPr>
        <w:numPr>
          <w:ilvl w:val="1"/>
          <w:numId w:val="19"/>
        </w:numPr>
        <w:ind w:firstLineChars="0"/>
      </w:pPr>
      <w:r>
        <w:rPr>
          <w:rFonts w:hint="eastAsia"/>
        </w:rPr>
        <w:t>严格执行本单位的安全生产管理相关的制度和文件；</w:t>
      </w:r>
    </w:p>
    <w:p w14:paraId="146260EB">
      <w:pPr>
        <w:numPr>
          <w:ilvl w:val="1"/>
          <w:numId w:val="19"/>
        </w:numPr>
        <w:ind w:firstLineChars="0"/>
      </w:pPr>
      <w:r>
        <w:rPr>
          <w:rFonts w:hint="eastAsia"/>
        </w:rPr>
        <w:t>严格执行安全生产教育与培训制度，安拆施工开工前，对参建人员进行岗前安全教育培训，经培训考试合格后方可上岗；</w:t>
      </w:r>
    </w:p>
    <w:p w14:paraId="2D730E03">
      <w:pPr>
        <w:numPr>
          <w:ilvl w:val="1"/>
          <w:numId w:val="19"/>
        </w:numPr>
        <w:ind w:firstLineChars="0"/>
      </w:pPr>
      <w:r>
        <w:rPr>
          <w:rFonts w:hint="eastAsia"/>
        </w:rPr>
        <w:t>严格执行特殊工种持证上岗制度，安拆施工开工前，对特种作业人员进行专业安全培训，取得《安全操作合格证》后，持证上岗；</w:t>
      </w:r>
    </w:p>
    <w:p w14:paraId="430C887C">
      <w:pPr>
        <w:numPr>
          <w:ilvl w:val="1"/>
          <w:numId w:val="19"/>
        </w:numPr>
        <w:ind w:firstLineChars="0"/>
      </w:pPr>
      <w:r>
        <w:rPr>
          <w:rFonts w:hint="eastAsia"/>
        </w:rPr>
        <w:t>严格执行安全技术交底制度，使作业人员能了解作业过程中可能存在的事故隐患，交底采用书面安全交底和现场安全交底相结合的方式；</w:t>
      </w:r>
    </w:p>
    <w:p w14:paraId="2B718B71">
      <w:pPr>
        <w:numPr>
          <w:ilvl w:val="1"/>
          <w:numId w:val="19"/>
        </w:numPr>
        <w:ind w:firstLineChars="0"/>
      </w:pPr>
      <w:r>
        <w:rPr>
          <w:rFonts w:hint="eastAsia"/>
        </w:rPr>
        <w:t>安全负责人持证上岗，负责现场安全管理、指导、监督、制止违章，在危险时采取紧急措施；</w:t>
      </w:r>
    </w:p>
    <w:p w14:paraId="1A35EE10">
      <w:pPr>
        <w:numPr>
          <w:ilvl w:val="1"/>
          <w:numId w:val="19"/>
        </w:numPr>
        <w:ind w:firstLineChars="0"/>
      </w:pPr>
      <w:r>
        <w:rPr>
          <w:rFonts w:hint="eastAsia"/>
          <w:lang w:val="en-US" w:eastAsia="zh-CN"/>
        </w:rPr>
        <w:t>拆除</w:t>
      </w:r>
      <w:r>
        <w:rPr>
          <w:rFonts w:hint="eastAsia"/>
        </w:rPr>
        <w:t>施工开工前，针对工程实际编制切实可行的安全措施计划，并限期实施，没有安全保障措施时工程不得开工；</w:t>
      </w:r>
    </w:p>
    <w:p w14:paraId="30FAA927">
      <w:pPr>
        <w:numPr>
          <w:ilvl w:val="1"/>
          <w:numId w:val="19"/>
        </w:numPr>
        <w:ind w:firstLineChars="0"/>
      </w:pPr>
      <w:r>
        <w:rPr>
          <w:rFonts w:hint="eastAsia"/>
        </w:rPr>
        <w:t>完善并执行安全目标管理制度，其中包括：禁酒令，安全生产带班管理制度，事故报告制度等。</w:t>
      </w:r>
    </w:p>
    <w:p w14:paraId="59BDC5B2">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155" w:name="_Toc66805128"/>
      <w:bookmarkStart w:id="156" w:name="_Toc85112007"/>
      <w:bookmarkStart w:id="157" w:name="_Toc101443770"/>
      <w:bookmarkStart w:id="158" w:name="_Toc23683"/>
      <w:bookmarkStart w:id="159" w:name="_Toc24780"/>
      <w:r>
        <w:rPr>
          <w:rFonts w:hint="eastAsia"/>
        </w:rPr>
        <w:t>施工安全技术控制措施</w:t>
      </w:r>
      <w:bookmarkEnd w:id="155"/>
      <w:bookmarkEnd w:id="156"/>
      <w:bookmarkEnd w:id="157"/>
      <w:bookmarkEnd w:id="158"/>
      <w:bookmarkEnd w:id="159"/>
    </w:p>
    <w:p w14:paraId="3CD370EE">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60" w:name="_Toc79095146"/>
      <w:bookmarkStart w:id="161" w:name="_Toc4785"/>
      <w:bookmarkStart w:id="162" w:name="_Toc108095483"/>
      <w:bookmarkStart w:id="163" w:name="_Hlk79072530"/>
      <w:bookmarkStart w:id="164" w:name="_Toc27420"/>
      <w:bookmarkStart w:id="165" w:name="_Toc11513"/>
      <w:bookmarkStart w:id="166" w:name="_Toc22668"/>
      <w:r>
        <w:rPr>
          <w:rFonts w:hint="eastAsia"/>
          <w:b/>
          <w:bCs/>
          <w:sz w:val="24"/>
          <w:szCs w:val="24"/>
        </w:rPr>
        <w:t>底盘及标准节的</w:t>
      </w:r>
      <w:r>
        <w:rPr>
          <w:rFonts w:hint="eastAsia"/>
          <w:b/>
          <w:bCs/>
          <w:sz w:val="24"/>
          <w:szCs w:val="24"/>
          <w:lang w:val="en-US" w:eastAsia="zh-CN"/>
        </w:rPr>
        <w:t>拆除</w:t>
      </w:r>
      <w:r>
        <w:rPr>
          <w:rFonts w:hint="eastAsia"/>
          <w:b/>
          <w:bCs/>
          <w:sz w:val="24"/>
          <w:szCs w:val="24"/>
        </w:rPr>
        <w:t>安全措施</w:t>
      </w:r>
      <w:bookmarkEnd w:id="160"/>
      <w:bookmarkEnd w:id="161"/>
      <w:bookmarkEnd w:id="162"/>
    </w:p>
    <w:bookmarkEnd w:id="163"/>
    <w:p w14:paraId="7CE8C566">
      <w:pPr>
        <w:numPr>
          <w:ilvl w:val="0"/>
          <w:numId w:val="20"/>
        </w:numPr>
        <w:ind w:left="0" w:leftChars="0" w:firstLine="480" w:firstLineChars="200"/>
        <w:rPr>
          <w:rFonts w:hint="eastAsia"/>
          <w:highlight w:val="none"/>
        </w:rPr>
      </w:pPr>
      <w:bookmarkStart w:id="167" w:name="_Toc108095484"/>
      <w:bookmarkStart w:id="168" w:name="_Toc79095147"/>
      <w:bookmarkStart w:id="169" w:name="_Hlk79072538"/>
      <w:r>
        <w:rPr>
          <w:rFonts w:hint="default"/>
          <w:highlight w:val="none"/>
        </w:rPr>
        <w:t>施工升降机底盘及标准节的拆卸必须由专业人员操作，这些人员应经过培训并取得上岗资格证书‌。在拆卸过程中，必须有专人进行监督，一旦发现异常情况应立即停止拆卸并进行处理‌。</w:t>
      </w:r>
    </w:p>
    <w:p w14:paraId="4E5A3C3A">
      <w:pPr>
        <w:numPr>
          <w:ilvl w:val="0"/>
          <w:numId w:val="20"/>
        </w:numPr>
        <w:ind w:left="0" w:leftChars="0" w:firstLine="480" w:firstLineChars="200"/>
        <w:rPr>
          <w:rFonts w:hint="eastAsia"/>
          <w:highlight w:val="none"/>
        </w:rPr>
      </w:pPr>
      <w:r>
        <w:rPr>
          <w:rFonts w:hint="default"/>
          <w:highlight w:val="none"/>
        </w:rPr>
        <w:t>拆卸前必须对施工升降机进行全面检查，确保其各项功能正常，无故障和缺陷‌。确定拆卸的时间和地点，通知施工现场人员，避免拆卸过程中的人员和物品受到影响‌。准备好拆卸用的工具、盛装零部件的袋子或木箱及合适的起重设备，并确保拆卸地点满足安全施工所规定的要求‌。</w:t>
      </w:r>
    </w:p>
    <w:p w14:paraId="52D6784C">
      <w:pPr>
        <w:numPr>
          <w:ilvl w:val="0"/>
          <w:numId w:val="20"/>
        </w:numPr>
        <w:ind w:left="0" w:leftChars="0" w:firstLine="480" w:firstLineChars="200"/>
        <w:rPr>
          <w:rFonts w:hint="eastAsia"/>
          <w:highlight w:val="none"/>
        </w:rPr>
      </w:pPr>
      <w:r>
        <w:rPr>
          <w:rFonts w:hint="default"/>
          <w:highlight w:val="none"/>
        </w:rPr>
        <w:t>拆卸人员应佩戴安全帽、安全带等防护设备，并按照规定穿好防滑鞋‌。在拆卸过程中，应使用符合要求的安全绳索、安全带等安全设备，防止人员从高处坠落‌。</w:t>
      </w:r>
    </w:p>
    <w:p w14:paraId="0501FC8F">
      <w:pPr>
        <w:numPr>
          <w:ilvl w:val="0"/>
          <w:numId w:val="20"/>
        </w:numPr>
        <w:ind w:left="0" w:leftChars="0" w:firstLine="480" w:firstLineChars="200"/>
        <w:rPr>
          <w:rFonts w:hint="eastAsia"/>
          <w:highlight w:val="none"/>
        </w:rPr>
      </w:pPr>
      <w:r>
        <w:rPr>
          <w:rFonts w:hint="default"/>
          <w:highlight w:val="none"/>
        </w:rPr>
        <w:t>拆卸时应按照制定的拆卸方法和步骤进行，如先拆卸标准节，再拆卸其他部件‌。在拆卸标准节时，应先将吊笼上升至适当位置，然后拆除导轨架螺栓，使用吊杆吊钩挂住待拆标准节进行拆卸‌。</w:t>
      </w:r>
    </w:p>
    <w:p w14:paraId="1CA0AB6C">
      <w:pPr>
        <w:numPr>
          <w:ilvl w:val="0"/>
          <w:numId w:val="20"/>
        </w:numPr>
        <w:ind w:left="0" w:leftChars="0" w:firstLine="480" w:firstLineChars="200"/>
        <w:rPr>
          <w:rFonts w:hint="eastAsia"/>
          <w:highlight w:val="none"/>
        </w:rPr>
      </w:pPr>
      <w:r>
        <w:rPr>
          <w:rFonts w:hint="default"/>
          <w:highlight w:val="none"/>
        </w:rPr>
        <w:t>拆卸过程中应注意观察周边环境，严防高空坠物的影响，作业期间严禁高空抛物‌。应在拆卸现场周围设置安全警示标志和围挡，禁止无关人员靠近‌1。</w:t>
      </w:r>
    </w:p>
    <w:p w14:paraId="44791766">
      <w:pPr>
        <w:numPr>
          <w:ilvl w:val="0"/>
          <w:numId w:val="20"/>
        </w:numPr>
        <w:ind w:left="0" w:leftChars="0" w:firstLine="480" w:firstLineChars="200"/>
        <w:rPr>
          <w:highlight w:val="none"/>
        </w:rPr>
      </w:pPr>
      <w:r>
        <w:rPr>
          <w:rFonts w:hint="default"/>
          <w:highlight w:val="none"/>
        </w:rPr>
        <w:t>遇有恶劣天气如雷雨、雪天或四级及以上大风等，不能进行拆卸工作</w:t>
      </w:r>
      <w:r>
        <w:rPr>
          <w:rFonts w:hint="default" w:ascii="Arial" w:hAnsi="Arial" w:eastAsia="Arial" w:cs="Arial"/>
          <w:i w:val="0"/>
          <w:iCs w:val="0"/>
          <w:caps w:val="0"/>
          <w:color w:val="333333"/>
          <w:spacing w:val="0"/>
          <w:sz w:val="24"/>
          <w:szCs w:val="24"/>
          <w:shd w:val="clear" w:fill="FFFFFF"/>
        </w:rPr>
        <w:t>‌</w:t>
      </w:r>
    </w:p>
    <w:p w14:paraId="3DC8C747">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70" w:name="_Toc17477"/>
      <w:r>
        <w:rPr>
          <w:rFonts w:hint="eastAsia"/>
          <w:b/>
          <w:bCs/>
          <w:sz w:val="24"/>
          <w:szCs w:val="24"/>
        </w:rPr>
        <w:t>外笼（围栏门支撑和电源柜等）及缓冲弹簧</w:t>
      </w:r>
      <w:r>
        <w:rPr>
          <w:rFonts w:hint="eastAsia"/>
          <w:b/>
          <w:bCs/>
          <w:sz w:val="24"/>
          <w:szCs w:val="24"/>
          <w:lang w:val="en-US" w:eastAsia="zh-CN"/>
        </w:rPr>
        <w:t>拆除</w:t>
      </w:r>
      <w:r>
        <w:rPr>
          <w:rFonts w:hint="eastAsia"/>
          <w:b/>
          <w:bCs/>
          <w:sz w:val="24"/>
          <w:szCs w:val="24"/>
        </w:rPr>
        <w:t>安全措施</w:t>
      </w:r>
      <w:bookmarkEnd w:id="167"/>
      <w:bookmarkEnd w:id="168"/>
      <w:bookmarkEnd w:id="170"/>
    </w:p>
    <w:p w14:paraId="2D073290">
      <w:pPr>
        <w:ind w:firstLine="480"/>
        <w:rPr>
          <w:rFonts w:hint="eastAsia" w:ascii="宋体" w:hAnsi="宋体" w:eastAsia="宋体" w:cs="宋体"/>
        </w:rPr>
      </w:pPr>
      <w:r>
        <w:rPr>
          <w:rFonts w:hint="eastAsia" w:ascii="宋体" w:hAnsi="宋体" w:eastAsia="宋体" w:cs="宋体"/>
        </w:rPr>
        <w:t>（1）吊装四周围栏时，要按照顺序逐块吊装，每吊装一块要及时做好支撑，防止四周围栏在未连成整体</w:t>
      </w:r>
      <w:r>
        <w:rPr>
          <w:rFonts w:hint="eastAsia" w:ascii="宋体" w:hAnsi="宋体" w:cs="宋体"/>
          <w:lang w:val="en-US" w:eastAsia="zh-CN"/>
        </w:rPr>
        <w:t>时</w:t>
      </w:r>
      <w:r>
        <w:rPr>
          <w:rFonts w:hint="eastAsia" w:ascii="宋体" w:hAnsi="宋体" w:eastAsia="宋体" w:cs="宋体"/>
        </w:rPr>
        <w:t>发生倾覆。</w:t>
      </w:r>
    </w:p>
    <w:p w14:paraId="778495F0">
      <w:pPr>
        <w:ind w:firstLine="480"/>
        <w:rPr>
          <w:rFonts w:hint="eastAsia" w:ascii="宋体" w:hAnsi="宋体" w:eastAsia="宋体" w:cs="宋体"/>
        </w:rPr>
      </w:pPr>
      <w:r>
        <w:rPr>
          <w:rFonts w:hint="eastAsia" w:ascii="宋体" w:hAnsi="宋体" w:eastAsia="宋体" w:cs="宋体"/>
        </w:rPr>
        <w:t>（2）吊装围栏时，围栏顶部两端焊接的吊耳要确保焊接可靠，卸扣与之连接后，要进行检查，连接稳固后方可进行吊装。</w:t>
      </w:r>
    </w:p>
    <w:bookmarkEnd w:id="169"/>
    <w:p w14:paraId="1E3DEA13">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71" w:name="_Toc108095485"/>
      <w:bookmarkStart w:id="172" w:name="_Toc79095148"/>
      <w:bookmarkStart w:id="173" w:name="_Toc26285"/>
      <w:bookmarkStart w:id="174" w:name="_Hlk79072546"/>
      <w:r>
        <w:rPr>
          <w:rFonts w:hint="eastAsia"/>
          <w:b/>
          <w:bCs/>
          <w:sz w:val="24"/>
          <w:szCs w:val="24"/>
        </w:rPr>
        <w:t>吊笼及其顶部围栏和传动机构</w:t>
      </w:r>
      <w:r>
        <w:rPr>
          <w:rFonts w:hint="eastAsia"/>
          <w:b/>
          <w:bCs/>
          <w:sz w:val="24"/>
          <w:szCs w:val="24"/>
          <w:lang w:val="en-US" w:eastAsia="zh-CN"/>
        </w:rPr>
        <w:t>拆除</w:t>
      </w:r>
      <w:r>
        <w:rPr>
          <w:rFonts w:hint="eastAsia"/>
          <w:b/>
          <w:bCs/>
          <w:sz w:val="24"/>
          <w:szCs w:val="24"/>
        </w:rPr>
        <w:t>安全措施</w:t>
      </w:r>
      <w:bookmarkEnd w:id="171"/>
      <w:bookmarkEnd w:id="172"/>
      <w:bookmarkEnd w:id="173"/>
    </w:p>
    <w:p w14:paraId="23AF09C4">
      <w:pPr>
        <w:ind w:firstLine="480"/>
        <w:rPr>
          <w:rFonts w:hint="eastAsia" w:ascii="宋体" w:hAnsi="宋体" w:eastAsia="宋体" w:cs="宋体"/>
        </w:rPr>
      </w:pPr>
      <w:r>
        <w:rPr>
          <w:rFonts w:hint="eastAsia" w:ascii="宋体" w:hAnsi="宋体" w:eastAsia="宋体" w:cs="宋体"/>
        </w:rPr>
        <w:t>（1）吊笼吊装下放或拆除时，</w:t>
      </w:r>
      <w:r>
        <w:rPr>
          <w:rFonts w:hint="eastAsia" w:ascii="宋体" w:hAnsi="宋体" w:cs="宋体"/>
          <w:lang w:eastAsia="zh-CN"/>
        </w:rPr>
        <w:t>汽车吊</w:t>
      </w:r>
      <w:r>
        <w:rPr>
          <w:rFonts w:hint="eastAsia" w:ascii="宋体" w:hAnsi="宋体" w:eastAsia="宋体" w:cs="宋体"/>
        </w:rPr>
        <w:t>操作人员要听从指令缓慢操作，防止突然下放或上提撞击</w:t>
      </w:r>
      <w:r>
        <w:rPr>
          <w:rFonts w:hint="eastAsia" w:ascii="宋体" w:hAnsi="宋体" w:eastAsia="宋体" w:cs="宋体"/>
          <w:lang w:val="en-US" w:eastAsia="zh-CN"/>
        </w:rPr>
        <w:t>拆除</w:t>
      </w:r>
      <w:r>
        <w:rPr>
          <w:rFonts w:hint="eastAsia" w:ascii="宋体" w:hAnsi="宋体" w:eastAsia="宋体" w:cs="宋体"/>
        </w:rPr>
        <w:t>作业人员。</w:t>
      </w:r>
    </w:p>
    <w:p w14:paraId="48B9F787">
      <w:pPr>
        <w:ind w:firstLine="480"/>
        <w:rPr>
          <w:rFonts w:hint="eastAsia" w:ascii="宋体" w:hAnsi="宋体" w:eastAsia="宋体" w:cs="宋体"/>
        </w:rPr>
      </w:pPr>
      <w:r>
        <w:rPr>
          <w:rFonts w:hint="eastAsia" w:ascii="宋体" w:hAnsi="宋体" w:eastAsia="宋体" w:cs="宋体"/>
        </w:rPr>
        <w:t>（2）待吊笼下放就位后，</w:t>
      </w:r>
      <w:r>
        <w:rPr>
          <w:rFonts w:hint="eastAsia" w:ascii="宋体" w:hAnsi="宋体" w:eastAsia="宋体" w:cs="宋体"/>
          <w:lang w:eastAsia="zh-CN"/>
        </w:rPr>
        <w:t>拆除作业人员</w:t>
      </w:r>
      <w:r>
        <w:rPr>
          <w:rFonts w:hint="eastAsia" w:ascii="宋体" w:hAnsi="宋体" w:eastAsia="宋体" w:cs="宋体"/>
        </w:rPr>
        <w:t>方可解除钢丝绳两端的连接。</w:t>
      </w:r>
    </w:p>
    <w:p w14:paraId="5CDAA00D">
      <w:pPr>
        <w:ind w:firstLine="480"/>
        <w:rPr>
          <w:rFonts w:hint="eastAsia" w:ascii="宋体" w:hAnsi="宋体" w:eastAsia="宋体" w:cs="宋体"/>
        </w:rPr>
      </w:pPr>
      <w:r>
        <w:rPr>
          <w:rFonts w:hint="eastAsia" w:ascii="宋体" w:hAnsi="宋体" w:eastAsia="宋体" w:cs="宋体"/>
        </w:rPr>
        <w:t>（3）传动机构安拆时，必须检查各连接孔之间有无堵塞，电源系统是否断开。</w:t>
      </w:r>
    </w:p>
    <w:p w14:paraId="21340511">
      <w:pPr>
        <w:ind w:firstLine="480"/>
        <w:rPr>
          <w:rFonts w:hint="eastAsia" w:ascii="宋体" w:hAnsi="宋体" w:eastAsia="宋体" w:cs="宋体"/>
        </w:rPr>
      </w:pPr>
      <w:r>
        <w:rPr>
          <w:rFonts w:hint="eastAsia" w:ascii="宋体" w:hAnsi="宋体" w:eastAsia="宋体" w:cs="宋体"/>
        </w:rPr>
        <w:t>（4）</w:t>
      </w:r>
      <w:r>
        <w:rPr>
          <w:rFonts w:hint="eastAsia" w:ascii="宋体" w:hAnsi="宋体" w:cs="宋体"/>
          <w:lang w:val="en-US" w:eastAsia="zh-CN"/>
        </w:rPr>
        <w:t>拆除</w:t>
      </w:r>
      <w:r>
        <w:rPr>
          <w:rFonts w:hint="eastAsia" w:ascii="宋体" w:hAnsi="宋体" w:eastAsia="宋体" w:cs="宋体"/>
        </w:rPr>
        <w:t>作业时，施工人员要将安全带系挂在导轨架上的安全可靠处。</w:t>
      </w:r>
    </w:p>
    <w:bookmarkEnd w:id="174"/>
    <w:p w14:paraId="125DFF29">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75" w:name="_Toc108095487"/>
      <w:bookmarkStart w:id="176" w:name="_Toc79095150"/>
      <w:bookmarkStart w:id="177" w:name="_Toc7741"/>
      <w:bookmarkStart w:id="178" w:name="_Hlk79072571"/>
      <w:r>
        <w:rPr>
          <w:rFonts w:hint="eastAsia"/>
          <w:b/>
          <w:bCs/>
          <w:sz w:val="24"/>
          <w:szCs w:val="24"/>
        </w:rPr>
        <w:t>安全电控系统安拆安全措施</w:t>
      </w:r>
      <w:bookmarkEnd w:id="175"/>
      <w:bookmarkEnd w:id="176"/>
      <w:bookmarkEnd w:id="177"/>
    </w:p>
    <w:p w14:paraId="1EADF81F">
      <w:pPr>
        <w:ind w:firstLine="480"/>
        <w:rPr>
          <w:rFonts w:hint="eastAsia" w:ascii="宋体" w:hAnsi="宋体" w:eastAsia="宋体" w:cs="宋体"/>
        </w:rPr>
      </w:pPr>
      <w:r>
        <w:rPr>
          <w:rFonts w:hint="eastAsia" w:ascii="宋体" w:hAnsi="宋体" w:eastAsia="宋体" w:cs="宋体"/>
        </w:rPr>
        <w:t>（1）检查各类安全控制开关的质量是否合格。</w:t>
      </w:r>
    </w:p>
    <w:p w14:paraId="28145BC6">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2</w:t>
      </w:r>
      <w:r>
        <w:rPr>
          <w:rFonts w:hint="eastAsia" w:ascii="宋体" w:hAnsi="宋体" w:eastAsia="宋体" w:cs="宋体"/>
        </w:rPr>
        <w:t>）派专人检查施工升降机是否安装超载保护装置，且检查施工升降机防坠安全器是否在有效标定期内。</w:t>
      </w:r>
    </w:p>
    <w:p w14:paraId="26773D47">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）各类安全控制开关或系统在拆除时，要必须确保其处于断电状态，方可进行相关操作。</w:t>
      </w:r>
    </w:p>
    <w:bookmarkEnd w:id="178"/>
    <w:p w14:paraId="131B3601">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79" w:name="_Toc3754"/>
      <w:bookmarkStart w:id="180" w:name="_Toc108095488"/>
      <w:bookmarkStart w:id="181" w:name="_Toc79095151"/>
      <w:bookmarkStart w:id="182" w:name="_Hlk79072578"/>
      <w:r>
        <w:rPr>
          <w:rFonts w:hint="eastAsia"/>
          <w:b/>
          <w:bCs/>
          <w:sz w:val="24"/>
          <w:szCs w:val="24"/>
        </w:rPr>
        <w:t>导轨架</w:t>
      </w:r>
      <w:r>
        <w:rPr>
          <w:rFonts w:hint="eastAsia"/>
          <w:b/>
          <w:bCs/>
          <w:sz w:val="24"/>
          <w:szCs w:val="24"/>
          <w:lang w:val="en-US" w:eastAsia="zh-CN"/>
        </w:rPr>
        <w:t>拆除</w:t>
      </w:r>
      <w:r>
        <w:rPr>
          <w:rFonts w:hint="eastAsia"/>
          <w:b/>
          <w:bCs/>
          <w:sz w:val="24"/>
          <w:szCs w:val="24"/>
        </w:rPr>
        <w:t>安全措施</w:t>
      </w:r>
      <w:bookmarkEnd w:id="179"/>
      <w:bookmarkEnd w:id="180"/>
      <w:bookmarkEnd w:id="181"/>
    </w:p>
    <w:p w14:paraId="2138378E">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1</w:t>
      </w:r>
      <w:r>
        <w:rPr>
          <w:rFonts w:hint="eastAsia" w:ascii="宋体" w:hAnsi="宋体" w:eastAsia="宋体" w:cs="宋体"/>
        </w:rPr>
        <w:t>）导轨架拆除施工时，要确保最大自由高度不超过7.5m。</w:t>
      </w:r>
    </w:p>
    <w:p w14:paraId="0245EEB4">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2</w:t>
      </w:r>
      <w:r>
        <w:rPr>
          <w:rFonts w:hint="eastAsia" w:ascii="宋体" w:hAnsi="宋体" w:eastAsia="宋体" w:cs="宋体"/>
        </w:rPr>
        <w:t>）导轨架</w:t>
      </w:r>
      <w:r>
        <w:rPr>
          <w:rFonts w:hint="eastAsia" w:ascii="宋体" w:hAnsi="宋体" w:eastAsia="宋体" w:cs="宋体"/>
          <w:lang w:val="en-US" w:eastAsia="zh-CN"/>
        </w:rPr>
        <w:t>拆除</w:t>
      </w:r>
      <w:r>
        <w:rPr>
          <w:rFonts w:hint="eastAsia" w:ascii="宋体" w:hAnsi="宋体" w:eastAsia="宋体" w:cs="宋体"/>
        </w:rPr>
        <w:t>时，要派专人对其倾斜度偏差进行校核。</w:t>
      </w:r>
    </w:p>
    <w:bookmarkEnd w:id="182"/>
    <w:p w14:paraId="5B87E2F6">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83" w:name="_Toc108095489"/>
      <w:bookmarkStart w:id="184" w:name="_Toc23992"/>
      <w:bookmarkStart w:id="185" w:name="_Toc79095152"/>
      <w:r>
        <w:rPr>
          <w:rFonts w:hint="eastAsia"/>
          <w:b/>
          <w:bCs/>
          <w:sz w:val="24"/>
          <w:szCs w:val="24"/>
        </w:rPr>
        <w:t>附墙拆除安全措施</w:t>
      </w:r>
      <w:bookmarkEnd w:id="183"/>
      <w:bookmarkEnd w:id="184"/>
      <w:bookmarkEnd w:id="185"/>
    </w:p>
    <w:p w14:paraId="34F3F290">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1</w:t>
      </w:r>
      <w:r>
        <w:rPr>
          <w:rFonts w:hint="eastAsia" w:ascii="宋体" w:hAnsi="宋体" w:eastAsia="宋体" w:cs="宋体"/>
        </w:rPr>
        <w:t>）附墙拆除前，必须在塔柱外侧设置施工操作平台，施工操作平台应进行专项设计，使其的强度、刚度、稳定性满足要求，且需验收合格后方可投入使用。</w:t>
      </w:r>
    </w:p>
    <w:p w14:paraId="0ECE6F21">
      <w:pPr>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2</w:t>
      </w:r>
      <w:r>
        <w:rPr>
          <w:rFonts w:hint="eastAsia" w:ascii="宋体" w:hAnsi="宋体" w:eastAsia="宋体" w:cs="宋体"/>
        </w:rPr>
        <w:t>）附墙</w:t>
      </w:r>
      <w:r>
        <w:rPr>
          <w:rFonts w:hint="eastAsia" w:ascii="宋体" w:hAnsi="宋体" w:eastAsia="宋体" w:cs="宋体"/>
          <w:lang w:val="en-US" w:eastAsia="zh-CN"/>
        </w:rPr>
        <w:t>拆除</w:t>
      </w:r>
      <w:r>
        <w:rPr>
          <w:rFonts w:hint="eastAsia" w:ascii="宋体" w:hAnsi="宋体" w:eastAsia="宋体" w:cs="宋体"/>
        </w:rPr>
        <w:t>施工作业时，作业人员需站在塔柱外侧的施工操作平台上进行作业，同时需佩戴好安全带并将安全带挂在操作平台上安全稳固处。</w:t>
      </w:r>
    </w:p>
    <w:p w14:paraId="14F71432">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lang w:val="zh-CN"/>
        </w:rPr>
      </w:pPr>
      <w:bookmarkStart w:id="186" w:name="_Toc7802"/>
      <w:bookmarkStart w:id="187" w:name="_Toc108095490"/>
      <w:r>
        <w:rPr>
          <w:b/>
          <w:bCs/>
          <w:sz w:val="24"/>
          <w:szCs w:val="24"/>
          <w:lang w:val="zh-CN"/>
        </w:rPr>
        <w:t>高处作业安全</w:t>
      </w:r>
      <w:r>
        <w:rPr>
          <w:rFonts w:hint="eastAsia"/>
          <w:b/>
          <w:bCs/>
          <w:sz w:val="24"/>
          <w:szCs w:val="24"/>
        </w:rPr>
        <w:t>技术</w:t>
      </w:r>
      <w:r>
        <w:rPr>
          <w:b/>
          <w:bCs/>
          <w:sz w:val="24"/>
          <w:szCs w:val="24"/>
          <w:lang w:val="zh-CN"/>
        </w:rPr>
        <w:t>措施</w:t>
      </w:r>
      <w:bookmarkEnd w:id="164"/>
      <w:bookmarkEnd w:id="165"/>
      <w:bookmarkEnd w:id="166"/>
      <w:bookmarkEnd w:id="186"/>
      <w:bookmarkEnd w:id="187"/>
    </w:p>
    <w:p w14:paraId="3118071D">
      <w:pPr>
        <w:pStyle w:val="99"/>
        <w:numPr>
          <w:ilvl w:val="0"/>
          <w:numId w:val="21"/>
        </w:numPr>
        <w:ind w:firstLine="480" w:firstLineChars="200"/>
      </w:pPr>
      <w:r>
        <w:rPr>
          <w:rFonts w:hint="eastAsia"/>
        </w:rPr>
        <w:t>高空作业人员必须正确佩带安全帽，必须系好安全带，并挂在牢固处（高挂低用）。</w:t>
      </w:r>
    </w:p>
    <w:p w14:paraId="72A4D2DC">
      <w:pPr>
        <w:pStyle w:val="100"/>
        <w:numPr>
          <w:ilvl w:val="0"/>
          <w:numId w:val="22"/>
        </w:numPr>
        <w:ind w:firstLine="480"/>
      </w:pPr>
      <w:r>
        <w:rPr>
          <w:rFonts w:hint="eastAsia"/>
        </w:rPr>
        <w:t>高处作业使用的吊架、平台、脚手板、梯子、护栏、索具（钢丝绳、麻绳、化学纤维绳）等料具和安全带、安全网等安全防护用品的质量都必须符合国家规范的要求。</w:t>
      </w:r>
    </w:p>
    <w:p w14:paraId="3483CAA6">
      <w:pPr>
        <w:pStyle w:val="100"/>
        <w:numPr>
          <w:ilvl w:val="0"/>
          <w:numId w:val="22"/>
        </w:numPr>
        <w:ind w:firstLine="480"/>
      </w:pPr>
      <w:r>
        <w:rPr>
          <w:rFonts w:hint="eastAsia"/>
        </w:rPr>
        <w:t>高处施工作业前，应进行针对性的书面安全交底，要被交底人的签字，同时必须落实所有的安全技术措施和个人防护用品，未经落实时不得进行施工作业。</w:t>
      </w:r>
    </w:p>
    <w:p w14:paraId="3F843FE5">
      <w:pPr>
        <w:pStyle w:val="100"/>
        <w:numPr>
          <w:ilvl w:val="0"/>
          <w:numId w:val="22"/>
        </w:numPr>
        <w:ind w:firstLine="480"/>
      </w:pPr>
      <w:r>
        <w:rPr>
          <w:rFonts w:hint="eastAsia"/>
        </w:rPr>
        <w:t>从事高处作业的人员，必须定期体检。凡患有高血压、心脏病、贫血、癫痫症、严重近视及患有其他不适应高处作业病症的人员，均不得登高作业。</w:t>
      </w:r>
    </w:p>
    <w:p w14:paraId="1FCFC87C">
      <w:pPr>
        <w:pStyle w:val="100"/>
        <w:numPr>
          <w:ilvl w:val="0"/>
          <w:numId w:val="22"/>
        </w:numPr>
        <w:ind w:firstLine="480"/>
      </w:pPr>
      <w:r>
        <w:rPr>
          <w:rFonts w:hint="eastAsia"/>
        </w:rPr>
        <w:t>攀登和悬空高处作业人员以及搭设高处作业安全设施的人员，必须经过专业技术培训及专业考试合格，持证上岗。</w:t>
      </w:r>
    </w:p>
    <w:p w14:paraId="3FFAAFCC">
      <w:pPr>
        <w:pStyle w:val="100"/>
        <w:numPr>
          <w:ilvl w:val="0"/>
          <w:numId w:val="22"/>
        </w:numPr>
        <w:ind w:firstLine="480"/>
      </w:pPr>
      <w:r>
        <w:rPr>
          <w:rFonts w:hint="eastAsia"/>
        </w:rPr>
        <w:t>施工中，对高处作业的安全技术设施，使用中发生损坏，必须及时解决，危及人身安全的，必须立即停止作业，排除险情或隐患后，方准作业。</w:t>
      </w:r>
    </w:p>
    <w:p w14:paraId="2B85B372">
      <w:pPr>
        <w:pStyle w:val="100"/>
        <w:numPr>
          <w:ilvl w:val="0"/>
          <w:numId w:val="22"/>
        </w:numPr>
        <w:ind w:firstLine="480"/>
      </w:pPr>
      <w:r>
        <w:rPr>
          <w:rFonts w:hint="eastAsia"/>
        </w:rPr>
        <w:t>施工作业场所有坠落可能的物体，应一律先行撤除或加以固定。高处作业中所用的物料，均应堆放平稳，不妨碍通行，并不得超重，在临时搭建的拆除平台上载荷不得大于270kg/m³。工具用毕应随手放入工具袋内；作业中的走道，通道板和登高用具，应随时清扫干净；</w:t>
      </w:r>
      <w:r>
        <w:rPr>
          <w:rFonts w:hint="eastAsia"/>
          <w:lang w:eastAsia="zh-CN"/>
        </w:rPr>
        <w:t>拆除</w:t>
      </w:r>
      <w:r>
        <w:rPr>
          <w:rFonts w:hint="eastAsia"/>
        </w:rPr>
        <w:t>下的物件及余料和废料均应及时清理运走，不能任意乱扔或向下丢弃，传递物件禁止抛掷，小型工具、配件用工具包盛装或使用吊篮吊装。</w:t>
      </w:r>
    </w:p>
    <w:p w14:paraId="4A68CFD6">
      <w:pPr>
        <w:pStyle w:val="100"/>
        <w:numPr>
          <w:ilvl w:val="0"/>
          <w:numId w:val="22"/>
        </w:numPr>
        <w:ind w:firstLine="480"/>
      </w:pPr>
      <w:r>
        <w:rPr>
          <w:rFonts w:hint="eastAsia"/>
        </w:rPr>
        <w:t>高处作业无法搭设严密的防护设施的，必须使用安全带。安全带必须系挂在施工作业上方牢固的物体上，并高挂低用，禁止低挂高用。</w:t>
      </w:r>
    </w:p>
    <w:p w14:paraId="1C8463F0">
      <w:pPr>
        <w:pStyle w:val="100"/>
        <w:numPr>
          <w:ilvl w:val="0"/>
          <w:numId w:val="22"/>
        </w:numPr>
        <w:ind w:firstLine="480"/>
      </w:pPr>
      <w:r>
        <w:rPr>
          <w:rFonts w:hint="eastAsia"/>
        </w:rPr>
        <w:t>高处作业人员不准骑坐临时搭建的拆除平台上的护栏、未拆除牢固的管道、设备上和躺在平台、孔洞边缘上休息。在没有安全防护设施的条件下，严禁在木桁架、挑梁，砌体及构架上行走或作业。</w:t>
      </w:r>
    </w:p>
    <w:p w14:paraId="5B5695A2">
      <w:pPr>
        <w:pStyle w:val="100"/>
        <w:numPr>
          <w:ilvl w:val="0"/>
          <w:numId w:val="22"/>
        </w:numPr>
        <w:ind w:firstLine="48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rFonts w:hint="eastAsia"/>
          <w:lang w:val="en-US" w:eastAsia="zh-CN"/>
        </w:rPr>
        <w:t>4</w:t>
      </w:r>
      <w:r>
        <w:rPr>
          <w:rFonts w:hint="eastAsia"/>
        </w:rPr>
        <w:t>级大风立即停止露天高处作业。</w:t>
      </w:r>
    </w:p>
    <w:p w14:paraId="05452654">
      <w:pPr>
        <w:pStyle w:val="100"/>
        <w:numPr>
          <w:ilvl w:val="0"/>
          <w:numId w:val="22"/>
        </w:numPr>
        <w:ind w:firstLine="480"/>
      </w:pPr>
      <w:r>
        <w:rPr>
          <w:rFonts w:hint="eastAsia"/>
        </w:rPr>
        <w:t>因作业需要，临时拆除或变动安全防护设施的，必须经施工负责人同意，并采取相应的可靠措施，作业后立即恢复。</w:t>
      </w:r>
    </w:p>
    <w:p w14:paraId="38F6E44D">
      <w:pPr>
        <w:pStyle w:val="100"/>
        <w:numPr>
          <w:ilvl w:val="0"/>
          <w:numId w:val="22"/>
        </w:numPr>
        <w:ind w:firstLine="480"/>
      </w:pPr>
      <w:r>
        <w:rPr>
          <w:rFonts w:hint="eastAsia"/>
        </w:rPr>
        <w:t>高处作业人员应沿着斜道、梯子上下，严禁沿着绳索、立杆、井架或栏杆等攀登。</w:t>
      </w:r>
    </w:p>
    <w:p w14:paraId="00087D3C">
      <w:pPr>
        <w:pStyle w:val="100"/>
        <w:numPr>
          <w:ilvl w:val="0"/>
          <w:numId w:val="22"/>
        </w:numPr>
        <w:ind w:firstLine="480"/>
      </w:pPr>
      <w:r>
        <w:rPr>
          <w:rFonts w:hint="eastAsia"/>
        </w:rPr>
        <w:t>人字梯的使用：</w:t>
      </w:r>
    </w:p>
    <w:p w14:paraId="55DB2AD4">
      <w:pPr>
        <w:ind w:firstLine="480"/>
        <w:rPr>
          <w:rFonts w:hint="eastAsia" w:ascii="宋体" w:hAnsi="宋体" w:eastAsia="宋体" w:cs="宋体"/>
        </w:rPr>
      </w:pPr>
      <w:r>
        <w:rPr>
          <w:rFonts w:hint="eastAsia" w:ascii="宋体" w:hAnsi="宋体" w:eastAsia="宋体" w:cs="宋体"/>
        </w:rPr>
        <w:t>1、使用前检查该梯子是否安全，即检查梯子的铆钉是否松动，焊接是否开裂；</w:t>
      </w:r>
    </w:p>
    <w:p w14:paraId="6626B045">
      <w:pPr>
        <w:ind w:firstLine="480"/>
        <w:rPr>
          <w:rFonts w:hint="eastAsia" w:ascii="宋体" w:hAnsi="宋体" w:eastAsia="宋体" w:cs="宋体"/>
        </w:rPr>
      </w:pPr>
      <w:r>
        <w:rPr>
          <w:rFonts w:hint="eastAsia" w:ascii="宋体" w:hAnsi="宋体" w:eastAsia="宋体" w:cs="宋体"/>
        </w:rPr>
        <w:t>2、用结实的绳索将两边拉住、拴紧、绷直；</w:t>
      </w:r>
    </w:p>
    <w:p w14:paraId="42D83154">
      <w:pPr>
        <w:ind w:firstLine="480"/>
        <w:rPr>
          <w:rFonts w:hint="eastAsia" w:ascii="宋体" w:hAnsi="宋体" w:eastAsia="宋体" w:cs="宋体"/>
        </w:rPr>
      </w:pPr>
      <w:r>
        <w:rPr>
          <w:rFonts w:hint="eastAsia" w:ascii="宋体" w:hAnsi="宋体" w:eastAsia="宋体" w:cs="宋体"/>
        </w:rPr>
        <w:t>3、梯子须安放稳固，使用材料需经人传递或用小桶吊放，严禁上下抛物；</w:t>
      </w:r>
    </w:p>
    <w:p w14:paraId="05BB41C7">
      <w:pPr>
        <w:ind w:firstLine="480"/>
        <w:rPr>
          <w:rFonts w:hint="eastAsia" w:ascii="宋体" w:hAnsi="宋体" w:eastAsia="宋体" w:cs="宋体"/>
        </w:rPr>
      </w:pPr>
      <w:r>
        <w:rPr>
          <w:rFonts w:hint="eastAsia" w:ascii="宋体" w:hAnsi="宋体" w:eastAsia="宋体" w:cs="宋体"/>
        </w:rPr>
        <w:t>4、使用梯子时至少两人一组，有专人扶梯；</w:t>
      </w:r>
    </w:p>
    <w:p w14:paraId="6C42FEB4">
      <w:pPr>
        <w:ind w:firstLine="480"/>
        <w:rPr>
          <w:rFonts w:hint="eastAsia" w:ascii="宋体" w:hAnsi="宋体" w:eastAsia="宋体" w:cs="宋体"/>
        </w:rPr>
      </w:pPr>
      <w:r>
        <w:rPr>
          <w:rFonts w:hint="eastAsia" w:ascii="宋体" w:hAnsi="宋体" w:eastAsia="宋体" w:cs="宋体"/>
        </w:rPr>
        <w:t>5、严禁使用梯子最上面两格；</w:t>
      </w:r>
    </w:p>
    <w:p w14:paraId="73252153">
      <w:pPr>
        <w:ind w:firstLine="480"/>
        <w:rPr>
          <w:rFonts w:hint="eastAsia" w:ascii="宋体" w:hAnsi="宋体" w:eastAsia="宋体" w:cs="宋体"/>
        </w:rPr>
      </w:pPr>
      <w:r>
        <w:rPr>
          <w:rFonts w:hint="eastAsia" w:ascii="宋体" w:hAnsi="宋体" w:eastAsia="宋体" w:cs="宋体"/>
        </w:rPr>
        <w:t>6、严禁背对梯子作业；</w:t>
      </w:r>
    </w:p>
    <w:p w14:paraId="0DB2A278">
      <w:pPr>
        <w:ind w:firstLine="480"/>
        <w:rPr>
          <w:rFonts w:hint="eastAsia" w:ascii="宋体" w:hAnsi="宋体" w:eastAsia="宋体" w:cs="宋体"/>
        </w:rPr>
      </w:pPr>
      <w:r>
        <w:rPr>
          <w:rFonts w:hint="eastAsia" w:ascii="宋体" w:hAnsi="宋体" w:eastAsia="宋体" w:cs="宋体"/>
        </w:rPr>
        <w:t>7、超过2米以上的作业，且安全带无挂点时，除扶梯人外，须再设置一名监护人；</w:t>
      </w:r>
    </w:p>
    <w:p w14:paraId="63D6A73D">
      <w:pPr>
        <w:ind w:firstLine="480"/>
        <w:rPr>
          <w:rFonts w:hint="eastAsia" w:ascii="宋体" w:hAnsi="宋体" w:eastAsia="宋体" w:cs="宋体"/>
        </w:rPr>
      </w:pPr>
      <w:r>
        <w:rPr>
          <w:rFonts w:hint="eastAsia" w:ascii="宋体" w:hAnsi="宋体" w:eastAsia="宋体" w:cs="宋体"/>
        </w:rPr>
        <w:t>8、严禁交叉作业；</w:t>
      </w:r>
    </w:p>
    <w:p w14:paraId="1C4E2F36">
      <w:pPr>
        <w:ind w:firstLine="480"/>
        <w:rPr>
          <w:rFonts w:hint="eastAsia" w:ascii="宋体" w:hAnsi="宋体" w:eastAsia="宋体" w:cs="宋体"/>
        </w:rPr>
      </w:pPr>
      <w:r>
        <w:rPr>
          <w:rFonts w:hint="eastAsia" w:ascii="宋体" w:hAnsi="宋体" w:eastAsia="宋体" w:cs="宋体"/>
        </w:rPr>
        <w:t>9、作业区域应用警示带围好、设置监护人，严禁非作业人员入内。</w:t>
      </w:r>
    </w:p>
    <w:p w14:paraId="2C0ABE22">
      <w:pPr>
        <w:pStyle w:val="100"/>
        <w:numPr>
          <w:ilvl w:val="0"/>
          <w:numId w:val="22"/>
        </w:numPr>
        <w:ind w:firstLine="480"/>
      </w:pPr>
      <w:r>
        <w:rPr>
          <w:rFonts w:hint="eastAsia"/>
        </w:rPr>
        <w:t>高温季节必须按照防暑降温的要求合理安排工作时间，配备充足的饮用水，采取必要的防暑降温措施。</w:t>
      </w:r>
    </w:p>
    <w:p w14:paraId="5B57E5BD">
      <w:pPr>
        <w:pStyle w:val="100"/>
        <w:numPr>
          <w:ilvl w:val="0"/>
          <w:numId w:val="22"/>
        </w:numPr>
        <w:ind w:firstLine="480"/>
      </w:pPr>
      <w:r>
        <w:rPr>
          <w:rFonts w:hint="eastAsia"/>
        </w:rPr>
        <w:t>临近傍晚及气候突变等照明不良的情况下，必须确保人员和各类构件的安全。</w:t>
      </w:r>
    </w:p>
    <w:p w14:paraId="2838C7F4">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88" w:name="_Toc25428"/>
      <w:bookmarkStart w:id="189" w:name="_Toc25995"/>
      <w:bookmarkStart w:id="190" w:name="_Toc26018"/>
      <w:bookmarkStart w:id="191" w:name="_Toc108095491"/>
      <w:bookmarkStart w:id="192" w:name="_Toc26788"/>
      <w:r>
        <w:rPr>
          <w:b/>
          <w:bCs/>
          <w:sz w:val="24"/>
          <w:szCs w:val="24"/>
        </w:rPr>
        <w:t>起重作业安全</w:t>
      </w:r>
      <w:r>
        <w:rPr>
          <w:rFonts w:hint="eastAsia"/>
          <w:b/>
          <w:bCs/>
          <w:sz w:val="24"/>
          <w:szCs w:val="24"/>
        </w:rPr>
        <w:t>技术</w:t>
      </w:r>
      <w:r>
        <w:rPr>
          <w:b/>
          <w:bCs/>
          <w:sz w:val="24"/>
          <w:szCs w:val="24"/>
        </w:rPr>
        <w:t>措施</w:t>
      </w:r>
      <w:bookmarkEnd w:id="188"/>
      <w:bookmarkEnd w:id="189"/>
      <w:bookmarkEnd w:id="190"/>
      <w:bookmarkEnd w:id="191"/>
      <w:bookmarkEnd w:id="192"/>
    </w:p>
    <w:p w14:paraId="2BE8785E">
      <w:pPr>
        <w:pStyle w:val="99"/>
        <w:numPr>
          <w:ilvl w:val="0"/>
          <w:numId w:val="23"/>
        </w:numPr>
        <w:ind w:firstLine="480" w:firstLineChars="200"/>
      </w:pPr>
      <w:bookmarkStart w:id="193" w:name="_Toc31508"/>
      <w:bookmarkStart w:id="194" w:name="_Toc14226"/>
      <w:bookmarkStart w:id="195" w:name="_Toc32142"/>
      <w:bookmarkStart w:id="196" w:name="_Toc17530"/>
      <w:r>
        <w:rPr>
          <w:rFonts w:hint="eastAsia"/>
        </w:rPr>
        <w:t>作业人员的安全规章制度的学习，提高安全防范意识。</w:t>
      </w:r>
    </w:p>
    <w:p w14:paraId="4D7EA52D">
      <w:pPr>
        <w:pStyle w:val="100"/>
        <w:numPr>
          <w:ilvl w:val="0"/>
          <w:numId w:val="23"/>
        </w:numPr>
        <w:ind w:firstLine="480"/>
      </w:pPr>
      <w:r>
        <w:rPr>
          <w:rFonts w:hint="eastAsia"/>
        </w:rPr>
        <w:t>严禁酒后作业，严格遵守项目部相关规定安全施工。</w:t>
      </w:r>
    </w:p>
    <w:p w14:paraId="4B11BA08">
      <w:pPr>
        <w:pStyle w:val="100"/>
        <w:numPr>
          <w:ilvl w:val="0"/>
          <w:numId w:val="23"/>
        </w:numPr>
        <w:ind w:firstLine="480"/>
      </w:pPr>
      <w:r>
        <w:rPr>
          <w:rFonts w:hint="eastAsia"/>
        </w:rPr>
        <w:t>吊装作业人员统一配戴我项目部的安全帽，进入施工现场遵守我公司的规定。</w:t>
      </w:r>
    </w:p>
    <w:p w14:paraId="38DE3F34">
      <w:pPr>
        <w:pStyle w:val="100"/>
        <w:numPr>
          <w:ilvl w:val="0"/>
          <w:numId w:val="23"/>
        </w:numPr>
        <w:ind w:firstLine="480"/>
      </w:pPr>
      <w:r>
        <w:rPr>
          <w:rFonts w:hint="eastAsia"/>
        </w:rPr>
        <w:t>作业时必须执行安全技术交底，听从统一指挥。</w:t>
      </w:r>
    </w:p>
    <w:p w14:paraId="2DF6A3E8">
      <w:pPr>
        <w:pStyle w:val="100"/>
        <w:numPr>
          <w:ilvl w:val="0"/>
          <w:numId w:val="23"/>
        </w:numPr>
        <w:ind w:firstLine="480"/>
      </w:pPr>
      <w:r>
        <w:rPr>
          <w:rFonts w:hint="eastAsia"/>
        </w:rPr>
        <w:t>起重工、信号工必须经专门安全技术培训，持证上岗。</w:t>
      </w:r>
    </w:p>
    <w:p w14:paraId="0112DDE1">
      <w:pPr>
        <w:pStyle w:val="100"/>
        <w:numPr>
          <w:ilvl w:val="0"/>
          <w:numId w:val="23"/>
        </w:numPr>
        <w:ind w:firstLine="480"/>
      </w:pPr>
      <w:r>
        <w:rPr>
          <w:rFonts w:hint="eastAsia"/>
        </w:rPr>
        <w:t>信号工要穿有明显标识的衣服，两眼视力不得低于1.0，无色盲、听力障碍、高血压、心脏病等生理缺陷。</w:t>
      </w:r>
    </w:p>
    <w:p w14:paraId="3DA73008">
      <w:pPr>
        <w:pStyle w:val="100"/>
        <w:numPr>
          <w:ilvl w:val="0"/>
          <w:numId w:val="23"/>
        </w:numPr>
        <w:ind w:firstLine="480"/>
      </w:pPr>
      <w:r>
        <w:rPr>
          <w:rFonts w:hint="eastAsia"/>
        </w:rPr>
        <w:t>信号工高空指挥时，需戴安全带，脚穿防滑鞋。</w:t>
      </w:r>
    </w:p>
    <w:p w14:paraId="559F6CA6">
      <w:pPr>
        <w:pStyle w:val="100"/>
        <w:numPr>
          <w:ilvl w:val="0"/>
          <w:numId w:val="23"/>
        </w:numPr>
        <w:ind w:firstLine="480"/>
      </w:pPr>
      <w:r>
        <w:rPr>
          <w:rFonts w:hint="eastAsia"/>
        </w:rPr>
        <w:t>吊车尾部为司机盲区，工作人员注意吊车尾部的旋转动态。</w:t>
      </w:r>
    </w:p>
    <w:p w14:paraId="54400572">
      <w:pPr>
        <w:pStyle w:val="100"/>
        <w:numPr>
          <w:ilvl w:val="0"/>
          <w:numId w:val="23"/>
        </w:numPr>
        <w:ind w:firstLine="480"/>
      </w:pPr>
      <w:r>
        <w:rPr>
          <w:rFonts w:hint="eastAsia"/>
        </w:rPr>
        <w:t>起重大件时，严禁任何人员乘坐大件。</w:t>
      </w:r>
    </w:p>
    <w:p w14:paraId="20ED7808">
      <w:pPr>
        <w:pStyle w:val="100"/>
        <w:numPr>
          <w:ilvl w:val="0"/>
          <w:numId w:val="23"/>
        </w:numPr>
        <w:ind w:firstLine="480"/>
      </w:pPr>
      <w:r>
        <w:rPr>
          <w:rFonts w:hint="eastAsia"/>
        </w:rPr>
        <w:t>司机作业时，严禁收听任何有声电器及电话（除指挥使用对讲机除外），严禁和其他人员交谈。</w:t>
      </w:r>
    </w:p>
    <w:p w14:paraId="2F81D6E3">
      <w:pPr>
        <w:pStyle w:val="100"/>
        <w:numPr>
          <w:ilvl w:val="0"/>
          <w:numId w:val="23"/>
        </w:numPr>
        <w:ind w:firstLine="480"/>
      </w:pPr>
      <w:r>
        <w:rPr>
          <w:rFonts w:hint="eastAsia"/>
        </w:rPr>
        <w:t>司机和信号工必须使用对讲机进行指令的接受和发出，确保对讲机的音质清晰，调频无干扰。</w:t>
      </w:r>
    </w:p>
    <w:p w14:paraId="14F2E14D">
      <w:pPr>
        <w:pStyle w:val="100"/>
        <w:numPr>
          <w:ilvl w:val="0"/>
          <w:numId w:val="23"/>
        </w:numPr>
        <w:ind w:firstLine="480"/>
      </w:pPr>
      <w:r>
        <w:rPr>
          <w:rFonts w:hint="eastAsia"/>
        </w:rPr>
        <w:t>作业前必须检查作业环境、吊索具、防护用品。吊装区域无闲散人员，障碍已排除。吊具无缺陷，捆绑正确牢固。在信号不明和作业现场光线阴暗时，严禁进行起吊作业。</w:t>
      </w:r>
    </w:p>
    <w:p w14:paraId="6010B943">
      <w:pPr>
        <w:pStyle w:val="100"/>
        <w:numPr>
          <w:ilvl w:val="0"/>
          <w:numId w:val="23"/>
        </w:numPr>
        <w:ind w:firstLine="480"/>
      </w:pPr>
      <w:r>
        <w:rPr>
          <w:rFonts w:hint="eastAsia"/>
        </w:rPr>
        <w:t>起重作业时，必须正确选择吊点的位置，合理穿挂索具，试吊。</w:t>
      </w:r>
    </w:p>
    <w:p w14:paraId="1B9F54D1">
      <w:pPr>
        <w:pStyle w:val="100"/>
        <w:numPr>
          <w:ilvl w:val="0"/>
          <w:numId w:val="23"/>
        </w:numPr>
        <w:ind w:firstLine="48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8EE858A">
      <w:pPr>
        <w:pStyle w:val="100"/>
        <w:numPr>
          <w:ilvl w:val="0"/>
          <w:numId w:val="23"/>
        </w:numPr>
        <w:ind w:firstLine="480"/>
      </w:pPr>
      <w:r>
        <w:rPr>
          <w:rFonts w:hint="eastAsia"/>
        </w:rPr>
        <w:t>大雨、风力在5级以上等恶劣天气，必须停止露天起重吊装作业。严禁在带电的高压线或一侧作业。</w:t>
      </w:r>
    </w:p>
    <w:p w14:paraId="73A3EAA8">
      <w:pPr>
        <w:pStyle w:val="100"/>
        <w:numPr>
          <w:ilvl w:val="0"/>
          <w:numId w:val="23"/>
        </w:numPr>
        <w:ind w:firstLine="48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5级以上大风和雷暴雨时不吊；在斜坡上或坑沿，堤岸不填实不吊。</w:t>
      </w:r>
    </w:p>
    <w:p w14:paraId="1F60AE31">
      <w:pPr>
        <w:pStyle w:val="100"/>
        <w:numPr>
          <w:ilvl w:val="0"/>
          <w:numId w:val="23"/>
        </w:numPr>
        <w:ind w:firstLine="480"/>
      </w:pPr>
      <w:r>
        <w:rPr>
          <w:rFonts w:hint="eastAsia"/>
        </w:rPr>
        <w:t>使用起重作业时，必须正确选择吊点的位置，合理穿挂索具，试吊。</w:t>
      </w:r>
    </w:p>
    <w:p w14:paraId="6B4C44B8">
      <w:pPr>
        <w:pStyle w:val="100"/>
        <w:numPr>
          <w:ilvl w:val="0"/>
          <w:numId w:val="23"/>
        </w:numPr>
        <w:ind w:firstLine="480"/>
      </w:pPr>
      <w:r>
        <w:rPr>
          <w:rFonts w:hint="eastAsia"/>
        </w:rPr>
        <w:t>机械设备要摆放整齐，用倒链拴牢固。放在高处的货物要有防护措施。</w:t>
      </w:r>
    </w:p>
    <w:p w14:paraId="2FE005EA">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197" w:name="_Toc31311"/>
      <w:bookmarkStart w:id="198" w:name="_Toc108095492"/>
      <w:r>
        <w:rPr>
          <w:b/>
          <w:bCs/>
          <w:sz w:val="24"/>
          <w:szCs w:val="24"/>
        </w:rPr>
        <w:t>电焊作业安全</w:t>
      </w:r>
      <w:r>
        <w:rPr>
          <w:rFonts w:hint="eastAsia"/>
          <w:b/>
          <w:bCs/>
          <w:sz w:val="24"/>
          <w:szCs w:val="24"/>
        </w:rPr>
        <w:t>技术</w:t>
      </w:r>
      <w:r>
        <w:rPr>
          <w:b/>
          <w:bCs/>
          <w:sz w:val="24"/>
          <w:szCs w:val="24"/>
        </w:rPr>
        <w:t>措施</w:t>
      </w:r>
      <w:bookmarkEnd w:id="193"/>
      <w:bookmarkEnd w:id="194"/>
      <w:bookmarkEnd w:id="195"/>
      <w:bookmarkEnd w:id="196"/>
      <w:bookmarkEnd w:id="197"/>
      <w:bookmarkEnd w:id="198"/>
    </w:p>
    <w:p w14:paraId="5B50EA12">
      <w:pPr>
        <w:pStyle w:val="50"/>
        <w:numPr>
          <w:ilvl w:val="0"/>
          <w:numId w:val="24"/>
        </w:numPr>
        <w:adjustRightInd w:val="0"/>
        <w:snapToGrid w:val="0"/>
        <w:ind w:left="0" w:firstLine="480"/>
        <w:rPr>
          <w:szCs w:val="24"/>
        </w:rPr>
      </w:pPr>
      <w:r>
        <w:rPr>
          <w:szCs w:val="24"/>
        </w:rPr>
        <w:t>电焊作业人员须持有特种作业操作证，并经培训、考试合格方可上岗，作业证过期未年审的不准进行作业。</w:t>
      </w:r>
    </w:p>
    <w:p w14:paraId="21F62DE8">
      <w:pPr>
        <w:pStyle w:val="50"/>
        <w:numPr>
          <w:ilvl w:val="0"/>
          <w:numId w:val="24"/>
        </w:numPr>
        <w:adjustRightInd w:val="0"/>
        <w:snapToGrid w:val="0"/>
        <w:ind w:left="0" w:firstLine="480"/>
        <w:rPr>
          <w:szCs w:val="24"/>
        </w:rPr>
      </w:pPr>
      <w:r>
        <w:rPr>
          <w:szCs w:val="24"/>
        </w:rPr>
        <w:t>电焊作业前必须按规定办理动火审批手续，作业时必须穿戴好劳动保护用品。</w:t>
      </w:r>
    </w:p>
    <w:p w14:paraId="66C59FFC">
      <w:pPr>
        <w:pStyle w:val="50"/>
        <w:numPr>
          <w:ilvl w:val="0"/>
          <w:numId w:val="24"/>
        </w:numPr>
        <w:adjustRightInd w:val="0"/>
        <w:snapToGrid w:val="0"/>
        <w:ind w:left="0" w:firstLine="480"/>
        <w:rPr>
          <w:szCs w:val="24"/>
        </w:rPr>
      </w:pPr>
      <w:r>
        <w:rPr>
          <w:szCs w:val="24"/>
        </w:rPr>
        <w:t>电焊机须配置防触电保护器，外壳必须有良好的接零或接地保护，按照一机一闸的原则设置开关箱。</w:t>
      </w:r>
    </w:p>
    <w:p w14:paraId="10708968">
      <w:pPr>
        <w:pStyle w:val="50"/>
        <w:numPr>
          <w:ilvl w:val="0"/>
          <w:numId w:val="24"/>
        </w:numPr>
        <w:adjustRightInd w:val="0"/>
        <w:snapToGrid w:val="0"/>
        <w:ind w:left="0" w:firstLine="480"/>
        <w:rPr>
          <w:szCs w:val="24"/>
        </w:rPr>
      </w:pPr>
      <w:r>
        <w:rPr>
          <w:szCs w:val="24"/>
        </w:rPr>
        <w:t>焊接作业场地周围应清除易燃易爆物品，或进行覆盖、隔离，并在作业</w:t>
      </w:r>
      <w:r>
        <w:rPr>
          <w:rFonts w:hint="eastAsia"/>
          <w:szCs w:val="24"/>
        </w:rPr>
        <w:t>区内</w:t>
      </w:r>
      <w:r>
        <w:rPr>
          <w:szCs w:val="24"/>
        </w:rPr>
        <w:t>配备灭火器材。</w:t>
      </w:r>
    </w:p>
    <w:p w14:paraId="76725D3C">
      <w:pPr>
        <w:pStyle w:val="50"/>
        <w:numPr>
          <w:ilvl w:val="0"/>
          <w:numId w:val="24"/>
        </w:numPr>
        <w:adjustRightInd w:val="0"/>
        <w:snapToGrid w:val="0"/>
        <w:ind w:left="0" w:firstLine="480"/>
        <w:rPr>
          <w:szCs w:val="24"/>
        </w:rPr>
      </w:pPr>
      <w:bookmarkStart w:id="199" w:name="_Hlk92803122"/>
      <w:r>
        <w:rPr>
          <w:rFonts w:hint="eastAsia"/>
          <w:szCs w:val="24"/>
        </w:rPr>
        <w:t>高处焊接，做好防风和防落到下方的措施。</w:t>
      </w:r>
      <w:bookmarkEnd w:id="199"/>
    </w:p>
    <w:p w14:paraId="1CAFCFF9">
      <w:pPr>
        <w:pStyle w:val="99"/>
        <w:numPr>
          <w:ilvl w:val="0"/>
          <w:numId w:val="24"/>
        </w:numPr>
        <w:ind w:left="0" w:firstLine="480" w:firstLineChars="200"/>
      </w:pPr>
      <w:r>
        <w:rPr>
          <w:rFonts w:hint="eastAsia"/>
        </w:rPr>
        <w:t>电源端接线必须由专业电工进行，焊机或供电线路出现故障，焊工要及时联系动力电工进行处理；</w:t>
      </w:r>
    </w:p>
    <w:p w14:paraId="5F9784A6">
      <w:pPr>
        <w:pStyle w:val="100"/>
        <w:numPr>
          <w:ilvl w:val="0"/>
          <w:numId w:val="24"/>
        </w:numPr>
        <w:ind w:left="0" w:firstLine="48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6DEFB3C8">
      <w:pPr>
        <w:pStyle w:val="100"/>
        <w:numPr>
          <w:ilvl w:val="0"/>
          <w:numId w:val="24"/>
        </w:numPr>
        <w:ind w:left="0" w:firstLine="480"/>
      </w:pPr>
      <w:r>
        <w:rPr>
          <w:rFonts w:hint="eastAsia"/>
        </w:rPr>
        <w:t>检查作场所周围是否有易燃物，如有，应清除或采取可靠的隔离、防护措施，并设专人监护；</w:t>
      </w:r>
    </w:p>
    <w:p w14:paraId="05C1D474">
      <w:pPr>
        <w:pStyle w:val="100"/>
        <w:numPr>
          <w:ilvl w:val="0"/>
          <w:numId w:val="24"/>
        </w:numPr>
        <w:ind w:left="0" w:firstLine="480"/>
      </w:pPr>
      <w:r>
        <w:rPr>
          <w:rFonts w:hint="eastAsia"/>
        </w:rPr>
        <w:t>不宜在雨、雪及大风天气进行露天焊接作业。如确实需要时，应采取遮蔽雨雪、防止触电和火花飞溅等措施；</w:t>
      </w:r>
    </w:p>
    <w:p w14:paraId="77EF11E6">
      <w:pPr>
        <w:pStyle w:val="100"/>
        <w:numPr>
          <w:ilvl w:val="0"/>
          <w:numId w:val="24"/>
        </w:numPr>
        <w:ind w:left="0" w:firstLine="480"/>
      </w:pPr>
      <w:r>
        <w:rPr>
          <w:rFonts w:hint="eastAsia"/>
        </w:rPr>
        <w:t>焊接时，焊工不要接触焊接物件或其它导电物件；</w:t>
      </w:r>
    </w:p>
    <w:p w14:paraId="29A190F2">
      <w:pPr>
        <w:pStyle w:val="100"/>
        <w:numPr>
          <w:ilvl w:val="0"/>
          <w:numId w:val="24"/>
        </w:numPr>
        <w:ind w:left="0" w:firstLine="480"/>
      </w:pPr>
      <w:r>
        <w:rPr>
          <w:rFonts w:hint="eastAsia"/>
        </w:rPr>
        <w:t>焊接完工后，焊接位置应予以隔离或设专人监护，防止烫伤其他人员及火灾事故发生；</w:t>
      </w:r>
    </w:p>
    <w:p w14:paraId="02F5F794">
      <w:pPr>
        <w:pStyle w:val="100"/>
        <w:numPr>
          <w:ilvl w:val="0"/>
          <w:numId w:val="24"/>
        </w:numPr>
        <w:ind w:left="0" w:firstLine="480"/>
      </w:pPr>
      <w:r>
        <w:rPr>
          <w:rFonts w:hint="eastAsia"/>
        </w:rPr>
        <w:t>工作结束后，检查地面，灭绝火种，切断电源，方可离开。</w:t>
      </w:r>
    </w:p>
    <w:p w14:paraId="6BC12719">
      <w:pPr>
        <w:pStyle w:val="100"/>
        <w:numPr>
          <w:ilvl w:val="0"/>
          <w:numId w:val="24"/>
        </w:numPr>
        <w:ind w:left="0" w:firstLine="480"/>
      </w:pPr>
      <w:r>
        <w:rPr>
          <w:rFonts w:hint="eastAsia"/>
        </w:rPr>
        <w:t>焊工在工作前必须检查好回火防止器及一切工具是否良好；</w:t>
      </w:r>
    </w:p>
    <w:p w14:paraId="4BCAF8F3">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200" w:name="_Toc24965"/>
      <w:bookmarkStart w:id="201" w:name="_Toc108095493"/>
      <w:bookmarkStart w:id="202" w:name="_Toc18991"/>
      <w:bookmarkStart w:id="203" w:name="_Toc15709"/>
      <w:bookmarkStart w:id="204" w:name="_Toc8607"/>
      <w:bookmarkStart w:id="205" w:name="_Toc10894"/>
      <w:r>
        <w:rPr>
          <w:b/>
          <w:bCs/>
          <w:sz w:val="24"/>
          <w:szCs w:val="24"/>
        </w:rPr>
        <w:t>气割作业安全</w:t>
      </w:r>
      <w:r>
        <w:rPr>
          <w:rFonts w:hint="eastAsia"/>
          <w:b/>
          <w:bCs/>
          <w:sz w:val="24"/>
          <w:szCs w:val="24"/>
        </w:rPr>
        <w:t>技术</w:t>
      </w:r>
      <w:r>
        <w:rPr>
          <w:b/>
          <w:bCs/>
          <w:sz w:val="24"/>
          <w:szCs w:val="24"/>
        </w:rPr>
        <w:t>措施</w:t>
      </w:r>
      <w:bookmarkEnd w:id="200"/>
      <w:bookmarkEnd w:id="201"/>
      <w:bookmarkEnd w:id="202"/>
      <w:bookmarkEnd w:id="203"/>
      <w:bookmarkEnd w:id="204"/>
      <w:bookmarkEnd w:id="205"/>
    </w:p>
    <w:p w14:paraId="395F4B37">
      <w:pPr>
        <w:pStyle w:val="50"/>
        <w:numPr>
          <w:ilvl w:val="0"/>
          <w:numId w:val="25"/>
        </w:numPr>
        <w:ind w:left="0" w:firstLine="480"/>
      </w:pPr>
      <w:r>
        <w:t>气割作业人员须持有特种作业操作证，并经培训、考试合格方可上岗，作业证过期未年审的不准进行作业。</w:t>
      </w:r>
    </w:p>
    <w:p w14:paraId="269705E9">
      <w:pPr>
        <w:pStyle w:val="50"/>
        <w:numPr>
          <w:ilvl w:val="0"/>
          <w:numId w:val="25"/>
        </w:numPr>
        <w:ind w:left="0" w:firstLine="480"/>
      </w:pPr>
      <w:r>
        <w:t>气割作业前必须按规定办理动火审批手续，作业时必须穿戴好劳动保护用品。</w:t>
      </w:r>
    </w:p>
    <w:p w14:paraId="53ED9DFC">
      <w:pPr>
        <w:pStyle w:val="50"/>
        <w:numPr>
          <w:ilvl w:val="0"/>
          <w:numId w:val="25"/>
        </w:numPr>
        <w:ind w:left="0" w:firstLine="480"/>
      </w:pPr>
      <w:r>
        <w:t>乙炔气瓶必须安装减压阀和防回火装置，氧气瓶、气压表及焊割工具上不得沾染油脂等易燃物。</w:t>
      </w:r>
    </w:p>
    <w:p w14:paraId="2BE2A921">
      <w:pPr>
        <w:pStyle w:val="50"/>
        <w:numPr>
          <w:ilvl w:val="0"/>
          <w:numId w:val="25"/>
        </w:numPr>
        <w:ind w:left="0" w:firstLine="480"/>
      </w:pPr>
      <w:r>
        <w:t>气割作业时，乙炔瓶与氧气瓶的距离不得小于5m，气瓶距易燃易爆物品和明火的距离不得小于10m，气瓶严禁平放、曝晒</w:t>
      </w:r>
      <w:r>
        <w:rPr>
          <w:rFonts w:hint="eastAsia"/>
        </w:rPr>
        <w:t>，应设置防倾倒措施</w:t>
      </w:r>
      <w:r>
        <w:t>。</w:t>
      </w:r>
    </w:p>
    <w:p w14:paraId="51001672">
      <w:pPr>
        <w:pStyle w:val="50"/>
        <w:numPr>
          <w:ilvl w:val="0"/>
          <w:numId w:val="25"/>
        </w:numPr>
        <w:ind w:left="0" w:firstLine="480"/>
      </w:pPr>
      <w:r>
        <w:rPr>
          <w:rFonts w:hint="eastAsia"/>
        </w:rPr>
        <w:t>高处气割，做好防风和防落到下方的措施。作业现场配备灭火器</w:t>
      </w:r>
      <w:r>
        <w:t>。</w:t>
      </w:r>
    </w:p>
    <w:p w14:paraId="19D513D8">
      <w:pPr>
        <w:pStyle w:val="50"/>
        <w:numPr>
          <w:ilvl w:val="0"/>
          <w:numId w:val="25"/>
        </w:numPr>
        <w:ind w:left="0" w:firstLine="480"/>
      </w:pPr>
      <w:r>
        <w:rPr>
          <w:rFonts w:hint="eastAsia"/>
        </w:rPr>
        <w:t>乙炔瓶、氧气瓶、胶管接头、阀门的紧固件应坚固牢靠，不准有松动、破损和漏气。氧气瓶及其附件以及胶管工具上禁止沾油；</w:t>
      </w:r>
    </w:p>
    <w:p w14:paraId="03839119">
      <w:pPr>
        <w:pStyle w:val="50"/>
        <w:numPr>
          <w:ilvl w:val="0"/>
          <w:numId w:val="25"/>
        </w:numPr>
        <w:ind w:left="0" w:firstLine="480"/>
      </w:pPr>
      <w:r>
        <w:rPr>
          <w:rFonts w:hint="eastAsia"/>
        </w:rPr>
        <w:t>工作前必须检查氧气管、乙炔管，如有漏气、老化、鼓包和变质时，不准使用，管内应保持清洁，不得有异物，氧气管、乙炔管不得互换使用；</w:t>
      </w:r>
    </w:p>
    <w:p w14:paraId="6FB6543A">
      <w:pPr>
        <w:pStyle w:val="50"/>
        <w:numPr>
          <w:ilvl w:val="0"/>
          <w:numId w:val="25"/>
        </w:numPr>
        <w:ind w:left="0" w:firstLine="480"/>
      </w:pPr>
      <w:r>
        <w:rPr>
          <w:rFonts w:hint="eastAsia"/>
        </w:rPr>
        <w:t>工作前应检查作场所周围是否有易燃物，如有，应清除或采取可靠的隔离、防护措施，并设专人监护；</w:t>
      </w:r>
    </w:p>
    <w:p w14:paraId="36F10FF3">
      <w:pPr>
        <w:pStyle w:val="50"/>
        <w:numPr>
          <w:ilvl w:val="0"/>
          <w:numId w:val="25"/>
        </w:numPr>
        <w:ind w:left="0" w:firstLine="480"/>
      </w:pPr>
      <w:r>
        <w:rPr>
          <w:rFonts w:hint="eastAsia"/>
        </w:rPr>
        <w:t>在连接氧气表（减压器）之前，要用专用扳手将氧气瓶阀门微开，放出一些氧气，吹净瓶口污物和杂质，随后关闭。操作时工作人员应站在气口侧面，并闪开。开气时，气门不可朝下；</w:t>
      </w:r>
    </w:p>
    <w:p w14:paraId="695B0A56">
      <w:pPr>
        <w:pStyle w:val="50"/>
        <w:numPr>
          <w:ilvl w:val="0"/>
          <w:numId w:val="25"/>
        </w:numPr>
        <w:ind w:left="0" w:firstLine="480"/>
      </w:pPr>
      <w:r>
        <w:rPr>
          <w:rFonts w:hint="eastAsia"/>
        </w:rPr>
        <w:t>乙炔、氧气瓶应垂直放置，防止倾倒，严禁与氧气瓶等易燃品同时存放；</w:t>
      </w:r>
    </w:p>
    <w:p w14:paraId="34B34CAF">
      <w:pPr>
        <w:pStyle w:val="50"/>
        <w:numPr>
          <w:ilvl w:val="0"/>
          <w:numId w:val="25"/>
        </w:numPr>
        <w:ind w:left="0" w:firstLine="480"/>
      </w:pPr>
      <w:r>
        <w:rPr>
          <w:rFonts w:hint="eastAsia"/>
        </w:rPr>
        <w:t>开启氧气或乙炔瓶阀门时，禁止用铁器敲击，应用专用工具，动作要缓慢，防止产生火花，严禁面对减压器站立；</w:t>
      </w:r>
    </w:p>
    <w:p w14:paraId="2B006EFE">
      <w:pPr>
        <w:pStyle w:val="50"/>
        <w:numPr>
          <w:ilvl w:val="0"/>
          <w:numId w:val="25"/>
        </w:numPr>
        <w:ind w:left="0" w:firstLine="480"/>
      </w:pPr>
      <w:r>
        <w:rPr>
          <w:rFonts w:hint="eastAsia"/>
        </w:rPr>
        <w:t>在机械上（或高处）作业时，应在切割部件下部搭设安全保护装置以防金属溶液落下引起火灾或烧伤其他人员；</w:t>
      </w:r>
    </w:p>
    <w:p w14:paraId="0DE90D72">
      <w:pPr>
        <w:pStyle w:val="50"/>
        <w:numPr>
          <w:ilvl w:val="0"/>
          <w:numId w:val="25"/>
        </w:numPr>
        <w:ind w:left="0" w:firstLine="480"/>
      </w:pPr>
      <w:r>
        <w:rPr>
          <w:rFonts w:hint="eastAsia"/>
        </w:rPr>
        <w:t>了解设备的消防器材状况，并保证在焊接地点周围有2个以上干粉灭火器；切割工作结束后，应检查地面，灭绝火种；</w:t>
      </w:r>
    </w:p>
    <w:p w14:paraId="3BF535E1">
      <w:pPr>
        <w:pStyle w:val="50"/>
        <w:numPr>
          <w:ilvl w:val="0"/>
          <w:numId w:val="25"/>
        </w:numPr>
        <w:ind w:left="0" w:firstLine="480"/>
      </w:pPr>
      <w:r>
        <w:rPr>
          <w:rFonts w:hint="eastAsia"/>
        </w:rPr>
        <w:t>使用时，必须保证氧气瓶、乙炔瓶距明火不得小于10m。</w:t>
      </w:r>
    </w:p>
    <w:p w14:paraId="4E3CB5D5">
      <w:pPr>
        <w:pStyle w:val="50"/>
        <w:numPr>
          <w:ilvl w:val="0"/>
          <w:numId w:val="25"/>
        </w:numPr>
        <w:ind w:left="0" w:firstLine="480"/>
      </w:pPr>
      <w:r>
        <w:rPr>
          <w:rFonts w:hint="eastAsia"/>
        </w:rPr>
        <w:t>工作地点不固定、移动较频繁时，应装在专用小车上，严禁将乙炔瓶和氧气瓶放在一起。</w:t>
      </w:r>
    </w:p>
    <w:p w14:paraId="5329BEF9">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rPr>
      </w:pPr>
      <w:bookmarkStart w:id="206" w:name="_Toc108095494"/>
      <w:bookmarkStart w:id="207" w:name="_Toc23605"/>
      <w:bookmarkStart w:id="208" w:name="_Toc2288"/>
      <w:bookmarkStart w:id="209" w:name="_Toc31137"/>
      <w:bookmarkStart w:id="210" w:name="_Toc8790"/>
      <w:bookmarkStart w:id="211" w:name="_Toc26223"/>
      <w:r>
        <w:rPr>
          <w:b/>
          <w:bCs/>
          <w:sz w:val="24"/>
          <w:szCs w:val="24"/>
        </w:rPr>
        <w:t>临时用电安全</w:t>
      </w:r>
      <w:r>
        <w:rPr>
          <w:rFonts w:hint="eastAsia"/>
          <w:b/>
          <w:bCs/>
          <w:sz w:val="24"/>
          <w:szCs w:val="24"/>
        </w:rPr>
        <w:t>技术</w:t>
      </w:r>
      <w:r>
        <w:rPr>
          <w:b/>
          <w:bCs/>
          <w:sz w:val="24"/>
          <w:szCs w:val="24"/>
        </w:rPr>
        <w:t>措施</w:t>
      </w:r>
      <w:bookmarkEnd w:id="206"/>
      <w:bookmarkEnd w:id="207"/>
      <w:bookmarkEnd w:id="208"/>
      <w:bookmarkEnd w:id="209"/>
      <w:bookmarkEnd w:id="210"/>
      <w:bookmarkEnd w:id="211"/>
    </w:p>
    <w:p w14:paraId="7FB6F720">
      <w:pPr>
        <w:pStyle w:val="50"/>
        <w:numPr>
          <w:ilvl w:val="0"/>
          <w:numId w:val="26"/>
        </w:numPr>
        <w:ind w:left="0" w:firstLine="480"/>
      </w:pPr>
      <w:bookmarkStart w:id="212" w:name="_Toc19415"/>
      <w:bookmarkStart w:id="213" w:name="_Toc20608"/>
      <w:bookmarkStart w:id="214" w:name="_Toc23710"/>
      <w:r>
        <w:rPr>
          <w:rFonts w:hint="eastAsia"/>
        </w:rPr>
        <w:t>严格执行《施工现场临时用电安全技术规范》（JGJ</w:t>
      </w:r>
      <w:r>
        <w:t xml:space="preserve"> </w:t>
      </w:r>
      <w:r>
        <w:rPr>
          <w:rFonts w:hint="eastAsia"/>
        </w:rPr>
        <w:t>46-2005），按照施工用电组织设计架设三相五线制的电气线路，所有电线均应架空，过道或穿墙均要用钢管或胶套管保护，严禁利用大地作为工作零线。认真贯彻《建筑施工安全检查标准》（JGJ</w:t>
      </w:r>
      <w:r>
        <w:t xml:space="preserve"> </w:t>
      </w:r>
      <w:r>
        <w:rPr>
          <w:rFonts w:hint="eastAsia"/>
        </w:rPr>
        <w:t>59-2011）中临时用电规定。</w:t>
      </w:r>
    </w:p>
    <w:p w14:paraId="6CC5D0CA">
      <w:pPr>
        <w:pStyle w:val="50"/>
        <w:numPr>
          <w:ilvl w:val="0"/>
          <w:numId w:val="26"/>
        </w:numPr>
        <w:ind w:left="0" w:firstLine="480"/>
      </w:pPr>
      <w:r>
        <w:rPr>
          <w:rFonts w:hint="eastAsia"/>
        </w:rP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14:paraId="36FF92E4">
      <w:pPr>
        <w:pStyle w:val="50"/>
        <w:numPr>
          <w:ilvl w:val="0"/>
          <w:numId w:val="26"/>
        </w:numPr>
        <w:ind w:left="0" w:firstLine="480"/>
      </w:pPr>
      <w:r>
        <w:rPr>
          <w:rFonts w:hint="eastAsia"/>
        </w:rPr>
        <w:t>临时用电施工组织设计和临时安全用电技术措施及电气防火措施，必须由电气工程技术人员编制，技术负责人审核，经主管部门批准后实施。</w:t>
      </w:r>
    </w:p>
    <w:p w14:paraId="1F179B1E">
      <w:pPr>
        <w:pStyle w:val="50"/>
        <w:numPr>
          <w:ilvl w:val="0"/>
          <w:numId w:val="26"/>
        </w:numPr>
        <w:ind w:left="0" w:firstLine="480"/>
      </w:pPr>
      <w:r>
        <w:rPr>
          <w:rFonts w:hint="eastAsia"/>
        </w:rPr>
        <w:t>拆除、维修或拆除临时用电工程，必须由持证电工完成，无证人员禁止上岗。电工等级应同工程的难易程度和技术复杂性相适应。</w:t>
      </w:r>
    </w:p>
    <w:p w14:paraId="32B0275B">
      <w:pPr>
        <w:pStyle w:val="50"/>
        <w:numPr>
          <w:ilvl w:val="0"/>
          <w:numId w:val="26"/>
        </w:numPr>
        <w:ind w:left="0" w:firstLine="480"/>
      </w:pPr>
      <w:r>
        <w:rPr>
          <w:rFonts w:hint="eastAsia"/>
        </w:rPr>
        <w:t>使用设备必须按规定穿戴和配备好相应的劳动保护用品，并应检查电气装置和保护设施是否完好，严禁设备带病运转和进行运转中维修。</w:t>
      </w:r>
    </w:p>
    <w:p w14:paraId="379B6E04">
      <w:pPr>
        <w:pStyle w:val="50"/>
        <w:numPr>
          <w:ilvl w:val="0"/>
          <w:numId w:val="26"/>
        </w:numPr>
        <w:ind w:left="0" w:firstLine="480"/>
      </w:pPr>
      <w:r>
        <w:rPr>
          <w:rFonts w:hint="eastAsia"/>
        </w:rPr>
        <w:t>停用的设备必须拉闸断电，锁好开关箱。负载线、保护零线和开关箱发现问题应及时报告解决。搬迁或移动的用电设备，必须由专业电工切断电源并作妥善处理。</w:t>
      </w:r>
    </w:p>
    <w:p w14:paraId="5CA822B4">
      <w:pPr>
        <w:pStyle w:val="50"/>
        <w:numPr>
          <w:ilvl w:val="0"/>
          <w:numId w:val="26"/>
        </w:numPr>
        <w:ind w:left="0" w:firstLine="480"/>
      </w:pPr>
      <w:r>
        <w:rPr>
          <w:rFonts w:hint="eastAsia"/>
        </w:rPr>
        <w:t>按规范做好施工现场临时安全用电的安全技术档案。</w:t>
      </w:r>
    </w:p>
    <w:p w14:paraId="0B524161">
      <w:pPr>
        <w:pStyle w:val="50"/>
        <w:numPr>
          <w:ilvl w:val="0"/>
          <w:numId w:val="26"/>
        </w:numPr>
        <w:ind w:left="0" w:firstLine="480"/>
      </w:pPr>
      <w:r>
        <w:rPr>
          <w:rFonts w:hint="eastAsia"/>
        </w:rPr>
        <w:t>在建工程与外电线路的安全距离及外电防护和接地与防雷等应严格按规范执行。</w:t>
      </w:r>
    </w:p>
    <w:p w14:paraId="2F967CB2">
      <w:pPr>
        <w:pStyle w:val="50"/>
        <w:numPr>
          <w:ilvl w:val="0"/>
          <w:numId w:val="26"/>
        </w:numPr>
        <w:ind w:left="0" w:firstLine="480"/>
      </w:pPr>
      <w:r>
        <w:rPr>
          <w:rFonts w:hint="eastAsia"/>
        </w:rPr>
        <w:t>配电线路的架空线必须采用绝缘铜线和绝缘铝线。架空线必须设置在专用电杆上。</w:t>
      </w:r>
    </w:p>
    <w:p w14:paraId="0E916500">
      <w:pPr>
        <w:pStyle w:val="50"/>
        <w:numPr>
          <w:ilvl w:val="0"/>
          <w:numId w:val="26"/>
        </w:numPr>
        <w:ind w:left="0" w:firstLine="480"/>
      </w:pPr>
      <w:r>
        <w:rPr>
          <w:rFonts w:hint="eastAsia"/>
        </w:rPr>
        <w:t>空线的接头、相序排列、档距、线间距离及横担的垂直距离和横担的选择及规格，严格执行规范规定。</w:t>
      </w:r>
    </w:p>
    <w:p w14:paraId="6AA48FC4">
      <w:pPr>
        <w:pStyle w:val="50"/>
        <w:numPr>
          <w:ilvl w:val="0"/>
          <w:numId w:val="26"/>
        </w:numPr>
        <w:ind w:left="0" w:firstLine="480"/>
      </w:pPr>
      <w:r>
        <w:rPr>
          <w:rFonts w:hint="eastAsia"/>
        </w:rPr>
        <w:t>动力配电箱与照明配电箱应分别设置，如合置在同一配电箱内，动力和照明线路应分路设置。</w:t>
      </w:r>
    </w:p>
    <w:p w14:paraId="2C552E61">
      <w:pPr>
        <w:pStyle w:val="50"/>
        <w:numPr>
          <w:ilvl w:val="0"/>
          <w:numId w:val="26"/>
        </w:numPr>
        <w:ind w:left="0" w:firstLine="480"/>
      </w:pPr>
      <w:r>
        <w:rPr>
          <w:rFonts w:hint="eastAsia"/>
        </w:rPr>
        <w:t>开关箱应由末级配电箱配电，配电箱、开关箱制作所用的材料、箱的规格设置要求及拆除技术应按规范执行。配电箱、开关箱最好购合格的成品使用。</w:t>
      </w:r>
    </w:p>
    <w:p w14:paraId="7F1C311D">
      <w:pPr>
        <w:pStyle w:val="50"/>
        <w:numPr>
          <w:ilvl w:val="0"/>
          <w:numId w:val="26"/>
        </w:numPr>
        <w:ind w:left="0" w:firstLine="480"/>
      </w:pPr>
      <w:r>
        <w:rPr>
          <w:rFonts w:hint="eastAsia"/>
        </w:rPr>
        <w:t>配电箱、开关箱内的开关电器拆除，绝缘要求和箱壳保护接零应按规范执行。</w:t>
      </w:r>
    </w:p>
    <w:p w14:paraId="03A53035">
      <w:pPr>
        <w:pStyle w:val="50"/>
        <w:numPr>
          <w:ilvl w:val="0"/>
          <w:numId w:val="26"/>
        </w:numPr>
        <w:ind w:left="0" w:firstLine="480"/>
      </w:pPr>
      <w:r>
        <w:rPr>
          <w:rFonts w:hint="eastAsia"/>
        </w:rPr>
        <w:t>严禁用同一个开关电器直接控制2台及2台以上用电设备（含插座）。</w:t>
      </w:r>
    </w:p>
    <w:p w14:paraId="339D548B">
      <w:pPr>
        <w:pStyle w:val="50"/>
        <w:numPr>
          <w:ilvl w:val="0"/>
          <w:numId w:val="26"/>
        </w:numPr>
        <w:ind w:left="0" w:firstLine="480"/>
      </w:pPr>
      <w:r>
        <w:rPr>
          <w:rFonts w:hint="eastAsia"/>
        </w:rPr>
        <w:t>开关箱内必须装设漏电保护器，漏电保护器的选择应符合要求。漏电保护器的拆除要求和额定漏电动作应符合规范要求。</w:t>
      </w:r>
    </w:p>
    <w:p w14:paraId="574F07DE">
      <w:pPr>
        <w:pStyle w:val="50"/>
        <w:numPr>
          <w:ilvl w:val="0"/>
          <w:numId w:val="26"/>
        </w:numPr>
        <w:ind w:left="0" w:firstLine="480"/>
      </w:pPr>
      <w:r>
        <w:rPr>
          <w:rFonts w:hint="eastAsia"/>
        </w:rPr>
        <w:t>配电箱和开关箱中两级漏电保护器的额定漏电动作时间作合理配合，使之具有分段保护的功能。</w:t>
      </w:r>
    </w:p>
    <w:p w14:paraId="1E68F303">
      <w:pPr>
        <w:pStyle w:val="50"/>
        <w:numPr>
          <w:ilvl w:val="0"/>
          <w:numId w:val="26"/>
        </w:numPr>
        <w:ind w:left="0" w:firstLine="480"/>
      </w:pPr>
      <w:r>
        <w:rPr>
          <w:rFonts w:hint="eastAsia"/>
        </w:rPr>
        <w:t>手动开关电器只许用于直接控制照明电器和容量不大于5.5kW动力电路。容量大于5.5kW的动力电路应采用自动开关电器或降压启动装置控制。各种开关电器的额定值与其控制用电设备的额定值相适应。</w:t>
      </w:r>
    </w:p>
    <w:p w14:paraId="5141672A">
      <w:pPr>
        <w:pStyle w:val="50"/>
        <w:numPr>
          <w:ilvl w:val="0"/>
          <w:numId w:val="26"/>
        </w:numPr>
        <w:ind w:left="0" w:firstLine="480"/>
      </w:pPr>
      <w:r>
        <w:rPr>
          <w:rFonts w:hint="eastAsia"/>
        </w:rPr>
        <w:t>对配电箱、开关箱进行检查、维修时，必须将其前一级相应的电源开关分闸断电，并悬挂停电检修标志牌，严禁带电作业。</w:t>
      </w:r>
    </w:p>
    <w:p w14:paraId="65E2AF4D">
      <w:pPr>
        <w:pStyle w:val="50"/>
        <w:numPr>
          <w:ilvl w:val="0"/>
          <w:numId w:val="26"/>
        </w:numPr>
        <w:ind w:left="0" w:firstLine="480"/>
      </w:pPr>
      <w:r>
        <w:rPr>
          <w:rFonts w:hint="eastAsia"/>
        </w:rPr>
        <w:t>移动的用电设备使用的电源线路，必须使用绝缘胶套管式电缆。</w:t>
      </w:r>
    </w:p>
    <w:p w14:paraId="7BE08C3B">
      <w:pPr>
        <w:pStyle w:val="50"/>
        <w:numPr>
          <w:ilvl w:val="0"/>
          <w:numId w:val="26"/>
        </w:numPr>
        <w:ind w:left="0" w:firstLine="480"/>
      </w:pPr>
      <w:r>
        <w:rPr>
          <w:rFonts w:hint="eastAsia"/>
        </w:rPr>
        <w:t>用电设备和电气线路必须有保护接零。</w:t>
      </w:r>
    </w:p>
    <w:p w14:paraId="6F42C9C3">
      <w:pPr>
        <w:pStyle w:val="50"/>
        <w:numPr>
          <w:ilvl w:val="0"/>
          <w:numId w:val="26"/>
        </w:numPr>
        <w:ind w:left="0" w:firstLine="480"/>
      </w:pPr>
      <w:r>
        <w:rPr>
          <w:rFonts w:hint="eastAsia"/>
        </w:rPr>
        <w:t>电动工具、机械设备有良好的接地装置，所用电源有可靠的触电保护器。阴雨天气及在潮湿部位工作所使用的电动工机具、机械、工作人员的劳保用品必须符合有关的要求。</w:t>
      </w:r>
    </w:p>
    <w:p w14:paraId="5FFE7B1A">
      <w:pPr>
        <w:pStyle w:val="50"/>
        <w:numPr>
          <w:ilvl w:val="0"/>
          <w:numId w:val="26"/>
        </w:numPr>
        <w:ind w:left="0" w:firstLine="480"/>
      </w:pPr>
      <w:r>
        <w:rPr>
          <w:rFonts w:hint="eastAsia"/>
        </w:rPr>
        <w:t>严禁施工现场非正式电工乱接用电线和拆除用电开关。</w:t>
      </w:r>
    </w:p>
    <w:p w14:paraId="77170D58">
      <w:pPr>
        <w:pStyle w:val="50"/>
        <w:numPr>
          <w:ilvl w:val="0"/>
          <w:numId w:val="26"/>
        </w:numPr>
        <w:ind w:left="0" w:firstLine="480"/>
      </w:pPr>
      <w:r>
        <w:rPr>
          <w:rFonts w:hint="eastAsia"/>
        </w:rPr>
        <w:t>残缺绝缘盖的闸刀开关禁止使用，开关不得采用铜、铁、铝线作熔断保险丝。</w:t>
      </w:r>
    </w:p>
    <w:p w14:paraId="12E129A3">
      <w:pPr>
        <w:pStyle w:val="50"/>
        <w:numPr>
          <w:ilvl w:val="0"/>
          <w:numId w:val="26"/>
        </w:numPr>
        <w:ind w:left="0" w:firstLine="480"/>
      </w:pPr>
      <w:r>
        <w:rPr>
          <w:rFonts w:hint="eastAsia"/>
        </w:rPr>
        <w:t>在施工现场设置围栏、警示牌、夜间警示灯，以告示行人。</w:t>
      </w:r>
    </w:p>
    <w:p w14:paraId="4454FCF9">
      <w:pPr>
        <w:pStyle w:val="8"/>
        <w:keepNext/>
        <w:keepLines/>
        <w:pageBreakBefore w:val="0"/>
        <w:widowControl w:val="0"/>
        <w:tabs>
          <w:tab w:val="left" w:pos="0"/>
        </w:tabs>
        <w:kinsoku/>
        <w:wordWrap/>
        <w:overflowPunct/>
        <w:topLinePunct w:val="0"/>
        <w:autoSpaceDE/>
        <w:autoSpaceDN/>
        <w:bidi w:val="0"/>
        <w:adjustRightInd/>
        <w:snapToGrid/>
        <w:spacing w:before="156" w:after="156"/>
        <w:textAlignment w:val="auto"/>
        <w:rPr>
          <w:b/>
          <w:bCs/>
          <w:sz w:val="24"/>
          <w:szCs w:val="24"/>
          <w:lang w:val="zh-CN"/>
        </w:rPr>
      </w:pPr>
      <w:bookmarkStart w:id="215" w:name="_Toc12956"/>
      <w:bookmarkStart w:id="216" w:name="_Toc108095495"/>
      <w:r>
        <w:rPr>
          <w:b/>
          <w:bCs/>
          <w:sz w:val="24"/>
          <w:szCs w:val="24"/>
          <w:lang w:val="zh-CN"/>
        </w:rPr>
        <w:t>特殊天气安全</w:t>
      </w:r>
      <w:r>
        <w:rPr>
          <w:rFonts w:hint="eastAsia"/>
          <w:b/>
          <w:bCs/>
          <w:sz w:val="24"/>
          <w:szCs w:val="24"/>
        </w:rPr>
        <w:t>技术</w:t>
      </w:r>
      <w:r>
        <w:rPr>
          <w:b/>
          <w:bCs/>
          <w:sz w:val="24"/>
          <w:szCs w:val="24"/>
          <w:lang w:val="zh-CN"/>
        </w:rPr>
        <w:t>措施</w:t>
      </w:r>
      <w:bookmarkEnd w:id="212"/>
      <w:bookmarkEnd w:id="213"/>
      <w:bookmarkEnd w:id="214"/>
      <w:bookmarkEnd w:id="215"/>
      <w:bookmarkEnd w:id="216"/>
    </w:p>
    <w:p w14:paraId="7EF42570">
      <w:pPr>
        <w:ind w:firstLine="360" w:firstLineChars="150"/>
        <w:rPr>
          <w:rFonts w:hint="eastAsia" w:ascii="宋体" w:hAnsi="宋体" w:eastAsia="宋体" w:cs="宋体"/>
          <w:szCs w:val="24"/>
        </w:rPr>
      </w:pPr>
      <w:r>
        <w:rPr>
          <w:rFonts w:hint="eastAsia" w:ascii="宋体" w:hAnsi="宋体" w:eastAsia="宋体" w:cs="宋体"/>
          <w:szCs w:val="24"/>
        </w:rPr>
        <w:t>（1）大雾天气安全措施</w:t>
      </w:r>
    </w:p>
    <w:p w14:paraId="6BF8B9E4">
      <w:pPr>
        <w:ind w:firstLine="360" w:firstLineChars="150"/>
        <w:rPr>
          <w:rFonts w:hint="eastAsia" w:ascii="宋体" w:hAnsi="宋体" w:eastAsia="宋体" w:cs="宋体"/>
          <w:szCs w:val="24"/>
        </w:rPr>
      </w:pPr>
      <w:r>
        <w:rPr>
          <w:rFonts w:hint="eastAsia" w:ascii="宋体" w:hAnsi="宋体" w:eastAsia="宋体" w:cs="宋体"/>
          <w:szCs w:val="24"/>
        </w:rPr>
        <w:t>1、雾天停止一切起重吊装作业和材料转运。</w:t>
      </w:r>
    </w:p>
    <w:p w14:paraId="4292022E">
      <w:pPr>
        <w:ind w:firstLine="360" w:firstLineChars="150"/>
        <w:rPr>
          <w:rFonts w:hint="eastAsia" w:ascii="宋体" w:hAnsi="宋体" w:eastAsia="宋体" w:cs="宋体"/>
          <w:szCs w:val="24"/>
        </w:rPr>
      </w:pPr>
      <w:r>
        <w:rPr>
          <w:rFonts w:hint="eastAsia" w:ascii="宋体" w:hAnsi="宋体" w:eastAsia="宋体" w:cs="宋体"/>
          <w:szCs w:val="24"/>
        </w:rPr>
        <w:t>（2）大风天气安全措施</w:t>
      </w:r>
    </w:p>
    <w:p w14:paraId="7496C17D">
      <w:pPr>
        <w:ind w:firstLine="360" w:firstLineChars="150"/>
        <w:rPr>
          <w:rFonts w:hint="eastAsia" w:ascii="宋体" w:hAnsi="宋体" w:eastAsia="宋体" w:cs="宋体"/>
          <w:szCs w:val="24"/>
        </w:rPr>
      </w:pPr>
      <w:r>
        <w:rPr>
          <w:rFonts w:hint="eastAsia" w:ascii="宋体" w:hAnsi="宋体" w:eastAsia="宋体" w:cs="宋体"/>
          <w:szCs w:val="24"/>
        </w:rPr>
        <w:t>1、加强气象预报监听，随时通告有关信息，若遇六级以上大风时，及时停止吊装，并采取有效的防风措施。</w:t>
      </w:r>
    </w:p>
    <w:p w14:paraId="5C229C64">
      <w:pPr>
        <w:ind w:firstLine="360" w:firstLineChars="150"/>
        <w:rPr>
          <w:rFonts w:hint="eastAsia" w:ascii="宋体" w:hAnsi="宋体" w:eastAsia="宋体" w:cs="宋体"/>
          <w:szCs w:val="24"/>
        </w:rPr>
      </w:pPr>
      <w:r>
        <w:rPr>
          <w:rFonts w:hint="eastAsia" w:ascii="宋体" w:hAnsi="宋体" w:eastAsia="宋体" w:cs="宋体"/>
          <w:szCs w:val="24"/>
        </w:rPr>
        <w:t>2、积极与当地相关部门联系，服从其统一领导和调度，努力配合工作。</w:t>
      </w:r>
    </w:p>
    <w:p w14:paraId="5D6D4782">
      <w:pPr>
        <w:ind w:firstLine="360" w:firstLineChars="150"/>
        <w:rPr>
          <w:rFonts w:hint="eastAsia" w:ascii="宋体" w:hAnsi="宋体" w:eastAsia="宋体" w:cs="宋体"/>
          <w:szCs w:val="24"/>
        </w:rPr>
      </w:pPr>
      <w:r>
        <w:rPr>
          <w:rFonts w:hint="eastAsia" w:ascii="宋体" w:hAnsi="宋体" w:eastAsia="宋体" w:cs="宋体"/>
          <w:szCs w:val="24"/>
        </w:rPr>
        <w:t>3、有关人员配备通讯设备（如对讲机），加强联系，互通情况。</w:t>
      </w:r>
    </w:p>
    <w:p w14:paraId="5B13D3B1">
      <w:pPr>
        <w:ind w:firstLine="360" w:firstLineChars="150"/>
        <w:rPr>
          <w:rFonts w:hint="eastAsia" w:ascii="宋体" w:hAnsi="宋体" w:eastAsia="宋体" w:cs="宋体"/>
          <w:szCs w:val="24"/>
        </w:rPr>
      </w:pPr>
      <w:r>
        <w:rPr>
          <w:rFonts w:hint="eastAsia" w:ascii="宋体" w:hAnsi="宋体" w:eastAsia="宋体" w:cs="宋体"/>
          <w:szCs w:val="24"/>
        </w:rPr>
        <w:t>（3）雷雨季施工安全措施</w:t>
      </w:r>
    </w:p>
    <w:p w14:paraId="6877BB66">
      <w:pPr>
        <w:ind w:firstLine="360" w:firstLineChars="150"/>
        <w:rPr>
          <w:rFonts w:hint="eastAsia" w:ascii="宋体" w:hAnsi="宋体" w:eastAsia="宋体" w:cs="宋体"/>
          <w:szCs w:val="24"/>
        </w:rPr>
      </w:pPr>
      <w:r>
        <w:rPr>
          <w:rFonts w:hint="eastAsia" w:ascii="宋体" w:hAnsi="宋体" w:eastAsia="宋体" w:cs="宋体"/>
          <w:szCs w:val="24"/>
        </w:rPr>
        <w:t>1、加强与气象部门联系，随时掌握天气变化情况，及时向施工现场发布雷雨消息。</w:t>
      </w:r>
    </w:p>
    <w:p w14:paraId="121D6A3B">
      <w:pPr>
        <w:ind w:firstLine="360" w:firstLineChars="150"/>
        <w:rPr>
          <w:rFonts w:hint="eastAsia" w:ascii="宋体" w:hAnsi="宋体" w:eastAsia="宋体" w:cs="宋体"/>
          <w:szCs w:val="24"/>
        </w:rPr>
      </w:pPr>
      <w:r>
        <w:rPr>
          <w:rFonts w:hint="eastAsia" w:ascii="宋体" w:hAnsi="宋体" w:eastAsia="宋体" w:cs="宋体"/>
          <w:szCs w:val="24"/>
        </w:rPr>
        <w:t>2、提前做好防御用品的准备工作，对需要防雨的机械设备做好防淋准备。</w:t>
      </w:r>
    </w:p>
    <w:p w14:paraId="4204008A">
      <w:pPr>
        <w:ind w:firstLine="360" w:firstLineChars="150"/>
        <w:rPr>
          <w:rFonts w:hint="eastAsia" w:ascii="宋体" w:hAnsi="宋体" w:eastAsia="宋体" w:cs="宋体"/>
          <w:szCs w:val="24"/>
        </w:rPr>
      </w:pPr>
      <w:r>
        <w:rPr>
          <w:rFonts w:hint="eastAsia" w:ascii="宋体" w:hAnsi="宋体" w:eastAsia="宋体" w:cs="宋体"/>
          <w:szCs w:val="24"/>
        </w:rPr>
        <w:t>3、雨天施工时，专职电工在施工前对所有用电设备进行全面检查，避免漏电事故发生。</w:t>
      </w:r>
    </w:p>
    <w:p w14:paraId="37AAFF28">
      <w:pPr>
        <w:ind w:firstLine="360" w:firstLineChars="150"/>
        <w:rPr>
          <w:rFonts w:hint="eastAsia" w:ascii="宋体" w:hAnsi="宋体" w:eastAsia="宋体" w:cs="宋体"/>
          <w:szCs w:val="24"/>
        </w:rPr>
      </w:pPr>
      <w:r>
        <w:rPr>
          <w:rFonts w:hint="eastAsia" w:ascii="宋体" w:hAnsi="宋体" w:eastAsia="宋体" w:cs="宋体"/>
          <w:szCs w:val="24"/>
        </w:rPr>
        <w:t>4、雨天在脚手架上施工时，作业人员必须穿戴好防滑鞋。</w:t>
      </w:r>
    </w:p>
    <w:p w14:paraId="6FDC97F8">
      <w:pPr>
        <w:ind w:firstLine="360" w:firstLineChars="150"/>
        <w:rPr>
          <w:rFonts w:hint="eastAsia" w:ascii="宋体" w:hAnsi="宋体" w:eastAsia="宋体" w:cs="宋体"/>
          <w:szCs w:val="24"/>
        </w:rPr>
      </w:pPr>
      <w:r>
        <w:rPr>
          <w:rFonts w:hint="eastAsia" w:ascii="宋体" w:hAnsi="宋体" w:eastAsia="宋体" w:cs="宋体"/>
          <w:szCs w:val="24"/>
        </w:rPr>
        <w:t>5、做好防雷电的安全措施，以免出现火灾，设备损坏和人员伤亡。</w:t>
      </w:r>
    </w:p>
    <w:p w14:paraId="45ADF7CA">
      <w:pPr>
        <w:ind w:firstLine="360" w:firstLineChars="150"/>
        <w:rPr>
          <w:rFonts w:hint="eastAsia" w:ascii="宋体" w:hAnsi="宋体" w:eastAsia="宋体" w:cs="宋体"/>
          <w:szCs w:val="24"/>
        </w:rPr>
      </w:pPr>
      <w:r>
        <w:rPr>
          <w:rFonts w:hint="eastAsia" w:ascii="宋体" w:hAnsi="宋体" w:eastAsia="宋体" w:cs="宋体"/>
          <w:szCs w:val="24"/>
        </w:rPr>
        <w:t>6、雷雨时起重吊装设备应停止使用。</w:t>
      </w:r>
    </w:p>
    <w:p w14:paraId="348D10B1">
      <w:pPr>
        <w:ind w:firstLine="360" w:firstLineChars="150"/>
        <w:rPr>
          <w:rFonts w:hint="eastAsia" w:ascii="宋体" w:hAnsi="宋体" w:eastAsia="宋体" w:cs="宋体"/>
          <w:szCs w:val="24"/>
        </w:rPr>
      </w:pPr>
      <w:r>
        <w:rPr>
          <w:rFonts w:hint="eastAsia" w:ascii="宋体" w:hAnsi="宋体" w:eastAsia="宋体" w:cs="宋体"/>
          <w:szCs w:val="24"/>
        </w:rPr>
        <w:t>7、雷电雨中避免高处作业、带电作业。</w:t>
      </w:r>
    </w:p>
    <w:p w14:paraId="4993BD66">
      <w:pPr>
        <w:ind w:firstLine="360" w:firstLineChars="150"/>
        <w:rPr>
          <w:rFonts w:hint="eastAsia" w:ascii="宋体" w:hAnsi="宋体" w:eastAsia="宋体" w:cs="宋体"/>
          <w:szCs w:val="24"/>
        </w:rPr>
      </w:pPr>
      <w:r>
        <w:rPr>
          <w:rFonts w:hint="eastAsia" w:ascii="宋体" w:hAnsi="宋体" w:eastAsia="宋体" w:cs="宋体"/>
          <w:szCs w:val="24"/>
        </w:rPr>
        <w:t>8、做好防雷电的监督、检查和指导工作，随时注意各现场施工情况，遇异常情况及时向安全分管领导汇报。</w:t>
      </w:r>
    </w:p>
    <w:p w14:paraId="12C24899">
      <w:pPr>
        <w:ind w:firstLine="360" w:firstLineChars="150"/>
        <w:rPr>
          <w:rFonts w:hint="eastAsia" w:ascii="宋体" w:hAnsi="宋体" w:eastAsia="宋体" w:cs="宋体"/>
          <w:szCs w:val="24"/>
        </w:rPr>
      </w:pPr>
      <w:r>
        <w:rPr>
          <w:rFonts w:hint="eastAsia" w:ascii="宋体" w:hAnsi="宋体" w:eastAsia="宋体" w:cs="宋体"/>
          <w:szCs w:val="24"/>
        </w:rPr>
        <w:t>9、大雨后应检查支架基础是否发生移位与沉降。</w:t>
      </w:r>
    </w:p>
    <w:p w14:paraId="723BBB20">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217" w:name="_Toc17200"/>
      <w:bookmarkStart w:id="218" w:name="_Toc8074"/>
      <w:r>
        <w:rPr>
          <w:rFonts w:hint="eastAsia"/>
        </w:rPr>
        <w:t>监测监控措施</w:t>
      </w:r>
      <w:bookmarkEnd w:id="217"/>
      <w:bookmarkEnd w:id="218"/>
    </w:p>
    <w:p w14:paraId="5BC1CF80">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施工现场巡查</w:t>
      </w:r>
    </w:p>
    <w:p w14:paraId="3E652DBA">
      <w:pPr>
        <w:ind w:firstLine="480"/>
      </w:pPr>
      <w:r>
        <w:rPr>
          <w:rFonts w:hint="eastAsia"/>
        </w:rPr>
        <w:t>为了确保施工期间安全生产受控，必须对施工现场可能存在安全隐患的部位进行相应的检查与监控。</w:t>
      </w:r>
    </w:p>
    <w:p w14:paraId="7DC10B91">
      <w:pPr>
        <w:ind w:firstLine="480"/>
      </w:pPr>
      <w:r>
        <w:rPr>
          <w:rFonts w:hint="eastAsia"/>
        </w:rPr>
        <w:t>（1）专职安全员每天对施工现场进行巡查，重点检查内容包括：</w:t>
      </w:r>
    </w:p>
    <w:p w14:paraId="4E182702">
      <w:pPr>
        <w:ind w:firstLine="480"/>
      </w:pPr>
      <w:r>
        <w:rPr>
          <w:rFonts w:hint="eastAsia"/>
        </w:rPr>
        <w:t>1）个人防护用品是否按照要求穿戴和使用，高处作业人员是否挂好安全带。</w:t>
      </w:r>
    </w:p>
    <w:p w14:paraId="570F380C">
      <w:pPr>
        <w:ind w:firstLine="480"/>
      </w:pPr>
      <w:r>
        <w:rPr>
          <w:rFonts w:hint="eastAsia"/>
        </w:rPr>
        <w:t>2）特种作业人员是否持证上岗，并遵守相关安全操作规程。</w:t>
      </w:r>
    </w:p>
    <w:p w14:paraId="3A5D53AC">
      <w:pPr>
        <w:ind w:firstLine="480"/>
      </w:pPr>
      <w:r>
        <w:rPr>
          <w:rFonts w:hint="eastAsia"/>
        </w:rPr>
        <w:t>3）临时用电线路布设是否满足安全要求，消防器材是否齐全有效。</w:t>
      </w:r>
    </w:p>
    <w:p w14:paraId="5E5592E7">
      <w:pPr>
        <w:ind w:firstLine="480"/>
      </w:pPr>
      <w:r>
        <w:rPr>
          <w:rFonts w:hint="eastAsia"/>
        </w:rPr>
        <w:t>4）氧气、乙炔气瓶是否满足安全距离要求，压力表、防回火阀、气管等是否齐全有效。氧气、乙炔气瓶压力表必须保证完好有效，有破损的及时更换。乙炔气瓶必须配备防回火阀，且不得漏气，气管须完好有效，有明显老化、破裂、漏气等必须及时维修更换。</w:t>
      </w:r>
    </w:p>
    <w:p w14:paraId="576CF336">
      <w:pPr>
        <w:ind w:firstLine="480"/>
      </w:pPr>
      <w:r>
        <w:rPr>
          <w:rFonts w:hint="eastAsia"/>
        </w:rPr>
        <w:t>5）其他需要巡查、检查的部位及检查内容。</w:t>
      </w:r>
    </w:p>
    <w:p w14:paraId="63EBEBF8">
      <w:pPr>
        <w:ind w:firstLine="480"/>
      </w:pPr>
      <w:r>
        <w:rPr>
          <w:rFonts w:hint="eastAsia"/>
        </w:rPr>
        <w:t>（2）项目部设备管理员每天对施工升降机安拆施工现场使用的设备进行巡查。定期进行设备维修保养，做好设备维修保养记录。</w:t>
      </w:r>
    </w:p>
    <w:p w14:paraId="2AE47077">
      <w:pPr>
        <w:ind w:firstLine="480"/>
      </w:pPr>
      <w:r>
        <w:rPr>
          <w:rFonts w:hint="eastAsia"/>
        </w:rPr>
        <w:t>（3）专职电工每日检查施工现场“三级用电，二级保护”、“一机、一闸、一箱、一漏”等临时用电安全要求落实情况，尤其常见的用电线路未按三级用电布设、线路破损、漏保失效等用电隐患在发现后必须立即整改到位。</w:t>
      </w:r>
    </w:p>
    <w:p w14:paraId="65DAB4D0">
      <w:pPr>
        <w:ind w:firstLine="480"/>
      </w:pPr>
      <w:r>
        <w:rPr>
          <w:rFonts w:hint="eastAsia"/>
        </w:rPr>
        <w:t>（4）施工期间组织专项检查、月度检查，尤其是关键部位的验收检查，各部门应积极参与，并留下检查验收记录。</w:t>
      </w:r>
    </w:p>
    <w:p w14:paraId="7C15C2C6">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起重吊装操作监测</w:t>
      </w:r>
    </w:p>
    <w:p w14:paraId="4172FC5A">
      <w:pPr>
        <w:numPr>
          <w:ilvl w:val="0"/>
          <w:numId w:val="27"/>
        </w:numPr>
        <w:ind w:firstLineChars="0"/>
      </w:pPr>
      <w:r>
        <w:rPr>
          <w:rFonts w:hint="eastAsia"/>
        </w:rPr>
        <w:t>施工期间对</w:t>
      </w:r>
      <w:r>
        <w:rPr>
          <w:rFonts w:hint="eastAsia"/>
          <w:lang w:val="en-US" w:eastAsia="zh-CN"/>
        </w:rPr>
        <w:t>汽车吊</w:t>
      </w:r>
      <w:r>
        <w:rPr>
          <w:rFonts w:hint="eastAsia"/>
        </w:rPr>
        <w:t>及起重工索具进行经常性的检查，确保起重设备和工索具状态完好、各构件连接满足要求。</w:t>
      </w:r>
    </w:p>
    <w:p w14:paraId="05BE48F1">
      <w:pPr>
        <w:numPr>
          <w:ilvl w:val="0"/>
          <w:numId w:val="27"/>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w:t>
      </w:r>
      <w:r>
        <w:rPr>
          <w:rFonts w:hint="eastAsia"/>
          <w:lang w:val="en-US" w:eastAsia="zh-CN"/>
        </w:rPr>
        <w:t>汽车吊</w:t>
      </w:r>
      <w:r>
        <w:rPr>
          <w:rFonts w:hint="eastAsia"/>
        </w:rPr>
        <w:t>倾覆、钢丝绳断裂、脱钩等引发安全事故。</w:t>
      </w:r>
    </w:p>
    <w:p w14:paraId="22B37B56">
      <w:pPr>
        <w:numPr>
          <w:ilvl w:val="0"/>
          <w:numId w:val="27"/>
        </w:numPr>
        <w:ind w:firstLineChars="0"/>
      </w:pPr>
      <w:r>
        <w:rPr>
          <w:rFonts w:hint="eastAsia"/>
        </w:rPr>
        <w:t>每班作业前，起重机司机应对</w:t>
      </w:r>
      <w:r>
        <w:rPr>
          <w:rFonts w:hint="eastAsia"/>
          <w:lang w:val="en-US" w:eastAsia="zh-CN"/>
        </w:rPr>
        <w:t>汽车吊</w:t>
      </w:r>
      <w:r>
        <w:rPr>
          <w:rFonts w:hint="eastAsia"/>
        </w:rPr>
        <w:t>的吊钩、钢丝绳及安全装置进行检查，各机构进行空载运转，发现不正常时，应予排除。</w:t>
      </w:r>
    </w:p>
    <w:p w14:paraId="0DB97F69">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基础监测</w:t>
      </w:r>
    </w:p>
    <w:p w14:paraId="263F224E">
      <w:pPr>
        <w:numPr>
          <w:ilvl w:val="0"/>
          <w:numId w:val="28"/>
        </w:numPr>
        <w:ind w:firstLineChars="0"/>
      </w:pPr>
      <w:r>
        <w:rPr>
          <w:rFonts w:hint="eastAsia"/>
        </w:rPr>
        <w:t>施工期间要对升降机导轨架基础以及吊笼搁置基础进行经常性检查，确保型钢基础的稳固满足要求。</w:t>
      </w:r>
    </w:p>
    <w:p w14:paraId="4E290EED">
      <w:pPr>
        <w:numPr>
          <w:ilvl w:val="0"/>
          <w:numId w:val="28"/>
        </w:numPr>
        <w:ind w:firstLineChars="0"/>
      </w:pPr>
      <w:r>
        <w:rPr>
          <w:rFonts w:hint="eastAsia"/>
        </w:rPr>
        <w:t>安全生产管理人员每日对施工现场进行巡视时，要检查型钢基础是否有变形，是否有移位，施工平台顶面是否有变形，型钢基础的焊接焊缝是否有裂纹等，并留下检查验收记录。</w:t>
      </w:r>
    </w:p>
    <w:p w14:paraId="1B8D4A9C">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导轨架监测</w:t>
      </w:r>
    </w:p>
    <w:p w14:paraId="5C81A2EC">
      <w:pPr>
        <w:numPr>
          <w:ilvl w:val="0"/>
          <w:numId w:val="29"/>
        </w:numPr>
        <w:ind w:firstLineChars="0"/>
      </w:pPr>
      <w:r>
        <w:rPr>
          <w:rFonts w:hint="eastAsia"/>
        </w:rPr>
        <w:t>施工期间要对升降机导轨架进行经常性检查及监测，确保导轨架的安全可靠。</w:t>
      </w:r>
    </w:p>
    <w:p w14:paraId="2F83778C">
      <w:pPr>
        <w:numPr>
          <w:ilvl w:val="0"/>
          <w:numId w:val="29"/>
        </w:numPr>
        <w:ind w:firstLineChars="0"/>
      </w:pPr>
      <w:r>
        <w:rPr>
          <w:rFonts w:hint="eastAsia"/>
        </w:rPr>
        <w:t>测量人员对升降机的导轨架进行测量监测，主要对导轨架的倾斜角度、附墙杆件的水平度进行监控量测并留下检查验收记录。</w:t>
      </w:r>
    </w:p>
    <w:p w14:paraId="35F9B530">
      <w:pPr>
        <w:pStyle w:val="13"/>
        <w:jc w:val="center"/>
      </w:pPr>
      <w:r>
        <w:rPr>
          <w:rFonts w:hint="eastAsia" w:ascii="宋体" w:hAnsi="宋体" w:eastAsia="宋体" w:cs="宋体"/>
          <w:b/>
          <w:bCs/>
          <w:color w:val="auto"/>
          <w:kern w:val="0"/>
          <w:sz w:val="21"/>
          <w:szCs w:val="21"/>
          <w:lang w:val="en-US" w:eastAsia="zh-CN" w:bidi="ar-SA"/>
        </w:rPr>
        <w:t>表5.3-1垂直度偏差值</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632"/>
        <w:gridCol w:w="878"/>
        <w:gridCol w:w="1021"/>
        <w:gridCol w:w="1023"/>
        <w:gridCol w:w="941"/>
      </w:tblGrid>
      <w:tr w14:paraId="022C9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696842F1">
            <w:pPr>
              <w:pStyle w:val="30"/>
              <w:rPr>
                <w:b w:val="0"/>
                <w:bCs/>
              </w:rPr>
            </w:pPr>
            <w:r>
              <w:rPr>
                <w:rFonts w:hint="eastAsia"/>
                <w:b w:val="0"/>
                <w:bCs/>
              </w:rPr>
              <w:t>导轨架高度（m）</w:t>
            </w:r>
          </w:p>
        </w:tc>
        <w:tc>
          <w:tcPr>
            <w:tcW w:w="1544" w:type="pct"/>
            <w:shd w:val="clear" w:color="auto" w:fill="auto"/>
            <w:vAlign w:val="center"/>
          </w:tcPr>
          <w:p w14:paraId="0A2240B9">
            <w:pPr>
              <w:pStyle w:val="30"/>
              <w:rPr>
                <w:b w:val="0"/>
                <w:bCs/>
              </w:rPr>
            </w:pPr>
            <w:r>
              <w:rPr>
                <w:rFonts w:hint="eastAsia"/>
                <w:b w:val="0"/>
                <w:bCs/>
              </w:rPr>
              <w:t>h≤7</w:t>
            </w:r>
            <w:r>
              <w:rPr>
                <w:b w:val="0"/>
                <w:bCs/>
              </w:rPr>
              <w:t>0</w:t>
            </w:r>
          </w:p>
        </w:tc>
        <w:tc>
          <w:tcPr>
            <w:tcW w:w="515" w:type="pct"/>
            <w:shd w:val="clear" w:color="auto" w:fill="auto"/>
            <w:vAlign w:val="center"/>
          </w:tcPr>
          <w:p w14:paraId="36C7791E">
            <w:pPr>
              <w:pStyle w:val="30"/>
              <w:rPr>
                <w:b w:val="0"/>
                <w:bCs/>
              </w:rPr>
            </w:pPr>
            <w:r>
              <w:rPr>
                <w:rFonts w:hint="eastAsia"/>
                <w:b w:val="0"/>
                <w:bCs/>
              </w:rPr>
              <w:t>7</w:t>
            </w:r>
            <w:r>
              <w:rPr>
                <w:b w:val="0"/>
                <w:bCs/>
              </w:rPr>
              <w:t>0</w:t>
            </w:r>
            <w:r>
              <w:rPr>
                <w:rFonts w:hint="eastAsia"/>
                <w:b w:val="0"/>
                <w:bCs/>
              </w:rPr>
              <w:t>＜h≤</w:t>
            </w:r>
            <w:r>
              <w:rPr>
                <w:b w:val="0"/>
                <w:bCs/>
              </w:rPr>
              <w:t>100</w:t>
            </w:r>
          </w:p>
        </w:tc>
        <w:tc>
          <w:tcPr>
            <w:tcW w:w="599" w:type="pct"/>
            <w:shd w:val="clear" w:color="auto" w:fill="auto"/>
            <w:vAlign w:val="center"/>
          </w:tcPr>
          <w:p w14:paraId="03F0B12C">
            <w:pPr>
              <w:pStyle w:val="30"/>
              <w:rPr>
                <w:b w:val="0"/>
                <w:bCs/>
              </w:rPr>
            </w:pPr>
            <w:r>
              <w:rPr>
                <w:b w:val="0"/>
                <w:bCs/>
              </w:rPr>
              <w:t>100</w:t>
            </w:r>
            <w:r>
              <w:rPr>
                <w:rFonts w:hint="eastAsia"/>
                <w:b w:val="0"/>
                <w:bCs/>
              </w:rPr>
              <w:t>＜h≤</w:t>
            </w:r>
            <w:r>
              <w:rPr>
                <w:b w:val="0"/>
                <w:bCs/>
              </w:rPr>
              <w:t>150</w:t>
            </w:r>
          </w:p>
        </w:tc>
        <w:tc>
          <w:tcPr>
            <w:tcW w:w="600" w:type="pct"/>
            <w:shd w:val="clear" w:color="auto" w:fill="auto"/>
            <w:vAlign w:val="center"/>
          </w:tcPr>
          <w:p w14:paraId="37161675">
            <w:pPr>
              <w:pStyle w:val="30"/>
              <w:rPr>
                <w:b w:val="0"/>
                <w:bCs/>
              </w:rPr>
            </w:pPr>
            <w:r>
              <w:rPr>
                <w:b w:val="0"/>
                <w:bCs/>
              </w:rPr>
              <w:t>150</w:t>
            </w:r>
            <w:r>
              <w:rPr>
                <w:rFonts w:hint="eastAsia"/>
                <w:b w:val="0"/>
                <w:bCs/>
              </w:rPr>
              <w:t>＜h≤</w:t>
            </w:r>
            <w:r>
              <w:rPr>
                <w:b w:val="0"/>
                <w:bCs/>
              </w:rPr>
              <w:t>200</w:t>
            </w:r>
          </w:p>
        </w:tc>
        <w:tc>
          <w:tcPr>
            <w:tcW w:w="552" w:type="pct"/>
            <w:shd w:val="clear" w:color="auto" w:fill="auto"/>
            <w:vAlign w:val="center"/>
          </w:tcPr>
          <w:p w14:paraId="6AAA7EB9">
            <w:pPr>
              <w:pStyle w:val="30"/>
              <w:rPr>
                <w:b w:val="0"/>
                <w:bCs/>
              </w:rPr>
            </w:pPr>
            <w:r>
              <w:rPr>
                <w:rFonts w:hint="eastAsia"/>
                <w:b w:val="0"/>
                <w:bCs/>
              </w:rPr>
              <w:t>h＞2</w:t>
            </w:r>
            <w:r>
              <w:rPr>
                <w:b w:val="0"/>
                <w:bCs/>
              </w:rPr>
              <w:t>00</w:t>
            </w:r>
          </w:p>
        </w:tc>
      </w:tr>
      <w:tr w14:paraId="4B72E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5F1C8300">
            <w:pPr>
              <w:pStyle w:val="30"/>
              <w:rPr>
                <w:b w:val="0"/>
                <w:bCs/>
              </w:rPr>
            </w:pPr>
            <w:r>
              <w:rPr>
                <w:rFonts w:hint="eastAsia"/>
                <w:b w:val="0"/>
                <w:bCs/>
              </w:rPr>
              <w:t>垂直度偏差值（mm）</w:t>
            </w:r>
          </w:p>
        </w:tc>
        <w:tc>
          <w:tcPr>
            <w:tcW w:w="1544" w:type="pct"/>
            <w:shd w:val="clear" w:color="auto" w:fill="auto"/>
            <w:vAlign w:val="center"/>
          </w:tcPr>
          <w:p w14:paraId="4247F130">
            <w:pPr>
              <w:pStyle w:val="30"/>
              <w:rPr>
                <w:b w:val="0"/>
                <w:bCs/>
              </w:rPr>
            </w:pPr>
            <w:r>
              <w:rPr>
                <w:rFonts w:hint="eastAsia"/>
                <w:b w:val="0"/>
                <w:bCs/>
              </w:rPr>
              <w:t>不大于导轨架架设高度的0</w:t>
            </w:r>
            <w:r>
              <w:rPr>
                <w:b w:val="0"/>
                <w:bCs/>
              </w:rPr>
              <w:t>.5/1000</w:t>
            </w:r>
          </w:p>
        </w:tc>
        <w:tc>
          <w:tcPr>
            <w:tcW w:w="515" w:type="pct"/>
            <w:shd w:val="clear" w:color="auto" w:fill="auto"/>
            <w:vAlign w:val="center"/>
          </w:tcPr>
          <w:p w14:paraId="243F66DA">
            <w:pPr>
              <w:pStyle w:val="30"/>
              <w:rPr>
                <w:b w:val="0"/>
                <w:bCs/>
              </w:rPr>
            </w:pPr>
            <w:r>
              <w:rPr>
                <w:rFonts w:hint="eastAsia"/>
                <w:b w:val="0"/>
                <w:bCs/>
              </w:rPr>
              <w:t>≤3</w:t>
            </w:r>
            <w:r>
              <w:rPr>
                <w:b w:val="0"/>
                <w:bCs/>
              </w:rPr>
              <w:t>5</w:t>
            </w:r>
          </w:p>
        </w:tc>
        <w:tc>
          <w:tcPr>
            <w:tcW w:w="599" w:type="pct"/>
            <w:shd w:val="clear" w:color="auto" w:fill="auto"/>
            <w:vAlign w:val="center"/>
          </w:tcPr>
          <w:p w14:paraId="64703971">
            <w:pPr>
              <w:pStyle w:val="30"/>
              <w:rPr>
                <w:b w:val="0"/>
                <w:bCs/>
              </w:rPr>
            </w:pPr>
            <w:r>
              <w:rPr>
                <w:rFonts w:hint="eastAsia"/>
                <w:b w:val="0"/>
                <w:bCs/>
              </w:rPr>
              <w:t>≤4</w:t>
            </w:r>
            <w:r>
              <w:rPr>
                <w:b w:val="0"/>
                <w:bCs/>
              </w:rPr>
              <w:t>0</w:t>
            </w:r>
          </w:p>
        </w:tc>
        <w:tc>
          <w:tcPr>
            <w:tcW w:w="600" w:type="pct"/>
            <w:shd w:val="clear" w:color="auto" w:fill="auto"/>
            <w:vAlign w:val="center"/>
          </w:tcPr>
          <w:p w14:paraId="3B87EFB5">
            <w:pPr>
              <w:pStyle w:val="30"/>
              <w:rPr>
                <w:b w:val="0"/>
                <w:bCs/>
              </w:rPr>
            </w:pPr>
            <w:r>
              <w:rPr>
                <w:rFonts w:hint="eastAsia"/>
                <w:b w:val="0"/>
                <w:bCs/>
              </w:rPr>
              <w:t>≤4</w:t>
            </w:r>
            <w:r>
              <w:rPr>
                <w:b w:val="0"/>
                <w:bCs/>
              </w:rPr>
              <w:t>5</w:t>
            </w:r>
          </w:p>
        </w:tc>
        <w:tc>
          <w:tcPr>
            <w:tcW w:w="552" w:type="pct"/>
            <w:shd w:val="clear" w:color="auto" w:fill="auto"/>
            <w:vAlign w:val="center"/>
          </w:tcPr>
          <w:p w14:paraId="17DF1508">
            <w:pPr>
              <w:pStyle w:val="30"/>
              <w:rPr>
                <w:b w:val="0"/>
                <w:bCs/>
              </w:rPr>
            </w:pPr>
            <w:r>
              <w:rPr>
                <w:rFonts w:hint="eastAsia"/>
                <w:b w:val="0"/>
                <w:bCs/>
              </w:rPr>
              <w:t>≤5</w:t>
            </w:r>
            <w:r>
              <w:rPr>
                <w:b w:val="0"/>
                <w:bCs/>
              </w:rPr>
              <w:t>0</w:t>
            </w:r>
          </w:p>
        </w:tc>
      </w:tr>
    </w:tbl>
    <w:p w14:paraId="4E7241BA">
      <w:pPr>
        <w:pStyle w:val="7"/>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pPr>
      <w:bookmarkStart w:id="219" w:name="_Toc4990"/>
      <w:bookmarkStart w:id="220" w:name="_Toc1474"/>
      <w:r>
        <w:rPr>
          <w:rFonts w:hint="eastAsia"/>
        </w:rPr>
        <w:t>特殊季节保证措施</w:t>
      </w:r>
      <w:bookmarkEnd w:id="219"/>
      <w:bookmarkEnd w:id="220"/>
    </w:p>
    <w:p w14:paraId="6971B8D0">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雨季施工保证措施</w:t>
      </w:r>
    </w:p>
    <w:p w14:paraId="16F4CCFA">
      <w:pPr>
        <w:numPr>
          <w:ilvl w:val="0"/>
          <w:numId w:val="30"/>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321B0272">
      <w:pPr>
        <w:numPr>
          <w:ilvl w:val="0"/>
          <w:numId w:val="30"/>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4069794E">
      <w:pPr>
        <w:numPr>
          <w:ilvl w:val="0"/>
          <w:numId w:val="30"/>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0795658A">
      <w:pPr>
        <w:numPr>
          <w:ilvl w:val="0"/>
          <w:numId w:val="30"/>
        </w:numPr>
        <w:ind w:firstLineChars="0"/>
      </w:pPr>
      <w:r>
        <w:rPr>
          <w:rFonts w:hint="eastAsia"/>
        </w:rPr>
        <w:t>施工场地和生活区要设置排水设施；施工现场应及时排除积水，并采取防滑措施。同时制定安全用电规程，严防漏电、触电；雷区应有防雷措施。</w:t>
      </w:r>
    </w:p>
    <w:p w14:paraId="6D686E14">
      <w:pPr>
        <w:numPr>
          <w:ilvl w:val="0"/>
          <w:numId w:val="30"/>
        </w:numPr>
        <w:ind w:firstLineChars="0"/>
      </w:pPr>
      <w:r>
        <w:rPr>
          <w:rFonts w:hint="eastAsia"/>
        </w:rPr>
        <w:t>雨季施工要避开大风大雨天气，遇暴风雨或受洪水危害时要停止施工作业。</w:t>
      </w:r>
    </w:p>
    <w:p w14:paraId="49CE8CD2">
      <w:pPr>
        <w:numPr>
          <w:ilvl w:val="0"/>
          <w:numId w:val="30"/>
        </w:numPr>
        <w:ind w:firstLineChars="0"/>
      </w:pPr>
      <w:r>
        <w:rPr>
          <w:rFonts w:hint="eastAsia"/>
        </w:rPr>
        <w:t>加强与气象部门的沟通，提前掌握天气变化趋势，对可能到来的大范围强降水要早知道、早预防、早准备，做到有备无患，最大程度地减小对施工的影响。</w:t>
      </w:r>
    </w:p>
    <w:p w14:paraId="7BAC01D4">
      <w:pPr>
        <w:numPr>
          <w:ilvl w:val="0"/>
          <w:numId w:val="30"/>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4719981F">
      <w:pPr>
        <w:numPr>
          <w:ilvl w:val="0"/>
          <w:numId w:val="30"/>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322BB4CA">
      <w:pPr>
        <w:numPr>
          <w:ilvl w:val="0"/>
          <w:numId w:val="30"/>
        </w:numPr>
        <w:ind w:firstLineChars="0"/>
      </w:pPr>
      <w:r>
        <w:rPr>
          <w:rFonts w:hint="eastAsia"/>
        </w:rPr>
        <w:t>注意安全用电，以防止漏电、触电。加强施工用电安全防护工作，机电设备的电闸箱采取防雨、防潮等措施，并安装好接地保护装置。</w:t>
      </w:r>
    </w:p>
    <w:p w14:paraId="220C88A1">
      <w:pPr>
        <w:numPr>
          <w:ilvl w:val="0"/>
          <w:numId w:val="30"/>
        </w:numPr>
        <w:ind w:firstLineChars="0"/>
      </w:pPr>
      <w:r>
        <w:rPr>
          <w:rFonts w:hint="eastAsia"/>
        </w:rPr>
        <w:t>在雨季施工期间，项目所有员工均要配备雨鞋、雨衣。员工在雨天进行施工时，必须要穿好雨衣、雨鞋，防止因淋雨而生病。</w:t>
      </w:r>
    </w:p>
    <w:p w14:paraId="1DD47EF5">
      <w:pPr>
        <w:numPr>
          <w:ilvl w:val="0"/>
          <w:numId w:val="30"/>
        </w:numPr>
        <w:ind w:firstLineChars="0"/>
      </w:pPr>
      <w:r>
        <w:rPr>
          <w:rFonts w:hint="eastAsia"/>
        </w:rPr>
        <w:t>雨天不要进行钢筋焊接作业，预防施工漏电及雷电对人身安全造成伤害。</w:t>
      </w:r>
    </w:p>
    <w:p w14:paraId="64C8C9E2">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b/>
          <w:bCs/>
          <w:sz w:val="24"/>
          <w:szCs w:val="24"/>
        </w:rPr>
      </w:pPr>
      <w:r>
        <w:rPr>
          <w:rFonts w:hint="eastAsia"/>
          <w:b/>
          <w:bCs/>
          <w:sz w:val="24"/>
          <w:szCs w:val="24"/>
        </w:rPr>
        <w:t>大风天气施工保证措施</w:t>
      </w:r>
    </w:p>
    <w:p w14:paraId="0CD6E147">
      <w:pPr>
        <w:numPr>
          <w:ilvl w:val="0"/>
          <w:numId w:val="31"/>
        </w:numPr>
        <w:ind w:firstLineChars="0"/>
      </w:pPr>
      <w:r>
        <w:rPr>
          <w:rFonts w:hint="eastAsia"/>
        </w:rPr>
        <w:t>加强当地气象网站的监听，随时通告有关大风信息，起重吊装作业要求在风力六级以下施工。</w:t>
      </w:r>
    </w:p>
    <w:p w14:paraId="1159FE4A">
      <w:pPr>
        <w:numPr>
          <w:ilvl w:val="0"/>
          <w:numId w:val="31"/>
        </w:numPr>
        <w:ind w:firstLineChars="0"/>
      </w:pPr>
      <w:r>
        <w:rPr>
          <w:rFonts w:hint="eastAsia"/>
        </w:rPr>
        <w:t>若遇</w:t>
      </w:r>
      <w:r>
        <w:rPr>
          <w:rFonts w:hint="eastAsia"/>
          <w:lang w:eastAsia="zh-CN"/>
        </w:rPr>
        <w:t>四</w:t>
      </w:r>
      <w:r>
        <w:rPr>
          <w:rFonts w:hint="eastAsia"/>
        </w:rPr>
        <w:t>级以上大风时，及时停止起重吊装作业，并采取有效的防风措施。</w:t>
      </w:r>
    </w:p>
    <w:p w14:paraId="22CEBE52">
      <w:pPr>
        <w:numPr>
          <w:ilvl w:val="0"/>
          <w:numId w:val="31"/>
        </w:numPr>
        <w:ind w:firstLineChars="0"/>
      </w:pPr>
      <w:r>
        <w:rPr>
          <w:rFonts w:hint="eastAsia"/>
        </w:rPr>
        <w:t>针对季风期内突发风以及大风等天气，对现场机械设备、临时设施采取加固措施。</w:t>
      </w:r>
    </w:p>
    <w:p w14:paraId="54929D37">
      <w:pPr>
        <w:numPr>
          <w:ilvl w:val="0"/>
          <w:numId w:val="31"/>
        </w:numPr>
        <w:ind w:firstLineChars="0"/>
      </w:pPr>
      <w:r>
        <w:rPr>
          <w:rFonts w:hint="eastAsia"/>
        </w:rPr>
        <w:t>季风期施工时，将作业平台上小型物件及不稳定物体进行绑牢稳定，防止物件掉落。</w:t>
      </w:r>
    </w:p>
    <w:p w14:paraId="46723A3B">
      <w:pPr>
        <w:numPr>
          <w:ilvl w:val="0"/>
          <w:numId w:val="31"/>
        </w:numPr>
        <w:ind w:firstLineChars="0"/>
      </w:pPr>
      <w:r>
        <w:rPr>
          <w:rFonts w:hint="eastAsia"/>
        </w:rPr>
        <w:t>积极与当地相关部门联系，服从其统一领导和调度，努力配合工作。</w:t>
      </w:r>
    </w:p>
    <w:p w14:paraId="2B14C50E">
      <w:pPr>
        <w:numPr>
          <w:ilvl w:val="0"/>
          <w:numId w:val="31"/>
        </w:numPr>
        <w:ind w:firstLineChars="0"/>
      </w:pPr>
      <w:r>
        <w:rPr>
          <w:rFonts w:hint="eastAsia"/>
        </w:rPr>
        <w:t>有关人员配备通讯设备（如对讲机），加强联系，互通情况。</w:t>
      </w:r>
    </w:p>
    <w:bookmarkEnd w:id="148"/>
    <w:bookmarkEnd w:id="149"/>
    <w:bookmarkEnd w:id="150"/>
    <w:bookmarkEnd w:id="151"/>
    <w:bookmarkEnd w:id="152"/>
    <w:bookmarkEnd w:id="153"/>
    <w:p w14:paraId="5D0BCCCF">
      <w:pPr>
        <w:rPr>
          <w:color w:val="auto"/>
        </w:rPr>
      </w:pPr>
      <w:bookmarkStart w:id="221" w:name="_Toc15539"/>
      <w:bookmarkStart w:id="222" w:name="_Toc40778447"/>
      <w:bookmarkStart w:id="223" w:name="_Toc2870"/>
      <w:r>
        <w:rPr>
          <w:rFonts w:hint="eastAsia"/>
          <w:color w:val="auto"/>
        </w:rPr>
        <w:br w:type="page"/>
      </w:r>
    </w:p>
    <w:p w14:paraId="6769ED84">
      <w:pPr>
        <w:pStyle w:val="6"/>
        <w:spacing w:before="156" w:after="156"/>
        <w:rPr>
          <w:color w:val="auto"/>
        </w:rPr>
      </w:pPr>
      <w:bookmarkStart w:id="224" w:name="_Toc10609"/>
      <w:r>
        <w:rPr>
          <w:rFonts w:hint="eastAsia"/>
          <w:color w:val="auto"/>
        </w:rPr>
        <w:t>施工管理及作业人员配备和分工</w:t>
      </w:r>
      <w:bookmarkEnd w:id="221"/>
      <w:bookmarkEnd w:id="222"/>
      <w:bookmarkEnd w:id="223"/>
      <w:bookmarkEnd w:id="224"/>
    </w:p>
    <w:p w14:paraId="12DA363C">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25" w:name="_Toc16980"/>
      <w:r>
        <w:rPr>
          <w:rFonts w:hint="eastAsia" w:eastAsia="宋体"/>
          <w:color w:val="auto"/>
          <w:lang w:val="en-US" w:eastAsia="zh-CN"/>
        </w:rPr>
        <w:t>施工管理人员配备和分工</w:t>
      </w:r>
      <w:bookmarkEnd w:id="225"/>
    </w:p>
    <w:p w14:paraId="00B92FF3">
      <w:pPr>
        <w:pStyle w:val="13"/>
        <w:jc w:val="cente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6.1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rPr>
        <w:t xml:space="preserve">  项目主要管理人员配备</w:t>
      </w:r>
      <w:r>
        <w:rPr>
          <w:rFonts w:ascii="Times New Roman" w:hAnsi="Times New Roman" w:eastAsia="宋体"/>
          <w:b/>
          <w:color w:val="auto"/>
          <w:sz w:val="21"/>
          <w:szCs w:val="24"/>
        </w:rPr>
        <w:t>表</w:t>
      </w:r>
    </w:p>
    <w:tbl>
      <w:tblPr>
        <w:tblStyle w:val="26"/>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1928CE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themeFill="text2" w:themeFillTint="32"/>
            <w:vAlign w:val="center"/>
          </w:tcPr>
          <w:p w14:paraId="4E639900">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themeFill="text2" w:themeFillTint="32"/>
            <w:vAlign w:val="center"/>
          </w:tcPr>
          <w:p w14:paraId="1E75B3FD">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themeFill="text2" w:themeFillTint="32"/>
            <w:vAlign w:val="center"/>
          </w:tcPr>
          <w:p w14:paraId="24035FB9">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385433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6399E906">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5E23329A">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46300AA3">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41DBF4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AD3BBFF">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216261DC">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2ED18F2A">
            <w:pPr>
              <w:pStyle w:val="70"/>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7FF856EE">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26" w:name="_Toc21435"/>
      <w:bookmarkStart w:id="227" w:name="_Toc5896"/>
      <w:r>
        <w:rPr>
          <w:rFonts w:hint="eastAsia" w:eastAsia="宋体"/>
          <w:color w:val="auto"/>
          <w:lang w:val="en-US" w:eastAsia="zh-CN"/>
        </w:rPr>
        <w:t>作业人员配置</w:t>
      </w:r>
      <w:bookmarkEnd w:id="226"/>
      <w:bookmarkEnd w:id="227"/>
    </w:p>
    <w:p w14:paraId="3ADBCC8E">
      <w:pPr>
        <w:pStyle w:val="13"/>
        <w:jc w:val="center"/>
      </w:pPr>
      <w:bookmarkStart w:id="228" w:name="_Toc17383790"/>
      <w:bookmarkStart w:id="229" w:name="_Toc1349054167"/>
      <w:bookmarkStart w:id="230" w:name="_Toc10028"/>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6.2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拆除单位人员</w:t>
      </w:r>
      <w:r>
        <w:rPr>
          <w:rFonts w:hint="eastAsia" w:ascii="宋体" w:hAnsi="宋体" w:eastAsia="宋体" w:cs="黑体"/>
          <w:b/>
          <w:color w:val="auto"/>
          <w:sz w:val="21"/>
          <w:szCs w:val="21"/>
          <w:lang w:val="en-US" w:eastAsia="zh-CN"/>
        </w:rPr>
        <w:t>分工一览表</w:t>
      </w:r>
    </w:p>
    <w:tbl>
      <w:tblPr>
        <w:tblStyle w:val="26"/>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工艺规程及</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专职安全员</w:t>
            </w:r>
          </w:p>
        </w:tc>
        <w:tc>
          <w:tcPr>
            <w:tcW w:w="1221" w:type="dxa"/>
            <w:noWrap w:val="0"/>
            <w:vAlign w:val="top"/>
          </w:tcPr>
          <w:p w14:paraId="1A58367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明兴富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拆除</w:t>
            </w:r>
            <w:r>
              <w:rPr>
                <w:rFonts w:hint="eastAsia" w:ascii="Times New Roman" w:hAnsi="Times New Roman" w:eastAsia="宋体" w:cs="Times New Roman"/>
                <w:color w:val="auto"/>
                <w:sz w:val="21"/>
                <w:szCs w:val="21"/>
                <w:lang w:val="en-US" w:eastAsia="zh-CN"/>
              </w:rPr>
              <w:t>人员</w:t>
            </w:r>
          </w:p>
        </w:tc>
        <w:tc>
          <w:tcPr>
            <w:tcW w:w="1221" w:type="dxa"/>
            <w:noWrap w:val="0"/>
            <w:vAlign w:val="top"/>
          </w:tcPr>
          <w:p w14:paraId="3E0D9D3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白美富</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拆除</w:t>
            </w:r>
            <w:r>
              <w:rPr>
                <w:rFonts w:hint="eastAsia" w:ascii="Times New Roman" w:hAnsi="Times New Roman" w:eastAsia="宋体" w:cs="Times New Roman"/>
                <w:color w:val="auto"/>
                <w:sz w:val="21"/>
                <w:szCs w:val="21"/>
                <w:lang w:val="en-US" w:eastAsia="zh-CN"/>
              </w:rPr>
              <w:t>人员</w:t>
            </w:r>
          </w:p>
        </w:tc>
        <w:tc>
          <w:tcPr>
            <w:tcW w:w="1221" w:type="dxa"/>
            <w:noWrap w:val="0"/>
            <w:vAlign w:val="top"/>
          </w:tcPr>
          <w:p w14:paraId="7FD5521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彭兴华</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信号司索工</w:t>
            </w:r>
          </w:p>
        </w:tc>
        <w:tc>
          <w:tcPr>
            <w:tcW w:w="1221" w:type="dxa"/>
            <w:shd w:val="clear" w:color="auto" w:fill="auto"/>
            <w:noWrap w:val="0"/>
            <w:vAlign w:val="top"/>
          </w:tcPr>
          <w:p w14:paraId="5BBF7BB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heme="minorBidi"/>
                <w:b w:val="0"/>
                <w:color w:val="000000"/>
              </w:rPr>
              <w:t>负责吊具、索具的操作</w:t>
            </w:r>
            <w:r>
              <w:rPr>
                <w:rStyle w:val="79"/>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电工</w:t>
            </w:r>
          </w:p>
        </w:tc>
        <w:tc>
          <w:tcPr>
            <w:tcW w:w="1221" w:type="dxa"/>
            <w:noWrap w:val="0"/>
            <w:vAlign w:val="top"/>
          </w:tcPr>
          <w:p w14:paraId="0545894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陈刚</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w:t>
            </w:r>
            <w:r>
              <w:rPr>
                <w:rFonts w:hint="eastAsia" w:ascii="宋体" w:hAnsi="宋体" w:cs="宋体"/>
                <w:color w:val="auto"/>
                <w:sz w:val="21"/>
                <w:szCs w:val="21"/>
                <w:lang w:eastAsia="zh-CN"/>
              </w:rPr>
              <w:t>拆除</w:t>
            </w:r>
            <w:r>
              <w:rPr>
                <w:rFonts w:hint="eastAsia" w:ascii="宋体" w:hAnsi="宋体" w:eastAsia="宋体" w:cs="宋体"/>
                <w:color w:val="auto"/>
                <w:sz w:val="21"/>
                <w:szCs w:val="21"/>
              </w:rPr>
              <w:t>、恢复、调试</w:t>
            </w:r>
          </w:p>
        </w:tc>
      </w:tr>
      <w:bookmarkEnd w:id="228"/>
      <w:bookmarkEnd w:id="229"/>
      <w:bookmarkEnd w:id="230"/>
    </w:tbl>
    <w:p w14:paraId="514CF718">
      <w:pPr>
        <w:pStyle w:val="13"/>
        <w:jc w:val="center"/>
        <w:rPr>
          <w:rFonts w:hint="eastAsia" w:ascii="Times New Roman" w:hAnsi="Times New Roman" w:eastAsia="宋体"/>
          <w:b/>
          <w:color w:val="auto"/>
          <w:sz w:val="21"/>
          <w:szCs w:val="24"/>
        </w:rP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6.2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w:t>
      </w:r>
      <w:r>
        <w:rPr>
          <w:rFonts w:hint="eastAsia" w:ascii="Times New Roman" w:hAnsi="Times New Roman" w:eastAsia="宋体"/>
          <w:b/>
          <w:color w:val="auto"/>
          <w:sz w:val="21"/>
          <w:szCs w:val="24"/>
          <w:lang w:eastAsia="zh-CN"/>
        </w:rPr>
        <w:t>拆除</w:t>
      </w:r>
      <w:r>
        <w:rPr>
          <w:rFonts w:hint="eastAsia" w:ascii="Times New Roman" w:hAnsi="Times New Roman" w:eastAsia="宋体"/>
          <w:b/>
          <w:color w:val="auto"/>
          <w:sz w:val="21"/>
          <w:szCs w:val="24"/>
        </w:rPr>
        <w:t>作业人员</w:t>
      </w:r>
    </w:p>
    <w:tbl>
      <w:tblPr>
        <w:tblStyle w:val="27"/>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明兴富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川建安C3(2022)1005225</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990" w:type="dxa"/>
            <w:vAlign w:val="center"/>
          </w:tcPr>
          <w:p w14:paraId="7A7E722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白美富</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川M092019501828</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22137508">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default" w:ascii="Times New Roman" w:hAnsi="Times New Roman" w:eastAsia="宋体" w:cstheme="minorBidi"/>
                <w:b w:val="0"/>
                <w:color w:val="000000"/>
                <w:lang w:val="en-US" w:eastAsia="zh-CN"/>
              </w:rPr>
              <w:t>彭兴华</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川A092021700024</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510923198703045214</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1F217D1B">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张全超</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510112197804090711</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w:t>
            </w:r>
          </w:p>
        </w:tc>
        <w:tc>
          <w:tcPr>
            <w:tcW w:w="990" w:type="dxa"/>
            <w:vAlign w:val="center"/>
          </w:tcPr>
          <w:p w14:paraId="14A775C6">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陈刚</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川A012025001968</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bl>
    <w:p w14:paraId="6BD79857">
      <w:pPr>
        <w:pStyle w:val="4"/>
        <w:rPr>
          <w:color w:val="auto"/>
        </w:rPr>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pPr>
    </w:p>
    <w:p w14:paraId="2C494392">
      <w:pPr>
        <w:pStyle w:val="6"/>
        <w:spacing w:before="156" w:after="156"/>
        <w:rPr>
          <w:color w:val="auto"/>
        </w:rPr>
      </w:pPr>
      <w:bookmarkStart w:id="231" w:name="_Toc40778448"/>
      <w:bookmarkStart w:id="232" w:name="_Toc28613973"/>
      <w:bookmarkStart w:id="233" w:name="_Toc6639"/>
      <w:bookmarkStart w:id="234" w:name="_Toc5288"/>
      <w:bookmarkStart w:id="235" w:name="_Toc31046"/>
      <w:r>
        <w:rPr>
          <w:rFonts w:hint="eastAsia"/>
          <w:color w:val="auto"/>
        </w:rPr>
        <w:t>验收要求</w:t>
      </w:r>
      <w:bookmarkEnd w:id="231"/>
      <w:bookmarkEnd w:id="232"/>
      <w:bookmarkEnd w:id="233"/>
      <w:bookmarkEnd w:id="234"/>
      <w:bookmarkEnd w:id="235"/>
    </w:p>
    <w:p w14:paraId="2DB4826B">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36" w:name="_Toc109137384"/>
      <w:bookmarkStart w:id="237" w:name="_Toc13870"/>
      <w:bookmarkStart w:id="238" w:name="_Toc29137"/>
      <w:bookmarkStart w:id="239" w:name="_Toc25769"/>
      <w:bookmarkStart w:id="240" w:name="_Toc365"/>
      <w:bookmarkStart w:id="241" w:name="_Toc40778457"/>
      <w:bookmarkStart w:id="242" w:name="_Toc4255"/>
      <w:r>
        <w:rPr>
          <w:rFonts w:hint="eastAsia" w:eastAsia="宋体"/>
          <w:color w:val="auto"/>
          <w:lang w:val="en-US" w:eastAsia="zh-CN"/>
        </w:rPr>
        <w:t>验收要求</w:t>
      </w:r>
      <w:bookmarkEnd w:id="236"/>
      <w:bookmarkEnd w:id="237"/>
    </w:p>
    <w:p w14:paraId="1D946939">
      <w:pPr>
        <w:ind w:firstLine="480"/>
      </w:pPr>
      <w:bookmarkStart w:id="243" w:name="_Toc23170"/>
      <w:bookmarkStart w:id="244" w:name="_Toc65571555"/>
      <w:r>
        <w:rPr>
          <w:rFonts w:hint="eastAsia"/>
        </w:rPr>
        <w:t>验收标准主要依据：《施工升降机安全规程》（GB 10055-2007）、</w:t>
      </w:r>
      <w:r>
        <w:t>《</w:t>
      </w:r>
      <w:r>
        <w:rPr>
          <w:rFonts w:hint="eastAsia"/>
        </w:rPr>
        <w:t>公路水运工程临时用电技术规程</w:t>
      </w:r>
      <w:r>
        <w:t>》（</w:t>
      </w:r>
      <w:r>
        <w:rPr>
          <w:rFonts w:hint="eastAsia"/>
          <w:lang w:val="en-US" w:eastAsia="zh-CN"/>
        </w:rPr>
        <w:t>JT/T1499-2024</w:t>
      </w:r>
      <w:r>
        <w:t>）</w:t>
      </w:r>
      <w:r>
        <w:rPr>
          <w:rFonts w:hint="eastAsia"/>
        </w:rPr>
        <w:t>、《建筑施工起重吊装工程安全技术规范》（JGJ 276-2012）、《建筑施工高处作业安全技术规范》（JGJ 80-2016）等。</w:t>
      </w:r>
    </w:p>
    <w:p w14:paraId="5821BDFE">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45" w:name="_Toc939"/>
      <w:bookmarkStart w:id="246" w:name="_Toc1660"/>
      <w:r>
        <w:rPr>
          <w:rFonts w:hint="eastAsia" w:eastAsia="宋体"/>
          <w:color w:val="auto"/>
          <w:lang w:val="en-US" w:eastAsia="zh-CN"/>
        </w:rPr>
        <w:t>验收程序</w:t>
      </w:r>
      <w:bookmarkEnd w:id="243"/>
      <w:bookmarkEnd w:id="244"/>
      <w:bookmarkEnd w:id="245"/>
      <w:bookmarkEnd w:id="246"/>
    </w:p>
    <w:p w14:paraId="685A6DC7">
      <w:pPr>
        <w:numPr>
          <w:ilvl w:val="0"/>
          <w:numId w:val="32"/>
        </w:numPr>
        <w:ind w:firstLine="480"/>
      </w:pPr>
      <w:bookmarkStart w:id="247" w:name="_Toc7965"/>
      <w:bookmarkStart w:id="248" w:name="_Toc28613975"/>
      <w:bookmarkStart w:id="249" w:name="_Toc40778451"/>
      <w:bookmarkStart w:id="250" w:name="_Toc27569"/>
      <w:r>
        <w:rPr>
          <w:rFonts w:hint="eastAsia"/>
          <w:lang w:val="en-US" w:eastAsia="zh-CN"/>
        </w:rPr>
        <w:t>拆除施工升降机</w:t>
      </w:r>
      <w:r>
        <w:rPr>
          <w:rFonts w:hint="eastAsia"/>
        </w:rPr>
        <w:t>过程中，组织管理人员检查设备安全装置与限位装置进行验收。</w:t>
      </w:r>
    </w:p>
    <w:p w14:paraId="1103E58A">
      <w:pPr>
        <w:numPr>
          <w:ilvl w:val="0"/>
          <w:numId w:val="32"/>
        </w:numPr>
        <w:ind w:firstLine="480"/>
      </w:pPr>
      <w:r>
        <w:rPr>
          <w:rFonts w:hint="eastAsia"/>
        </w:rPr>
        <w:t>大型机械设备经检验合格，持有效证件，组拼完毕后由项目设备管理部组织验收，验收合格后方能使用。</w:t>
      </w:r>
    </w:p>
    <w:p w14:paraId="23F2194A">
      <w:pPr>
        <w:numPr>
          <w:ilvl w:val="0"/>
          <w:numId w:val="32"/>
        </w:numPr>
        <w:ind w:firstLine="480"/>
      </w:pPr>
      <w:r>
        <w:rPr>
          <w:rFonts w:hint="eastAsia"/>
        </w:rPr>
        <w:t>小型机具使用前，由项目设备管理部组织验收，填写书面验收记录、合格后挂牌方可使用。</w:t>
      </w:r>
    </w:p>
    <w:p w14:paraId="2B84088A">
      <w:pPr>
        <w:numPr>
          <w:ilvl w:val="0"/>
          <w:numId w:val="32"/>
        </w:numPr>
        <w:ind w:firstLine="480"/>
      </w:pPr>
      <w:r>
        <w:rPr>
          <w:rFonts w:hint="eastAsia"/>
        </w:rPr>
        <w:t>临时用电设施、装置通电前由项目设备管理部组织验收，验收合格后方可通电使用，并做好验收记录。</w:t>
      </w:r>
    </w:p>
    <w:p w14:paraId="2866B6DD">
      <w:pPr>
        <w:numPr>
          <w:ilvl w:val="0"/>
          <w:numId w:val="32"/>
        </w:numPr>
        <w:ind w:firstLine="480"/>
      </w:pPr>
      <w:r>
        <w:rPr>
          <w:rFonts w:hint="eastAsia"/>
        </w:rPr>
        <w:t>施工现场所有的临边安全防护设施，由项目安全管理部组织验收，合格后方可投入使用，每验收一次须做好验收记录。</w:t>
      </w:r>
    </w:p>
    <w:p w14:paraId="0BA9BEFB">
      <w:pPr>
        <w:numPr>
          <w:ilvl w:val="0"/>
          <w:numId w:val="32"/>
        </w:numPr>
        <w:ind w:firstLine="480"/>
        <w:rPr>
          <w:rFonts w:hint="eastAsia"/>
        </w:rPr>
      </w:pPr>
      <w:r>
        <w:rPr>
          <w:rFonts w:hint="eastAsia"/>
        </w:rPr>
        <w:t>起重吊装工索具由项目技术管理部组织验收，验收合格后方可投入使用。</w:t>
      </w:r>
    </w:p>
    <w:p w14:paraId="15FCA760">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51" w:name="_Toc14424"/>
      <w:bookmarkStart w:id="252" w:name="_Toc10931"/>
      <w:r>
        <w:rPr>
          <w:rFonts w:hint="eastAsia" w:eastAsia="宋体"/>
          <w:color w:val="auto"/>
          <w:lang w:val="en-US" w:eastAsia="zh-CN"/>
        </w:rPr>
        <w:t>验收内容</w:t>
      </w:r>
      <w:bookmarkEnd w:id="247"/>
      <w:bookmarkEnd w:id="248"/>
      <w:bookmarkEnd w:id="249"/>
      <w:bookmarkEnd w:id="250"/>
      <w:bookmarkEnd w:id="251"/>
      <w:bookmarkEnd w:id="252"/>
    </w:p>
    <w:p w14:paraId="073EA297">
      <w:pPr>
        <w:numPr>
          <w:ilvl w:val="0"/>
          <w:numId w:val="33"/>
        </w:numPr>
        <w:ind w:firstLine="480"/>
      </w:pPr>
      <w:r>
        <w:rPr>
          <w:rFonts w:hint="eastAsia"/>
        </w:rPr>
        <w:t>吊装区域：地基承载力、起重机支腿、起重机性能、吊点吊具、吊装区域（受限空间、高压电线、四周建筑等）、人员证件、劳保用品（安全带等）的检查。</w:t>
      </w:r>
    </w:p>
    <w:p w14:paraId="048F8C8A">
      <w:pPr>
        <w:numPr>
          <w:ilvl w:val="0"/>
          <w:numId w:val="33"/>
        </w:numPr>
        <w:ind w:firstLine="480"/>
      </w:pPr>
      <w:r>
        <w:rPr>
          <w:rFonts w:hint="eastAsia"/>
        </w:rPr>
        <w:t>焊接与气割：接地情况、开关箱、一机一闸、气瓶安全距离、气瓶存储方式、动火作业申请、人员证件、劳保用品、消防设施的检查。</w:t>
      </w:r>
    </w:p>
    <w:p w14:paraId="2C4A4635">
      <w:pPr>
        <w:numPr>
          <w:ilvl w:val="0"/>
          <w:numId w:val="33"/>
        </w:numPr>
        <w:ind w:firstLine="480"/>
      </w:pPr>
      <w:r>
        <w:rPr>
          <w:rFonts w:hint="eastAsia"/>
        </w:rPr>
        <w:t>临时用电检查：电箱、开关箱、电缆线。</w:t>
      </w:r>
    </w:p>
    <w:p w14:paraId="59B85F99">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53" w:name="_Toc32418"/>
      <w:bookmarkStart w:id="254" w:name="_Toc16410"/>
      <w:r>
        <w:rPr>
          <w:rFonts w:hint="eastAsia" w:eastAsia="宋体"/>
          <w:color w:val="auto"/>
          <w:lang w:val="en-US" w:eastAsia="zh-CN"/>
        </w:rPr>
        <w:t>验收人员</w:t>
      </w:r>
      <w:bookmarkEnd w:id="253"/>
      <w:bookmarkEnd w:id="254"/>
    </w:p>
    <w:p w14:paraId="42DF5732">
      <w:pPr>
        <w:ind w:firstLine="480"/>
      </w:pPr>
      <w:r>
        <w:rPr>
          <w:rFonts w:hint="eastAsia"/>
        </w:rPr>
        <w:t>参与验收人员包括：</w:t>
      </w:r>
      <w:r>
        <w:rPr>
          <w:rFonts w:hint="eastAsia"/>
          <w:lang w:eastAsia="zh-CN"/>
        </w:rPr>
        <w:t>拆除</w:t>
      </w:r>
      <w:r>
        <w:rPr>
          <w:rFonts w:hint="eastAsia"/>
        </w:rPr>
        <w:t>单位现场负责人、</w:t>
      </w:r>
      <w:r>
        <w:rPr>
          <w:rFonts w:hint="eastAsia"/>
          <w:lang w:eastAsia="zh-CN"/>
        </w:rPr>
        <w:t>拆除</w:t>
      </w:r>
      <w:r>
        <w:rPr>
          <w:rFonts w:hint="eastAsia"/>
        </w:rPr>
        <w:t>班组长、项目部代表（含技术、安全、设备管理人员）等，需要监理验收的通知监理参与验收。</w:t>
      </w:r>
    </w:p>
    <w:p w14:paraId="54D38CB8">
      <w:pPr>
        <w:pStyle w:val="32"/>
        <w:rPr>
          <w:color w:val="auto"/>
        </w:rPr>
      </w:pPr>
    </w:p>
    <w:p w14:paraId="267231BE">
      <w:pPr>
        <w:pStyle w:val="6"/>
        <w:numPr>
          <w:ilvl w:val="0"/>
          <w:numId w:val="0"/>
        </w:numPr>
        <w:ind w:leftChars="0"/>
        <w:jc w:val="center"/>
        <w:outlineLvl w:val="0"/>
        <w:rPr>
          <w:rFonts w:hint="eastAsia"/>
          <w:color w:val="auto"/>
          <w:lang w:val="en-US" w:eastAsia="zh-CN"/>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16" w:name="_GoBack"/>
      <w:bookmarkEnd w:id="316"/>
    </w:p>
    <w:p w14:paraId="23E10082">
      <w:pPr>
        <w:pStyle w:val="6"/>
        <w:spacing w:before="156" w:after="156"/>
        <w:rPr>
          <w:rFonts w:hint="eastAsia"/>
          <w:color w:val="auto"/>
        </w:rPr>
      </w:pPr>
      <w:bookmarkStart w:id="255" w:name="_Toc30068"/>
      <w:r>
        <w:rPr>
          <w:rFonts w:hint="eastAsia"/>
          <w:color w:val="auto"/>
        </w:rPr>
        <w:t>应急处置</w:t>
      </w:r>
      <w:r>
        <w:rPr>
          <w:rFonts w:hint="eastAsia"/>
          <w:color w:val="auto"/>
          <w:lang w:eastAsia="zh-CN"/>
        </w:rPr>
        <w:t>措施</w:t>
      </w:r>
      <w:bookmarkEnd w:id="238"/>
      <w:bookmarkEnd w:id="239"/>
      <w:bookmarkEnd w:id="255"/>
    </w:p>
    <w:p w14:paraId="550A33AB">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56" w:name="_Toc18053"/>
      <w:bookmarkStart w:id="257" w:name="_Toc4194"/>
      <w:bookmarkStart w:id="258" w:name="_Toc23818"/>
      <w:bookmarkStart w:id="259" w:name="_Toc10409839"/>
      <w:bookmarkStart w:id="260" w:name="_Toc31355"/>
      <w:bookmarkStart w:id="261" w:name="_Toc16810"/>
      <w:r>
        <w:rPr>
          <w:rFonts w:hint="eastAsia" w:eastAsia="宋体"/>
          <w:color w:val="auto"/>
          <w:lang w:val="en-US" w:eastAsia="zh-CN"/>
        </w:rPr>
        <w:t>组织机构及职责</w:t>
      </w:r>
      <w:bookmarkEnd w:id="256"/>
      <w:bookmarkEnd w:id="257"/>
      <w:bookmarkEnd w:id="258"/>
      <w:bookmarkEnd w:id="259"/>
      <w:bookmarkEnd w:id="260"/>
      <w:bookmarkEnd w:id="261"/>
    </w:p>
    <w:p w14:paraId="355B7B4E">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rPr>
      </w:pPr>
      <w:bookmarkStart w:id="262" w:name="_Toc530055718"/>
      <w:r>
        <w:rPr>
          <w:rFonts w:hint="eastAsia"/>
          <w:b/>
          <w:bCs/>
          <w:sz w:val="24"/>
          <w:szCs w:val="24"/>
        </w:rPr>
        <w:t>应急处置领导小组</w:t>
      </w:r>
      <w:bookmarkEnd w:id="262"/>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ascii="宋体" w:hAnsi="宋体" w:eastAsia="宋体" w:cs="宋体"/>
          <w:color w:val="auto"/>
          <w:kern w:val="2"/>
          <w:sz w:val="24"/>
          <w:szCs w:val="24"/>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val="en-US" w:eastAsia="zh-CN"/>
        </w:rPr>
        <w:t>衣磊</w:t>
      </w:r>
    </w:p>
    <w:p w14:paraId="346C18C9">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员：</w:t>
      </w:r>
      <w:r>
        <w:rPr>
          <w:rFonts w:hint="eastAsia" w:ascii="宋体" w:hAnsi="宋体" w:eastAsia="宋体" w:cs="宋体"/>
          <w:color w:val="auto"/>
          <w:kern w:val="2"/>
          <w:sz w:val="24"/>
          <w:szCs w:val="24"/>
          <w:lang w:val="en-US" w:eastAsia="zh-CN"/>
        </w:rPr>
        <w:t>明兴富、陈刚、白美富</w:t>
      </w:r>
    </w:p>
    <w:p w14:paraId="645CE420">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63" w:name="_Toc530055719"/>
      <w:r>
        <w:rPr>
          <w:rFonts w:hint="eastAsia"/>
          <w:b/>
          <w:bCs/>
          <w:sz w:val="24"/>
          <w:szCs w:val="24"/>
          <w:lang w:val="en-US" w:eastAsia="zh-CN"/>
        </w:rPr>
        <w:t>职责</w:t>
      </w:r>
      <w:bookmarkEnd w:id="263"/>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64" w:name="_Toc530055720"/>
      <w:r>
        <w:rPr>
          <w:rFonts w:hint="eastAsia"/>
          <w:b/>
          <w:bCs/>
          <w:sz w:val="24"/>
          <w:szCs w:val="24"/>
          <w:lang w:val="en-US" w:eastAsia="zh-CN"/>
        </w:rPr>
        <w:t>领导小组人员分工</w:t>
      </w:r>
      <w:bookmarkEnd w:id="264"/>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65" w:name="_Toc28776"/>
      <w:bookmarkStart w:id="266" w:name="_Toc10789"/>
      <w:bookmarkStart w:id="267" w:name="_Toc10409840"/>
      <w:bookmarkStart w:id="268" w:name="_Toc14880"/>
      <w:bookmarkStart w:id="269" w:name="_Toc15798"/>
      <w:bookmarkStart w:id="270" w:name="_Toc29035"/>
      <w:r>
        <w:rPr>
          <w:rFonts w:hint="eastAsia" w:eastAsia="宋体"/>
          <w:color w:val="auto"/>
          <w:lang w:val="en-US" w:eastAsia="zh-CN"/>
        </w:rPr>
        <w:t>预防与预警</w:t>
      </w:r>
      <w:bookmarkEnd w:id="265"/>
      <w:bookmarkEnd w:id="266"/>
      <w:bookmarkEnd w:id="267"/>
      <w:bookmarkEnd w:id="268"/>
      <w:bookmarkEnd w:id="269"/>
      <w:bookmarkEnd w:id="270"/>
    </w:p>
    <w:p w14:paraId="0A9ABD08">
      <w:pPr>
        <w:spacing w:line="360" w:lineRule="auto"/>
        <w:ind w:firstLine="480"/>
        <w:rPr>
          <w:rFonts w:hint="eastAsia" w:ascii="宋体" w:hAnsi="宋体" w:eastAsia="宋体" w:cs="宋体"/>
          <w:color w:val="auto"/>
          <w:kern w:val="2"/>
          <w:sz w:val="24"/>
          <w:szCs w:val="24"/>
        </w:rPr>
      </w:pPr>
      <w:bookmarkStart w:id="271"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（5）将信息迅速传递给项目部；传递内容包括发生的时间、地点、部位、简要经过、伤人数和已采取的应急措施等。</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0DC5AA92">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72" w:name="_Toc21539"/>
      <w:bookmarkStart w:id="273" w:name="_Toc26929"/>
      <w:bookmarkStart w:id="274" w:name="_Toc10032"/>
      <w:bookmarkStart w:id="275" w:name="_Toc22895"/>
      <w:r>
        <w:rPr>
          <w:rFonts w:hint="eastAsia" w:eastAsia="宋体"/>
          <w:color w:val="auto"/>
          <w:lang w:val="en-US" w:eastAsia="zh-CN"/>
        </w:rPr>
        <w:t>应急响应</w:t>
      </w:r>
      <w:bookmarkEnd w:id="271"/>
      <w:bookmarkEnd w:id="272"/>
      <w:r>
        <w:rPr>
          <w:rFonts w:hint="eastAsia" w:eastAsia="宋体"/>
          <w:color w:val="auto"/>
          <w:lang w:val="en-US" w:eastAsia="zh-CN"/>
        </w:rPr>
        <w:t>程序</w:t>
      </w:r>
      <w:bookmarkEnd w:id="273"/>
      <w:bookmarkEnd w:id="274"/>
      <w:bookmarkEnd w:id="275"/>
    </w:p>
    <w:p w14:paraId="768E6B6A">
      <w:pPr>
        <w:pStyle w:val="48"/>
        <w:numPr>
          <w:ilvl w:val="0"/>
          <w:numId w:val="34"/>
        </w:numPr>
        <w:spacing w:line="360" w:lineRule="auto"/>
        <w:ind w:firstLineChars="0"/>
        <w:outlineLvl w:val="9"/>
        <w:rPr>
          <w:rFonts w:hint="eastAsia" w:ascii="宋体" w:hAnsi="宋体" w:eastAsia="宋体" w:cs="宋体"/>
          <w:color w:val="auto"/>
          <w:sz w:val="24"/>
          <w:szCs w:val="24"/>
        </w:rPr>
      </w:pPr>
      <w:bookmarkStart w:id="276" w:name="_Toc2877"/>
      <w:r>
        <w:rPr>
          <w:rFonts w:hint="eastAsia" w:ascii="宋体" w:hAnsi="宋体" w:eastAsia="宋体" w:cs="宋体"/>
          <w:color w:val="auto"/>
          <w:sz w:val="24"/>
          <w:szCs w:val="24"/>
        </w:rPr>
        <w:t>响应分级</w:t>
      </w:r>
      <w:bookmarkEnd w:id="276"/>
    </w:p>
    <w:p w14:paraId="16774045">
      <w:pPr>
        <w:pStyle w:val="13"/>
        <w:jc w:val="cente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8.3</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rPr>
        <w:t xml:space="preserve"> 响应</w:t>
      </w:r>
      <w:r>
        <w:rPr>
          <w:rFonts w:hint="eastAsia" w:ascii="宋体" w:hAnsi="宋体" w:eastAsia="宋体" w:cs="宋体"/>
          <w:b/>
          <w:color w:val="auto"/>
          <w:sz w:val="21"/>
          <w:szCs w:val="21"/>
        </w:rPr>
        <w:t>等级</w:t>
      </w:r>
    </w:p>
    <w:tbl>
      <w:tblPr>
        <w:tblStyle w:val="2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D8C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0D3AE507">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3EC8530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vAlign w:val="center"/>
          </w:tcPr>
          <w:p w14:paraId="32FB816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vAlign w:val="center"/>
          </w:tcPr>
          <w:p w14:paraId="05BBDA6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vAlign w:val="center"/>
          </w:tcPr>
          <w:p w14:paraId="13D5091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vAlign w:val="center"/>
          </w:tcPr>
          <w:p w14:paraId="731380B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109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2903229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vAlign w:val="center"/>
          </w:tcPr>
          <w:p w14:paraId="3FC416D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0277F5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vAlign w:val="center"/>
          </w:tcPr>
          <w:p w14:paraId="35CD153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vAlign w:val="center"/>
          </w:tcPr>
          <w:p w14:paraId="49C8D851">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vAlign w:val="center"/>
          </w:tcPr>
          <w:p w14:paraId="301EB7B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vAlign w:val="center"/>
          </w:tcPr>
          <w:p w14:paraId="171F23FA">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4E3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0E96FED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vAlign w:val="center"/>
          </w:tcPr>
          <w:p w14:paraId="5862A31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vAlign w:val="center"/>
          </w:tcPr>
          <w:p w14:paraId="4805A3E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vAlign w:val="center"/>
          </w:tcPr>
          <w:p w14:paraId="428D374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2573BD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76130C2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vAlign w:val="center"/>
          </w:tcPr>
          <w:p w14:paraId="6BEEADA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7DA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6EF1C01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vAlign w:val="center"/>
          </w:tcPr>
          <w:p w14:paraId="6F153EB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vAlign w:val="center"/>
          </w:tcPr>
          <w:p w14:paraId="48D03AF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vAlign w:val="center"/>
          </w:tcPr>
          <w:p w14:paraId="4878A7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vAlign w:val="center"/>
          </w:tcPr>
          <w:p w14:paraId="6924BC9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27C5FDB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vAlign w:val="center"/>
          </w:tcPr>
          <w:p w14:paraId="32E8687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17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3A8C7A46">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vAlign w:val="center"/>
          </w:tcPr>
          <w:p w14:paraId="64F23ABB">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vAlign w:val="center"/>
          </w:tcPr>
          <w:p w14:paraId="444423B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vAlign w:val="center"/>
          </w:tcPr>
          <w:p w14:paraId="178E9D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vAlign w:val="center"/>
          </w:tcPr>
          <w:p w14:paraId="1D5B5DC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vAlign w:val="center"/>
          </w:tcPr>
          <w:p w14:paraId="17BB067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vAlign w:val="center"/>
          </w:tcPr>
          <w:p w14:paraId="7C8C325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0B9B68F9">
      <w:pPr>
        <w:pStyle w:val="48"/>
        <w:numPr>
          <w:ilvl w:val="0"/>
          <w:numId w:val="34"/>
        </w:numPr>
        <w:spacing w:line="360" w:lineRule="auto"/>
        <w:ind w:firstLineChars="0"/>
        <w:outlineLvl w:val="9"/>
        <w:rPr>
          <w:rFonts w:hint="eastAsia" w:ascii="宋体" w:hAnsi="宋体" w:eastAsia="宋体" w:cs="宋体"/>
          <w:color w:val="auto"/>
          <w:sz w:val="24"/>
          <w:szCs w:val="24"/>
        </w:rPr>
      </w:pPr>
      <w:bookmarkStart w:id="277" w:name="_Toc422"/>
      <w:r>
        <w:rPr>
          <w:rFonts w:hint="eastAsia" w:ascii="宋体" w:hAnsi="宋体" w:eastAsia="宋体" w:cs="宋体"/>
          <w:color w:val="auto"/>
          <w:sz w:val="24"/>
          <w:szCs w:val="24"/>
        </w:rPr>
        <w:t>事故发生后的内部报告程序</w:t>
      </w:r>
      <w:bookmarkEnd w:id="277"/>
    </w:p>
    <w:p w14:paraId="37A5B871">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62FA73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1524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36"/>
                    <a:stretch>
                      <a:fillRect/>
                    </a:stretch>
                  </pic:blipFill>
                  <pic:spPr>
                    <a:xfrm>
                      <a:off x="0" y="0"/>
                      <a:ext cx="5433060" cy="723900"/>
                    </a:xfrm>
                    <a:prstGeom prst="rect">
                      <a:avLst/>
                    </a:prstGeom>
                    <a:noFill/>
                    <a:ln>
                      <a:noFill/>
                    </a:ln>
                  </pic:spPr>
                </pic:pic>
              </a:graphicData>
            </a:graphic>
          </wp:inline>
        </w:drawing>
      </w:r>
    </w:p>
    <w:p w14:paraId="2203758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rPr>
      </w:pPr>
      <w:r>
        <w:rPr>
          <w:rFonts w:hint="eastAsia" w:ascii="Times New Roman" w:hAnsi="Times New Roman" w:eastAsia="宋体"/>
          <w:b/>
          <w:color w:val="auto"/>
          <w:sz w:val="21"/>
          <w:szCs w:val="24"/>
        </w:rPr>
        <w:t xml:space="preserve">图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8.3</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图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rPr>
        <w:t xml:space="preserve"> </w:t>
      </w:r>
      <w:r>
        <w:rPr>
          <w:rFonts w:hint="eastAsia" w:ascii="Times New Roman" w:hAnsi="Times New Roman" w:eastAsia="宋体"/>
          <w:b/>
          <w:color w:val="auto"/>
          <w:sz w:val="21"/>
          <w:szCs w:val="24"/>
          <w:lang w:val="en-US" w:eastAsia="zh-CN"/>
        </w:rPr>
        <w:t>事故报</w:t>
      </w:r>
      <w:r>
        <w:rPr>
          <w:rFonts w:hint="eastAsia" w:ascii="宋体" w:hAnsi="宋体" w:eastAsia="宋体" w:cs="宋体"/>
          <w:b/>
          <w:color w:val="auto"/>
          <w:sz w:val="21"/>
          <w:szCs w:val="21"/>
          <w:lang w:val="en-US" w:eastAsia="zh-CN"/>
        </w:rPr>
        <w:t>告流程图</w:t>
      </w:r>
    </w:p>
    <w:p w14:paraId="3F753EA5">
      <w:pPr>
        <w:pStyle w:val="48"/>
        <w:numPr>
          <w:ilvl w:val="0"/>
          <w:numId w:val="34"/>
        </w:numPr>
        <w:spacing w:line="360" w:lineRule="auto"/>
        <w:ind w:firstLineChars="0"/>
        <w:outlineLvl w:val="9"/>
        <w:rPr>
          <w:rFonts w:hint="eastAsia" w:ascii="宋体" w:hAnsi="宋体" w:eastAsia="宋体" w:cs="宋体"/>
          <w:color w:val="auto"/>
          <w:sz w:val="24"/>
          <w:szCs w:val="24"/>
        </w:rPr>
      </w:pPr>
      <w:bookmarkStart w:id="278" w:name="_Toc3451"/>
      <w:r>
        <w:rPr>
          <w:rFonts w:hint="eastAsia" w:ascii="宋体" w:hAnsi="宋体" w:eastAsia="宋体" w:cs="宋体"/>
          <w:color w:val="auto"/>
          <w:sz w:val="24"/>
          <w:szCs w:val="24"/>
        </w:rPr>
        <w:t>响应程序</w:t>
      </w:r>
      <w:bookmarkEnd w:id="278"/>
    </w:p>
    <w:p w14:paraId="54224565">
      <w:pPr>
        <w:pStyle w:val="48"/>
        <w:numPr>
          <w:ilvl w:val="0"/>
          <w:numId w:val="3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441F5134">
      <w:pPr>
        <w:pStyle w:val="48"/>
        <w:numPr>
          <w:ilvl w:val="0"/>
          <w:numId w:val="3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260B3E7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4CCE5566">
      <w:pPr>
        <w:pStyle w:val="48"/>
        <w:numPr>
          <w:ilvl w:val="0"/>
          <w:numId w:val="3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313EAA2B">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44989F15">
      <w:pPr>
        <w:pStyle w:val="48"/>
        <w:numPr>
          <w:ilvl w:val="0"/>
          <w:numId w:val="3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7037052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315E7392">
      <w:pPr>
        <w:pStyle w:val="48"/>
        <w:numPr>
          <w:ilvl w:val="0"/>
          <w:numId w:val="35"/>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39E8060">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176527C9">
      <w:pPr>
        <w:pStyle w:val="48"/>
        <w:numPr>
          <w:ilvl w:val="0"/>
          <w:numId w:val="34"/>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79980C17">
      <w:pPr>
        <w:pStyle w:val="48"/>
        <w:numPr>
          <w:ilvl w:val="0"/>
          <w:numId w:val="3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4E34C9A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702EDE0F">
      <w:pPr>
        <w:pStyle w:val="48"/>
        <w:numPr>
          <w:ilvl w:val="0"/>
          <w:numId w:val="3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6655A714">
      <w:pPr>
        <w:pStyle w:val="48"/>
        <w:numPr>
          <w:ilvl w:val="0"/>
          <w:numId w:val="3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660D8D56">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0A2DB5B8">
      <w:pPr>
        <w:pStyle w:val="48"/>
        <w:numPr>
          <w:ilvl w:val="0"/>
          <w:numId w:val="34"/>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4235D6F2">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78F74C0">
      <w:pPr>
        <w:pStyle w:val="48"/>
        <w:numPr>
          <w:ilvl w:val="0"/>
          <w:numId w:val="34"/>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93609E2">
      <w:pPr>
        <w:pStyle w:val="48"/>
        <w:numPr>
          <w:ilvl w:val="0"/>
          <w:numId w:val="3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7A80361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56AB9099">
      <w:pPr>
        <w:pStyle w:val="48"/>
        <w:numPr>
          <w:ilvl w:val="0"/>
          <w:numId w:val="3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61F3E229">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59A89786">
      <w:pPr>
        <w:pStyle w:val="48"/>
        <w:numPr>
          <w:ilvl w:val="0"/>
          <w:numId w:val="3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1F08FAD3">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67210F79">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79" w:name="_Toc24033"/>
      <w:bookmarkStart w:id="280" w:name="_Toc17732"/>
      <w:bookmarkStart w:id="281" w:name="_Toc16079"/>
      <w:bookmarkStart w:id="282" w:name="_Toc10409842"/>
      <w:bookmarkStart w:id="283" w:name="_Toc27986"/>
      <w:bookmarkStart w:id="284" w:name="_Toc24120"/>
      <w:r>
        <w:rPr>
          <w:rFonts w:hint="eastAsia" w:eastAsia="宋体"/>
          <w:color w:val="auto"/>
          <w:lang w:val="en-US" w:eastAsia="zh-CN"/>
        </w:rPr>
        <w:t>突发事件应急处置措施和预案</w:t>
      </w:r>
      <w:bookmarkEnd w:id="279"/>
      <w:bookmarkEnd w:id="280"/>
      <w:bookmarkEnd w:id="281"/>
      <w:bookmarkEnd w:id="282"/>
      <w:bookmarkEnd w:id="283"/>
      <w:bookmarkEnd w:id="284"/>
    </w:p>
    <w:p w14:paraId="4153E216">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85" w:name="_Toc530055723"/>
      <w:r>
        <w:rPr>
          <w:rFonts w:hint="eastAsia"/>
          <w:b/>
          <w:bCs/>
          <w:sz w:val="24"/>
          <w:szCs w:val="24"/>
          <w:lang w:val="en-US" w:eastAsia="zh-CN"/>
        </w:rPr>
        <w:t>高空坠落应急处置措施</w:t>
      </w:r>
      <w:bookmarkEnd w:id="285"/>
    </w:p>
    <w:p w14:paraId="1340DA9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30472C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3B79814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0CF3E27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48A4BE4">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86" w:name="_Toc530055724"/>
      <w:r>
        <w:rPr>
          <w:rFonts w:hint="eastAsia"/>
          <w:b/>
          <w:bCs/>
          <w:sz w:val="24"/>
          <w:szCs w:val="24"/>
          <w:lang w:val="en-US" w:eastAsia="zh-CN"/>
        </w:rPr>
        <w:t>物体打击应急处置措施</w:t>
      </w:r>
      <w:bookmarkEnd w:id="286"/>
    </w:p>
    <w:p w14:paraId="730F5E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21A5B2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E383F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CD85C38">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87" w:name="_Toc530055725"/>
      <w:r>
        <w:rPr>
          <w:rFonts w:hint="eastAsia"/>
          <w:b/>
          <w:bCs/>
          <w:sz w:val="24"/>
          <w:szCs w:val="24"/>
          <w:lang w:val="en-US" w:eastAsia="zh-CN"/>
        </w:rPr>
        <w:t>机械伤害应急处置措施</w:t>
      </w:r>
      <w:bookmarkEnd w:id="287"/>
      <w:r>
        <w:rPr>
          <w:rFonts w:hint="eastAsia"/>
          <w:b/>
          <w:bCs/>
          <w:sz w:val="24"/>
          <w:szCs w:val="24"/>
          <w:lang w:val="en-US" w:eastAsia="zh-CN"/>
        </w:rPr>
        <w:t xml:space="preserve"> </w:t>
      </w:r>
    </w:p>
    <w:p w14:paraId="69DF990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094223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55C630E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48391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E30EF9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6C27C94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640EAD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288794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6291DF2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785667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7F4CD1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1D98B4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63021BAF">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4FC337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00D0E4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DBB8A89">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65704D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4609332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63EF08BF">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88" w:name="_Toc530055726"/>
      <w:r>
        <w:rPr>
          <w:rFonts w:hint="eastAsia"/>
          <w:b/>
          <w:bCs/>
          <w:sz w:val="24"/>
          <w:szCs w:val="24"/>
          <w:lang w:val="en-US" w:eastAsia="zh-CN"/>
        </w:rPr>
        <w:t>触电应急处置措施</w:t>
      </w:r>
      <w:bookmarkEnd w:id="288"/>
      <w:r>
        <w:rPr>
          <w:rFonts w:hint="eastAsia"/>
          <w:b/>
          <w:bCs/>
          <w:sz w:val="24"/>
          <w:szCs w:val="24"/>
          <w:lang w:val="en-US" w:eastAsia="zh-CN"/>
        </w:rPr>
        <w:t xml:space="preserve"> </w:t>
      </w:r>
    </w:p>
    <w:p w14:paraId="633D8C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5969CA5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79585FB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6A648E3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6057DC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6A3E38B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184B5F3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3795A8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02563F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0C7341E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6EAD70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48D1DA4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5D04076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4CE5F2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769E0B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5F2C2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7D1003">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89" w:name="_Toc530055727"/>
      <w:r>
        <w:rPr>
          <w:rFonts w:hint="eastAsia"/>
          <w:b/>
          <w:bCs/>
          <w:sz w:val="24"/>
          <w:szCs w:val="24"/>
          <w:lang w:val="en-US" w:eastAsia="zh-CN"/>
        </w:rPr>
        <w:t>落水人员应急处置措施</w:t>
      </w:r>
      <w:bookmarkEnd w:id="289"/>
    </w:p>
    <w:p w14:paraId="4A8DB556">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747C243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7D727BA7">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5775D34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219610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47F91F5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6BC799C">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1823282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4121D11D">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290" w:name="_Toc23368"/>
      <w:bookmarkStart w:id="291" w:name="_Toc4613"/>
      <w:bookmarkStart w:id="292" w:name="_Toc18811"/>
      <w:bookmarkStart w:id="293" w:name="_Toc10887"/>
      <w:bookmarkStart w:id="294" w:name="_Toc29007"/>
      <w:bookmarkStart w:id="295" w:name="_Toc11464"/>
      <w:bookmarkStart w:id="296" w:name="_Toc7406"/>
      <w:bookmarkStart w:id="297" w:name="_Toc10409843"/>
      <w:bookmarkStart w:id="298" w:name="_Toc20264"/>
      <w:r>
        <w:rPr>
          <w:rFonts w:hint="eastAsia" w:eastAsia="宋体"/>
          <w:color w:val="auto"/>
          <w:lang w:val="en-US" w:eastAsia="zh-CN"/>
        </w:rPr>
        <w:t>施工现场的急救步骤</w:t>
      </w:r>
      <w:bookmarkEnd w:id="290"/>
      <w:bookmarkEnd w:id="291"/>
      <w:bookmarkEnd w:id="292"/>
      <w:bookmarkEnd w:id="293"/>
      <w:bookmarkEnd w:id="294"/>
    </w:p>
    <w:p w14:paraId="76B7DA28">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299" w:name="_Toc528765883"/>
      <w:bookmarkStart w:id="300" w:name="_Toc18994"/>
      <w:r>
        <w:rPr>
          <w:rFonts w:hint="eastAsia"/>
          <w:b/>
          <w:bCs/>
          <w:sz w:val="24"/>
          <w:szCs w:val="24"/>
          <w:lang w:val="en-US" w:eastAsia="zh-CN"/>
        </w:rPr>
        <w:t>电话报警</w:t>
      </w:r>
      <w:bookmarkEnd w:id="299"/>
      <w:bookmarkEnd w:id="300"/>
    </w:p>
    <w:p w14:paraId="754421B0">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1BFE58B2">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3C9DF8D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4D73427A">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388E1C27">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905C251">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5186B329">
      <w:pPr>
        <w:widowControl/>
        <w:jc w:val="center"/>
        <w:rPr>
          <w:rFonts w:hint="eastAsia" w:ascii="宋体" w:hAnsi="宋体" w:eastAsia="宋体" w:cs="宋体"/>
          <w:color w:val="auto"/>
          <w:kern w:val="0"/>
          <w:sz w:val="24"/>
          <w:lang w:eastAsia="zh-CN"/>
        </w:rPr>
      </w:pPr>
    </w:p>
    <w:p w14:paraId="618D3380">
      <w:pPr>
        <w:pStyle w:val="8"/>
        <w:keepNext/>
        <w:keepLines/>
        <w:pageBreakBefore w:val="0"/>
        <w:widowControl w:val="0"/>
        <w:tabs>
          <w:tab w:val="left" w:pos="0"/>
        </w:tabs>
        <w:kinsoku/>
        <w:wordWrap/>
        <w:overflowPunct/>
        <w:topLinePunct w:val="0"/>
        <w:autoSpaceDE/>
        <w:autoSpaceDN/>
        <w:bidi w:val="0"/>
        <w:adjustRightInd/>
        <w:snapToGrid/>
        <w:ind w:left="0" w:leftChars="0" w:firstLine="0" w:firstLineChars="0"/>
        <w:textAlignment w:val="auto"/>
        <w:rPr>
          <w:rFonts w:hint="eastAsia"/>
          <w:b/>
          <w:bCs/>
          <w:sz w:val="24"/>
          <w:szCs w:val="24"/>
          <w:lang w:val="en-US" w:eastAsia="zh-CN"/>
        </w:rPr>
      </w:pPr>
      <w:bookmarkStart w:id="301" w:name="_Toc12893"/>
      <w:bookmarkStart w:id="302" w:name="_Toc528765884"/>
      <w:r>
        <w:rPr>
          <w:rFonts w:hint="eastAsia"/>
          <w:b/>
          <w:bCs/>
          <w:sz w:val="24"/>
          <w:szCs w:val="24"/>
          <w:lang w:val="en-US" w:eastAsia="zh-CN"/>
        </w:rPr>
        <w:t>现场疏导、自救</w:t>
      </w:r>
      <w:bookmarkEnd w:id="301"/>
      <w:bookmarkEnd w:id="302"/>
    </w:p>
    <w:p w14:paraId="53397A7A">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5330D8A4">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303" w:name="_Toc3047"/>
      <w:r>
        <w:rPr>
          <w:rFonts w:hint="eastAsia" w:eastAsia="宋体"/>
          <w:color w:val="auto"/>
          <w:lang w:val="en-US" w:eastAsia="zh-CN"/>
        </w:rPr>
        <w:t>应急保障</w:t>
      </w:r>
      <w:bookmarkEnd w:id="295"/>
      <w:bookmarkEnd w:id="296"/>
      <w:bookmarkEnd w:id="297"/>
      <w:bookmarkEnd w:id="298"/>
      <w:bookmarkEnd w:id="303"/>
    </w:p>
    <w:p w14:paraId="01020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7A26E1A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261DEC5">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AB32BF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2273A8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5C05F9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78353CC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6636163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35E3F1A4">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86E767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47C08F18">
      <w:pPr>
        <w:numPr>
          <w:ilvl w:val="0"/>
          <w:numId w:val="0"/>
        </w:numPr>
        <w:spacing w:line="360" w:lineRule="auto"/>
        <w:ind w:leftChars="200"/>
        <w:rPr>
          <w:rFonts w:hint="eastAsia" w:ascii="宋体" w:hAnsi="宋体" w:eastAsia="宋体" w:cs="宋体"/>
          <w:color w:val="auto"/>
          <w:kern w:val="2"/>
          <w:sz w:val="24"/>
          <w:szCs w:val="24"/>
        </w:rPr>
      </w:pPr>
      <w:r>
        <w:rPr>
          <w:rFonts w:hint="eastAsia" w:ascii="宋体" w:hAnsi="宋体" w:cs="宋体"/>
          <w:color w:val="auto"/>
          <w:kern w:val="2"/>
          <w:sz w:val="24"/>
          <w:szCs w:val="24"/>
          <w:lang w:eastAsia="zh-CN"/>
        </w:rPr>
        <w:t>（</w:t>
      </w:r>
      <w:r>
        <w:rPr>
          <w:rFonts w:hint="eastAsia" w:ascii="宋体" w:hAnsi="宋体" w:cs="宋体"/>
          <w:color w:val="auto"/>
          <w:kern w:val="2"/>
          <w:sz w:val="24"/>
          <w:szCs w:val="24"/>
          <w:lang w:val="en-US" w:eastAsia="zh-CN"/>
        </w:rPr>
        <w:t>3</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rPr>
        <w:t>应急物资装备保障</w:t>
      </w:r>
    </w:p>
    <w:p w14:paraId="01E7FC4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393DE2E7">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889E09A">
      <w:pPr>
        <w:pStyle w:val="4"/>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71E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shd w:val="clear" w:color="auto" w:fill="auto"/>
            <w:vAlign w:val="center"/>
          </w:tcPr>
          <w:p w14:paraId="0F817D2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shd w:val="clear" w:color="auto" w:fill="auto"/>
            <w:vAlign w:val="center"/>
          </w:tcPr>
          <w:p w14:paraId="6850A95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shd w:val="clear" w:color="auto" w:fill="auto"/>
            <w:vAlign w:val="center"/>
          </w:tcPr>
          <w:p w14:paraId="4061BD7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shd w:val="clear" w:color="auto" w:fill="auto"/>
            <w:vAlign w:val="center"/>
          </w:tcPr>
          <w:p w14:paraId="5FDE1D6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shd w:val="clear" w:color="auto" w:fill="auto"/>
            <w:vAlign w:val="center"/>
          </w:tcPr>
          <w:p w14:paraId="67287A1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shd w:val="clear" w:color="auto" w:fill="auto"/>
            <w:vAlign w:val="center"/>
          </w:tcPr>
          <w:p w14:paraId="618B4F2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shd w:val="clear" w:color="auto" w:fill="auto"/>
            <w:vAlign w:val="center"/>
          </w:tcPr>
          <w:p w14:paraId="2A5817A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shd w:val="clear" w:color="auto" w:fill="auto"/>
            <w:vAlign w:val="center"/>
          </w:tcPr>
          <w:p w14:paraId="1A3CAD4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0AA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B484B0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shd w:val="clear" w:color="auto" w:fill="auto"/>
            <w:vAlign w:val="center"/>
          </w:tcPr>
          <w:p w14:paraId="000F603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shd w:val="clear" w:color="auto" w:fill="auto"/>
            <w:vAlign w:val="center"/>
          </w:tcPr>
          <w:p w14:paraId="72AD37D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shd w:val="clear" w:color="auto" w:fill="auto"/>
            <w:vAlign w:val="center"/>
          </w:tcPr>
          <w:p w14:paraId="0C084D8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3FD349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1121BECF">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A7764F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921AF90">
            <w:pPr>
              <w:pStyle w:val="30"/>
              <w:rPr>
                <w:rFonts w:hint="eastAsia" w:ascii="宋体" w:hAnsi="宋体" w:eastAsia="宋体" w:cs="宋体"/>
                <w:b w:val="0"/>
                <w:bCs w:val="0"/>
                <w:color w:val="auto"/>
                <w:sz w:val="21"/>
                <w:szCs w:val="21"/>
              </w:rPr>
            </w:pPr>
          </w:p>
        </w:tc>
      </w:tr>
      <w:tr w14:paraId="35A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354A273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shd w:val="clear" w:color="auto" w:fill="auto"/>
            <w:vAlign w:val="center"/>
          </w:tcPr>
          <w:p w14:paraId="6AC8D946">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5FCB1F4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shd w:val="clear" w:color="auto" w:fill="auto"/>
            <w:vAlign w:val="center"/>
          </w:tcPr>
          <w:p w14:paraId="647CEFB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2B0777F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D8A640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258CDC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6835AE8">
            <w:pPr>
              <w:pStyle w:val="30"/>
              <w:rPr>
                <w:rFonts w:hint="eastAsia" w:ascii="宋体" w:hAnsi="宋体" w:eastAsia="宋体" w:cs="宋体"/>
                <w:b w:val="0"/>
                <w:bCs w:val="0"/>
                <w:color w:val="auto"/>
                <w:sz w:val="21"/>
                <w:szCs w:val="21"/>
              </w:rPr>
            </w:pPr>
          </w:p>
        </w:tc>
      </w:tr>
      <w:tr w14:paraId="426E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A5C376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shd w:val="clear" w:color="auto" w:fill="auto"/>
            <w:vAlign w:val="center"/>
          </w:tcPr>
          <w:p w14:paraId="4CE33CFD">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061276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shd w:val="clear" w:color="auto" w:fill="auto"/>
            <w:vAlign w:val="center"/>
          </w:tcPr>
          <w:p w14:paraId="45B0A66F">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07148E7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CC4E68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D69F22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2F466F4">
            <w:pPr>
              <w:pStyle w:val="30"/>
              <w:rPr>
                <w:rFonts w:hint="eastAsia" w:ascii="宋体" w:hAnsi="宋体" w:eastAsia="宋体" w:cs="宋体"/>
                <w:b w:val="0"/>
                <w:bCs w:val="0"/>
                <w:color w:val="auto"/>
                <w:sz w:val="21"/>
                <w:szCs w:val="21"/>
              </w:rPr>
            </w:pPr>
          </w:p>
        </w:tc>
      </w:tr>
      <w:tr w14:paraId="3F97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EE3C33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shd w:val="clear" w:color="auto" w:fill="auto"/>
            <w:vAlign w:val="center"/>
          </w:tcPr>
          <w:p w14:paraId="0F7BF34B">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4AED42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shd w:val="clear" w:color="auto" w:fill="auto"/>
            <w:vAlign w:val="center"/>
          </w:tcPr>
          <w:p w14:paraId="48835CB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17D56E9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shd w:val="clear" w:color="auto" w:fill="auto"/>
            <w:vAlign w:val="center"/>
          </w:tcPr>
          <w:p w14:paraId="4AAD6CE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52BD059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BF8F288">
            <w:pPr>
              <w:pStyle w:val="30"/>
              <w:rPr>
                <w:rFonts w:hint="eastAsia" w:ascii="宋体" w:hAnsi="宋体" w:eastAsia="宋体" w:cs="宋体"/>
                <w:b w:val="0"/>
                <w:bCs w:val="0"/>
                <w:color w:val="auto"/>
                <w:sz w:val="21"/>
                <w:szCs w:val="21"/>
              </w:rPr>
            </w:pPr>
          </w:p>
        </w:tc>
      </w:tr>
      <w:tr w14:paraId="73A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347CAD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shd w:val="clear" w:color="auto" w:fill="auto"/>
            <w:vAlign w:val="center"/>
          </w:tcPr>
          <w:p w14:paraId="73453CAE">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1099D3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shd w:val="clear" w:color="auto" w:fill="auto"/>
            <w:vAlign w:val="center"/>
          </w:tcPr>
          <w:p w14:paraId="68B8B74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0AAD10C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95E04DF">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AA5D14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39924">
            <w:pPr>
              <w:pStyle w:val="30"/>
              <w:rPr>
                <w:rFonts w:hint="eastAsia" w:ascii="宋体" w:hAnsi="宋体" w:eastAsia="宋体" w:cs="宋体"/>
                <w:b w:val="0"/>
                <w:bCs w:val="0"/>
                <w:color w:val="auto"/>
                <w:sz w:val="21"/>
                <w:szCs w:val="21"/>
              </w:rPr>
            </w:pPr>
          </w:p>
        </w:tc>
      </w:tr>
      <w:tr w14:paraId="73CB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3975A6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shd w:val="clear" w:color="auto" w:fill="auto"/>
            <w:vAlign w:val="center"/>
          </w:tcPr>
          <w:p w14:paraId="65D386FB">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5C6E5D4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shd w:val="clear" w:color="auto" w:fill="auto"/>
            <w:vAlign w:val="center"/>
          </w:tcPr>
          <w:p w14:paraId="4BE5C31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shd w:val="clear" w:color="auto" w:fill="auto"/>
            <w:vAlign w:val="center"/>
          </w:tcPr>
          <w:p w14:paraId="3DF9A6B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shd w:val="clear" w:color="auto" w:fill="auto"/>
            <w:vAlign w:val="center"/>
          </w:tcPr>
          <w:p w14:paraId="776468D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DD3EE6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4C6A345">
            <w:pPr>
              <w:pStyle w:val="30"/>
              <w:rPr>
                <w:rFonts w:hint="eastAsia" w:ascii="宋体" w:hAnsi="宋体" w:eastAsia="宋体" w:cs="宋体"/>
                <w:b w:val="0"/>
                <w:bCs w:val="0"/>
                <w:color w:val="auto"/>
                <w:sz w:val="21"/>
                <w:szCs w:val="21"/>
              </w:rPr>
            </w:pPr>
          </w:p>
        </w:tc>
      </w:tr>
      <w:tr w14:paraId="749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7AB75E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shd w:val="clear" w:color="auto" w:fill="auto"/>
            <w:vAlign w:val="center"/>
          </w:tcPr>
          <w:p w14:paraId="66407E0F">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753B139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shd w:val="clear" w:color="auto" w:fill="auto"/>
            <w:vAlign w:val="center"/>
          </w:tcPr>
          <w:p w14:paraId="6A7F365D">
            <w:pPr>
              <w:pStyle w:val="30"/>
              <w:rPr>
                <w:rFonts w:hint="eastAsia" w:ascii="宋体" w:hAnsi="宋体" w:eastAsia="宋体" w:cs="宋体"/>
                <w:b w:val="0"/>
                <w:bCs w:val="0"/>
                <w:color w:val="auto"/>
                <w:sz w:val="21"/>
                <w:szCs w:val="21"/>
              </w:rPr>
            </w:pPr>
          </w:p>
        </w:tc>
        <w:tc>
          <w:tcPr>
            <w:tcW w:w="427" w:type="pct"/>
            <w:shd w:val="clear" w:color="auto" w:fill="auto"/>
            <w:vAlign w:val="center"/>
          </w:tcPr>
          <w:p w14:paraId="7EB62A8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095A83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72BC6F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3F065DF">
            <w:pPr>
              <w:pStyle w:val="30"/>
              <w:rPr>
                <w:rFonts w:hint="eastAsia" w:ascii="宋体" w:hAnsi="宋体" w:eastAsia="宋体" w:cs="宋体"/>
                <w:b w:val="0"/>
                <w:bCs w:val="0"/>
                <w:color w:val="auto"/>
                <w:sz w:val="21"/>
                <w:szCs w:val="21"/>
              </w:rPr>
            </w:pPr>
          </w:p>
        </w:tc>
      </w:tr>
      <w:tr w14:paraId="7FD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EF865F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shd w:val="clear" w:color="auto" w:fill="auto"/>
            <w:vAlign w:val="center"/>
          </w:tcPr>
          <w:p w14:paraId="7B53373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shd w:val="clear" w:color="auto" w:fill="auto"/>
            <w:vAlign w:val="center"/>
          </w:tcPr>
          <w:p w14:paraId="76E5511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shd w:val="clear" w:color="auto" w:fill="auto"/>
            <w:vAlign w:val="center"/>
          </w:tcPr>
          <w:p w14:paraId="6F4B0A8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784E72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461A855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38ED0B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3CF9F93">
            <w:pPr>
              <w:pStyle w:val="30"/>
              <w:rPr>
                <w:rFonts w:hint="eastAsia" w:ascii="宋体" w:hAnsi="宋体" w:eastAsia="宋体" w:cs="宋体"/>
                <w:b w:val="0"/>
                <w:bCs w:val="0"/>
                <w:color w:val="auto"/>
                <w:sz w:val="21"/>
                <w:szCs w:val="21"/>
              </w:rPr>
            </w:pPr>
          </w:p>
        </w:tc>
      </w:tr>
      <w:tr w14:paraId="73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B62C7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shd w:val="clear" w:color="auto" w:fill="auto"/>
            <w:vAlign w:val="center"/>
          </w:tcPr>
          <w:p w14:paraId="72064A17">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33B0F36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shd w:val="clear" w:color="auto" w:fill="auto"/>
            <w:vAlign w:val="center"/>
          </w:tcPr>
          <w:p w14:paraId="5A69311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shd w:val="clear" w:color="auto" w:fill="auto"/>
            <w:vAlign w:val="center"/>
          </w:tcPr>
          <w:p w14:paraId="0112BA0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shd w:val="clear" w:color="auto" w:fill="auto"/>
            <w:vAlign w:val="center"/>
          </w:tcPr>
          <w:p w14:paraId="41AF586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67A86E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86F2A63">
            <w:pPr>
              <w:pStyle w:val="30"/>
              <w:rPr>
                <w:rFonts w:hint="eastAsia" w:ascii="宋体" w:hAnsi="宋体" w:eastAsia="宋体" w:cs="宋体"/>
                <w:b w:val="0"/>
                <w:bCs w:val="0"/>
                <w:color w:val="auto"/>
                <w:sz w:val="21"/>
                <w:szCs w:val="21"/>
              </w:rPr>
            </w:pPr>
          </w:p>
        </w:tc>
      </w:tr>
      <w:tr w14:paraId="3AFD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561DE8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shd w:val="clear" w:color="auto" w:fill="auto"/>
            <w:vAlign w:val="center"/>
          </w:tcPr>
          <w:p w14:paraId="3B10E183">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7FCF467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shd w:val="clear" w:color="auto" w:fill="auto"/>
            <w:vAlign w:val="center"/>
          </w:tcPr>
          <w:p w14:paraId="7B7FF00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shd w:val="clear" w:color="auto" w:fill="auto"/>
            <w:vAlign w:val="center"/>
          </w:tcPr>
          <w:p w14:paraId="76E6338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4952F2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39A26D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0E555D8">
            <w:pPr>
              <w:pStyle w:val="30"/>
              <w:rPr>
                <w:rFonts w:hint="eastAsia" w:ascii="宋体" w:hAnsi="宋体" w:eastAsia="宋体" w:cs="宋体"/>
                <w:b w:val="0"/>
                <w:bCs w:val="0"/>
                <w:color w:val="auto"/>
                <w:sz w:val="21"/>
                <w:szCs w:val="21"/>
              </w:rPr>
            </w:pPr>
          </w:p>
        </w:tc>
      </w:tr>
      <w:tr w14:paraId="26B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A67B59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shd w:val="clear" w:color="auto" w:fill="auto"/>
            <w:vAlign w:val="center"/>
          </w:tcPr>
          <w:p w14:paraId="49DEE31D">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41547BF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shd w:val="clear" w:color="auto" w:fill="auto"/>
            <w:vAlign w:val="center"/>
          </w:tcPr>
          <w:p w14:paraId="78079A6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shd w:val="clear" w:color="auto" w:fill="auto"/>
            <w:vAlign w:val="center"/>
          </w:tcPr>
          <w:p w14:paraId="725C6E8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EC7296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13AB3B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CC3E026">
            <w:pPr>
              <w:pStyle w:val="30"/>
              <w:rPr>
                <w:rFonts w:hint="eastAsia" w:ascii="宋体" w:hAnsi="宋体" w:eastAsia="宋体" w:cs="宋体"/>
                <w:b w:val="0"/>
                <w:bCs w:val="0"/>
                <w:color w:val="auto"/>
                <w:sz w:val="21"/>
                <w:szCs w:val="21"/>
              </w:rPr>
            </w:pPr>
          </w:p>
        </w:tc>
      </w:tr>
      <w:tr w14:paraId="798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CDA7F1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shd w:val="clear" w:color="auto" w:fill="auto"/>
            <w:vAlign w:val="center"/>
          </w:tcPr>
          <w:p w14:paraId="4C0D5D76">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1F053F1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shd w:val="clear" w:color="auto" w:fill="auto"/>
            <w:vAlign w:val="center"/>
          </w:tcPr>
          <w:p w14:paraId="49819EA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6F7339D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1844D8B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7A8404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0DF2C53">
            <w:pPr>
              <w:pStyle w:val="30"/>
              <w:rPr>
                <w:rFonts w:hint="eastAsia" w:ascii="宋体" w:hAnsi="宋体" w:eastAsia="宋体" w:cs="宋体"/>
                <w:b w:val="0"/>
                <w:bCs w:val="0"/>
                <w:color w:val="auto"/>
                <w:sz w:val="21"/>
                <w:szCs w:val="21"/>
              </w:rPr>
            </w:pPr>
          </w:p>
        </w:tc>
      </w:tr>
      <w:tr w14:paraId="186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2A98AE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shd w:val="clear" w:color="auto" w:fill="auto"/>
            <w:vAlign w:val="center"/>
          </w:tcPr>
          <w:p w14:paraId="003DD50F">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D523B3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shd w:val="clear" w:color="auto" w:fill="auto"/>
            <w:vAlign w:val="center"/>
          </w:tcPr>
          <w:p w14:paraId="06924B1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27665B5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006A94C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E403C5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FBF51">
            <w:pPr>
              <w:pStyle w:val="30"/>
              <w:rPr>
                <w:rFonts w:hint="eastAsia" w:ascii="宋体" w:hAnsi="宋体" w:eastAsia="宋体" w:cs="宋体"/>
                <w:b w:val="0"/>
                <w:bCs w:val="0"/>
                <w:color w:val="auto"/>
                <w:sz w:val="21"/>
                <w:szCs w:val="21"/>
              </w:rPr>
            </w:pPr>
          </w:p>
        </w:tc>
      </w:tr>
      <w:tr w14:paraId="531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F80E06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shd w:val="clear" w:color="auto" w:fill="auto"/>
            <w:vAlign w:val="center"/>
          </w:tcPr>
          <w:p w14:paraId="68B4F5BA">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4405D12B">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shd w:val="clear" w:color="auto" w:fill="auto"/>
            <w:vAlign w:val="center"/>
          </w:tcPr>
          <w:p w14:paraId="389169C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shd w:val="clear" w:color="auto" w:fill="auto"/>
            <w:vAlign w:val="center"/>
          </w:tcPr>
          <w:p w14:paraId="64ED884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shd w:val="clear" w:color="auto" w:fill="auto"/>
            <w:vAlign w:val="center"/>
          </w:tcPr>
          <w:p w14:paraId="21AAF36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9A2B6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7986535">
            <w:pPr>
              <w:pStyle w:val="30"/>
              <w:rPr>
                <w:rFonts w:hint="eastAsia" w:ascii="宋体" w:hAnsi="宋体" w:eastAsia="宋体" w:cs="宋体"/>
                <w:b w:val="0"/>
                <w:bCs w:val="0"/>
                <w:color w:val="auto"/>
                <w:sz w:val="21"/>
                <w:szCs w:val="21"/>
              </w:rPr>
            </w:pPr>
          </w:p>
        </w:tc>
      </w:tr>
      <w:tr w14:paraId="04C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5F2E0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shd w:val="clear" w:color="auto" w:fill="auto"/>
            <w:vAlign w:val="center"/>
          </w:tcPr>
          <w:p w14:paraId="6A3D33D7">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2636C6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shd w:val="clear" w:color="auto" w:fill="auto"/>
            <w:vAlign w:val="center"/>
          </w:tcPr>
          <w:p w14:paraId="1AFE173F">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F3D14A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shd w:val="clear" w:color="auto" w:fill="auto"/>
            <w:vAlign w:val="center"/>
          </w:tcPr>
          <w:p w14:paraId="603C7AB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983C8F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C0D7144">
            <w:pPr>
              <w:pStyle w:val="30"/>
              <w:rPr>
                <w:rFonts w:hint="eastAsia" w:ascii="宋体" w:hAnsi="宋体" w:eastAsia="宋体" w:cs="宋体"/>
                <w:b w:val="0"/>
                <w:bCs w:val="0"/>
                <w:color w:val="auto"/>
                <w:sz w:val="21"/>
                <w:szCs w:val="21"/>
              </w:rPr>
            </w:pPr>
          </w:p>
        </w:tc>
      </w:tr>
      <w:tr w14:paraId="51D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8E14AD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shd w:val="clear" w:color="auto" w:fill="auto"/>
            <w:vAlign w:val="center"/>
          </w:tcPr>
          <w:p w14:paraId="7624925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shd w:val="clear" w:color="auto" w:fill="auto"/>
            <w:vAlign w:val="center"/>
          </w:tcPr>
          <w:p w14:paraId="272B9D9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shd w:val="clear" w:color="auto" w:fill="auto"/>
            <w:vAlign w:val="center"/>
          </w:tcPr>
          <w:p w14:paraId="68EF372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5FD26AF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449F81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1E70A7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F8C4559">
            <w:pPr>
              <w:pStyle w:val="30"/>
              <w:rPr>
                <w:rFonts w:hint="eastAsia" w:ascii="宋体" w:hAnsi="宋体" w:eastAsia="宋体" w:cs="宋体"/>
                <w:b w:val="0"/>
                <w:bCs w:val="0"/>
                <w:color w:val="auto"/>
                <w:sz w:val="21"/>
                <w:szCs w:val="21"/>
              </w:rPr>
            </w:pPr>
          </w:p>
        </w:tc>
      </w:tr>
      <w:tr w14:paraId="1B7A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3CC906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shd w:val="clear" w:color="auto" w:fill="auto"/>
            <w:vAlign w:val="center"/>
          </w:tcPr>
          <w:p w14:paraId="4E966CF3">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79A5BAF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shd w:val="clear" w:color="auto" w:fill="auto"/>
            <w:vAlign w:val="center"/>
          </w:tcPr>
          <w:p w14:paraId="1827DA6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0B77C01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6993147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2F5C5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6FC4DDB9">
            <w:pPr>
              <w:pStyle w:val="30"/>
              <w:rPr>
                <w:rFonts w:hint="eastAsia" w:ascii="宋体" w:hAnsi="宋体" w:eastAsia="宋体" w:cs="宋体"/>
                <w:b w:val="0"/>
                <w:bCs w:val="0"/>
                <w:color w:val="auto"/>
                <w:sz w:val="21"/>
                <w:szCs w:val="21"/>
              </w:rPr>
            </w:pPr>
          </w:p>
        </w:tc>
      </w:tr>
      <w:tr w14:paraId="16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256C0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shd w:val="clear" w:color="auto" w:fill="auto"/>
            <w:vAlign w:val="center"/>
          </w:tcPr>
          <w:p w14:paraId="71BDBE9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shd w:val="clear" w:color="auto" w:fill="auto"/>
            <w:vAlign w:val="center"/>
          </w:tcPr>
          <w:p w14:paraId="3C28414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shd w:val="clear" w:color="auto" w:fill="auto"/>
            <w:vAlign w:val="center"/>
          </w:tcPr>
          <w:p w14:paraId="706A57B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5CA0A92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1B35364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B509F3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2747D874">
            <w:pPr>
              <w:pStyle w:val="30"/>
              <w:rPr>
                <w:rFonts w:hint="eastAsia" w:ascii="宋体" w:hAnsi="宋体" w:eastAsia="宋体" w:cs="宋体"/>
                <w:b w:val="0"/>
                <w:bCs w:val="0"/>
                <w:color w:val="auto"/>
                <w:sz w:val="21"/>
                <w:szCs w:val="21"/>
              </w:rPr>
            </w:pPr>
          </w:p>
        </w:tc>
      </w:tr>
      <w:tr w14:paraId="23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4CE655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shd w:val="clear" w:color="auto" w:fill="auto"/>
            <w:vAlign w:val="center"/>
          </w:tcPr>
          <w:p w14:paraId="37A37E20">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6FADD51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shd w:val="clear" w:color="auto" w:fill="auto"/>
            <w:vAlign w:val="center"/>
          </w:tcPr>
          <w:p w14:paraId="399D022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1B3BF31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92B04A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51C3379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F6CF6BA">
            <w:pPr>
              <w:pStyle w:val="30"/>
              <w:rPr>
                <w:rFonts w:hint="eastAsia" w:ascii="宋体" w:hAnsi="宋体" w:eastAsia="宋体" w:cs="宋体"/>
                <w:b w:val="0"/>
                <w:bCs w:val="0"/>
                <w:color w:val="auto"/>
                <w:sz w:val="21"/>
                <w:szCs w:val="21"/>
              </w:rPr>
            </w:pPr>
          </w:p>
        </w:tc>
      </w:tr>
      <w:tr w14:paraId="692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7DEB62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shd w:val="clear" w:color="auto" w:fill="auto"/>
            <w:vAlign w:val="center"/>
          </w:tcPr>
          <w:p w14:paraId="3B97280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shd w:val="clear" w:color="auto" w:fill="auto"/>
            <w:vAlign w:val="center"/>
          </w:tcPr>
          <w:p w14:paraId="12A876D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shd w:val="clear" w:color="auto" w:fill="auto"/>
            <w:vAlign w:val="center"/>
          </w:tcPr>
          <w:p w14:paraId="5E1CDB74">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49FEFE5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65AC7F2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E4127B6">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4E0C9D03">
            <w:pPr>
              <w:pStyle w:val="30"/>
              <w:rPr>
                <w:rFonts w:hint="eastAsia" w:ascii="宋体" w:hAnsi="宋体" w:eastAsia="宋体" w:cs="宋体"/>
                <w:b w:val="0"/>
                <w:bCs w:val="0"/>
                <w:color w:val="auto"/>
                <w:sz w:val="21"/>
                <w:szCs w:val="21"/>
              </w:rPr>
            </w:pPr>
          </w:p>
        </w:tc>
      </w:tr>
      <w:tr w14:paraId="172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67AE5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shd w:val="clear" w:color="auto" w:fill="auto"/>
            <w:vAlign w:val="center"/>
          </w:tcPr>
          <w:p w14:paraId="5C459D3C">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01C7E0D2">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shd w:val="clear" w:color="auto" w:fill="auto"/>
            <w:vAlign w:val="center"/>
          </w:tcPr>
          <w:p w14:paraId="1C757A9C">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279641C8">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3CCE647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1A7F8E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3588F68">
            <w:pPr>
              <w:pStyle w:val="30"/>
              <w:rPr>
                <w:rFonts w:hint="eastAsia" w:ascii="宋体" w:hAnsi="宋体" w:eastAsia="宋体" w:cs="宋体"/>
                <w:b w:val="0"/>
                <w:bCs w:val="0"/>
                <w:color w:val="auto"/>
                <w:sz w:val="21"/>
                <w:szCs w:val="21"/>
              </w:rPr>
            </w:pPr>
          </w:p>
        </w:tc>
      </w:tr>
      <w:tr w14:paraId="21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350A6FE">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shd w:val="clear" w:color="auto" w:fill="auto"/>
            <w:vAlign w:val="center"/>
          </w:tcPr>
          <w:p w14:paraId="20502FA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shd w:val="clear" w:color="auto" w:fill="auto"/>
            <w:vAlign w:val="center"/>
          </w:tcPr>
          <w:p w14:paraId="07F5E7D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shd w:val="clear" w:color="auto" w:fill="auto"/>
            <w:vAlign w:val="center"/>
          </w:tcPr>
          <w:p w14:paraId="51AF9281">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7ACDD3E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5502D0E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5BB51F7">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EEDA1F">
            <w:pPr>
              <w:pStyle w:val="30"/>
              <w:rPr>
                <w:rFonts w:hint="eastAsia" w:ascii="宋体" w:hAnsi="宋体" w:eastAsia="宋体" w:cs="宋体"/>
                <w:b w:val="0"/>
                <w:bCs w:val="0"/>
                <w:color w:val="auto"/>
                <w:sz w:val="21"/>
                <w:szCs w:val="21"/>
              </w:rPr>
            </w:pPr>
          </w:p>
        </w:tc>
      </w:tr>
      <w:tr w14:paraId="124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CC03363">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shd w:val="clear" w:color="auto" w:fill="auto"/>
            <w:vAlign w:val="center"/>
          </w:tcPr>
          <w:p w14:paraId="26151F97">
            <w:pPr>
              <w:pStyle w:val="30"/>
              <w:rPr>
                <w:rFonts w:hint="eastAsia" w:ascii="宋体" w:hAnsi="宋体" w:eastAsia="宋体" w:cs="宋体"/>
                <w:b w:val="0"/>
                <w:bCs w:val="0"/>
                <w:color w:val="auto"/>
                <w:sz w:val="21"/>
                <w:szCs w:val="21"/>
              </w:rPr>
            </w:pPr>
          </w:p>
        </w:tc>
        <w:tc>
          <w:tcPr>
            <w:tcW w:w="1196" w:type="pct"/>
            <w:shd w:val="clear" w:color="auto" w:fill="auto"/>
            <w:vAlign w:val="center"/>
          </w:tcPr>
          <w:p w14:paraId="53CE77C0">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shd w:val="clear" w:color="auto" w:fill="auto"/>
            <w:vAlign w:val="center"/>
          </w:tcPr>
          <w:p w14:paraId="1F66BFC9">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502C525">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3B5126BA">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0B632DD">
            <w:pPr>
              <w:pStyle w:val="3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DFD8452">
            <w:pPr>
              <w:pStyle w:val="30"/>
              <w:rPr>
                <w:rFonts w:hint="eastAsia" w:ascii="宋体" w:hAnsi="宋体" w:eastAsia="宋体" w:cs="宋体"/>
                <w:b w:val="0"/>
                <w:bCs w:val="0"/>
                <w:color w:val="auto"/>
                <w:sz w:val="21"/>
                <w:szCs w:val="21"/>
              </w:rPr>
            </w:pPr>
          </w:p>
        </w:tc>
      </w:tr>
    </w:tbl>
    <w:p w14:paraId="6E5A8A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1ADF6265">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613B341C">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5C661A8D">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FFCAA4A">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20F6EB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EA65146">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102DFC56">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40"/>
    <w:bookmarkEnd w:id="241"/>
    <w:bookmarkEnd w:id="242"/>
    <w:p w14:paraId="02CFF874">
      <w:pPr>
        <w:ind w:firstLine="480"/>
        <w:rPr>
          <w:color w:val="auto"/>
        </w:rPr>
      </w:pPr>
    </w:p>
    <w:p w14:paraId="68F9A500">
      <w:pPr>
        <w:ind w:firstLine="480"/>
        <w:rPr>
          <w:color w:val="auto"/>
        </w:rPr>
      </w:pPr>
    </w:p>
    <w:p w14:paraId="2F9FDEEF">
      <w:pPr>
        <w:widowControl/>
        <w:ind w:firstLine="0" w:firstLineChars="0"/>
        <w:jc w:val="left"/>
        <w:rPr>
          <w:rFonts w:cstheme="majorBidi"/>
          <w:b/>
          <w:bCs/>
          <w:color w:val="auto"/>
          <w:sz w:val="32"/>
          <w:szCs w:val="32"/>
        </w:rPr>
      </w:pPr>
      <w:r>
        <w:rPr>
          <w:color w:val="auto"/>
        </w:rPr>
        <w:br w:type="page"/>
      </w:r>
    </w:p>
    <w:p w14:paraId="6342AB3B">
      <w:pPr>
        <w:pStyle w:val="6"/>
        <w:spacing w:before="156" w:after="156"/>
        <w:rPr>
          <w:rFonts w:hint="eastAsia"/>
          <w:color w:val="auto"/>
        </w:rPr>
      </w:pPr>
      <w:bookmarkStart w:id="304" w:name="_Toc40778460"/>
      <w:bookmarkStart w:id="305" w:name="_Toc31997"/>
      <w:bookmarkStart w:id="306" w:name="_Toc27911"/>
      <w:bookmarkStart w:id="307" w:name="_Toc22515"/>
      <w:r>
        <w:rPr>
          <w:rFonts w:hint="eastAsia"/>
          <w:color w:val="auto"/>
        </w:rPr>
        <w:t>计算书及相关施工图纸</w:t>
      </w:r>
      <w:bookmarkEnd w:id="304"/>
      <w:bookmarkEnd w:id="305"/>
      <w:bookmarkEnd w:id="306"/>
      <w:bookmarkEnd w:id="307"/>
    </w:p>
    <w:p w14:paraId="29978FD4">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308" w:name="_Toc6663"/>
      <w:bookmarkStart w:id="309" w:name="_Toc16756"/>
      <w:bookmarkStart w:id="310" w:name="_Toc795"/>
      <w:r>
        <w:rPr>
          <w:rFonts w:hint="eastAsia" w:eastAsia="宋体"/>
          <w:color w:val="auto"/>
          <w:lang w:val="en-US" w:eastAsia="zh-CN"/>
        </w:rPr>
        <w:t>吊装分析</w:t>
      </w:r>
      <w:bookmarkEnd w:id="308"/>
    </w:p>
    <w:p w14:paraId="66F3D625">
      <w:pPr>
        <w:pStyle w:val="94"/>
        <w:ind w:firstLine="480"/>
      </w:pPr>
      <w:r>
        <w:t>施工升降机</w:t>
      </w:r>
      <w:r>
        <w:rPr>
          <w:rFonts w:hint="eastAsia"/>
          <w:lang w:val="en-US" w:eastAsia="zh-CN"/>
        </w:rPr>
        <w:t>拆除</w:t>
      </w:r>
      <w:r>
        <w:t>工程所需主要设备为</w:t>
      </w:r>
      <w:r>
        <w:rPr>
          <w:rFonts w:hint="eastAsia"/>
          <w:lang w:val="en-US" w:eastAsia="zh-CN"/>
        </w:rPr>
        <w:t>25t汽车吊</w:t>
      </w:r>
      <w:r>
        <w:t>，负责吊装施工升降机各个部件，施工升降机主要部件吊重分析表如下表所示。</w:t>
      </w:r>
    </w:p>
    <w:p w14:paraId="5011392E">
      <w:pPr>
        <w:pStyle w:val="13"/>
        <w:jc w:val="cente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9.1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w:t>
      </w:r>
      <w:r>
        <w:rPr>
          <w:rFonts w:hint="eastAsia" w:ascii="Times New Roman" w:hAnsi="Times New Roman" w:eastAsia="宋体"/>
          <w:b/>
          <w:color w:val="auto"/>
          <w:sz w:val="21"/>
          <w:szCs w:val="24"/>
        </w:rPr>
        <w:t>施工升降机</w:t>
      </w:r>
      <w:r>
        <w:rPr>
          <w:rFonts w:hint="eastAsia" w:ascii="Times New Roman" w:hAnsi="Times New Roman" w:eastAsia="宋体"/>
          <w:b/>
          <w:color w:val="auto"/>
          <w:sz w:val="21"/>
          <w:szCs w:val="24"/>
          <w:lang w:val="en-US" w:eastAsia="zh-CN"/>
        </w:rPr>
        <w:t>拆除</w:t>
      </w:r>
      <w:r>
        <w:rPr>
          <w:rFonts w:hint="eastAsia" w:ascii="Times New Roman" w:hAnsi="Times New Roman" w:eastAsia="宋体"/>
          <w:b/>
          <w:color w:val="auto"/>
          <w:sz w:val="21"/>
          <w:szCs w:val="24"/>
        </w:rPr>
        <w:t>吊重分</w:t>
      </w:r>
      <w:r>
        <w:rPr>
          <w:rFonts w:hint="eastAsia" w:ascii="宋体" w:hAnsi="宋体" w:cs="黑体"/>
          <w:b/>
          <w:color w:val="auto"/>
          <w:sz w:val="21"/>
          <w:szCs w:val="21"/>
        </w:rPr>
        <w:t>析表</w:t>
      </w:r>
    </w:p>
    <w:tbl>
      <w:tblPr>
        <w:tblStyle w:val="26"/>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952"/>
        <w:gridCol w:w="1207"/>
        <w:gridCol w:w="1343"/>
        <w:gridCol w:w="2246"/>
      </w:tblGrid>
      <w:tr w14:paraId="52EC21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54" w:type="pct"/>
            <w:vAlign w:val="center"/>
          </w:tcPr>
          <w:p w14:paraId="2271EA99">
            <w:pPr>
              <w:adjustRightInd w:val="0"/>
              <w:spacing w:line="240" w:lineRule="auto"/>
              <w:ind w:firstLine="0" w:firstLineChars="0"/>
              <w:jc w:val="center"/>
              <w:rPr>
                <w:b/>
                <w:bCs/>
                <w:sz w:val="21"/>
              </w:rPr>
            </w:pPr>
            <w:r>
              <w:rPr>
                <w:rFonts w:hint="eastAsia"/>
                <w:b/>
                <w:bCs/>
                <w:sz w:val="21"/>
              </w:rPr>
              <w:t>序号</w:t>
            </w:r>
          </w:p>
        </w:tc>
        <w:tc>
          <w:tcPr>
            <w:tcW w:w="1732" w:type="pct"/>
            <w:vAlign w:val="center"/>
          </w:tcPr>
          <w:p w14:paraId="0F4899FF">
            <w:pPr>
              <w:adjustRightInd w:val="0"/>
              <w:spacing w:line="240" w:lineRule="auto"/>
              <w:ind w:firstLine="0" w:firstLineChars="0"/>
              <w:jc w:val="center"/>
              <w:rPr>
                <w:b/>
                <w:bCs/>
                <w:sz w:val="21"/>
              </w:rPr>
            </w:pPr>
            <w:r>
              <w:rPr>
                <w:rFonts w:hint="eastAsia"/>
                <w:b/>
                <w:bCs/>
                <w:sz w:val="21"/>
              </w:rPr>
              <w:t>吊件名称</w:t>
            </w:r>
          </w:p>
        </w:tc>
        <w:tc>
          <w:tcPr>
            <w:tcW w:w="708" w:type="pct"/>
            <w:vAlign w:val="center"/>
          </w:tcPr>
          <w:p w14:paraId="0C942220">
            <w:pPr>
              <w:adjustRightInd w:val="0"/>
              <w:spacing w:line="240" w:lineRule="auto"/>
              <w:ind w:firstLine="0" w:firstLineChars="0"/>
              <w:jc w:val="center"/>
              <w:rPr>
                <w:b/>
                <w:bCs/>
                <w:sz w:val="21"/>
              </w:rPr>
            </w:pPr>
            <w:r>
              <w:rPr>
                <w:rFonts w:hint="eastAsia"/>
                <w:b/>
                <w:bCs/>
                <w:sz w:val="21"/>
              </w:rPr>
              <w:t>重量（</w:t>
            </w:r>
            <w:r>
              <w:rPr>
                <w:b/>
                <w:bCs/>
                <w:sz w:val="21"/>
              </w:rPr>
              <w:t>t</w:t>
            </w:r>
            <w:r>
              <w:rPr>
                <w:rFonts w:hint="eastAsia"/>
                <w:b/>
                <w:bCs/>
                <w:sz w:val="21"/>
              </w:rPr>
              <w:t>）</w:t>
            </w:r>
          </w:p>
        </w:tc>
        <w:tc>
          <w:tcPr>
            <w:tcW w:w="788" w:type="pct"/>
            <w:vAlign w:val="center"/>
          </w:tcPr>
          <w:p w14:paraId="17D19629">
            <w:pPr>
              <w:adjustRightInd w:val="0"/>
              <w:spacing w:line="240" w:lineRule="auto"/>
              <w:ind w:firstLine="0" w:firstLineChars="0"/>
              <w:jc w:val="center"/>
              <w:rPr>
                <w:b/>
                <w:bCs/>
                <w:sz w:val="21"/>
              </w:rPr>
            </w:pPr>
            <w:r>
              <w:rPr>
                <w:rFonts w:hint="eastAsia"/>
                <w:b/>
                <w:bCs/>
                <w:sz w:val="21"/>
              </w:rPr>
              <w:t>吊幅（m）</w:t>
            </w:r>
          </w:p>
        </w:tc>
        <w:tc>
          <w:tcPr>
            <w:tcW w:w="1318" w:type="pct"/>
            <w:vAlign w:val="center"/>
          </w:tcPr>
          <w:p w14:paraId="6D7855D2">
            <w:pPr>
              <w:adjustRightInd w:val="0"/>
              <w:spacing w:line="240" w:lineRule="auto"/>
              <w:ind w:firstLine="0" w:firstLineChars="0"/>
              <w:jc w:val="center"/>
              <w:rPr>
                <w:b/>
                <w:bCs/>
                <w:sz w:val="21"/>
              </w:rPr>
            </w:pPr>
            <w:r>
              <w:rPr>
                <w:rFonts w:hint="eastAsia"/>
                <w:b/>
                <w:bCs/>
                <w:sz w:val="21"/>
              </w:rPr>
              <w:t>备注</w:t>
            </w:r>
          </w:p>
        </w:tc>
      </w:tr>
      <w:tr w14:paraId="1232E4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14:paraId="60462EF5">
            <w:pPr>
              <w:adjustRightInd w:val="0"/>
              <w:spacing w:line="240" w:lineRule="auto"/>
              <w:ind w:firstLine="0" w:firstLineChars="0"/>
              <w:jc w:val="center"/>
              <w:rPr>
                <w:rFonts w:eastAsia="等线"/>
                <w:sz w:val="21"/>
              </w:rPr>
            </w:pPr>
            <w:r>
              <w:rPr>
                <w:rFonts w:hint="eastAsia" w:eastAsia="等线"/>
                <w:sz w:val="21"/>
              </w:rPr>
              <w:t>1</w:t>
            </w:r>
          </w:p>
        </w:tc>
        <w:tc>
          <w:tcPr>
            <w:tcW w:w="1732" w:type="pct"/>
            <w:vAlign w:val="center"/>
          </w:tcPr>
          <w:p w14:paraId="3B10012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标准节</w:t>
            </w:r>
          </w:p>
        </w:tc>
        <w:tc>
          <w:tcPr>
            <w:tcW w:w="708" w:type="pct"/>
            <w:vAlign w:val="center"/>
          </w:tcPr>
          <w:p w14:paraId="593D5C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≤0.16</w:t>
            </w:r>
          </w:p>
        </w:tc>
        <w:tc>
          <w:tcPr>
            <w:tcW w:w="788" w:type="pct"/>
            <w:vAlign w:val="center"/>
          </w:tcPr>
          <w:p w14:paraId="09AD301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11.5</w:t>
            </w:r>
          </w:p>
        </w:tc>
        <w:tc>
          <w:tcPr>
            <w:tcW w:w="1318" w:type="pct"/>
            <w:vAlign w:val="center"/>
          </w:tcPr>
          <w:p w14:paraId="21E7C6BB">
            <w:pPr>
              <w:adjustRightInd w:val="0"/>
              <w:spacing w:line="240" w:lineRule="auto"/>
              <w:ind w:firstLine="0" w:firstLineChars="0"/>
              <w:jc w:val="center"/>
              <w:rPr>
                <w:sz w:val="21"/>
              </w:rPr>
            </w:pPr>
          </w:p>
        </w:tc>
      </w:tr>
      <w:tr w14:paraId="63B62D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vAlign w:val="center"/>
          </w:tcPr>
          <w:p w14:paraId="417A143E">
            <w:pPr>
              <w:adjustRightInd w:val="0"/>
              <w:spacing w:line="240" w:lineRule="auto"/>
              <w:ind w:firstLine="0" w:firstLineChars="0"/>
              <w:jc w:val="center"/>
              <w:rPr>
                <w:rFonts w:eastAsia="等线"/>
                <w:sz w:val="21"/>
              </w:rPr>
            </w:pPr>
            <w:r>
              <w:rPr>
                <w:rFonts w:hint="eastAsia" w:eastAsia="等线"/>
                <w:sz w:val="21"/>
              </w:rPr>
              <w:t>2</w:t>
            </w:r>
          </w:p>
        </w:tc>
        <w:tc>
          <w:tcPr>
            <w:tcW w:w="1732" w:type="pct"/>
            <w:vAlign w:val="center"/>
          </w:tcPr>
          <w:p w14:paraId="215FA41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底笼</w:t>
            </w:r>
          </w:p>
        </w:tc>
        <w:tc>
          <w:tcPr>
            <w:tcW w:w="708" w:type="pct"/>
            <w:vAlign w:val="center"/>
          </w:tcPr>
          <w:p w14:paraId="16131C7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≤1.5</w:t>
            </w:r>
          </w:p>
        </w:tc>
        <w:tc>
          <w:tcPr>
            <w:tcW w:w="788" w:type="pct"/>
            <w:vAlign w:val="center"/>
          </w:tcPr>
          <w:p w14:paraId="3A84257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11.5</w:t>
            </w:r>
          </w:p>
        </w:tc>
        <w:tc>
          <w:tcPr>
            <w:tcW w:w="1318" w:type="pct"/>
            <w:vAlign w:val="center"/>
          </w:tcPr>
          <w:p w14:paraId="56AB80D0">
            <w:pPr>
              <w:adjustRightInd w:val="0"/>
              <w:spacing w:line="240" w:lineRule="auto"/>
              <w:ind w:firstLine="0" w:firstLineChars="0"/>
              <w:jc w:val="center"/>
              <w:rPr>
                <w:sz w:val="21"/>
              </w:rPr>
            </w:pPr>
          </w:p>
        </w:tc>
      </w:tr>
      <w:tr w14:paraId="487F0D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vAlign w:val="center"/>
          </w:tcPr>
          <w:p w14:paraId="0E35654B">
            <w:pPr>
              <w:adjustRightInd w:val="0"/>
              <w:spacing w:line="240" w:lineRule="auto"/>
              <w:ind w:firstLine="0" w:firstLineChars="0"/>
              <w:jc w:val="center"/>
              <w:rPr>
                <w:rFonts w:eastAsia="等线"/>
                <w:sz w:val="21"/>
              </w:rPr>
            </w:pPr>
            <w:r>
              <w:rPr>
                <w:rFonts w:hint="eastAsia" w:eastAsia="等线"/>
                <w:sz w:val="21"/>
              </w:rPr>
              <w:t>3</w:t>
            </w:r>
          </w:p>
        </w:tc>
        <w:tc>
          <w:tcPr>
            <w:tcW w:w="1732" w:type="pct"/>
            <w:vAlign w:val="center"/>
          </w:tcPr>
          <w:p w14:paraId="7171FC2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rPr>
              <w:t>吊笼自重（含电控系统+驱动系统）</w:t>
            </w:r>
          </w:p>
        </w:tc>
        <w:tc>
          <w:tcPr>
            <w:tcW w:w="708" w:type="pct"/>
            <w:vAlign w:val="center"/>
          </w:tcPr>
          <w:p w14:paraId="44B7634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rPr>
              <w:t>≤</w:t>
            </w:r>
            <w:r>
              <w:rPr>
                <w:rFonts w:hint="eastAsia" w:ascii="Times New Roman" w:hAnsi="Times New Roman" w:eastAsia="宋体" w:cs="Times New Roman"/>
                <w:sz w:val="21"/>
                <w:lang w:val="en-US" w:eastAsia="zh-CN"/>
              </w:rPr>
              <w:t>2</w:t>
            </w:r>
          </w:p>
        </w:tc>
        <w:tc>
          <w:tcPr>
            <w:tcW w:w="788" w:type="pct"/>
            <w:vAlign w:val="center"/>
          </w:tcPr>
          <w:p w14:paraId="2CB3E27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11.5</w:t>
            </w:r>
          </w:p>
        </w:tc>
        <w:tc>
          <w:tcPr>
            <w:tcW w:w="1318" w:type="pct"/>
            <w:vAlign w:val="center"/>
          </w:tcPr>
          <w:p w14:paraId="2A15E536">
            <w:pPr>
              <w:adjustRightInd w:val="0"/>
              <w:spacing w:line="240" w:lineRule="auto"/>
              <w:ind w:firstLine="0" w:firstLineChars="0"/>
              <w:jc w:val="center"/>
              <w:rPr>
                <w:sz w:val="21"/>
              </w:rPr>
            </w:pPr>
          </w:p>
        </w:tc>
      </w:tr>
    </w:tbl>
    <w:p w14:paraId="15652986">
      <w:pPr>
        <w:pStyle w:val="94"/>
        <w:ind w:firstLine="480"/>
      </w:pPr>
      <w:r>
        <w:t>根据以上吊重分析表可知：</w:t>
      </w:r>
    </w:p>
    <w:p w14:paraId="7113E85D">
      <w:pPr>
        <w:pStyle w:val="94"/>
        <w:ind w:firstLine="480"/>
        <w:rPr>
          <w:rFonts w:hint="eastAsia" w:eastAsia="宋体"/>
          <w:lang w:eastAsia="zh-CN"/>
        </w:rPr>
      </w:pPr>
      <w:r>
        <w:t>施工升降机</w:t>
      </w:r>
      <w:r>
        <w:rPr>
          <w:rFonts w:hint="eastAsia"/>
          <w:lang w:val="en-US" w:eastAsia="zh-CN"/>
        </w:rPr>
        <w:t>拆除</w:t>
      </w:r>
      <w:r>
        <w:t>过程中最重部件为吊笼主结构</w:t>
      </w:r>
      <w:r>
        <w:rPr>
          <w:rFonts w:hint="eastAsia"/>
          <w:lang w:val="en-US" w:eastAsia="zh-CN"/>
        </w:rPr>
        <w:t>2t</w:t>
      </w:r>
      <w:r>
        <w:t>、吊距为</w:t>
      </w:r>
      <w:r>
        <w:rPr>
          <w:rFonts w:hint="eastAsia"/>
          <w:lang w:val="en-US" w:eastAsia="zh-CN"/>
        </w:rPr>
        <w:t>11.5</w:t>
      </w:r>
      <w:r>
        <w:rPr>
          <w:rFonts w:hint="eastAsia"/>
        </w:rPr>
        <w:t>m</w:t>
      </w:r>
      <w:r>
        <w:t>，</w:t>
      </w:r>
      <w:r>
        <w:rPr>
          <w:rFonts w:hint="eastAsia"/>
          <w:lang w:val="en-US" w:eastAsia="zh-CN"/>
        </w:rPr>
        <w:t>电梯高度为24.23m，</w:t>
      </w:r>
      <w:r>
        <w:t>采用</w:t>
      </w:r>
      <w:r>
        <w:rPr>
          <w:rFonts w:hint="eastAsia"/>
          <w:lang w:val="en-US" w:eastAsia="zh-CN"/>
        </w:rPr>
        <w:t>25t汽车吊</w:t>
      </w:r>
      <w:r>
        <w:t>进行吊装</w:t>
      </w:r>
      <w:r>
        <w:rPr>
          <w:rFonts w:hint="eastAsia"/>
        </w:rPr>
        <w:t>，</w:t>
      </w:r>
      <w:r>
        <w:rPr>
          <w:rFonts w:hint="eastAsia"/>
          <w:lang w:val="en-US" w:eastAsia="zh-CN"/>
        </w:rPr>
        <w:t>汽车吊臂长29.6m，吊装高度为26m，额定起重量6.9t，满足施工升降机拆除作业要求，汽车吊</w:t>
      </w:r>
      <w:r>
        <w:rPr>
          <w:rFonts w:hint="eastAsia"/>
        </w:rPr>
        <w:t>起重特性表见</w:t>
      </w:r>
      <w:r>
        <w:t>下表</w:t>
      </w:r>
      <w:r>
        <w:rPr>
          <w:rFonts w:hint="eastAsia"/>
          <w:lang w:eastAsia="zh-CN"/>
        </w:rPr>
        <w:t>：</w:t>
      </w:r>
    </w:p>
    <w:p w14:paraId="6363AD39">
      <w:pPr>
        <w:keepNext/>
        <w:keepLines w:val="0"/>
        <w:pageBreakBefore w:val="0"/>
        <w:widowControl w:val="0"/>
        <w:kinsoku/>
        <w:wordWrap/>
        <w:overflowPunct/>
        <w:topLinePunct w:val="0"/>
        <w:autoSpaceDE/>
        <w:autoSpaceDN/>
        <w:bidi w:val="0"/>
        <w:adjustRightInd/>
        <w:snapToGrid/>
        <w:ind w:firstLine="422"/>
        <w:jc w:val="center"/>
        <w:textAlignment w:val="auto"/>
        <w:rPr>
          <w:rFonts w:hint="eastAsia" w:ascii="Times New Roman" w:hAnsi="Times New Roman" w:eastAsia="宋体" w:cstheme="majorBidi"/>
          <w:b/>
          <w:color w:val="auto"/>
          <w:kern w:val="2"/>
          <w:sz w:val="21"/>
          <w:szCs w:val="24"/>
          <w:lang w:val="en-US" w:eastAsia="zh-CN" w:bidi="ar-SA"/>
        </w:rPr>
      </w:pPr>
      <w:r>
        <w:rPr>
          <w:rFonts w:hint="eastAsia" w:ascii="Times New Roman" w:hAnsi="Times New Roman" w:eastAsia="宋体" w:cstheme="majorBidi"/>
          <w:b/>
          <w:color w:val="auto"/>
          <w:kern w:val="2"/>
          <w:sz w:val="21"/>
          <w:szCs w:val="24"/>
          <w:lang w:val="en-US" w:eastAsia="zh-CN" w:bidi="ar-SA"/>
        </w:rPr>
        <w:t xml:space="preserve">表 </w:t>
      </w:r>
      <w:r>
        <w:rPr>
          <w:rFonts w:hint="eastAsia" w:ascii="Times New Roman" w:hAnsi="Times New Roman" w:eastAsia="宋体" w:cstheme="majorBidi"/>
          <w:b/>
          <w:color w:val="auto"/>
          <w:kern w:val="2"/>
          <w:sz w:val="21"/>
          <w:szCs w:val="24"/>
          <w:lang w:val="en-US" w:eastAsia="zh-CN" w:bidi="ar-SA"/>
        </w:rPr>
        <w:fldChar w:fldCharType="begin"/>
      </w:r>
      <w:r>
        <w:rPr>
          <w:rFonts w:hint="eastAsia" w:ascii="Times New Roman" w:hAnsi="Times New Roman" w:eastAsia="宋体" w:cstheme="majorBidi"/>
          <w:b/>
          <w:color w:val="auto"/>
          <w:kern w:val="2"/>
          <w:sz w:val="21"/>
          <w:szCs w:val="24"/>
          <w:lang w:val="en-US" w:eastAsia="zh-CN" w:bidi="ar-SA"/>
        </w:rPr>
        <w:instrText xml:space="preserve"> STYLEREF 2 \s </w:instrText>
      </w:r>
      <w:r>
        <w:rPr>
          <w:rFonts w:hint="eastAsia" w:ascii="Times New Roman" w:hAnsi="Times New Roman" w:eastAsia="宋体" w:cstheme="majorBidi"/>
          <w:b/>
          <w:color w:val="auto"/>
          <w:kern w:val="2"/>
          <w:sz w:val="21"/>
          <w:szCs w:val="24"/>
          <w:lang w:val="en-US" w:eastAsia="zh-CN" w:bidi="ar-SA"/>
        </w:rPr>
        <w:fldChar w:fldCharType="separate"/>
      </w:r>
      <w:r>
        <w:rPr>
          <w:rFonts w:hint="eastAsia" w:ascii="Times New Roman" w:hAnsi="Times New Roman" w:eastAsia="宋体" w:cstheme="majorBidi"/>
          <w:b/>
          <w:color w:val="auto"/>
          <w:kern w:val="2"/>
          <w:sz w:val="21"/>
          <w:szCs w:val="24"/>
          <w:lang w:val="en-US" w:eastAsia="zh-CN" w:bidi="ar-SA"/>
        </w:rPr>
        <w:t>9.1</w:t>
      </w:r>
      <w:r>
        <w:rPr>
          <w:rFonts w:hint="eastAsia" w:ascii="Times New Roman" w:hAnsi="Times New Roman" w:eastAsia="宋体" w:cstheme="majorBidi"/>
          <w:b/>
          <w:color w:val="auto"/>
          <w:kern w:val="2"/>
          <w:sz w:val="21"/>
          <w:szCs w:val="24"/>
          <w:lang w:val="en-US" w:eastAsia="zh-CN" w:bidi="ar-SA"/>
        </w:rPr>
        <w:fldChar w:fldCharType="end"/>
      </w:r>
      <w:r>
        <w:rPr>
          <w:rFonts w:hint="eastAsia" w:ascii="Times New Roman" w:hAnsi="Times New Roman" w:eastAsia="宋体" w:cstheme="majorBidi"/>
          <w:b/>
          <w:color w:val="auto"/>
          <w:kern w:val="2"/>
          <w:sz w:val="21"/>
          <w:szCs w:val="24"/>
          <w:lang w:val="en-US" w:eastAsia="zh-CN" w:bidi="ar-SA"/>
        </w:rPr>
        <w:t>-</w:t>
      </w:r>
      <w:r>
        <w:rPr>
          <w:rFonts w:hint="eastAsia" w:ascii="Times New Roman" w:hAnsi="Times New Roman" w:eastAsia="宋体" w:cstheme="majorBidi"/>
          <w:b/>
          <w:color w:val="auto"/>
          <w:kern w:val="2"/>
          <w:sz w:val="21"/>
          <w:szCs w:val="24"/>
          <w:lang w:val="en-US" w:eastAsia="zh-CN" w:bidi="ar-SA"/>
        </w:rPr>
        <w:fldChar w:fldCharType="begin"/>
      </w:r>
      <w:r>
        <w:rPr>
          <w:rFonts w:hint="eastAsia" w:ascii="Times New Roman" w:hAnsi="Times New Roman" w:eastAsia="宋体" w:cstheme="majorBidi"/>
          <w:b/>
          <w:color w:val="auto"/>
          <w:kern w:val="2"/>
          <w:sz w:val="21"/>
          <w:szCs w:val="24"/>
          <w:lang w:val="en-US" w:eastAsia="zh-CN" w:bidi="ar-SA"/>
        </w:rPr>
        <w:instrText xml:space="preserve"> SEQ 表 \* ARABIC \s 2 </w:instrText>
      </w:r>
      <w:r>
        <w:rPr>
          <w:rFonts w:hint="eastAsia" w:ascii="Times New Roman" w:hAnsi="Times New Roman" w:eastAsia="宋体" w:cstheme="majorBidi"/>
          <w:b/>
          <w:color w:val="auto"/>
          <w:kern w:val="2"/>
          <w:sz w:val="21"/>
          <w:szCs w:val="24"/>
          <w:lang w:val="en-US" w:eastAsia="zh-CN" w:bidi="ar-SA"/>
        </w:rPr>
        <w:fldChar w:fldCharType="separate"/>
      </w:r>
      <w:r>
        <w:rPr>
          <w:rFonts w:hint="eastAsia" w:ascii="Times New Roman" w:hAnsi="Times New Roman" w:eastAsia="宋体" w:cstheme="majorBidi"/>
          <w:b/>
          <w:color w:val="auto"/>
          <w:kern w:val="2"/>
          <w:sz w:val="21"/>
          <w:szCs w:val="24"/>
          <w:lang w:val="en-US" w:eastAsia="zh-CN" w:bidi="ar-SA"/>
        </w:rPr>
        <w:t>2</w:t>
      </w:r>
      <w:r>
        <w:rPr>
          <w:rFonts w:hint="eastAsia" w:ascii="Times New Roman" w:hAnsi="Times New Roman" w:eastAsia="宋体" w:cstheme="majorBidi"/>
          <w:b/>
          <w:color w:val="auto"/>
          <w:kern w:val="2"/>
          <w:sz w:val="21"/>
          <w:szCs w:val="24"/>
          <w:lang w:val="en-US" w:eastAsia="zh-CN" w:bidi="ar-SA"/>
        </w:rPr>
        <w:fldChar w:fldCharType="end"/>
      </w:r>
      <w:r>
        <w:rPr>
          <w:rFonts w:hint="eastAsia" w:ascii="Times New Roman" w:hAnsi="Times New Roman" w:eastAsia="宋体" w:cstheme="majorBidi"/>
          <w:b/>
          <w:color w:val="auto"/>
          <w:kern w:val="2"/>
          <w:sz w:val="21"/>
          <w:szCs w:val="24"/>
          <w:lang w:val="en-US" w:eastAsia="zh-CN" w:bidi="ar-SA"/>
        </w:rPr>
        <w:t xml:space="preserve"> 汽车吊起重特性表</w:t>
      </w:r>
    </w:p>
    <w:p w14:paraId="108D231E">
      <w:pPr>
        <w:ind w:left="0" w:leftChars="0" w:firstLine="0" w:firstLineChars="0"/>
        <w:jc w:val="center"/>
        <w:rPr>
          <w:rFonts w:hint="eastAsia"/>
          <w:color w:val="auto"/>
          <w:sz w:val="24"/>
          <w:szCs w:val="24"/>
          <w:lang w:val="en-US" w:eastAsia="zh-CN"/>
        </w:rPr>
      </w:pPr>
      <w:r>
        <w:drawing>
          <wp:inline distT="0" distB="0" distL="114300" distR="114300">
            <wp:extent cx="4359275" cy="40309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4359275" cy="4030980"/>
                    </a:xfrm>
                    <a:prstGeom prst="rect">
                      <a:avLst/>
                    </a:prstGeom>
                    <a:noFill/>
                    <a:ln>
                      <a:noFill/>
                    </a:ln>
                  </pic:spPr>
                </pic:pic>
              </a:graphicData>
            </a:graphic>
          </wp:inline>
        </w:drawing>
      </w:r>
      <w:r>
        <w:drawing>
          <wp:inline distT="0" distB="0" distL="114300" distR="114300">
            <wp:extent cx="5273675" cy="3427095"/>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73675" cy="3427095"/>
                    </a:xfrm>
                    <a:prstGeom prst="rect">
                      <a:avLst/>
                    </a:prstGeom>
                    <a:noFill/>
                    <a:ln>
                      <a:noFill/>
                    </a:ln>
                  </pic:spPr>
                </pic:pic>
              </a:graphicData>
            </a:graphic>
          </wp:inline>
        </w:drawing>
      </w:r>
    </w:p>
    <w:p w14:paraId="4C296053">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311" w:name="_Toc13330"/>
      <w:r>
        <w:rPr>
          <w:rFonts w:hint="eastAsia" w:eastAsia="宋体"/>
          <w:color w:val="auto"/>
          <w:lang w:val="en-US" w:eastAsia="zh-CN"/>
        </w:rPr>
        <w:t>吊索具选型计算</w:t>
      </w:r>
      <w:bookmarkEnd w:id="309"/>
      <w:bookmarkEnd w:id="310"/>
      <w:bookmarkEnd w:id="311"/>
    </w:p>
    <w:p w14:paraId="1DFE89F8">
      <w:pP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w:t>
      </w:r>
      <w:r>
        <w:rPr>
          <w:rFonts w:ascii="Times New Roman" w:hAnsi="Times New Roman" w:eastAsia="宋体" w:cs="Times New Roman"/>
          <w:color w:val="auto"/>
          <w:highlight w:val="none"/>
        </w:rPr>
        <w:t>钢丝绳选型依据</w:t>
      </w:r>
    </w:p>
    <w:p w14:paraId="11EA1A85">
      <w:pPr>
        <w:ind w:firstLine="480"/>
        <w:rPr>
          <w:rFonts w:ascii="Times New Roman" w:hAnsi="Times New Roman" w:eastAsia="宋体" w:cs="Times New Roman"/>
        </w:rPr>
      </w:pPr>
      <w:r>
        <w:rPr>
          <w:rFonts w:hint="eastAsia" w:ascii="Times New Roman" w:hAnsi="Times New Roman" w:eastAsia="宋体" w:cs="Times New Roman"/>
          <w:highlight w:val="none"/>
        </w:rPr>
        <w:t>根据起吊重量选择相</w:t>
      </w:r>
      <w:r>
        <w:rPr>
          <w:rFonts w:hint="eastAsia" w:ascii="Times New Roman" w:hAnsi="Times New Roman" w:eastAsia="宋体" w:cs="Times New Roman"/>
        </w:rPr>
        <w:t>对应的钢丝绳和卸扣。</w:t>
      </w:r>
    </w:p>
    <w:p w14:paraId="2EC70D3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8E850BF">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58E40978">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338B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5179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697E7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4CDC189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5DDA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BBC68C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3D20D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31A3714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866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A96C40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D7430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090C031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1134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1AB3E3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AF7EDD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0E720DA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5D53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0F49E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848021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77E19D1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019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E14A9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80A06D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6AC3B05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15BED9E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3498783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6CB4F8F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4974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45CEC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E06695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738BFD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1C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6E8D7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AC635D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648DB9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4668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74316F0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9D17C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4657681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——钢丝绳公称抗拉强度，取1870MPa；</w:t>
            </w:r>
          </w:p>
        </w:tc>
      </w:tr>
      <w:tr w14:paraId="76CF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B43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64D9482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76B6E5D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——钢丝绳的最小破断拉力系数，6×19W+IWR钢丝绳取0.33。</w:t>
            </w:r>
          </w:p>
        </w:tc>
      </w:tr>
    </w:tbl>
    <w:p w14:paraId="1FC62EA5">
      <w:pPr>
        <w:ind w:firstLine="480"/>
        <w:rPr>
          <w:rFonts w:ascii="Times New Roman" w:hAnsi="Times New Roman" w:eastAsia="宋体" w:cs="Times New Roman"/>
        </w:rPr>
      </w:pPr>
      <w:r>
        <w:rPr>
          <w:rFonts w:hint="eastAsia" w:ascii="Times New Roman" w:hAnsi="Times New Roman" w:eastAsia="宋体" w:cs="Times New Roman"/>
        </w:rPr>
        <w:t>采用四点吊</w:t>
      </w:r>
      <w:r>
        <w:rPr>
          <w:rFonts w:hint="eastAsia" w:ascii="Times New Roman" w:hAnsi="Times New Roman" w:eastAsia="宋体" w:cs="Times New Roman"/>
          <w:lang w:eastAsia="zh-CN"/>
        </w:rPr>
        <w:t>的</w:t>
      </w:r>
      <w:r>
        <w:rPr>
          <w:rFonts w:hint="eastAsia" w:ascii="Times New Roman" w:hAnsi="Times New Roman" w:eastAsia="宋体" w:cs="Times New Roman"/>
          <w:lang w:val="en-US" w:eastAsia="zh-CN"/>
        </w:rPr>
        <w:t>施</w:t>
      </w:r>
      <w:r>
        <w:rPr>
          <w:rFonts w:hint="eastAsia" w:ascii="Times New Roman" w:hAnsi="Times New Roman" w:eastAsia="宋体" w:cs="Times New Roman"/>
          <w:highlight w:val="none"/>
          <w:lang w:val="en-US" w:eastAsia="zh-CN"/>
        </w:rPr>
        <w:t>工升降机</w:t>
      </w:r>
      <w:r>
        <w:rPr>
          <w:rFonts w:hint="eastAsia" w:ascii="Times New Roman" w:hAnsi="Times New Roman" w:eastAsia="宋体" w:cs="Times New Roman"/>
          <w:highlight w:val="none"/>
        </w:rPr>
        <w:t>主要部件</w:t>
      </w:r>
      <w:r>
        <w:rPr>
          <w:rFonts w:hint="eastAsia" w:ascii="Times New Roman" w:hAnsi="Times New Roman" w:eastAsia="宋体"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起重量约</w:t>
      </w:r>
      <w:r>
        <w:rPr>
          <w:rFonts w:hint="eastAsia" w:cs="Times New Roman"/>
          <w:highlight w:val="none"/>
          <w:lang w:val="en-US" w:eastAsia="zh-CN"/>
        </w:rPr>
        <w:t>2</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w:t>
      </w:r>
      <w:r>
        <w:rPr>
          <w:rFonts w:hint="eastAsia" w:ascii="Times New Roman" w:hAnsi="Times New Roman" w:eastAsia="宋体" w:cs="Times New Roman"/>
        </w:rPr>
        <w:t>钢丝绳与</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rPr>
        <w:t>成60°夹角，以</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rPr>
        <w:t>顶部四个</w:t>
      </w:r>
      <w:r>
        <w:rPr>
          <w:rFonts w:hint="eastAsia" w:cs="Times New Roman"/>
          <w:lang w:val="en-US" w:eastAsia="zh-CN"/>
        </w:rPr>
        <w:t>吊耳</w:t>
      </w:r>
      <w:r>
        <w:rPr>
          <w:rFonts w:hint="eastAsia" w:ascii="Times New Roman" w:hAnsi="Times New Roman" w:eastAsia="宋体" w:cs="Times New Roman"/>
        </w:rPr>
        <w:t>孔作为吊装孔，钢丝绳采用压制接头。</w:t>
      </w:r>
    </w:p>
    <w:p w14:paraId="78ECADBE">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641B98E3">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2</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62.27</m:t>
          </m:r>
          <m:r>
            <m:rPr>
              <m:nor/>
              <m:sty m:val="p"/>
            </m:rPr>
            <w:rPr>
              <w:b w:val="0"/>
              <w:i w:val="0"/>
              <w:highlight w:val="none"/>
            </w:rPr>
            <m:t>kN</m:t>
          </m:r>
        </m:oMath>
      </m:oMathPara>
    </w:p>
    <w:p w14:paraId="75334144">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5D44EC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62.27</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10.05</m:t>
          </m:r>
          <m:r>
            <m:rPr>
              <m:nor/>
              <m:sty m:val="p"/>
            </m:rPr>
            <w:rPr>
              <w:b w:val="0"/>
              <w:i w:val="0"/>
              <w:highlight w:val="none"/>
            </w:rPr>
            <m:t>mm</m:t>
          </m:r>
        </m:oMath>
      </m:oMathPara>
    </w:p>
    <w:p w14:paraId="7BE10C10">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φ1</w:t>
      </w:r>
      <w:r>
        <w:rPr>
          <w:rFonts w:hint="eastAsia" w:cs="Times New Roman"/>
          <w:highlight w:val="none"/>
          <w:lang w:val="en-US" w:eastAsia="zh-CN"/>
        </w:rPr>
        <w:t>2</w:t>
      </w:r>
      <w:r>
        <w:rPr>
          <w:rFonts w:hint="eastAsia" w:ascii="Times New Roman" w:hAnsi="Times New Roman" w:eastAsia="宋体" w:cs="Times New Roman"/>
          <w:highlight w:val="none"/>
        </w:rPr>
        <w:t>mm钢丝绳可满足要求。</w:t>
      </w:r>
    </w:p>
    <w:p w14:paraId="6560B87E">
      <w:pPr>
        <w:bidi w:val="0"/>
        <w:rPr>
          <w:lang w:val="en-US" w:eastAsia="zh-CN"/>
        </w:rPr>
      </w:pPr>
      <w:bookmarkStart w:id="312" w:name="_Toc132535969"/>
      <w:r>
        <w:rPr>
          <w:rFonts w:hint="eastAsia" w:ascii="Times New Roman" w:hAnsi="Times New Roman" w:eastAsia="宋体" w:cs="Times New Roman"/>
          <w:color w:val="auto"/>
          <w:highlight w:val="none"/>
          <w:lang w:val="en-US" w:eastAsia="zh-CN"/>
        </w:rPr>
        <w:t>2、</w:t>
      </w:r>
      <w:r>
        <w:rPr>
          <w:rFonts w:hint="eastAsia"/>
          <w:lang w:val="en-US" w:eastAsia="zh-CN"/>
        </w:rPr>
        <w:t>卸扣选型</w:t>
      </w:r>
      <w:bookmarkEnd w:id="312"/>
    </w:p>
    <w:p w14:paraId="09594DDF">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48080211">
      <w:pPr>
        <w:pStyle w:val="13"/>
        <w:jc w:val="cente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9.2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D形卸扣</w:t>
      </w:r>
      <w:r>
        <w:rPr>
          <w:rFonts w:hint="eastAsia" w:ascii="Times New Roman" w:hAnsi="Times New Roman" w:eastAsia="宋体" w:cs="Times New Roman"/>
          <w:b/>
          <w:color w:val="auto"/>
          <w:kern w:val="2"/>
          <w:sz w:val="21"/>
          <w:szCs w:val="20"/>
          <w:lang w:val="en-US" w:eastAsia="zh-CN" w:bidi="ar-SA"/>
        </w:rPr>
        <w:t>尺寸</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0B45A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52CBBC0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5CA7239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8BE271">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2EA5BB53">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116E474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A8E40B2">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5099452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37FBA21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1BBD133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59C0EC1">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8C4A518">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663F4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34177299">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039EEB3A">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19272E4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D414B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66C693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60653B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7518486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556A93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08E73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40FF4B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0673E00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44E87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CD5E9F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20E607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026ADD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11873A9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64FC0CA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0B8885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6F35581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1151264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2FA28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CDD90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1F645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72F095F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1654404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226C90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16FC6FD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77801F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099A24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711D3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1589A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1CC0FC2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F018E6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57D2B9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EC89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062E4F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579F9B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36278CE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7146D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597FB8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2D333DF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C81325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69AE800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1A3FBB3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770F44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3E2663C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3214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6CC99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7ACBD3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49DB01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3A1BAF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4303338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29668A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4C897D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4410BA1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4802F39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0ACFC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34F1D5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F2E139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32AAEE3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3F064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3E406D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521E077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1D4970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0BBC0F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240C7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72F70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0A6034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2197AB9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999EA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5D054BA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928570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08CD85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407A35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2ED7B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3137EC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2A107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2187BB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7903B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333A1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3EF36F2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5F7BAA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141A2FF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30A9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E00F8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46348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0B73B5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4BA930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4240069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6D6B30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69C8C4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74CC497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D28B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AAB059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7A9924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850883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19F957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3A95BD3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37D407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538704C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4A61B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11AE4ABD">
      <w:pPr>
        <w:ind w:firstLine="480"/>
        <w:rPr>
          <w:rFonts w:ascii="Times New Roman" w:hAnsi="Times New Roman" w:eastAsia="宋体" w:cs="Times New Roman"/>
        </w:rPr>
      </w:pPr>
      <w:r>
        <w:rPr>
          <w:rFonts w:hint="eastAsia" w:ascii="Times New Roman" w:hAnsi="Times New Roman" w:eastAsia="宋体" w:cs="Times New Roman"/>
        </w:rPr>
        <w:t>四点吊</w:t>
      </w:r>
      <w:r>
        <w:rPr>
          <w:rFonts w:hint="eastAsia" w:ascii="Times New Roman" w:hAnsi="Times New Roman" w:eastAsia="宋体" w:cs="Times New Roman"/>
          <w:lang w:eastAsia="zh-CN"/>
        </w:rPr>
        <w:t>的</w:t>
      </w:r>
      <w:r>
        <w:rPr>
          <w:rFonts w:hint="eastAsia" w:ascii="Times New Roman" w:hAnsi="Times New Roman" w:eastAsia="宋体" w:cs="Times New Roman"/>
          <w:lang w:val="en-US" w:eastAsia="zh-CN"/>
        </w:rPr>
        <w:t>施工升降机</w:t>
      </w:r>
      <w:r>
        <w:rPr>
          <w:rFonts w:hint="eastAsia" w:ascii="Times New Roman" w:hAnsi="Times New Roman" w:eastAsia="宋体" w:cs="Times New Roman"/>
        </w:rPr>
        <w:t>主要部件</w:t>
      </w:r>
      <w:r>
        <w:rPr>
          <w:rFonts w:hint="eastAsia" w:ascii="Times New Roman" w:hAnsi="Times New Roman" w:eastAsia="宋体" w:cs="Times New Roman"/>
          <w:lang w:val="en-US" w:eastAsia="zh-CN"/>
        </w:rPr>
        <w:t>中</w:t>
      </w:r>
      <w:r>
        <w:rPr>
          <w:rFonts w:hint="eastAsia" w:ascii="Times New Roman" w:hAnsi="Times New Roman" w:eastAsia="宋体" w:cs="Times New Roman"/>
        </w:rPr>
        <w:t>最大重</w:t>
      </w:r>
      <w:r>
        <w:rPr>
          <w:rFonts w:hint="eastAsia" w:ascii="Times New Roman" w:hAnsi="Times New Roman" w:eastAsia="宋体" w:cs="Times New Roman"/>
          <w:highlight w:val="none"/>
        </w:rPr>
        <w:t>量为</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起重量约</w:t>
      </w:r>
      <w:r>
        <w:rPr>
          <w:rFonts w:hint="eastAsia" w:cs="Times New Roman"/>
          <w:highlight w:val="none"/>
          <w:lang w:val="en-US" w:eastAsia="zh-CN"/>
        </w:rPr>
        <w:t>2</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w:t>
      </w:r>
      <w:r>
        <w:rPr>
          <w:rFonts w:hint="eastAsia" w:ascii="Times New Roman" w:hAnsi="Times New Roman" w:eastAsia="宋体" w:cs="Times New Roman"/>
        </w:rPr>
        <w:t>钢丝绳连接卸扣工作荷载：</w:t>
      </w:r>
    </w:p>
    <w:p w14:paraId="6E4DB07E">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62.27</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10.38</m:t>
        </m:r>
        <m:r>
          <m:rPr>
            <m:nor/>
            <m:sty m:val="p"/>
          </m:rPr>
          <w:rPr>
            <w:b w:val="0"/>
            <w:i w:val="0"/>
          </w:rPr>
          <m:t>kN</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01D4C0EC">
      <w:pPr>
        <w:rPr>
          <w:rFonts w:ascii="Times New Roman" w:hAnsi="Times New Roman" w:eastAsia="宋体" w:cs="Times New Roman"/>
        </w:rPr>
      </w:pPr>
      <w:r>
        <w:rPr>
          <w:rFonts w:ascii="Times New Roman" w:hAnsi="Times New Roman" w:eastAsia="宋体" w:cs="Times New Roman"/>
          <w:color w:val="auto"/>
        </w:rPr>
        <w:t>根据</w:t>
      </w:r>
      <w:r>
        <w:rPr>
          <w:rFonts w:hint="eastAsia" w:cs="Times New Roman"/>
          <w:color w:val="auto"/>
          <w:lang w:val="en-US" w:eastAsia="zh-CN"/>
        </w:rPr>
        <w:t>施工升降机</w:t>
      </w:r>
      <w:r>
        <w:rPr>
          <w:rFonts w:ascii="Times New Roman" w:hAnsi="Times New Roman" w:eastAsia="宋体" w:cs="Times New Roman"/>
          <w:color w:val="auto"/>
        </w:rPr>
        <w:t>设计参数及</w:t>
      </w:r>
      <w:r>
        <w:rPr>
          <w:rFonts w:hint="eastAsia" w:cs="Times New Roman"/>
          <w:color w:val="auto"/>
          <w:lang w:val="en-US" w:eastAsia="zh-CN"/>
        </w:rPr>
        <w:t>施工升降机</w:t>
      </w:r>
      <w:r>
        <w:rPr>
          <w:rFonts w:ascii="Times New Roman" w:hAnsi="Times New Roman" w:eastAsia="宋体" w:cs="Times New Roman"/>
          <w:color w:val="auto"/>
        </w:rPr>
        <w:t>主要部件重量及吊</w:t>
      </w:r>
      <w:r>
        <w:rPr>
          <w:rFonts w:hint="eastAsia" w:ascii="Times New Roman" w:hAnsi="Times New Roman" w:eastAsia="宋体" w:cs="Times New Roman"/>
          <w:color w:val="auto"/>
        </w:rPr>
        <w:t>装</w:t>
      </w:r>
      <w:r>
        <w:rPr>
          <w:rFonts w:ascii="Times New Roman" w:hAnsi="Times New Roman" w:eastAsia="宋体" w:cs="Times New Roman"/>
          <w:color w:val="auto"/>
        </w:rPr>
        <w:t>高度，确定</w:t>
      </w:r>
      <w:r>
        <w:rPr>
          <w:rFonts w:hint="eastAsia" w:cs="Times New Roman"/>
          <w:color w:val="auto"/>
          <w:lang w:val="en-US" w:eastAsia="zh-CN"/>
        </w:rPr>
        <w:t>拆除</w:t>
      </w:r>
      <w:r>
        <w:rPr>
          <w:rFonts w:ascii="Times New Roman" w:hAnsi="Times New Roman" w:eastAsia="宋体" w:cs="Times New Roman"/>
          <w:color w:val="auto"/>
        </w:rPr>
        <w:t>过程中所需的最大吊重、最大钢丝绳夹角，结合施工现场实际情况，确定起重钢丝绳型号。钢丝绳及卸扣选型见下表。</w:t>
      </w:r>
    </w:p>
    <w:p w14:paraId="54B5CCC2">
      <w:pPr>
        <w:pStyle w:val="13"/>
        <w:jc w:val="center"/>
      </w:pPr>
      <w:r>
        <w:rPr>
          <w:rFonts w:hint="eastAsia" w:ascii="Times New Roman" w:hAnsi="Times New Roman" w:eastAsia="宋体"/>
          <w:b/>
          <w:color w:val="auto"/>
          <w:sz w:val="21"/>
          <w:szCs w:val="24"/>
        </w:rPr>
        <w:t xml:space="preserve">表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9.2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表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2</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钢丝绳选</w:t>
      </w:r>
      <w:r>
        <w:rPr>
          <w:rFonts w:ascii="Times New Roman" w:hAnsi="Times New Roman" w:eastAsia="宋体" w:cs="Times New Roman"/>
          <w:b/>
          <w:color w:val="auto"/>
          <w:kern w:val="2"/>
          <w:sz w:val="21"/>
          <w:szCs w:val="20"/>
          <w:lang w:val="en-US" w:eastAsia="zh-CN" w:bidi="ar-SA"/>
        </w:rPr>
        <w:t>型表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2236"/>
        <w:gridCol w:w="4068"/>
        <w:gridCol w:w="813"/>
        <w:gridCol w:w="814"/>
      </w:tblGrid>
      <w:tr w14:paraId="01C0A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blHeader/>
          <w:jc w:val="center"/>
        </w:trPr>
        <w:tc>
          <w:tcPr>
            <w:tcW w:w="345" w:type="pct"/>
            <w:vAlign w:val="center"/>
          </w:tcPr>
          <w:p w14:paraId="03A54913">
            <w:pPr>
              <w:pStyle w:val="30"/>
              <w:bidi w:val="0"/>
              <w:rPr>
                <w:lang w:val="en-US" w:eastAsia="zh-CN"/>
              </w:rPr>
            </w:pPr>
            <w:r>
              <w:rPr>
                <w:lang w:val="en-US" w:eastAsia="zh-CN"/>
              </w:rPr>
              <w:t>序号</w:t>
            </w:r>
          </w:p>
        </w:tc>
        <w:tc>
          <w:tcPr>
            <w:tcW w:w="1312" w:type="pct"/>
            <w:vAlign w:val="center"/>
          </w:tcPr>
          <w:p w14:paraId="105E9858">
            <w:pPr>
              <w:pStyle w:val="30"/>
              <w:bidi w:val="0"/>
              <w:rPr>
                <w:lang w:val="en-US" w:eastAsia="zh-CN"/>
              </w:rPr>
            </w:pPr>
            <w:r>
              <w:rPr>
                <w:lang w:val="en-US" w:eastAsia="zh-CN"/>
              </w:rPr>
              <w:t>设备名称</w:t>
            </w:r>
          </w:p>
        </w:tc>
        <w:tc>
          <w:tcPr>
            <w:tcW w:w="2387" w:type="pct"/>
            <w:vAlign w:val="center"/>
          </w:tcPr>
          <w:p w14:paraId="6B32FA50">
            <w:pPr>
              <w:pStyle w:val="30"/>
              <w:bidi w:val="0"/>
              <w:rPr>
                <w:lang w:val="en-US" w:eastAsia="zh-CN"/>
              </w:rPr>
            </w:pPr>
            <w:r>
              <w:rPr>
                <w:lang w:val="en-US" w:eastAsia="zh-CN"/>
              </w:rPr>
              <w:t>规格型号</w:t>
            </w:r>
          </w:p>
        </w:tc>
        <w:tc>
          <w:tcPr>
            <w:tcW w:w="477" w:type="pct"/>
            <w:vAlign w:val="center"/>
          </w:tcPr>
          <w:p w14:paraId="54F5C61F">
            <w:pPr>
              <w:pStyle w:val="30"/>
              <w:bidi w:val="0"/>
              <w:rPr>
                <w:lang w:val="en-US" w:eastAsia="zh-CN"/>
              </w:rPr>
            </w:pPr>
            <w:r>
              <w:rPr>
                <w:lang w:val="en-US" w:eastAsia="zh-CN"/>
              </w:rPr>
              <w:t>单位</w:t>
            </w:r>
          </w:p>
        </w:tc>
        <w:tc>
          <w:tcPr>
            <w:tcW w:w="477" w:type="pct"/>
            <w:vAlign w:val="center"/>
          </w:tcPr>
          <w:p w14:paraId="4652600A">
            <w:pPr>
              <w:pStyle w:val="30"/>
              <w:bidi w:val="0"/>
              <w:rPr>
                <w:lang w:val="en-US" w:eastAsia="zh-CN"/>
              </w:rPr>
            </w:pPr>
            <w:r>
              <w:rPr>
                <w:lang w:val="en-US" w:eastAsia="zh-CN"/>
              </w:rPr>
              <w:t>数量</w:t>
            </w:r>
          </w:p>
        </w:tc>
      </w:tr>
      <w:tr w14:paraId="75DE1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345" w:type="pct"/>
            <w:vAlign w:val="center"/>
          </w:tcPr>
          <w:p w14:paraId="75434649">
            <w:pPr>
              <w:pStyle w:val="30"/>
              <w:bidi w:val="0"/>
              <w:rPr>
                <w:rFonts w:hint="default"/>
                <w:b w:val="0"/>
                <w:bCs/>
                <w:lang w:val="en-US" w:eastAsia="zh-CN"/>
              </w:rPr>
            </w:pPr>
            <w:r>
              <w:rPr>
                <w:rFonts w:hint="eastAsia"/>
                <w:b w:val="0"/>
                <w:bCs/>
                <w:lang w:val="en-US" w:eastAsia="zh-CN"/>
              </w:rPr>
              <w:t>1</w:t>
            </w:r>
          </w:p>
        </w:tc>
        <w:tc>
          <w:tcPr>
            <w:tcW w:w="1312" w:type="pct"/>
            <w:vAlign w:val="center"/>
          </w:tcPr>
          <w:p w14:paraId="6983CF2C">
            <w:pPr>
              <w:pStyle w:val="30"/>
              <w:bidi w:val="0"/>
              <w:rPr>
                <w:b w:val="0"/>
                <w:bCs/>
                <w:lang w:val="en-US" w:eastAsia="zh-CN"/>
              </w:rPr>
            </w:pPr>
            <w:r>
              <w:rPr>
                <w:b w:val="0"/>
                <w:bCs/>
                <w:lang w:val="en-US" w:eastAsia="zh-CN"/>
              </w:rPr>
              <w:t>起重用钢丝绳</w:t>
            </w:r>
          </w:p>
        </w:tc>
        <w:tc>
          <w:tcPr>
            <w:tcW w:w="2387" w:type="pct"/>
            <w:vAlign w:val="center"/>
          </w:tcPr>
          <w:p w14:paraId="1101BA7B">
            <w:pPr>
              <w:pStyle w:val="30"/>
              <w:bidi w:val="0"/>
              <w:rPr>
                <w:b w:val="0"/>
                <w:bCs/>
                <w:lang w:val="en-US" w:eastAsia="zh-CN"/>
              </w:rPr>
            </w:pPr>
            <w:bookmarkStart w:id="313" w:name="吊装钢丝绳"/>
            <w:r>
              <w:rPr>
                <w:rFonts w:hint="eastAsia"/>
                <w:b w:val="0"/>
                <w:bCs/>
                <w:lang w:val="en-US" w:eastAsia="zh-CN"/>
              </w:rPr>
              <w:t>12mm6×19W+IWR1870Mpa</w:t>
            </w:r>
            <w:bookmarkEnd w:id="313"/>
          </w:p>
        </w:tc>
        <w:tc>
          <w:tcPr>
            <w:tcW w:w="477" w:type="pct"/>
            <w:vAlign w:val="center"/>
          </w:tcPr>
          <w:p w14:paraId="6EE43A2C">
            <w:pPr>
              <w:pStyle w:val="30"/>
              <w:bidi w:val="0"/>
              <w:rPr>
                <w:b w:val="0"/>
                <w:bCs/>
                <w:lang w:val="en-US" w:eastAsia="zh-CN"/>
              </w:rPr>
            </w:pPr>
            <w:r>
              <w:rPr>
                <w:b w:val="0"/>
                <w:bCs/>
                <w:lang w:val="en-US" w:eastAsia="zh-CN"/>
              </w:rPr>
              <w:t>根</w:t>
            </w:r>
          </w:p>
        </w:tc>
        <w:tc>
          <w:tcPr>
            <w:tcW w:w="477" w:type="pct"/>
            <w:vAlign w:val="center"/>
          </w:tcPr>
          <w:p w14:paraId="57F4F2D6">
            <w:pPr>
              <w:pStyle w:val="30"/>
              <w:bidi w:val="0"/>
              <w:rPr>
                <w:rFonts w:hint="eastAsia"/>
                <w:b w:val="0"/>
                <w:bCs/>
                <w:lang w:val="en-US" w:eastAsia="zh-CN"/>
              </w:rPr>
            </w:pPr>
            <w:r>
              <w:rPr>
                <w:rFonts w:hint="eastAsia"/>
                <w:b w:val="0"/>
                <w:bCs/>
                <w:lang w:val="en-US" w:eastAsia="zh-CN"/>
              </w:rPr>
              <w:t>4</w:t>
            </w:r>
          </w:p>
        </w:tc>
      </w:tr>
      <w:tr w14:paraId="4AF7E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345" w:type="pct"/>
            <w:vAlign w:val="center"/>
          </w:tcPr>
          <w:p w14:paraId="35797D2D">
            <w:pPr>
              <w:pStyle w:val="30"/>
              <w:bidi w:val="0"/>
              <w:rPr>
                <w:rFonts w:hint="default"/>
                <w:b w:val="0"/>
                <w:bCs/>
                <w:lang w:val="en-US" w:eastAsia="zh-CN"/>
              </w:rPr>
            </w:pPr>
            <w:r>
              <w:rPr>
                <w:rFonts w:hint="eastAsia"/>
                <w:b w:val="0"/>
                <w:bCs/>
                <w:lang w:val="en-US" w:eastAsia="zh-CN"/>
              </w:rPr>
              <w:t>2</w:t>
            </w:r>
          </w:p>
        </w:tc>
        <w:tc>
          <w:tcPr>
            <w:tcW w:w="1312" w:type="pct"/>
            <w:vAlign w:val="center"/>
          </w:tcPr>
          <w:p w14:paraId="333C3CB1">
            <w:pPr>
              <w:pStyle w:val="30"/>
              <w:bidi w:val="0"/>
              <w:rPr>
                <w:b w:val="0"/>
                <w:bCs/>
                <w:lang w:val="en-US" w:eastAsia="zh-CN"/>
              </w:rPr>
            </w:pPr>
            <w:r>
              <w:rPr>
                <w:b w:val="0"/>
                <w:bCs/>
                <w:lang w:val="en-US" w:eastAsia="zh-CN"/>
              </w:rPr>
              <w:t>卸扣</w:t>
            </w:r>
          </w:p>
        </w:tc>
        <w:tc>
          <w:tcPr>
            <w:tcW w:w="2387" w:type="pct"/>
            <w:vAlign w:val="center"/>
          </w:tcPr>
          <w:p w14:paraId="5D6D8A5E">
            <w:pPr>
              <w:pStyle w:val="30"/>
              <w:bidi w:val="0"/>
              <w:rPr>
                <w:rFonts w:hint="default"/>
                <w:b w:val="0"/>
                <w:bCs/>
                <w:lang w:val="en-US" w:eastAsia="zh-CN"/>
              </w:rPr>
            </w:pPr>
            <w:bookmarkStart w:id="314" w:name="吊装卸扣"/>
            <w:r>
              <w:rPr>
                <w:rFonts w:hint="eastAsia"/>
                <w:b w:val="0"/>
                <w:bCs/>
                <w:lang w:val="en-US" w:eastAsia="zh-CN"/>
              </w:rPr>
              <w:t>GB/T 25854-6-DW5</w:t>
            </w:r>
            <w:bookmarkEnd w:id="314"/>
          </w:p>
        </w:tc>
        <w:tc>
          <w:tcPr>
            <w:tcW w:w="477" w:type="pct"/>
            <w:vAlign w:val="center"/>
          </w:tcPr>
          <w:p w14:paraId="1324422F">
            <w:pPr>
              <w:pStyle w:val="30"/>
              <w:bidi w:val="0"/>
              <w:rPr>
                <w:b w:val="0"/>
                <w:bCs/>
                <w:lang w:val="en-US" w:eastAsia="zh-CN"/>
              </w:rPr>
            </w:pPr>
            <w:r>
              <w:rPr>
                <w:b w:val="0"/>
                <w:bCs/>
                <w:lang w:val="en-US" w:eastAsia="zh-CN"/>
              </w:rPr>
              <w:t>个</w:t>
            </w:r>
          </w:p>
        </w:tc>
        <w:tc>
          <w:tcPr>
            <w:tcW w:w="477" w:type="pct"/>
            <w:vAlign w:val="center"/>
          </w:tcPr>
          <w:p w14:paraId="223D41B2">
            <w:pPr>
              <w:pStyle w:val="30"/>
              <w:bidi w:val="0"/>
              <w:rPr>
                <w:b w:val="0"/>
                <w:bCs/>
                <w:lang w:val="en-US" w:eastAsia="zh-CN"/>
              </w:rPr>
            </w:pPr>
            <w:r>
              <w:rPr>
                <w:b w:val="0"/>
                <w:bCs/>
                <w:lang w:val="en-US" w:eastAsia="zh-CN"/>
              </w:rPr>
              <w:t>4</w:t>
            </w:r>
          </w:p>
        </w:tc>
      </w:tr>
    </w:tbl>
    <w:p w14:paraId="1B8DBB86">
      <w:pPr>
        <w:pStyle w:val="7"/>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lang w:val="en-US" w:eastAsia="zh-CN"/>
        </w:rPr>
      </w:pPr>
      <w:bookmarkStart w:id="315" w:name="_Toc3146"/>
      <w:r>
        <w:rPr>
          <w:rFonts w:hint="eastAsia" w:eastAsia="宋体"/>
          <w:color w:val="auto"/>
          <w:lang w:val="en-US" w:eastAsia="zh-CN"/>
        </w:rPr>
        <w:t>施工平面布置示意图</w:t>
      </w:r>
      <w:bookmarkEnd w:id="315"/>
    </w:p>
    <w:p w14:paraId="63652927">
      <w:pPr>
        <w:pStyle w:val="3"/>
        <w:jc w:val="both"/>
      </w:pPr>
      <w:r>
        <w:drawing>
          <wp:inline distT="0" distB="0" distL="114300" distR="114300">
            <wp:extent cx="5013325" cy="3672840"/>
            <wp:effectExtent l="0" t="0" r="15875" b="381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38"/>
                    <a:stretch>
                      <a:fillRect/>
                    </a:stretch>
                  </pic:blipFill>
                  <pic:spPr>
                    <a:xfrm>
                      <a:off x="0" y="0"/>
                      <a:ext cx="5013325" cy="3672840"/>
                    </a:xfrm>
                    <a:prstGeom prst="rect">
                      <a:avLst/>
                    </a:prstGeom>
                    <a:noFill/>
                    <a:ln>
                      <a:noFill/>
                    </a:ln>
                  </pic:spPr>
                </pic:pic>
              </a:graphicData>
            </a:graphic>
          </wp:inline>
        </w:drawing>
      </w:r>
    </w:p>
    <w:p w14:paraId="3C5F9003">
      <w:pPr>
        <w:pStyle w:val="13"/>
        <w:jc w:val="center"/>
        <w:rPr>
          <w:rFonts w:hint="default" w:ascii="Times New Roman" w:hAnsi="Times New Roman" w:eastAsia="宋体"/>
          <w:b/>
          <w:color w:val="auto"/>
          <w:sz w:val="21"/>
          <w:szCs w:val="24"/>
          <w:lang w:val="en-US" w:eastAsia="zh-CN"/>
        </w:rPr>
      </w:pPr>
      <w:r>
        <w:rPr>
          <w:rFonts w:hint="eastAsia" w:ascii="Times New Roman" w:hAnsi="Times New Roman" w:eastAsia="宋体"/>
          <w:b/>
          <w:color w:val="auto"/>
          <w:sz w:val="21"/>
          <w:szCs w:val="24"/>
        </w:rPr>
        <w:t xml:space="preserve">图 </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STYLEREF 2 \s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9.3</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rPr>
        <w:fldChar w:fldCharType="begin"/>
      </w:r>
      <w:r>
        <w:rPr>
          <w:rFonts w:hint="eastAsia" w:ascii="Times New Roman" w:hAnsi="Times New Roman" w:eastAsia="宋体"/>
          <w:b/>
          <w:color w:val="auto"/>
          <w:sz w:val="21"/>
          <w:szCs w:val="24"/>
        </w:rPr>
        <w:instrText xml:space="preserve"> SEQ 图 \* ARABIC \s 2 </w:instrText>
      </w:r>
      <w:r>
        <w:rPr>
          <w:rFonts w:hint="eastAsia" w:ascii="Times New Roman" w:hAnsi="Times New Roman" w:eastAsia="宋体"/>
          <w:b/>
          <w:color w:val="auto"/>
          <w:sz w:val="21"/>
          <w:szCs w:val="24"/>
        </w:rPr>
        <w:fldChar w:fldCharType="separate"/>
      </w:r>
      <w:r>
        <w:rPr>
          <w:rFonts w:hint="eastAsia" w:ascii="Times New Roman" w:hAnsi="Times New Roman" w:eastAsia="宋体"/>
          <w:b/>
          <w:color w:val="auto"/>
          <w:sz w:val="21"/>
          <w:szCs w:val="24"/>
        </w:rPr>
        <w:t>1</w:t>
      </w:r>
      <w:r>
        <w:rPr>
          <w:rFonts w:hint="eastAsia" w:ascii="Times New Roman" w:hAnsi="Times New Roman" w:eastAsia="宋体"/>
          <w:b/>
          <w:color w:val="auto"/>
          <w:sz w:val="21"/>
          <w:szCs w:val="24"/>
        </w:rPr>
        <w:fldChar w:fldCharType="end"/>
      </w:r>
      <w:r>
        <w:rPr>
          <w:rFonts w:hint="eastAsia" w:ascii="Times New Roman" w:hAnsi="Times New Roman" w:eastAsia="宋体"/>
          <w:b/>
          <w:color w:val="auto"/>
          <w:sz w:val="21"/>
          <w:szCs w:val="24"/>
          <w:lang w:val="en-US" w:eastAsia="zh-CN"/>
        </w:rPr>
        <w:t xml:space="preserve"> 施工平面布置图</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49CC7">
    <w:pPr>
      <w:pStyle w:val="18"/>
      <w:ind w:firstLine="360"/>
      <w:jc w:val="center"/>
    </w:pPr>
  </w:p>
  <w:p w14:paraId="5B3AA10E">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AD642">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5D06">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E901">
    <w:pPr>
      <w:pStyle w:val="18"/>
      <w:ind w:firstLine="360"/>
      <w:jc w:val="center"/>
    </w:pPr>
  </w:p>
  <w:p w14:paraId="0B6EE707">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CF60">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ECB7">
    <w:pPr>
      <w:pStyle w:val="18"/>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58</w:t>
                          </w:r>
                          <w:r>
                            <w:t xml:space="preserve"> 页</w:t>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ZMsKwNkBAACtAwAADgAAAAAAAAABACAA&#10;AAAeAQAAZHJzL2Uyb0RvYy54bWxQSwUGAAAAAAYABgBZAQAAaQUAAAAA&#10;">
              <v:fill on="f" focussize="0,0"/>
              <v:stroke on="f"/>
              <v:imagedata o:title=""/>
              <o:lock v:ext="edit" aspectratio="f"/>
              <v:textbox inset="0mm,0mm,0mm,0mm" style="mso-fit-shape-to-text:t;">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58</w:t>
                    </w:r>
                    <w:r>
                      <w:t xml:space="preserve"> 页</w:t>
                    </w:r>
                  </w:p>
                </w:txbxContent>
              </v:textbox>
            </v:shape>
          </w:pict>
        </mc:Fallback>
      </mc:AlternateContent>
    </w:r>
  </w:p>
  <w:p w14:paraId="7DC20D0B">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8141">
    <w:pPr>
      <w:pStyle w:val="1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58</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58</w:t>
                    </w:r>
                    <w:r>
                      <w:t>页</w:t>
                    </w:r>
                  </w:p>
                </w:txbxContent>
              </v:textbox>
            </v:shape>
          </w:pict>
        </mc:Fallback>
      </mc:AlternateContent>
    </w:r>
  </w:p>
  <w:p w14:paraId="3E722D9A">
    <w:pPr>
      <w:pStyle w:val="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1F5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E71D5">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8C0F">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D26">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7C5E">
    <w:pPr>
      <w:pStyle w:val="19"/>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A118">
    <w:pPr>
      <w:pStyle w:val="19"/>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3762">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2C3B2CB">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MylazYAAAACgEAAA8AAAAAAAAAAQAgAAAAIgAAAGRycy9kb3ducmV2Lnht&#10;bFBLAQIUABQAAAAIAIdO4kBd4Ii8wAEAAIIDAAAOAAAAAAAAAAEAIAAAACcBAABkcnMvZTJvRG9j&#10;LnhtbFBLBQYAAAAABgAGAFkBAABZBQAAAAA=&#10;">
              <v:fill on="f" focussize="0,0"/>
              <v:stroke on="f"/>
              <v:imagedata o:title=""/>
              <o:lock v:ext="edit" aspectratio="f"/>
              <v:textbox inset="0mm,0mm,0mm,0mm">
                <w:txbxContent>
                  <w:p w14:paraId="32C3B2CB">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492A3BC3">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uzoaf8EBAACBAwAADgAAAAAAAAABACAAAAAnAQAAZHJzL2Uyb0Rv&#10;Yy54bWxQSwUGAAAAAAYABgBZAQAAWgUAAAAA&#10;">
              <v:fill on="f" focussize="0,0"/>
              <v:stroke on="f"/>
              <v:imagedata o:title=""/>
              <o:lock v:ext="edit" aspectratio="f"/>
              <v:textbox inset="0mm,0mm,0mm,0mm">
                <w:txbxContent>
                  <w:p w14:paraId="492A3BC3">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5424C97"/>
    <w:multiLevelType w:val="singleLevel"/>
    <w:tmpl w:val="E5424C97"/>
    <w:lvl w:ilvl="0" w:tentative="0">
      <w:start w:val="1"/>
      <w:numFmt w:val="decimal"/>
      <w:suff w:val="nothing"/>
      <w:lvlText w:val="%1．"/>
      <w:lvlJc w:val="left"/>
      <w:pPr>
        <w:ind w:left="0" w:firstLine="400"/>
      </w:pPr>
      <w:rPr>
        <w:rFonts w:hint="default"/>
      </w:rPr>
    </w:lvl>
  </w:abstractNum>
  <w:abstractNum w:abstractNumId="3">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6562F80"/>
    <w:multiLevelType w:val="multilevel"/>
    <w:tmpl w:val="06562F8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7311CB1"/>
    <w:multiLevelType w:val="multilevel"/>
    <w:tmpl w:val="07311CB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9791A2B"/>
    <w:multiLevelType w:val="multilevel"/>
    <w:tmpl w:val="09791A2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A532380"/>
    <w:multiLevelType w:val="singleLevel"/>
    <w:tmpl w:val="0A532380"/>
    <w:lvl w:ilvl="0" w:tentative="0">
      <w:start w:val="1"/>
      <w:numFmt w:val="decimal"/>
      <w:suff w:val="nothing"/>
      <w:lvlText w:val="%1）"/>
      <w:lvlJc w:val="left"/>
    </w:lvl>
  </w:abstractNum>
  <w:abstractNum w:abstractNumId="8">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59CAE3E"/>
    <w:multiLevelType w:val="singleLevel"/>
    <w:tmpl w:val="159CAE3E"/>
    <w:lvl w:ilvl="0" w:tentative="0">
      <w:start w:val="1"/>
      <w:numFmt w:val="decimal"/>
      <w:suff w:val="nothing"/>
      <w:lvlText w:val="%1）"/>
      <w:lvlJc w:val="left"/>
    </w:lvl>
  </w:abstractNum>
  <w:abstractNum w:abstractNumId="10">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A37CE0D"/>
    <w:multiLevelType w:val="singleLevel"/>
    <w:tmpl w:val="2A37CE0D"/>
    <w:lvl w:ilvl="0" w:tentative="0">
      <w:start w:val="1"/>
      <w:numFmt w:val="decimal"/>
      <w:suff w:val="nothing"/>
      <w:lvlText w:val="（%1）"/>
      <w:lvlJc w:val="left"/>
      <w:pPr>
        <w:ind w:left="240"/>
      </w:pPr>
    </w:lvl>
  </w:abstractNum>
  <w:abstractNum w:abstractNumId="14">
    <w:nsid w:val="2BE80E09"/>
    <w:multiLevelType w:val="singleLevel"/>
    <w:tmpl w:val="2BE80E09"/>
    <w:lvl w:ilvl="0" w:tentative="0">
      <w:start w:val="1"/>
      <w:numFmt w:val="decimal"/>
      <w:suff w:val="nothing"/>
      <w:lvlText w:val="%1）"/>
      <w:lvlJc w:val="left"/>
    </w:lvl>
  </w:abstractNum>
  <w:abstractNum w:abstractNumId="15">
    <w:nsid w:val="2FC67928"/>
    <w:multiLevelType w:val="multilevel"/>
    <w:tmpl w:val="2FC6792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9"/>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7">
    <w:nsid w:val="34FC5520"/>
    <w:multiLevelType w:val="multilevel"/>
    <w:tmpl w:val="34FC552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DC7CD6B"/>
    <w:multiLevelType w:val="multilevel"/>
    <w:tmpl w:val="3DC7CD6B"/>
    <w:lvl w:ilvl="0" w:tentative="0">
      <w:start w:val="1"/>
      <w:numFmt w:val="decimal"/>
      <w:pStyle w:val="6"/>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7"/>
      <w:suff w:val="space"/>
      <w:lvlText w:val="%1.%2 "/>
      <w:lvlJc w:val="left"/>
      <w:pPr>
        <w:ind w:left="480" w:firstLine="0"/>
      </w:pPr>
      <w:rPr>
        <w:rFonts w:hint="default" w:ascii="宋体" w:hAnsi="宋体" w:eastAsia="宋体" w:cs="宋体"/>
        <w:b/>
        <w:sz w:val="28"/>
      </w:rPr>
    </w:lvl>
    <w:lvl w:ilvl="2" w:tentative="0">
      <w:start w:val="1"/>
      <w:numFmt w:val="decimal"/>
      <w:pStyle w:val="8"/>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0">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4A12011"/>
    <w:multiLevelType w:val="multilevel"/>
    <w:tmpl w:val="44A1201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46E16618"/>
    <w:multiLevelType w:val="multilevel"/>
    <w:tmpl w:val="46E166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C3D1204"/>
    <w:multiLevelType w:val="multilevel"/>
    <w:tmpl w:val="4C3D1204"/>
    <w:lvl w:ilvl="0" w:tentative="0">
      <w:start w:val="1"/>
      <w:numFmt w:val="decimal"/>
      <w:suff w:val="nothing"/>
      <w:lvlText w:val="%1"/>
      <w:lvlJc w:val="center"/>
      <w:pPr>
        <w:ind w:left="420" w:hanging="420"/>
      </w:pPr>
      <w:rPr>
        <w:rFonts w:hint="default" w:ascii="Times New Roman" w:hAnsi="Times New Roman"/>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5B727828"/>
    <w:multiLevelType w:val="multilevel"/>
    <w:tmpl w:val="5B727828"/>
    <w:lvl w:ilvl="0" w:tentative="0">
      <w:start w:val="1"/>
      <w:numFmt w:val="decimal"/>
      <w:suff w:val="space"/>
      <w:lvlText w:val="%1"/>
      <w:lvlJc w:val="left"/>
      <w:pPr>
        <w:ind w:left="0" w:firstLine="0"/>
      </w:pPr>
      <w:rPr>
        <w:rFonts w:hint="default" w:ascii="Times New Roman" w:hAnsi="Times New Roman" w:eastAsia="宋体"/>
        <w:b/>
        <w:i w:val="0"/>
      </w:rPr>
    </w:lvl>
    <w:lvl w:ilvl="1" w:tentative="0">
      <w:start w:val="1"/>
      <w:numFmt w:val="decimal"/>
      <w:pStyle w:val="97"/>
      <w:isLgl/>
      <w:suff w:val="space"/>
      <w:lvlText w:val="%1.%2"/>
      <w:lvlJc w:val="left"/>
      <w:pPr>
        <w:ind w:left="0" w:firstLine="0"/>
      </w:pPr>
      <w:rPr>
        <w:rFonts w:hint="eastAsia" w:ascii="Times New Roman" w:hAnsi="Times New Roman" w:eastAsia="宋体" w:cs="宋体"/>
        <w:b/>
        <w:i w:val="0"/>
      </w:rPr>
    </w:lvl>
    <w:lvl w:ilvl="2" w:tentative="0">
      <w:start w:val="1"/>
      <w:numFmt w:val="decimal"/>
      <w:pStyle w:val="96"/>
      <w:isLgl/>
      <w:suff w:val="space"/>
      <w:lvlText w:val="%1.%2.%3"/>
      <w:lvlJc w:val="left"/>
      <w:pPr>
        <w:ind w:left="0" w:firstLine="0"/>
      </w:pPr>
      <w:rPr>
        <w:rFonts w:hint="eastAsia" w:ascii="Times New Roman" w:hAnsi="Times New Roman" w:eastAsia="宋体" w:cs="宋体"/>
        <w:b/>
        <w:i w:val="0"/>
      </w:rPr>
    </w:lvl>
    <w:lvl w:ilvl="3" w:tentative="0">
      <w:start w:val="1"/>
      <w:numFmt w:val="decimal"/>
      <w:pStyle w:val="95"/>
      <w:isLgl/>
      <w:suff w:val="space"/>
      <w:lvlText w:val="%1.%2.%3.%4 "/>
      <w:lvlJc w:val="left"/>
      <w:pPr>
        <w:ind w:left="0" w:firstLine="0"/>
      </w:pPr>
      <w:rPr>
        <w:rFonts w:hint="eastAsia" w:ascii="Times New Roman" w:hAnsi="Times New Roman" w:eastAsia="宋体" w:cs="宋体"/>
        <w:b/>
        <w:i w:val="0"/>
      </w:rPr>
    </w:lvl>
    <w:lvl w:ilvl="4" w:tentative="0">
      <w:start w:val="1"/>
      <w:numFmt w:val="decimal"/>
      <w:isLgl/>
      <w:suff w:val="space"/>
      <w:lvlText w:val="%1.%2.%3.%4.%5"/>
      <w:lvlJc w:val="left"/>
      <w:pPr>
        <w:ind w:left="0" w:firstLine="0"/>
      </w:pPr>
      <w:rPr>
        <w:rFonts w:hint="eastAsia" w:ascii="Times New Roman" w:hAnsi="Times New Roman" w:eastAsia="宋体" w:cs="宋体"/>
        <w:b/>
        <w:i w:val="0"/>
        <w:sz w:val="24"/>
      </w:rPr>
    </w:lvl>
    <w:lvl w:ilvl="5" w:tentative="0">
      <w:start w:val="1"/>
      <w:numFmt w:val="decimal"/>
      <w:isLgl/>
      <w:suff w:val="space"/>
      <w:lvlText w:val="%1.%2.%3.%4.%5.%6"/>
      <w:lvlJc w:val="left"/>
      <w:pPr>
        <w:ind w:left="0" w:firstLine="0"/>
      </w:pPr>
      <w:rPr>
        <w:rFonts w:hint="default" w:ascii="Times New Roman" w:hAnsi="Times New Roman" w:eastAsia="宋体"/>
        <w:b/>
        <w:i w:val="0"/>
        <w:sz w:val="24"/>
      </w:rPr>
    </w:lvl>
    <w:lvl w:ilvl="6" w:tentative="0">
      <w:start w:val="1"/>
      <w:numFmt w:val="decimal"/>
      <w:isLgl/>
      <w:suff w:val="space"/>
      <w:lvlText w:val="%1.%2.%3.%4.%5.%6.%7"/>
      <w:lvlJc w:val="left"/>
      <w:pPr>
        <w:ind w:left="0" w:firstLine="0"/>
      </w:pPr>
      <w:rPr>
        <w:rFonts w:hint="default" w:ascii="Times New Roman" w:hAnsi="Times New Roman" w:eastAsia="宋体" w:cs="等线"/>
        <w:b/>
        <w:i w:val="0"/>
        <w:sz w:val="24"/>
      </w:rPr>
    </w:lvl>
    <w:lvl w:ilvl="7" w:tentative="0">
      <w:start w:val="1"/>
      <w:numFmt w:val="decimal"/>
      <w:lvlRestart w:val="2"/>
      <w:suff w:val="nothing"/>
      <w:lvlText w:val="图%1.%2-%8 "/>
      <w:lvlJc w:val="center"/>
      <w:pPr>
        <w:ind w:left="0" w:firstLine="0"/>
      </w:pPr>
      <w:rPr>
        <w:rFonts w:hint="default" w:ascii="Times New Roman" w:hAnsi="Times New Roman" w:eastAsia="宋体" w:cs="等线"/>
        <w:b/>
        <w:i w:val="0"/>
        <w:sz w:val="21"/>
      </w:rPr>
    </w:lvl>
    <w:lvl w:ilvl="8" w:tentative="0">
      <w:start w:val="1"/>
      <w:numFmt w:val="decimal"/>
      <w:lvlRestart w:val="2"/>
      <w:suff w:val="nothing"/>
      <w:lvlText w:val="表%1.%2-%9 "/>
      <w:lvlJc w:val="center"/>
      <w:pPr>
        <w:ind w:left="0" w:firstLine="0"/>
      </w:pPr>
      <w:rPr>
        <w:rFonts w:hint="default" w:ascii="Times New Roman" w:hAnsi="Times New Roman" w:eastAsia="宋体"/>
        <w:b/>
        <w:i w:val="0"/>
        <w:sz w:val="21"/>
      </w:rPr>
    </w:lvl>
  </w:abstractNum>
  <w:abstractNum w:abstractNumId="26">
    <w:nsid w:val="6031BC5C"/>
    <w:multiLevelType w:val="singleLevel"/>
    <w:tmpl w:val="6031BC5C"/>
    <w:lvl w:ilvl="0" w:tentative="0">
      <w:start w:val="1"/>
      <w:numFmt w:val="decimal"/>
      <w:suff w:val="nothing"/>
      <w:lvlText w:val="（%1）"/>
      <w:lvlJc w:val="left"/>
    </w:lvl>
  </w:abstractNum>
  <w:abstractNum w:abstractNumId="27">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28">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66552978"/>
    <w:multiLevelType w:val="multilevel"/>
    <w:tmpl w:val="66552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6F7D56B2"/>
    <w:multiLevelType w:val="multilevel"/>
    <w:tmpl w:val="6F7D56B2"/>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704843E9"/>
    <w:multiLevelType w:val="multilevel"/>
    <w:tmpl w:val="704843E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9"/>
  </w:num>
  <w:num w:numId="2">
    <w:abstractNumId w:val="16"/>
  </w:num>
  <w:num w:numId="3">
    <w:abstractNumId w:val="20"/>
  </w:num>
  <w:num w:numId="4">
    <w:abstractNumId w:val="25"/>
  </w:num>
  <w:num w:numId="5">
    <w:abstractNumId w:val="18"/>
  </w:num>
  <w:num w:numId="6">
    <w:abstractNumId w:val="23"/>
  </w:num>
  <w:num w:numId="7">
    <w:abstractNumId w:val="24"/>
  </w:num>
  <w:num w:numId="8">
    <w:abstractNumId w:val="30"/>
  </w:num>
  <w:num w:numId="9">
    <w:abstractNumId w:val="1"/>
  </w:num>
  <w:num w:numId="10">
    <w:abstractNumId w:val="26"/>
  </w:num>
  <w:num w:numId="11">
    <w:abstractNumId w:val="13"/>
  </w:num>
  <w:num w:numId="12">
    <w:abstractNumId w:val="12"/>
  </w:num>
  <w:num w:numId="13">
    <w:abstractNumId w:val="3"/>
  </w:num>
  <w:num w:numId="14">
    <w:abstractNumId w:val="14"/>
  </w:num>
  <w:num w:numId="15">
    <w:abstractNumId w:val="9"/>
  </w:num>
  <w:num w:numId="16">
    <w:abstractNumId w:val="7"/>
  </w:num>
  <w:num w:numId="17">
    <w:abstractNumId w:val="32"/>
  </w:num>
  <w:num w:numId="18">
    <w:abstractNumId w:val="34"/>
  </w:num>
  <w:num w:numId="19">
    <w:abstractNumId w:val="28"/>
  </w:num>
  <w:num w:numId="20">
    <w:abstractNumId w:val="2"/>
  </w:num>
  <w:num w:numId="21">
    <w:abstractNumId w:val="33"/>
    <w:lvlOverride w:ilvl="0">
      <w:startOverride w:val="1"/>
    </w:lvlOverride>
  </w:num>
  <w:num w:numId="22">
    <w:abstractNumId w:val="33"/>
  </w:num>
  <w:num w:numId="23">
    <w:abstractNumId w:val="31"/>
  </w:num>
  <w:num w:numId="24">
    <w:abstractNumId w:val="6"/>
  </w:num>
  <w:num w:numId="25">
    <w:abstractNumId w:val="5"/>
  </w:num>
  <w:num w:numId="26">
    <w:abstractNumId w:val="21"/>
  </w:num>
  <w:num w:numId="27">
    <w:abstractNumId w:val="17"/>
  </w:num>
  <w:num w:numId="28">
    <w:abstractNumId w:val="22"/>
  </w:num>
  <w:num w:numId="29">
    <w:abstractNumId w:val="4"/>
  </w:num>
  <w:num w:numId="30">
    <w:abstractNumId w:val="29"/>
  </w:num>
  <w:num w:numId="31">
    <w:abstractNumId w:val="15"/>
  </w:num>
  <w:num w:numId="32">
    <w:abstractNumId w:val="0"/>
  </w:num>
  <w:num w:numId="33">
    <w:abstractNumId w:val="27"/>
  </w:num>
  <w:num w:numId="34">
    <w:abstractNumId w:val="10"/>
  </w:num>
  <w:num w:numId="35">
    <w:abstractNumId w:val="8"/>
  </w:num>
  <w:num w:numId="36">
    <w:abstractNumId w:val="3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13C06BC"/>
    <w:rsid w:val="014F5B4F"/>
    <w:rsid w:val="016C71F3"/>
    <w:rsid w:val="02686764"/>
    <w:rsid w:val="02AC3AF3"/>
    <w:rsid w:val="02C02DD6"/>
    <w:rsid w:val="03547F3F"/>
    <w:rsid w:val="03791562"/>
    <w:rsid w:val="039B3DC0"/>
    <w:rsid w:val="040C727D"/>
    <w:rsid w:val="041E5859"/>
    <w:rsid w:val="04221DEB"/>
    <w:rsid w:val="043E0B49"/>
    <w:rsid w:val="044367B0"/>
    <w:rsid w:val="048F6BA5"/>
    <w:rsid w:val="0490200A"/>
    <w:rsid w:val="04A7540B"/>
    <w:rsid w:val="04D347A3"/>
    <w:rsid w:val="0553688F"/>
    <w:rsid w:val="057364CF"/>
    <w:rsid w:val="05AC4062"/>
    <w:rsid w:val="05B747B5"/>
    <w:rsid w:val="05C55731"/>
    <w:rsid w:val="05D13AC9"/>
    <w:rsid w:val="05E5600D"/>
    <w:rsid w:val="05F709DC"/>
    <w:rsid w:val="06184EA7"/>
    <w:rsid w:val="063D772F"/>
    <w:rsid w:val="066861C0"/>
    <w:rsid w:val="075D3645"/>
    <w:rsid w:val="09AD74FA"/>
    <w:rsid w:val="09F9205B"/>
    <w:rsid w:val="0A024166"/>
    <w:rsid w:val="0AD16353"/>
    <w:rsid w:val="0B333F9D"/>
    <w:rsid w:val="0B5604C3"/>
    <w:rsid w:val="0BB83A54"/>
    <w:rsid w:val="0BC34CFF"/>
    <w:rsid w:val="0C4166DB"/>
    <w:rsid w:val="0C8E794D"/>
    <w:rsid w:val="0CA752C2"/>
    <w:rsid w:val="0CAC4889"/>
    <w:rsid w:val="0CBA3508"/>
    <w:rsid w:val="0CCE5F43"/>
    <w:rsid w:val="0D1A7E23"/>
    <w:rsid w:val="0D4A0C72"/>
    <w:rsid w:val="0DDA57BF"/>
    <w:rsid w:val="0DFC5E8E"/>
    <w:rsid w:val="0E8A515C"/>
    <w:rsid w:val="0E8D65A6"/>
    <w:rsid w:val="0E9919B5"/>
    <w:rsid w:val="0EB12455"/>
    <w:rsid w:val="0F111809"/>
    <w:rsid w:val="0F2541EA"/>
    <w:rsid w:val="0F6337DB"/>
    <w:rsid w:val="0F7C6E5E"/>
    <w:rsid w:val="0FA02DE0"/>
    <w:rsid w:val="10F86C2E"/>
    <w:rsid w:val="11092A62"/>
    <w:rsid w:val="11267A8B"/>
    <w:rsid w:val="11344598"/>
    <w:rsid w:val="115930ED"/>
    <w:rsid w:val="116B5255"/>
    <w:rsid w:val="11B1784D"/>
    <w:rsid w:val="11C2332F"/>
    <w:rsid w:val="12394A8E"/>
    <w:rsid w:val="12F538EB"/>
    <w:rsid w:val="12FF1DCD"/>
    <w:rsid w:val="13301502"/>
    <w:rsid w:val="14D72A6E"/>
    <w:rsid w:val="15294D65"/>
    <w:rsid w:val="15681628"/>
    <w:rsid w:val="15B5306E"/>
    <w:rsid w:val="16256973"/>
    <w:rsid w:val="16854E42"/>
    <w:rsid w:val="17883E12"/>
    <w:rsid w:val="17967BF3"/>
    <w:rsid w:val="17970C23"/>
    <w:rsid w:val="17BE6E6F"/>
    <w:rsid w:val="17CA7D24"/>
    <w:rsid w:val="17F27330"/>
    <w:rsid w:val="18701620"/>
    <w:rsid w:val="18B10338"/>
    <w:rsid w:val="18C27C4F"/>
    <w:rsid w:val="18CB010E"/>
    <w:rsid w:val="18F552DE"/>
    <w:rsid w:val="195425EF"/>
    <w:rsid w:val="197D7D98"/>
    <w:rsid w:val="1A2C190C"/>
    <w:rsid w:val="1A8F4166"/>
    <w:rsid w:val="1B5A68E3"/>
    <w:rsid w:val="1B6D59DB"/>
    <w:rsid w:val="1BCD1F93"/>
    <w:rsid w:val="1C313BDC"/>
    <w:rsid w:val="1C316C17"/>
    <w:rsid w:val="1C610BFB"/>
    <w:rsid w:val="1D0545A1"/>
    <w:rsid w:val="1D396851"/>
    <w:rsid w:val="1D4C4205"/>
    <w:rsid w:val="1D567FB1"/>
    <w:rsid w:val="1DDB6705"/>
    <w:rsid w:val="1E07040D"/>
    <w:rsid w:val="1E2E78B2"/>
    <w:rsid w:val="1E380731"/>
    <w:rsid w:val="1EA47B74"/>
    <w:rsid w:val="1EEF0DDB"/>
    <w:rsid w:val="1F44616C"/>
    <w:rsid w:val="1FC13721"/>
    <w:rsid w:val="1FC42B64"/>
    <w:rsid w:val="1FDB38E4"/>
    <w:rsid w:val="20146634"/>
    <w:rsid w:val="201E74B3"/>
    <w:rsid w:val="201F63D8"/>
    <w:rsid w:val="20505730"/>
    <w:rsid w:val="205816C0"/>
    <w:rsid w:val="2080305E"/>
    <w:rsid w:val="209B6D55"/>
    <w:rsid w:val="20A2041A"/>
    <w:rsid w:val="20E81160"/>
    <w:rsid w:val="20F327E0"/>
    <w:rsid w:val="21092637"/>
    <w:rsid w:val="212E1977"/>
    <w:rsid w:val="2142359F"/>
    <w:rsid w:val="21B634AE"/>
    <w:rsid w:val="223631D9"/>
    <w:rsid w:val="22794E74"/>
    <w:rsid w:val="227C6712"/>
    <w:rsid w:val="22D402FC"/>
    <w:rsid w:val="22F7393E"/>
    <w:rsid w:val="23D45A8E"/>
    <w:rsid w:val="23D719E2"/>
    <w:rsid w:val="24920A7E"/>
    <w:rsid w:val="250255F5"/>
    <w:rsid w:val="25D84C3D"/>
    <w:rsid w:val="26F57A5A"/>
    <w:rsid w:val="27C45A95"/>
    <w:rsid w:val="28047CEE"/>
    <w:rsid w:val="284303FE"/>
    <w:rsid w:val="285E713A"/>
    <w:rsid w:val="28BE1DE2"/>
    <w:rsid w:val="28D8189E"/>
    <w:rsid w:val="295E32B3"/>
    <w:rsid w:val="29C12F55"/>
    <w:rsid w:val="2AED63FF"/>
    <w:rsid w:val="2C7C5DFA"/>
    <w:rsid w:val="2CAD5165"/>
    <w:rsid w:val="2CC64AC8"/>
    <w:rsid w:val="2CDB502F"/>
    <w:rsid w:val="2CE275EC"/>
    <w:rsid w:val="2CEA1F1D"/>
    <w:rsid w:val="2DAF2092"/>
    <w:rsid w:val="2E100D83"/>
    <w:rsid w:val="2E411543"/>
    <w:rsid w:val="2EE77D80"/>
    <w:rsid w:val="2EF00F52"/>
    <w:rsid w:val="2FC040E2"/>
    <w:rsid w:val="2FD972FC"/>
    <w:rsid w:val="30144EC2"/>
    <w:rsid w:val="30802720"/>
    <w:rsid w:val="30E0426E"/>
    <w:rsid w:val="30FF0FEF"/>
    <w:rsid w:val="31206871"/>
    <w:rsid w:val="31490108"/>
    <w:rsid w:val="3156044E"/>
    <w:rsid w:val="32E90793"/>
    <w:rsid w:val="334C2479"/>
    <w:rsid w:val="33C80504"/>
    <w:rsid w:val="33D939C5"/>
    <w:rsid w:val="34323FE8"/>
    <w:rsid w:val="34A04CF3"/>
    <w:rsid w:val="34BA084E"/>
    <w:rsid w:val="350C09E7"/>
    <w:rsid w:val="35952AEC"/>
    <w:rsid w:val="365C0720"/>
    <w:rsid w:val="36B82216"/>
    <w:rsid w:val="36D15B8A"/>
    <w:rsid w:val="36D56B05"/>
    <w:rsid w:val="372C539E"/>
    <w:rsid w:val="37932249"/>
    <w:rsid w:val="37A246EA"/>
    <w:rsid w:val="37B646A0"/>
    <w:rsid w:val="37F60FE9"/>
    <w:rsid w:val="37F72B67"/>
    <w:rsid w:val="381B0A50"/>
    <w:rsid w:val="38665811"/>
    <w:rsid w:val="38763ED8"/>
    <w:rsid w:val="38BF1907"/>
    <w:rsid w:val="38E5211B"/>
    <w:rsid w:val="397502F0"/>
    <w:rsid w:val="397B4C7C"/>
    <w:rsid w:val="39AB02EF"/>
    <w:rsid w:val="39F02B60"/>
    <w:rsid w:val="3B123582"/>
    <w:rsid w:val="3C352E0B"/>
    <w:rsid w:val="3C4F1C44"/>
    <w:rsid w:val="3C610E7A"/>
    <w:rsid w:val="3DE03BA2"/>
    <w:rsid w:val="3DF338D5"/>
    <w:rsid w:val="3DFF11AB"/>
    <w:rsid w:val="3E0A5BCC"/>
    <w:rsid w:val="3E26436F"/>
    <w:rsid w:val="3E6D7B2B"/>
    <w:rsid w:val="3E7563E2"/>
    <w:rsid w:val="3EB5522B"/>
    <w:rsid w:val="3EB703CA"/>
    <w:rsid w:val="3F4A7E6C"/>
    <w:rsid w:val="3FB007F3"/>
    <w:rsid w:val="401C34CE"/>
    <w:rsid w:val="40375B30"/>
    <w:rsid w:val="408D0FB0"/>
    <w:rsid w:val="40BA1402"/>
    <w:rsid w:val="40BE45CB"/>
    <w:rsid w:val="40C85D34"/>
    <w:rsid w:val="413E755D"/>
    <w:rsid w:val="418A09F4"/>
    <w:rsid w:val="424109D0"/>
    <w:rsid w:val="428B2CF1"/>
    <w:rsid w:val="42990C13"/>
    <w:rsid w:val="42AF6F0F"/>
    <w:rsid w:val="42BD2703"/>
    <w:rsid w:val="42BE2445"/>
    <w:rsid w:val="42C96083"/>
    <w:rsid w:val="434D7F2B"/>
    <w:rsid w:val="436546FA"/>
    <w:rsid w:val="436A002C"/>
    <w:rsid w:val="440063D8"/>
    <w:rsid w:val="440B642A"/>
    <w:rsid w:val="44CF359C"/>
    <w:rsid w:val="45444586"/>
    <w:rsid w:val="45650595"/>
    <w:rsid w:val="457B172E"/>
    <w:rsid w:val="45A46EB6"/>
    <w:rsid w:val="45A55DFD"/>
    <w:rsid w:val="46696C70"/>
    <w:rsid w:val="4690622E"/>
    <w:rsid w:val="47480B36"/>
    <w:rsid w:val="48153421"/>
    <w:rsid w:val="482D0B2E"/>
    <w:rsid w:val="48494DFD"/>
    <w:rsid w:val="48572488"/>
    <w:rsid w:val="48640BAC"/>
    <w:rsid w:val="48BF0C65"/>
    <w:rsid w:val="490B74CC"/>
    <w:rsid w:val="493723C8"/>
    <w:rsid w:val="49725D2E"/>
    <w:rsid w:val="499F7100"/>
    <w:rsid w:val="49D54999"/>
    <w:rsid w:val="49FB63FB"/>
    <w:rsid w:val="4BCC53FA"/>
    <w:rsid w:val="4BCF3BD3"/>
    <w:rsid w:val="4C18631D"/>
    <w:rsid w:val="4CCE4A32"/>
    <w:rsid w:val="4DCD2983"/>
    <w:rsid w:val="4DF0525E"/>
    <w:rsid w:val="4E3247D7"/>
    <w:rsid w:val="4E4667F5"/>
    <w:rsid w:val="4EA2714D"/>
    <w:rsid w:val="4EE321CB"/>
    <w:rsid w:val="4F1A6DAA"/>
    <w:rsid w:val="4F472F49"/>
    <w:rsid w:val="4F7F321A"/>
    <w:rsid w:val="4FCB1C0C"/>
    <w:rsid w:val="504358FF"/>
    <w:rsid w:val="509158B4"/>
    <w:rsid w:val="50A740FF"/>
    <w:rsid w:val="50DA7F96"/>
    <w:rsid w:val="50DC3179"/>
    <w:rsid w:val="50ED7E7A"/>
    <w:rsid w:val="50F76935"/>
    <w:rsid w:val="510846F1"/>
    <w:rsid w:val="514B72BE"/>
    <w:rsid w:val="51612C25"/>
    <w:rsid w:val="516A1386"/>
    <w:rsid w:val="51917235"/>
    <w:rsid w:val="51FB09CD"/>
    <w:rsid w:val="520D74BE"/>
    <w:rsid w:val="522377D2"/>
    <w:rsid w:val="5257047F"/>
    <w:rsid w:val="525A6192"/>
    <w:rsid w:val="52956406"/>
    <w:rsid w:val="52D171BF"/>
    <w:rsid w:val="53434019"/>
    <w:rsid w:val="536605E8"/>
    <w:rsid w:val="53D13C3D"/>
    <w:rsid w:val="541615DB"/>
    <w:rsid w:val="54574DC4"/>
    <w:rsid w:val="55144405"/>
    <w:rsid w:val="554D6913"/>
    <w:rsid w:val="55BC113D"/>
    <w:rsid w:val="55EE0CF5"/>
    <w:rsid w:val="56405B1B"/>
    <w:rsid w:val="570B7614"/>
    <w:rsid w:val="570D7553"/>
    <w:rsid w:val="57224280"/>
    <w:rsid w:val="58352FDD"/>
    <w:rsid w:val="586B4901"/>
    <w:rsid w:val="58E84AE0"/>
    <w:rsid w:val="59AD3E0E"/>
    <w:rsid w:val="59C4289D"/>
    <w:rsid w:val="59C4486C"/>
    <w:rsid w:val="59F35F3A"/>
    <w:rsid w:val="5A072453"/>
    <w:rsid w:val="5A0E1D6B"/>
    <w:rsid w:val="5A4C5F01"/>
    <w:rsid w:val="5AB665E6"/>
    <w:rsid w:val="5B94004E"/>
    <w:rsid w:val="5BE51697"/>
    <w:rsid w:val="5C0F1DCA"/>
    <w:rsid w:val="5C6C4B26"/>
    <w:rsid w:val="5C7F0D24"/>
    <w:rsid w:val="5C893F80"/>
    <w:rsid w:val="5CC95CB1"/>
    <w:rsid w:val="5D746F72"/>
    <w:rsid w:val="5DAA3484"/>
    <w:rsid w:val="5DFC31B0"/>
    <w:rsid w:val="5E46061A"/>
    <w:rsid w:val="5E5A60BC"/>
    <w:rsid w:val="5E9706DB"/>
    <w:rsid w:val="5EDF7832"/>
    <w:rsid w:val="5F7A7D2B"/>
    <w:rsid w:val="5F8E51F8"/>
    <w:rsid w:val="609F196E"/>
    <w:rsid w:val="60C213F0"/>
    <w:rsid w:val="61477A44"/>
    <w:rsid w:val="61842912"/>
    <w:rsid w:val="619066B6"/>
    <w:rsid w:val="619C36C0"/>
    <w:rsid w:val="61DC065B"/>
    <w:rsid w:val="61FB21BD"/>
    <w:rsid w:val="62A41885"/>
    <w:rsid w:val="62A431C3"/>
    <w:rsid w:val="630C7DAD"/>
    <w:rsid w:val="63414F5F"/>
    <w:rsid w:val="63486F48"/>
    <w:rsid w:val="637D650F"/>
    <w:rsid w:val="637F68EC"/>
    <w:rsid w:val="63E04B73"/>
    <w:rsid w:val="646C4666"/>
    <w:rsid w:val="649E5E88"/>
    <w:rsid w:val="64C157F9"/>
    <w:rsid w:val="64D85DCB"/>
    <w:rsid w:val="65FC6F1B"/>
    <w:rsid w:val="66316B15"/>
    <w:rsid w:val="667B6DF2"/>
    <w:rsid w:val="66A86E60"/>
    <w:rsid w:val="6703077D"/>
    <w:rsid w:val="67043091"/>
    <w:rsid w:val="67200ABA"/>
    <w:rsid w:val="6740552D"/>
    <w:rsid w:val="6747066A"/>
    <w:rsid w:val="678F409C"/>
    <w:rsid w:val="679F4002"/>
    <w:rsid w:val="67AF0F91"/>
    <w:rsid w:val="67B400E8"/>
    <w:rsid w:val="681177DB"/>
    <w:rsid w:val="68137BB3"/>
    <w:rsid w:val="681C2994"/>
    <w:rsid w:val="68412472"/>
    <w:rsid w:val="688D6550"/>
    <w:rsid w:val="688F2159"/>
    <w:rsid w:val="68C0684E"/>
    <w:rsid w:val="68F86A3F"/>
    <w:rsid w:val="69173577"/>
    <w:rsid w:val="69F5100D"/>
    <w:rsid w:val="6A39493D"/>
    <w:rsid w:val="6A3D7F36"/>
    <w:rsid w:val="6A5C063B"/>
    <w:rsid w:val="6ACB3360"/>
    <w:rsid w:val="6AD06BC8"/>
    <w:rsid w:val="6B153A6F"/>
    <w:rsid w:val="6BA35E9F"/>
    <w:rsid w:val="6D182DF4"/>
    <w:rsid w:val="6D5E6C64"/>
    <w:rsid w:val="6D644638"/>
    <w:rsid w:val="6DA877B4"/>
    <w:rsid w:val="6E755ABD"/>
    <w:rsid w:val="6E943D08"/>
    <w:rsid w:val="6EB75CDA"/>
    <w:rsid w:val="6EF07839"/>
    <w:rsid w:val="6F3117B3"/>
    <w:rsid w:val="6FDB2297"/>
    <w:rsid w:val="70620B3D"/>
    <w:rsid w:val="70DB1624"/>
    <w:rsid w:val="717F1767"/>
    <w:rsid w:val="72166F6B"/>
    <w:rsid w:val="725B321B"/>
    <w:rsid w:val="72BF34BD"/>
    <w:rsid w:val="73072B50"/>
    <w:rsid w:val="732A502D"/>
    <w:rsid w:val="73AB7A96"/>
    <w:rsid w:val="73C459A0"/>
    <w:rsid w:val="74251D33"/>
    <w:rsid w:val="74483AB6"/>
    <w:rsid w:val="747D1622"/>
    <w:rsid w:val="74DE57AF"/>
    <w:rsid w:val="756811AB"/>
    <w:rsid w:val="75F50DF5"/>
    <w:rsid w:val="75FA5932"/>
    <w:rsid w:val="76884DE6"/>
    <w:rsid w:val="76B15B80"/>
    <w:rsid w:val="76E407C3"/>
    <w:rsid w:val="77627C1E"/>
    <w:rsid w:val="780D616A"/>
    <w:rsid w:val="786660B9"/>
    <w:rsid w:val="78FD412D"/>
    <w:rsid w:val="792F7BAA"/>
    <w:rsid w:val="793A3350"/>
    <w:rsid w:val="79B130C3"/>
    <w:rsid w:val="7A674EB5"/>
    <w:rsid w:val="7ABE2599"/>
    <w:rsid w:val="7B2D7FC8"/>
    <w:rsid w:val="7BA55C65"/>
    <w:rsid w:val="7CAD1877"/>
    <w:rsid w:val="7D642475"/>
    <w:rsid w:val="7D650453"/>
    <w:rsid w:val="7D882BC9"/>
    <w:rsid w:val="7E4D3697"/>
    <w:rsid w:val="7E505BFE"/>
    <w:rsid w:val="7E76423F"/>
    <w:rsid w:val="7E9D74D7"/>
    <w:rsid w:val="7F2C14F9"/>
    <w:rsid w:val="7F4766A2"/>
    <w:rsid w:val="7F50002E"/>
    <w:rsid w:val="7FFE0FE4"/>
    <w:rsid w:val="7FFF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6">
    <w:name w:val="heading 1"/>
    <w:basedOn w:val="1"/>
    <w:next w:val="1"/>
    <w:link w:val="40"/>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7">
    <w:name w:val="heading 2"/>
    <w:basedOn w:val="1"/>
    <w:next w:val="1"/>
    <w:link w:val="36"/>
    <w:unhideWhenUsed/>
    <w:qFormat/>
    <w:uiPriority w:val="9"/>
    <w:pPr>
      <w:keepNext/>
      <w:keepLines/>
      <w:numPr>
        <w:ilvl w:val="1"/>
        <w:numId w:val="1"/>
      </w:numPr>
      <w:spacing w:before="50" w:beforeLines="50" w:after="50" w:afterLines="50"/>
      <w:ind w:firstLineChars="0"/>
      <w:jc w:val="left"/>
      <w:outlineLvl w:val="1"/>
    </w:pPr>
    <w:rPr>
      <w:rFonts w:asciiTheme="majorHAnsi" w:hAnsiTheme="majorHAnsi" w:cstheme="majorBidi"/>
      <w:b/>
      <w:bCs/>
      <w:sz w:val="28"/>
      <w:szCs w:val="32"/>
    </w:rPr>
  </w:style>
  <w:style w:type="paragraph" w:styleId="8">
    <w:name w:val="heading 3"/>
    <w:basedOn w:val="9"/>
    <w:next w:val="1"/>
    <w:link w:val="37"/>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color w:val="auto"/>
      <w:szCs w:val="32"/>
    </w:rPr>
  </w:style>
  <w:style w:type="paragraph" w:styleId="10">
    <w:name w:val="heading 4"/>
    <w:basedOn w:val="1"/>
    <w:next w:val="1"/>
    <w:link w:val="38"/>
    <w:unhideWhenUsed/>
    <w:qFormat/>
    <w:uiPriority w:val="9"/>
    <w:pPr>
      <w:keepNext/>
      <w:keepLines/>
      <w:ind w:firstLine="560"/>
      <w:outlineLvl w:val="3"/>
    </w:pPr>
    <w:rPr>
      <w:rFonts w:asciiTheme="majorHAnsi" w:hAnsiTheme="majorHAnsi" w:eastAsiaTheme="majorEastAsia" w:cstheme="majorBidi"/>
      <w:bCs/>
      <w:szCs w:val="28"/>
    </w:rPr>
  </w:style>
  <w:style w:type="paragraph" w:styleId="11">
    <w:name w:val="heading 5"/>
    <w:basedOn w:val="1"/>
    <w:next w:val="1"/>
    <w:link w:val="41"/>
    <w:unhideWhenUsed/>
    <w:qFormat/>
    <w:uiPriority w:val="9"/>
    <w:pPr>
      <w:keepNext/>
      <w:keepLines/>
      <w:outlineLvl w:val="4"/>
    </w:pPr>
    <w:rPr>
      <w:bCs/>
      <w:szCs w:val="28"/>
    </w:rPr>
  </w:style>
  <w:style w:type="paragraph" w:styleId="12">
    <w:name w:val="heading 6"/>
    <w:basedOn w:val="1"/>
    <w:next w:val="1"/>
    <w:semiHidden/>
    <w:unhideWhenUsed/>
    <w:qFormat/>
    <w:uiPriority w:val="9"/>
    <w:pPr>
      <w:keepNext/>
      <w:keepLines/>
      <w:outlineLvl w:val="5"/>
    </w:pPr>
    <w:rPr>
      <w:rFonts w:ascii="Arial" w:hAnsi="Ari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unhideWhenUsed/>
    <w:qFormat/>
    <w:uiPriority w:val="99"/>
    <w:pPr>
      <w:ind w:firstLine="420"/>
    </w:pPr>
    <w:rPr>
      <w:rFonts w:hint="eastAsia"/>
    </w:rPr>
  </w:style>
  <w:style w:type="paragraph" w:styleId="3">
    <w:name w:val="Body Text First Indent"/>
    <w:basedOn w:val="4"/>
    <w:next w:val="5"/>
    <w:unhideWhenUsed/>
    <w:qFormat/>
    <w:uiPriority w:val="99"/>
    <w:pPr>
      <w:spacing w:before="154"/>
      <w:ind w:left="121" w:firstLine="420" w:firstLineChars="100"/>
    </w:pPr>
    <w:rPr>
      <w:rFonts w:hint="eastAsia" w:ascii="仿宋" w:hAnsi="仿宋" w:eastAsia="仿宋"/>
      <w:szCs w:val="21"/>
    </w:rPr>
  </w:style>
  <w:style w:type="paragraph" w:styleId="4">
    <w:name w:val="Body Text"/>
    <w:basedOn w:val="1"/>
    <w:next w:val="1"/>
    <w:unhideWhenUsed/>
    <w:qFormat/>
    <w:uiPriority w:val="99"/>
    <w:pPr>
      <w:ind w:firstLine="560"/>
    </w:pPr>
    <w:rPr>
      <w:szCs w:val="24"/>
    </w:rPr>
  </w:style>
  <w:style w:type="paragraph" w:styleId="5">
    <w:name w:val="toc 6"/>
    <w:basedOn w:val="1"/>
    <w:next w:val="1"/>
    <w:qFormat/>
    <w:uiPriority w:val="39"/>
    <w:pPr>
      <w:ind w:left="1050"/>
      <w:jc w:val="left"/>
    </w:pPr>
    <w:rPr>
      <w:sz w:val="18"/>
      <w:szCs w:val="18"/>
    </w:rPr>
  </w:style>
  <w:style w:type="paragraph" w:customStyle="1" w:styleId="9">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13">
    <w:name w:val="caption"/>
    <w:basedOn w:val="1"/>
    <w:next w:val="1"/>
    <w:unhideWhenUsed/>
    <w:qFormat/>
    <w:uiPriority w:val="35"/>
    <w:rPr>
      <w:rFonts w:eastAsia="黑体" w:asciiTheme="majorHAnsi" w:hAnsiTheme="majorHAnsi" w:cstheme="majorBidi"/>
      <w:sz w:val="20"/>
      <w:szCs w:val="20"/>
    </w:rPr>
  </w:style>
  <w:style w:type="paragraph" w:styleId="14">
    <w:name w:val="Body Text Indent"/>
    <w:basedOn w:val="1"/>
    <w:unhideWhenUsed/>
    <w:qFormat/>
    <w:uiPriority w:val="99"/>
    <w:pPr>
      <w:spacing w:after="120"/>
      <w:ind w:left="420" w:leftChars="200"/>
    </w:pPr>
  </w:style>
  <w:style w:type="paragraph" w:styleId="15">
    <w:name w:val="Block Text"/>
    <w:basedOn w:val="1"/>
    <w:next w:val="1"/>
    <w:qFormat/>
    <w:uiPriority w:val="0"/>
    <w:pPr>
      <w:spacing w:line="20" w:lineRule="atLeast"/>
      <w:ind w:left="1260" w:leftChars="100" w:right="339" w:hanging="944" w:hangingChars="482"/>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sz w:val="19"/>
    </w:rPr>
  </w:style>
  <w:style w:type="paragraph" w:styleId="18">
    <w:name w:val="footer"/>
    <w:basedOn w:val="1"/>
    <w:link w:val="35"/>
    <w:unhideWhenUsed/>
    <w:qFormat/>
    <w:uiPriority w:val="99"/>
    <w:pPr>
      <w:tabs>
        <w:tab w:val="center" w:pos="4153"/>
        <w:tab w:val="right" w:pos="8306"/>
      </w:tabs>
      <w:snapToGrid w:val="0"/>
      <w:jc w:val="left"/>
    </w:pPr>
    <w:rPr>
      <w:sz w:val="18"/>
      <w:szCs w:val="18"/>
    </w:rPr>
  </w:style>
  <w:style w:type="paragraph" w:styleId="19">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0"/>
      </w:tabs>
      <w:ind w:firstLine="0" w:firstLineChars="0"/>
      <w:jc w:val="center"/>
    </w:pPr>
    <w:rPr>
      <w:b/>
      <w:sz w:val="28"/>
    </w:rPr>
  </w:style>
  <w:style w:type="paragraph" w:styleId="21">
    <w:name w:val="Subtitle"/>
    <w:basedOn w:val="1"/>
    <w:next w:val="1"/>
    <w:link w:val="3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2">
    <w:name w:val="toc 2"/>
    <w:basedOn w:val="1"/>
    <w:next w:val="1"/>
    <w:unhideWhenUsed/>
    <w:qFormat/>
    <w:uiPriority w:val="39"/>
    <w:pPr>
      <w:tabs>
        <w:tab w:val="right" w:leader="dot" w:pos="9060"/>
      </w:tabs>
      <w:ind w:firstLine="560"/>
      <w:jc w:val="center"/>
    </w:pPr>
    <w:rPr>
      <w:sz w:val="28"/>
    </w:rPr>
  </w:style>
  <w:style w:type="paragraph" w:styleId="23">
    <w:name w:val="Normal (Web)"/>
    <w:basedOn w:val="1"/>
    <w:unhideWhenUsed/>
    <w:qFormat/>
    <w:uiPriority w:val="99"/>
    <w:pPr>
      <w:spacing w:line="360" w:lineRule="auto"/>
      <w:ind w:firstLine="960" w:firstLineChars="200"/>
    </w:pPr>
    <w:rPr>
      <w:sz w:val="24"/>
      <w:szCs w:val="20"/>
    </w:rPr>
  </w:style>
  <w:style w:type="paragraph" w:styleId="24">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5">
    <w:name w:val="Body Text First Indent 2"/>
    <w:basedOn w:val="14"/>
    <w:qFormat/>
    <w:uiPriority w:val="0"/>
    <w:pPr>
      <w:ind w:firstLine="420" w:firstLineChars="200"/>
    </w:pPr>
    <w:rPr>
      <w:rFonts w:ascii="Times New Roman" w:hAnsi="Times New Roman" w:eastAsia="宋体" w:cs="Times New Roman"/>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paragraph" w:customStyle="1" w:styleId="30">
    <w:name w:val="表内文字"/>
    <w:basedOn w:val="31"/>
    <w:next w:val="1"/>
    <w:qFormat/>
    <w:uiPriority w:val="0"/>
    <w:pPr>
      <w:spacing w:line="240" w:lineRule="auto"/>
      <w:ind w:firstLine="0" w:firstLineChars="0"/>
      <w:jc w:val="center"/>
    </w:pPr>
    <w:rPr>
      <w:sz w:val="21"/>
    </w:rPr>
  </w:style>
  <w:style w:type="paragraph" w:customStyle="1" w:styleId="31">
    <w:name w:val="图表名称"/>
    <w:basedOn w:val="1"/>
    <w:qFormat/>
    <w:uiPriority w:val="0"/>
    <w:pPr>
      <w:ind w:firstLine="480"/>
      <w:jc w:val="center"/>
    </w:pPr>
    <w:rPr>
      <w:b/>
      <w:sz w:val="21"/>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3">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character" w:customStyle="1" w:styleId="34">
    <w:name w:val="页眉 字符"/>
    <w:basedOn w:val="28"/>
    <w:link w:val="19"/>
    <w:qFormat/>
    <w:uiPriority w:val="99"/>
    <w:rPr>
      <w:sz w:val="18"/>
      <w:szCs w:val="18"/>
    </w:rPr>
  </w:style>
  <w:style w:type="character" w:customStyle="1" w:styleId="35">
    <w:name w:val="页脚 字符"/>
    <w:basedOn w:val="28"/>
    <w:link w:val="18"/>
    <w:qFormat/>
    <w:uiPriority w:val="99"/>
    <w:rPr>
      <w:rFonts w:eastAsia="宋体"/>
      <w:sz w:val="18"/>
      <w:szCs w:val="18"/>
    </w:rPr>
  </w:style>
  <w:style w:type="character" w:customStyle="1" w:styleId="36">
    <w:name w:val="标题 2 字符"/>
    <w:basedOn w:val="28"/>
    <w:link w:val="7"/>
    <w:qFormat/>
    <w:uiPriority w:val="9"/>
    <w:rPr>
      <w:rFonts w:eastAsia="宋体" w:asciiTheme="majorHAnsi" w:hAnsiTheme="majorHAnsi" w:cstheme="majorBidi"/>
      <w:b/>
      <w:bCs/>
      <w:sz w:val="28"/>
      <w:szCs w:val="32"/>
    </w:rPr>
  </w:style>
  <w:style w:type="character" w:customStyle="1" w:styleId="37">
    <w:name w:val="标题 3 字符"/>
    <w:basedOn w:val="28"/>
    <w:link w:val="8"/>
    <w:qFormat/>
    <w:uiPriority w:val="9"/>
    <w:rPr>
      <w:rFonts w:ascii="Times New Roman" w:hAnsi="Times New Roman" w:eastAsia="宋体" w:cs="Times New Roman"/>
      <w:b/>
      <w:bCs/>
      <w:color w:val="auto"/>
      <w:sz w:val="24"/>
      <w:szCs w:val="32"/>
    </w:rPr>
  </w:style>
  <w:style w:type="character" w:customStyle="1" w:styleId="38">
    <w:name w:val="标题 4 字符"/>
    <w:basedOn w:val="28"/>
    <w:link w:val="10"/>
    <w:qFormat/>
    <w:uiPriority w:val="9"/>
    <w:rPr>
      <w:rFonts w:asciiTheme="majorHAnsi" w:hAnsiTheme="majorHAnsi" w:eastAsiaTheme="majorEastAsia" w:cstheme="majorBidi"/>
      <w:bCs/>
      <w:sz w:val="24"/>
      <w:szCs w:val="28"/>
    </w:rPr>
  </w:style>
  <w:style w:type="character" w:customStyle="1" w:styleId="39">
    <w:name w:val="副标题 字符"/>
    <w:basedOn w:val="28"/>
    <w:link w:val="21"/>
    <w:qFormat/>
    <w:uiPriority w:val="11"/>
    <w:rPr>
      <w:rFonts w:eastAsia="宋体" w:asciiTheme="majorHAnsi" w:hAnsiTheme="majorHAnsi" w:cstheme="majorBidi"/>
      <w:b/>
      <w:bCs/>
      <w:kern w:val="28"/>
      <w:sz w:val="32"/>
      <w:szCs w:val="32"/>
    </w:rPr>
  </w:style>
  <w:style w:type="character" w:customStyle="1" w:styleId="40">
    <w:name w:val="标题 1 字符"/>
    <w:basedOn w:val="28"/>
    <w:link w:val="6"/>
    <w:qFormat/>
    <w:uiPriority w:val="9"/>
    <w:rPr>
      <w:rFonts w:ascii="Times New Roman" w:hAnsi="Times New Roman" w:eastAsia="宋体" w:cs="Times New Roman"/>
      <w:b/>
      <w:bCs/>
      <w:kern w:val="44"/>
      <w:sz w:val="32"/>
      <w:szCs w:val="44"/>
    </w:rPr>
  </w:style>
  <w:style w:type="character" w:customStyle="1" w:styleId="41">
    <w:name w:val="标题 5 字符"/>
    <w:basedOn w:val="28"/>
    <w:link w:val="11"/>
    <w:qFormat/>
    <w:uiPriority w:val="9"/>
    <w:rPr>
      <w:rFonts w:ascii="Times New Roman" w:hAnsi="Times New Roman" w:eastAsia="宋体" w:cs="Times New Roman"/>
      <w:bCs/>
      <w:sz w:val="24"/>
      <w:szCs w:val="28"/>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73"/>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49">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0">
    <w:name w:val="List Paragraph"/>
    <w:basedOn w:val="1"/>
    <w:qFormat/>
    <w:uiPriority w:val="34"/>
    <w:pPr>
      <w:ind w:firstLine="420" w:firstLineChars="200"/>
    </w:pPr>
  </w:style>
  <w:style w:type="paragraph" w:customStyle="1" w:styleId="5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2">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3">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4">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5">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6">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
    <w:name w:val="正文2"/>
    <w:basedOn w:val="53"/>
    <w:qFormat/>
    <w:uiPriority w:val="0"/>
    <w:pPr>
      <w:adjustRightInd w:val="0"/>
      <w:jc w:val="left"/>
    </w:pPr>
    <w:rPr>
      <w:szCs w:val="28"/>
      <w:lang w:bidi="en-US"/>
    </w:rPr>
  </w:style>
  <w:style w:type="paragraph" w:customStyle="1" w:styleId="58">
    <w:name w:val="无间隔1"/>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5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0">
    <w:name w:val="Table Paragraph"/>
    <w:basedOn w:val="1"/>
    <w:qFormat/>
    <w:uiPriority w:val="1"/>
    <w:pPr>
      <w:jc w:val="left"/>
    </w:pPr>
    <w:rPr>
      <w:rFonts w:ascii="Calibri" w:hAnsi="Calibri" w:eastAsia="宋体" w:cs="Times New Roman"/>
      <w:kern w:val="0"/>
      <w:sz w:val="22"/>
      <w:lang w:eastAsia="en-US"/>
    </w:rPr>
  </w:style>
  <w:style w:type="paragraph" w:customStyle="1" w:styleId="61">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2">
    <w:name w:val="表格标准"/>
    <w:basedOn w:val="1"/>
    <w:qFormat/>
    <w:uiPriority w:val="0"/>
    <w:pPr>
      <w:jc w:val="center"/>
    </w:pPr>
    <w:rPr>
      <w:rFonts w:ascii="仿宋" w:hAnsi="仿宋" w:eastAsia="仿宋"/>
    </w:rPr>
  </w:style>
  <w:style w:type="paragraph" w:customStyle="1" w:styleId="63">
    <w:name w:val="表格居左"/>
    <w:basedOn w:val="64"/>
    <w:qFormat/>
    <w:uiPriority w:val="7"/>
    <w:pPr>
      <w:ind w:firstLine="0" w:firstLineChars="0"/>
    </w:pPr>
    <w:rPr>
      <w:rFonts w:ascii="Times New Roman" w:cs="Times New Roman"/>
      <w:szCs w:val="21"/>
    </w:rPr>
  </w:style>
  <w:style w:type="paragraph" w:customStyle="1" w:styleId="64">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标题3"/>
    <w:basedOn w:val="68"/>
    <w:qFormat/>
    <w:uiPriority w:val="0"/>
    <w:pPr>
      <w:spacing w:before="20" w:after="20" w:line="360" w:lineRule="auto"/>
      <w:ind w:firstLine="100" w:firstLineChars="100"/>
      <w:outlineLvl w:val="2"/>
    </w:pPr>
    <w:rPr>
      <w:sz w:val="24"/>
    </w:rPr>
  </w:style>
  <w:style w:type="paragraph" w:customStyle="1" w:styleId="68">
    <w:name w:val="标题2"/>
    <w:basedOn w:val="1"/>
    <w:qFormat/>
    <w:uiPriority w:val="0"/>
    <w:pPr>
      <w:spacing w:before="40" w:after="40"/>
      <w:jc w:val="left"/>
      <w:outlineLvl w:val="1"/>
    </w:pPr>
    <w:rPr>
      <w:rFonts w:ascii="宋体" w:hAnsi="宋体"/>
      <w:b/>
      <w:bCs/>
      <w:color w:val="000000"/>
      <w:szCs w:val="24"/>
    </w:rPr>
  </w:style>
  <w:style w:type="paragraph" w:customStyle="1" w:styleId="69">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0">
    <w:name w:val="表格文字"/>
    <w:basedOn w:val="16"/>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1">
    <w:name w:val="正文标题"/>
    <w:basedOn w:val="1"/>
    <w:qFormat/>
    <w:uiPriority w:val="0"/>
    <w:pPr>
      <w:adjustRightInd w:val="0"/>
      <w:snapToGrid w:val="0"/>
      <w:jc w:val="left"/>
    </w:pPr>
    <w:rPr>
      <w:b/>
      <w:sz w:val="28"/>
      <w:szCs w:val="24"/>
    </w:rPr>
  </w:style>
  <w:style w:type="paragraph" w:customStyle="1" w:styleId="72">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3">
    <w:name w:val="正文C Char"/>
    <w:link w:val="48"/>
    <w:qFormat/>
    <w:uiPriority w:val="0"/>
    <w:rPr>
      <w:rFonts w:ascii="宋体" w:hAnsi="宋体" w:eastAsia="宋体" w:cs="宋体"/>
      <w:color w:val="525252"/>
      <w:kern w:val="0"/>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eastAsia="黑体" w:asciiTheme="minorHAnsi" w:hAnsiTheme="minorHAnsi"/>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Theme="minorHAnsi" w:eastAsiaTheme="minorEastAsia" w:cstheme="minorBidi"/>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6"/>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table" w:customStyle="1" w:styleId="89">
    <w:name w:val="表格标准1"/>
    <w:basedOn w:val="2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90">
    <w:name w:val="图片"/>
    <w:basedOn w:val="1"/>
    <w:next w:val="1"/>
    <w:qFormat/>
    <w:uiPriority w:val="0"/>
    <w:pPr>
      <w:spacing w:line="240" w:lineRule="auto"/>
      <w:ind w:firstLine="0" w:firstLineChars="0"/>
      <w:jc w:val="center"/>
    </w:pPr>
    <w:rPr>
      <w:rFonts w:hint="default" w:ascii="Times New Roman" w:hAnsi="Times New Roman"/>
    </w:rPr>
  </w:style>
  <w:style w:type="table" w:customStyle="1" w:styleId="91">
    <w:name w:val="样式15"/>
    <w:basedOn w:val="2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92">
    <w:name w:val="样式1"/>
    <w:basedOn w:val="26"/>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93">
    <w:name w:val="CM表内文字"/>
    <w:basedOn w:val="1"/>
    <w:next w:val="1"/>
    <w:qFormat/>
    <w:uiPriority w:val="0"/>
    <w:pPr>
      <w:spacing w:line="240" w:lineRule="auto"/>
      <w:ind w:firstLine="0" w:firstLineChars="0"/>
      <w:jc w:val="center"/>
    </w:pPr>
    <w:rPr>
      <w:sz w:val="21"/>
    </w:rPr>
  </w:style>
  <w:style w:type="paragraph" w:customStyle="1" w:styleId="94">
    <w:name w:val="A正文标准"/>
    <w:basedOn w:val="95"/>
    <w:qFormat/>
    <w:uiPriority w:val="0"/>
    <w:pPr>
      <w:numPr>
        <w:ilvl w:val="0"/>
        <w:numId w:val="0"/>
      </w:numPr>
      <w:ind w:firstLine="200" w:firstLineChars="200"/>
      <w:jc w:val="both"/>
      <w:outlineLvl w:val="9"/>
    </w:pPr>
    <w:rPr>
      <w:b w:val="0"/>
    </w:rPr>
  </w:style>
  <w:style w:type="paragraph" w:customStyle="1" w:styleId="95">
    <w:name w:val="标题1.1.1.1"/>
    <w:basedOn w:val="96"/>
    <w:qFormat/>
    <w:uiPriority w:val="0"/>
    <w:pPr>
      <w:numPr>
        <w:ilvl w:val="3"/>
      </w:numPr>
      <w:outlineLvl w:val="3"/>
    </w:pPr>
  </w:style>
  <w:style w:type="paragraph" w:customStyle="1" w:styleId="96">
    <w:name w:val="标题1.1.1"/>
    <w:basedOn w:val="97"/>
    <w:qFormat/>
    <w:uiPriority w:val="0"/>
    <w:pPr>
      <w:numPr>
        <w:ilvl w:val="2"/>
      </w:numPr>
      <w:outlineLvl w:val="2"/>
    </w:pPr>
  </w:style>
  <w:style w:type="paragraph" w:customStyle="1" w:styleId="97">
    <w:name w:val="标题1.1"/>
    <w:basedOn w:val="1"/>
    <w:qFormat/>
    <w:uiPriority w:val="0"/>
    <w:pPr>
      <w:numPr>
        <w:ilvl w:val="1"/>
        <w:numId w:val="4"/>
      </w:numPr>
      <w:ind w:firstLineChars="0"/>
      <w:jc w:val="left"/>
      <w:outlineLvl w:val="1"/>
    </w:pPr>
    <w:rPr>
      <w:rFonts w:cstheme="minorBidi"/>
      <w:b/>
      <w:szCs w:val="24"/>
      <w14:ligatures w14:val="standardContextual"/>
    </w:rPr>
  </w:style>
  <w:style w:type="paragraph" w:customStyle="1" w:styleId="98">
    <w:name w:val="燕矶图片样式"/>
    <w:qFormat/>
    <w:uiPriority w:val="0"/>
    <w:pPr>
      <w:widowControl w:val="0"/>
      <w:adjustRightInd w:val="0"/>
      <w:snapToGrid w:val="0"/>
      <w:spacing w:line="240" w:lineRule="auto"/>
      <w:ind w:firstLine="0" w:firstLineChars="0"/>
      <w:jc w:val="center"/>
    </w:pPr>
    <w:rPr>
      <w:rFonts w:ascii="Times New Roman" w:hAnsi="Times New Roman" w:eastAsia="宋体" w:cs="Times New Roman"/>
      <w:kern w:val="2"/>
      <w:sz w:val="21"/>
      <w:szCs w:val="21"/>
      <w:lang w:val="en-US" w:eastAsia="zh-CN" w:bidi="ar-SA"/>
    </w:rPr>
  </w:style>
  <w:style w:type="paragraph" w:customStyle="1" w:styleId="99">
    <w:name w:val="带编号正文"/>
    <w:basedOn w:val="1"/>
    <w:qFormat/>
    <w:locked/>
    <w:uiPriority w:val="0"/>
    <w:pPr>
      <w:ind w:firstLine="0" w:firstLineChars="0"/>
    </w:pPr>
  </w:style>
  <w:style w:type="paragraph" w:customStyle="1" w:styleId="100">
    <w:name w:val="（1）"/>
    <w:basedOn w:val="99"/>
    <w:qFormat/>
    <w:locked/>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emf"/><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1999</Words>
  <Characters>2244</Characters>
  <Lines>49</Lines>
  <Paragraphs>14</Paragraphs>
  <TotalTime>1</TotalTime>
  <ScaleCrop>false</ScaleCrop>
  <LinksUpToDate>false</LinksUpToDate>
  <CharactersWithSpaces>2587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2025-03-14T02:33:00Z</cp:lastPrinted>
  <dcterms:modified xsi:type="dcterms:W3CDTF">2025-12-10T01:58:34Z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5F86CBEB1AEF4307B142C19033D580BE</vt:lpwstr>
  </property>
  <property fmtid="{D5CDD505-2E9C-101B-9397-08002B2CF9AE}" pid="4" name="KSOTemplateDocerSaveRecord">
    <vt:lpwstr>eyJoZGlkIjoiYjMyYjBlMGJhZjI3ZDdiYzUzOWVmOGZjYTMwOWZhYzEiLCJ1c2VySWQiOiIyMDEyMTQ5OSJ9</vt:lpwstr>
  </property>
</Properties>
</file>